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drawings/drawing1.xml" ContentType="application/vnd.openxmlformats-officedocument.drawingml.chartshapes+xml"/>
  <Override PartName="/word/charts/chart1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0.xml" ContentType="application/vnd.openxmlformats-officedocument.themeOverride+xml"/>
  <Override PartName="/word/charts/chart1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1.xml" ContentType="application/vnd.openxmlformats-officedocument.themeOverride+xml"/>
  <Override PartName="/word/charts/chart1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2.xml" ContentType="application/vnd.openxmlformats-officedocument.themeOverride+xml"/>
  <Override PartName="/word/charts/chart18.xml" ContentType="application/vnd.openxmlformats-officedocument.drawingml.chart+xml"/>
  <Override PartName="/word/theme/themeOverride13.xml" ContentType="application/vnd.openxmlformats-officedocument.themeOverride+xml"/>
  <Override PartName="/word/charts/chart19.xml" ContentType="application/vnd.openxmlformats-officedocument.drawingml.chart+xml"/>
  <Override PartName="/word/theme/themeOverride14.xml" ContentType="application/vnd.openxmlformats-officedocument.themeOverride+xml"/>
  <Override PartName="/word/charts/chart20.xml" ContentType="application/vnd.openxmlformats-officedocument.drawingml.chart+xml"/>
  <Override PartName="/word/theme/themeOverride15.xml" ContentType="application/vnd.openxmlformats-officedocument.themeOverride+xml"/>
  <Override PartName="/word/charts/chart21.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6.xml" ContentType="application/vnd.openxmlformats-officedocument.themeOverride+xml"/>
  <Override PartName="/word/charts/chart22.xml" ContentType="application/vnd.openxmlformats-officedocument.drawingml.chart+xml"/>
  <Override PartName="/word/theme/themeOverride17.xml" ContentType="application/vnd.openxmlformats-officedocument.themeOverride+xml"/>
  <Override PartName="/word/charts/chart2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4.xml" ContentType="application/vnd.openxmlformats-officedocument.drawingml.chart+xml"/>
  <Override PartName="/word/theme/themeOverride18.xml" ContentType="application/vnd.openxmlformats-officedocument.themeOverride+xml"/>
  <Override PartName="/word/charts/chart2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9.xml" ContentType="application/vnd.openxmlformats-officedocument.themeOverride+xml"/>
  <Override PartName="/word/charts/chart26.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0.xml" ContentType="application/vnd.openxmlformats-officedocument.themeOverride+xml"/>
  <Override PartName="/word/charts/chart27.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1.xml" ContentType="application/vnd.openxmlformats-officedocument.themeOverride+xml"/>
  <Override PartName="/word/charts/chart28.xml" ContentType="application/vnd.openxmlformats-officedocument.drawingml.chart+xml"/>
  <Override PartName="/word/theme/themeOverride22.xml" ContentType="application/vnd.openxmlformats-officedocument.themeOverride+xml"/>
  <Override PartName="/word/charts/chart29.xml" ContentType="application/vnd.openxmlformats-officedocument.drawingml.chart+xml"/>
  <Override PartName="/word/theme/themeOverride23.xml" ContentType="application/vnd.openxmlformats-officedocument.themeOverride+xml"/>
  <Override PartName="/word/charts/chart30.xml" ContentType="application/vnd.openxmlformats-officedocument.drawingml.chart+xml"/>
  <Override PartName="/word/theme/themeOverride24.xml" ContentType="application/vnd.openxmlformats-officedocument.themeOverride+xml"/>
  <Override PartName="/word/charts/chart31.xml" ContentType="application/vnd.openxmlformats-officedocument.drawingml.chart+xml"/>
  <Override PartName="/word/theme/themeOverride25.xml" ContentType="application/vnd.openxmlformats-officedocument.themeOverride+xml"/>
  <Override PartName="/word/charts/chart32.xml" ContentType="application/vnd.openxmlformats-officedocument.drawingml.chart+xml"/>
  <Override PartName="/word/theme/themeOverride26.xml" ContentType="application/vnd.openxmlformats-officedocument.themeOverride+xml"/>
  <Override PartName="/word/charts/chart33.xml" ContentType="application/vnd.openxmlformats-officedocument.drawingml.chart+xml"/>
  <Override PartName="/word/theme/themeOverride27.xml" ContentType="application/vnd.openxmlformats-officedocument.themeOverride+xml"/>
  <Override PartName="/word/charts/chart3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3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3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8.xml" ContentType="application/vnd.openxmlformats-officedocument.drawingml.chart+xml"/>
  <Override PartName="/word/theme/themeOverride28.xml" ContentType="application/vnd.openxmlformats-officedocument.themeOverride+xml"/>
  <Override PartName="/word/charts/chart3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4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4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42.xml" ContentType="application/vnd.openxmlformats-officedocument.drawingml.chart+xml"/>
  <Override PartName="/word/theme/themeOverride29.xml" ContentType="application/vnd.openxmlformats-officedocument.themeOverride+xml"/>
  <Override PartName="/word/charts/chart4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Ex2.xml" ContentType="application/vnd.ms-office.chartex+xml"/>
  <Override PartName="/word/charts/style21.xml" ContentType="application/vnd.ms-office.chartstyle+xml"/>
  <Override PartName="/word/charts/colors21.xml" ContentType="application/vnd.ms-office.chartcolorstyle+xml"/>
  <Override PartName="/word/charts/chart44.xml" ContentType="application/vnd.openxmlformats-officedocument.drawingml.chart+xml"/>
  <Override PartName="/word/theme/themeOverride30.xml" ContentType="application/vnd.openxmlformats-officedocument.themeOverride+xml"/>
  <Override PartName="/word/charts/chart4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46.xml" ContentType="application/vnd.openxmlformats-officedocument.drawingml.chart+xml"/>
  <Override PartName="/word/charts/chart47.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48.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49.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50.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51.xml" ContentType="application/vnd.openxmlformats-officedocument.drawingml.chart+xml"/>
  <Override PartName="/word/theme/themeOverride31.xml" ContentType="application/vnd.openxmlformats-officedocument.themeOverride+xml"/>
  <Override PartName="/word/charts/chart52.xml" ContentType="application/vnd.openxmlformats-officedocument.drawingml.chart+xml"/>
  <Override PartName="/word/theme/themeOverride32.xml" ContentType="application/vnd.openxmlformats-officedocument.themeOverride+xml"/>
  <Override PartName="/word/charts/chart53.xml" ContentType="application/vnd.openxmlformats-officedocument.drawingml.chart+xml"/>
  <Override PartName="/word/theme/themeOverride33.xml" ContentType="application/vnd.openxmlformats-officedocument.themeOverride+xml"/>
  <Override PartName="/word/charts/chart54.xml" ContentType="application/vnd.openxmlformats-officedocument.drawingml.chart+xml"/>
  <Override PartName="/word/charts/chart55.xml" ContentType="application/vnd.openxmlformats-officedocument.drawingml.chart+xml"/>
  <Override PartName="/word/theme/themeOverride34.xml" ContentType="application/vnd.openxmlformats-officedocument.themeOverride+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drawings/drawing2.xml" ContentType="application/vnd.openxmlformats-officedocument.drawingml.chartshapes+xml"/>
  <Override PartName="/word/charts/chart60.xml" ContentType="application/vnd.openxmlformats-officedocument.drawingml.chart+xml"/>
  <Override PartName="/word/drawings/drawing3.xml" ContentType="application/vnd.openxmlformats-officedocument.drawingml.chartshapes+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35.xml" ContentType="application/vnd.openxmlformats-officedocument.themeOverride+xml"/>
  <Override PartName="/word/charts/chart64.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65.xml" ContentType="application/vnd.openxmlformats-officedocument.drawingml.chart+xml"/>
  <Override PartName="/word/charts/chart66.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4.xml" ContentType="application/vnd.openxmlformats-officedocument.drawingml.chartshapes+xml"/>
  <Override PartName="/word/charts/chart67.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6.xml" ContentType="application/vnd.openxmlformats-officedocument.themeOverride+xml"/>
  <Override PartName="/word/charts/chart68.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7.xml" ContentType="application/vnd.openxmlformats-officedocument.themeOverride+xml"/>
  <Override PartName="/word/charts/chart69.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8.xml" ContentType="application/vnd.openxmlformats-officedocument.themeOverride+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7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75.xml" ContentType="application/vnd.openxmlformats-officedocument.drawingml.chart+xml"/>
  <Override PartName="/word/charts/chart76.xml" ContentType="application/vnd.openxmlformats-officedocument.drawingml.chart+xml"/>
  <Override PartName="/word/theme/themeOverride39.xml" ContentType="application/vnd.openxmlformats-officedocument.themeOverride+xml"/>
  <Override PartName="/word/charts/chart77.xml" ContentType="application/vnd.openxmlformats-officedocument.drawingml.chart+xml"/>
  <Override PartName="/word/theme/themeOverride40.xml" ContentType="application/vnd.openxmlformats-officedocument.themeOverride+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theme/themeOverride41.xml" ContentType="application/vnd.openxmlformats-officedocument.themeOverride+xml"/>
  <Override PartName="/word/charts/chart82.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83.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Ex3.xml" ContentType="application/vnd.ms-office.chartex+xml"/>
  <Override PartName="/word/charts/style37.xml" ContentType="application/vnd.ms-office.chartstyle+xml"/>
  <Override PartName="/word/charts/colors37.xml" ContentType="application/vnd.ms-office.chartcolorstyle+xml"/>
  <Override PartName="/word/charts/chart84.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85.xml" ContentType="application/vnd.openxmlformats-officedocument.drawingml.chart+xml"/>
  <Override PartName="/word/charts/chart86.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87.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88.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2.xml" ContentType="application/vnd.openxmlformats-officedocument.themeOverride+xml"/>
  <Override PartName="/word/charts/chart89.xml" ContentType="application/vnd.openxmlformats-officedocument.drawingml.chart+xml"/>
  <Override PartName="/word/charts/style42.xml" ContentType="application/vnd.ms-office.chartstyle+xml"/>
  <Override PartName="/word/charts/colors42.xml" ContentType="application/vnd.ms-office.chartcolorstyle+xml"/>
  <Override PartName="/word/drawings/drawing5.xml" ContentType="application/vnd.openxmlformats-officedocument.drawingml.chartshapes+xml"/>
  <Override PartName="/word/charts/chart90.xml" ContentType="application/vnd.openxmlformats-officedocument.drawingml.chart+xml"/>
  <Override PartName="/word/theme/themeOverride43.xml" ContentType="application/vnd.openxmlformats-officedocument.themeOverride+xml"/>
  <Override PartName="/word/drawings/drawing6.xml" ContentType="application/vnd.openxmlformats-officedocument.drawingml.chartshapes+xml"/>
  <Override PartName="/word/charts/chart91.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4.xml" ContentType="application/vnd.openxmlformats-officedocument.themeOverride+xml"/>
  <Override PartName="/word/charts/chart92.xml" ContentType="application/vnd.openxmlformats-officedocument.drawingml.chart+xml"/>
  <Override PartName="/word/theme/themeOverride45.xml" ContentType="application/vnd.openxmlformats-officedocument.themeOverride+xml"/>
  <Override PartName="/word/drawings/drawing7.xml" ContentType="application/vnd.openxmlformats-officedocument.drawingml.chartshapes+xml"/>
  <Override PartName="/word/charts/chart93.xml" ContentType="application/vnd.openxmlformats-officedocument.drawingml.chart+xml"/>
  <Override PartName="/word/theme/themeOverride46.xml" ContentType="application/vnd.openxmlformats-officedocument.themeOverride+xml"/>
  <Override PartName="/word/drawings/drawing8.xml" ContentType="application/vnd.openxmlformats-officedocument.drawingml.chartshapes+xml"/>
  <Override PartName="/word/charts/chart94.xml" ContentType="application/vnd.openxmlformats-officedocument.drawingml.chart+xml"/>
  <Override PartName="/word/theme/themeOverride47.xml" ContentType="application/vnd.openxmlformats-officedocument.themeOverride+xml"/>
  <Override PartName="/word/charts/chart95.xml" ContentType="application/vnd.openxmlformats-officedocument.drawingml.chart+xml"/>
  <Override PartName="/word/theme/themeOverride48.xml" ContentType="application/vnd.openxmlformats-officedocument.themeOverride+xml"/>
  <Override PartName="/word/charts/chart96.xml" ContentType="application/vnd.openxmlformats-officedocument.drawingml.chart+xml"/>
  <Override PartName="/word/theme/themeOverride49.xml" ContentType="application/vnd.openxmlformats-officedocument.themeOverride+xml"/>
  <Override PartName="/word/charts/chart97.xml" ContentType="application/vnd.openxmlformats-officedocument.drawingml.chart+xml"/>
  <Override PartName="/word/theme/themeOverride50.xml" ContentType="application/vnd.openxmlformats-officedocument.themeOverride+xml"/>
  <Override PartName="/word/charts/chart98.xml" ContentType="application/vnd.openxmlformats-officedocument.drawingml.chart+xml"/>
  <Override PartName="/word/theme/themeOverride51.xml" ContentType="application/vnd.openxmlformats-officedocument.themeOverride+xml"/>
  <Override PartName="/word/charts/chart99.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100.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101.xml" ContentType="application/vnd.openxmlformats-officedocument.drawingml.chart+xml"/>
  <Override PartName="/word/charts/style46.xml" ContentType="application/vnd.ms-office.chartstyle+xml"/>
  <Override PartName="/word/charts/colors46.xml" ContentType="application/vnd.ms-office.chartcolorstyle+xml"/>
  <Override PartName="/word/drawings/drawing9.xml" ContentType="application/vnd.openxmlformats-officedocument.drawingml.chartshapes+xml"/>
  <Override PartName="/word/charts/chart102.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103.xml" ContentType="application/vnd.openxmlformats-officedocument.drawingml.chart+xml"/>
  <Override PartName="/word/theme/themeOverride52.xml" ContentType="application/vnd.openxmlformats-officedocument.themeOverride+xml"/>
  <Override PartName="/word/charts/chart104.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53.xml" ContentType="application/vnd.openxmlformats-officedocument.themeOverride+xml"/>
  <Override PartName="/word/charts/chart105.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106.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107.xml" ContentType="application/vnd.openxmlformats-officedocument.drawingml.chart+xml"/>
  <Override PartName="/word/drawings/drawing10.xml" ContentType="application/vnd.openxmlformats-officedocument.drawingml.chartshapes+xml"/>
  <Override PartName="/word/charts/chart108.xml" ContentType="application/vnd.openxmlformats-officedocument.drawingml.chart+xml"/>
  <Override PartName="/word/theme/themeOverride54.xml" ContentType="application/vnd.openxmlformats-officedocument.themeOverride+xml"/>
  <Override PartName="/word/charts/chart109.xml" ContentType="application/vnd.openxmlformats-officedocument.drawingml.chart+xml"/>
  <Override PartName="/word/theme/themeOverride55.xml" ContentType="application/vnd.openxmlformats-officedocument.themeOverride+xml"/>
  <Override PartName="/word/charts/chart110.xml" ContentType="application/vnd.openxmlformats-officedocument.drawingml.chart+xml"/>
  <Override PartName="/word/theme/themeOverride56.xml" ContentType="application/vnd.openxmlformats-officedocument.themeOverride+xml"/>
  <Override PartName="/word/charts/chart111.xml" ContentType="application/vnd.openxmlformats-officedocument.drawingml.chart+xml"/>
  <Override PartName="/word/theme/themeOverride57.xml" ContentType="application/vnd.openxmlformats-officedocument.themeOverride+xml"/>
  <Override PartName="/word/charts/chart112.xml" ContentType="application/vnd.openxmlformats-officedocument.drawingml.chart+xml"/>
  <Override PartName="/word/drawings/drawing11.xml" ContentType="application/vnd.openxmlformats-officedocument.drawingml.chartshapes+xml"/>
  <Override PartName="/word/charts/chart113.xml" ContentType="application/vnd.openxmlformats-officedocument.drawingml.chart+xml"/>
  <Override PartName="/word/theme/themeOverride58.xml" ContentType="application/vnd.openxmlformats-officedocument.themeOverride+xml"/>
  <Override PartName="/word/charts/chart114.xml" ContentType="application/vnd.openxmlformats-officedocument.drawingml.chart+xml"/>
  <Override PartName="/word/theme/themeOverride59.xml" ContentType="application/vnd.openxmlformats-officedocument.themeOverride+xml"/>
  <Override PartName="/word/charts/chart115.xml" ContentType="application/vnd.openxmlformats-officedocument.drawingml.chart+xml"/>
  <Override PartName="/word/theme/themeOverride60.xml" ContentType="application/vnd.openxmlformats-officedocument.themeOverride+xml"/>
  <Override PartName="/word/charts/chart116.xml" ContentType="application/vnd.openxmlformats-officedocument.drawingml.chart+xml"/>
  <Override PartName="/word/theme/themeOverride61.xml" ContentType="application/vnd.openxmlformats-officedocument.themeOverride+xml"/>
  <Override PartName="/word/charts/chart117.xml" ContentType="application/vnd.openxmlformats-officedocument.drawingml.chart+xml"/>
  <Override PartName="/word/theme/themeOverride62.xml" ContentType="application/vnd.openxmlformats-officedocument.themeOverride+xml"/>
  <Override PartName="/word/charts/chart118.xml" ContentType="application/vnd.openxmlformats-officedocument.drawingml.chart+xml"/>
  <Override PartName="/word/theme/themeOverride63.xml" ContentType="application/vnd.openxmlformats-officedocument.themeOverride+xml"/>
  <Override PartName="/word/charts/chart119.xml" ContentType="application/vnd.openxmlformats-officedocument.drawingml.chart+xml"/>
  <Override PartName="/word/theme/themeOverride64.xml" ContentType="application/vnd.openxmlformats-officedocument.themeOverride+xml"/>
  <Override PartName="/word/charts/chart120.xml" ContentType="application/vnd.openxmlformats-officedocument.drawingml.chart+xml"/>
  <Override PartName="/word/theme/themeOverride65.xml" ContentType="application/vnd.openxmlformats-officedocument.themeOverride+xml"/>
  <Override PartName="/word/charts/chart121.xml" ContentType="application/vnd.openxmlformats-officedocument.drawingml.chart+xml"/>
  <Override PartName="/word/theme/themeOverride66.xml" ContentType="application/vnd.openxmlformats-officedocument.themeOverride+xml"/>
  <Override PartName="/word/charts/chart122.xml" ContentType="application/vnd.openxmlformats-officedocument.drawingml.chart+xml"/>
  <Override PartName="/word/theme/themeOverride67.xml" ContentType="application/vnd.openxmlformats-officedocument.themeOverride+xml"/>
  <Override PartName="/word/charts/chart123.xml" ContentType="application/vnd.openxmlformats-officedocument.drawingml.chart+xml"/>
  <Override PartName="/word/theme/themeOverride68.xml" ContentType="application/vnd.openxmlformats-officedocument.themeOverride+xml"/>
  <Override PartName="/word/charts/chart124.xml" ContentType="application/vnd.openxmlformats-officedocument.drawingml.chart+xml"/>
  <Override PartName="/word/theme/themeOverride69.xml" ContentType="application/vnd.openxmlformats-officedocument.themeOverride+xml"/>
  <Override PartName="/word/charts/chart125.xml" ContentType="application/vnd.openxmlformats-officedocument.drawingml.chart+xml"/>
  <Override PartName="/word/theme/themeOverride70.xml" ContentType="application/vnd.openxmlformats-officedocument.themeOverride+xml"/>
  <Override PartName="/word/charts/chart126.xml" ContentType="application/vnd.openxmlformats-officedocument.drawingml.chart+xml"/>
  <Override PartName="/word/theme/themeOverride71.xml" ContentType="application/vnd.openxmlformats-officedocument.themeOverride+xml"/>
  <Override PartName="/word/charts/chart127.xml" ContentType="application/vnd.openxmlformats-officedocument.drawingml.chart+xml"/>
  <Override PartName="/word/theme/themeOverride72.xml" ContentType="application/vnd.openxmlformats-officedocument.themeOverride+xml"/>
  <Override PartName="/word/charts/chart128.xml" ContentType="application/vnd.openxmlformats-officedocument.drawingml.chart+xml"/>
  <Override PartName="/word/theme/themeOverride73.xml" ContentType="application/vnd.openxmlformats-officedocument.themeOverride+xml"/>
  <Override PartName="/word/charts/chart129.xml" ContentType="application/vnd.openxmlformats-officedocument.drawingml.chart+xml"/>
  <Override PartName="/word/theme/themeOverride74.xml" ContentType="application/vnd.openxmlformats-officedocument.themeOverride+xml"/>
  <Override PartName="/word/charts/chart130.xml" ContentType="application/vnd.openxmlformats-officedocument.drawingml.chart+xml"/>
  <Override PartName="/word/theme/themeOverride75.xml" ContentType="application/vnd.openxmlformats-officedocument.themeOverride+xml"/>
  <Override PartName="/word/charts/chart131.xml" ContentType="application/vnd.openxmlformats-officedocument.drawingml.chart+xml"/>
  <Override PartName="/word/theme/themeOverride76.xml" ContentType="application/vnd.openxmlformats-officedocument.themeOverride+xml"/>
  <Override PartName="/word/charts/chart132.xml" ContentType="application/vnd.openxmlformats-officedocument.drawingml.chart+xml"/>
  <Override PartName="/word/theme/themeOverride77.xml" ContentType="application/vnd.openxmlformats-officedocument.themeOverride+xml"/>
  <Override PartName="/word/charts/chart133.xml" ContentType="application/vnd.openxmlformats-officedocument.drawingml.chart+xml"/>
  <Override PartName="/word/theme/themeOverride78.xml" ContentType="application/vnd.openxmlformats-officedocument.themeOverride+xml"/>
  <Override PartName="/word/charts/chart134.xml" ContentType="application/vnd.openxmlformats-officedocument.drawingml.chart+xml"/>
  <Override PartName="/word/theme/themeOverride79.xml" ContentType="application/vnd.openxmlformats-officedocument.themeOverride+xml"/>
  <Override PartName="/word/charts/chart135.xml" ContentType="application/vnd.openxmlformats-officedocument.drawingml.chart+xml"/>
  <Override PartName="/word/theme/themeOverride80.xml" ContentType="application/vnd.openxmlformats-officedocument.themeOverride+xml"/>
  <Override PartName="/word/charts/chart136.xml" ContentType="application/vnd.openxmlformats-officedocument.drawingml.chart+xml"/>
  <Override PartName="/word/theme/themeOverride81.xml" ContentType="application/vnd.openxmlformats-officedocument.themeOverride+xml"/>
  <Override PartName="/word/charts/chart137.xml" ContentType="application/vnd.openxmlformats-officedocument.drawingml.chart+xml"/>
  <Override PartName="/word/drawings/drawing12.xml" ContentType="application/vnd.openxmlformats-officedocument.drawingml.chartshapes+xml"/>
  <Override PartName="/word/charts/chart138.xml" ContentType="application/vnd.openxmlformats-officedocument.drawingml.chart+xml"/>
  <Override PartName="/word/theme/themeOverride82.xml" ContentType="application/vnd.openxmlformats-officedocument.themeOverride+xml"/>
  <Override PartName="/word/charts/chart139.xml" ContentType="application/vnd.openxmlformats-officedocument.drawingml.chart+xml"/>
  <Override PartName="/word/theme/themeOverride83.xml" ContentType="application/vnd.openxmlformats-officedocument.themeOverride+xml"/>
  <Override PartName="/word/charts/chart140.xml" ContentType="application/vnd.openxmlformats-officedocument.drawingml.chart+xml"/>
  <Override PartName="/word/theme/themeOverride84.xml" ContentType="application/vnd.openxmlformats-officedocument.themeOverride+xml"/>
  <Override PartName="/word/charts/chart141.xml" ContentType="application/vnd.openxmlformats-officedocument.drawingml.chart+xml"/>
  <Override PartName="/word/theme/themeOverride85.xml" ContentType="application/vnd.openxmlformats-officedocument.themeOverride+xml"/>
  <Override PartName="/word/charts/chart142.xml" ContentType="application/vnd.openxmlformats-officedocument.drawingml.chart+xml"/>
  <Override PartName="/word/theme/themeOverride86.xml" ContentType="application/vnd.openxmlformats-officedocument.themeOverride+xml"/>
  <Override PartName="/word/charts/chart143.xml" ContentType="application/vnd.openxmlformats-officedocument.drawingml.chart+xml"/>
  <Override PartName="/word/theme/themeOverride87.xml" ContentType="application/vnd.openxmlformats-officedocument.themeOverride+xml"/>
  <Override PartName="/word/charts/chart144.xml" ContentType="application/vnd.openxmlformats-officedocument.drawingml.chart+xml"/>
  <Override PartName="/word/theme/themeOverride88.xml" ContentType="application/vnd.openxmlformats-officedocument.themeOverride+xml"/>
  <Override PartName="/word/charts/chart145.xml" ContentType="application/vnd.openxmlformats-officedocument.drawingml.chart+xml"/>
  <Override PartName="/word/theme/themeOverride89.xml" ContentType="application/vnd.openxmlformats-officedocument.themeOverride+xml"/>
  <Override PartName="/word/charts/chart146.xml" ContentType="application/vnd.openxmlformats-officedocument.drawingml.chart+xml"/>
  <Override PartName="/word/theme/themeOverride90.xml" ContentType="application/vnd.openxmlformats-officedocument.themeOverride+xml"/>
  <Override PartName="/word/charts/chart147.xml" ContentType="application/vnd.openxmlformats-officedocument.drawingml.chart+xml"/>
  <Override PartName="/word/theme/themeOverride91.xml" ContentType="application/vnd.openxmlformats-officedocument.themeOverride+xml"/>
  <Override PartName="/word/charts/chart148.xml" ContentType="application/vnd.openxmlformats-officedocument.drawingml.chart+xml"/>
  <Override PartName="/word/theme/themeOverride92.xml" ContentType="application/vnd.openxmlformats-officedocument.themeOverride+xml"/>
  <Override PartName="/word/charts/chart149.xml" ContentType="application/vnd.openxmlformats-officedocument.drawingml.chart+xml"/>
  <Override PartName="/word/theme/themeOverride93.xml" ContentType="application/vnd.openxmlformats-officedocument.themeOverride+xml"/>
  <Override PartName="/word/charts/chart150.xml" ContentType="application/vnd.openxmlformats-officedocument.drawingml.chart+xml"/>
  <Override PartName="/word/theme/themeOverride94.xml" ContentType="application/vnd.openxmlformats-officedocument.themeOverride+xml"/>
  <Override PartName="/word/charts/chart151.xml" ContentType="application/vnd.openxmlformats-officedocument.drawingml.chart+xml"/>
  <Override PartName="/word/theme/themeOverride95.xml" ContentType="application/vnd.openxmlformats-officedocument.themeOverride+xml"/>
  <Override PartName="/word/charts/chart152.xml" ContentType="application/vnd.openxmlformats-officedocument.drawingml.chart+xml"/>
  <Override PartName="/word/theme/themeOverride96.xml" ContentType="application/vnd.openxmlformats-officedocument.themeOverride+xml"/>
  <Override PartName="/word/charts/chart153.xml" ContentType="application/vnd.openxmlformats-officedocument.drawingml.chart+xml"/>
  <Override PartName="/word/theme/themeOverride97.xml" ContentType="application/vnd.openxmlformats-officedocument.themeOverride+xml"/>
  <Override PartName="/word/charts/chart154.xml" ContentType="application/vnd.openxmlformats-officedocument.drawingml.chart+xml"/>
  <Override PartName="/word/theme/themeOverride98.xml" ContentType="application/vnd.openxmlformats-officedocument.themeOverride+xml"/>
  <Override PartName="/word/charts/chart155.xml" ContentType="application/vnd.openxmlformats-officedocument.drawingml.chart+xml"/>
  <Override PartName="/word/theme/themeOverride99.xml" ContentType="application/vnd.openxmlformats-officedocument.themeOverride+xml"/>
  <Override PartName="/word/charts/chart156.xml" ContentType="application/vnd.openxmlformats-officedocument.drawingml.chart+xml"/>
  <Override PartName="/word/theme/themeOverride100.xml" ContentType="application/vnd.openxmlformats-officedocument.themeOverride+xml"/>
  <Override PartName="/word/charts/chart157.xml" ContentType="application/vnd.openxmlformats-officedocument.drawingml.chart+xml"/>
  <Override PartName="/word/theme/themeOverride101.xml" ContentType="application/vnd.openxmlformats-officedocument.themeOverride+xml"/>
  <Override PartName="/word/charts/chart158.xml" ContentType="application/vnd.openxmlformats-officedocument.drawingml.chart+xml"/>
  <Override PartName="/word/theme/themeOverride102.xml" ContentType="application/vnd.openxmlformats-officedocument.themeOverride+xml"/>
  <Override PartName="/word/charts/chart159.xml" ContentType="application/vnd.openxmlformats-officedocument.drawingml.chart+xml"/>
  <Override PartName="/word/theme/themeOverride103.xml" ContentType="application/vnd.openxmlformats-officedocument.themeOverride+xml"/>
  <Override PartName="/word/charts/chart160.xml" ContentType="application/vnd.openxmlformats-officedocument.drawingml.chart+xml"/>
  <Override PartName="/word/theme/themeOverride104.xml" ContentType="application/vnd.openxmlformats-officedocument.themeOverride+xml"/>
  <Override PartName="/word/charts/chart161.xml" ContentType="application/vnd.openxmlformats-officedocument.drawingml.chart+xml"/>
  <Override PartName="/word/theme/themeOverride105.xml" ContentType="application/vnd.openxmlformats-officedocument.themeOverride+xml"/>
  <Override PartName="/word/charts/chart162.xml" ContentType="application/vnd.openxmlformats-officedocument.drawingml.chart+xml"/>
  <Override PartName="/word/theme/themeOverride106.xml" ContentType="application/vnd.openxmlformats-officedocument.themeOverride+xml"/>
  <Override PartName="/word/charts/chart163.xml" ContentType="application/vnd.openxmlformats-officedocument.drawingml.chart+xml"/>
  <Override PartName="/word/theme/themeOverride107.xml" ContentType="application/vnd.openxmlformats-officedocument.themeOverride+xml"/>
  <Override PartName="/word/charts/chart164.xml" ContentType="application/vnd.openxmlformats-officedocument.drawingml.chart+xml"/>
  <Override PartName="/word/theme/themeOverride108.xml" ContentType="application/vnd.openxmlformats-officedocument.themeOverride+xml"/>
  <Override PartName="/word/charts/chart165.xml" ContentType="application/vnd.openxmlformats-officedocument.drawingml.chart+xml"/>
  <Override PartName="/word/theme/themeOverride109.xml" ContentType="application/vnd.openxmlformats-officedocument.themeOverride+xml"/>
  <Override PartName="/word/charts/chart166.xml" ContentType="application/vnd.openxmlformats-officedocument.drawingml.chart+xml"/>
  <Override PartName="/word/theme/themeOverride110.xml" ContentType="application/vnd.openxmlformats-officedocument.themeOverride+xml"/>
  <Override PartName="/word/charts/chart167.xml" ContentType="application/vnd.openxmlformats-officedocument.drawingml.chart+xml"/>
  <Override PartName="/word/theme/themeOverride111.xml" ContentType="application/vnd.openxmlformats-officedocument.themeOverride+xml"/>
  <Override PartName="/word/charts/chart168.xml" ContentType="application/vnd.openxmlformats-officedocument.drawingml.chart+xml"/>
  <Override PartName="/word/theme/themeOverride112.xml" ContentType="application/vnd.openxmlformats-officedocument.themeOverride+xml"/>
  <Override PartName="/word/charts/chart169.xml" ContentType="application/vnd.openxmlformats-officedocument.drawingml.chart+xml"/>
  <Override PartName="/word/theme/themeOverride113.xml" ContentType="application/vnd.openxmlformats-officedocument.themeOverride+xml"/>
  <Override PartName="/word/charts/chart170.xml" ContentType="application/vnd.openxmlformats-officedocument.drawingml.chart+xml"/>
  <Override PartName="/word/theme/themeOverride114.xml" ContentType="application/vnd.openxmlformats-officedocument.themeOverride+xml"/>
  <Override PartName="/word/charts/chart171.xml" ContentType="application/vnd.openxmlformats-officedocument.drawingml.chart+xml"/>
  <Override PartName="/word/drawings/drawing13.xml" ContentType="application/vnd.openxmlformats-officedocument.drawingml.chartshapes+xml"/>
  <Override PartName="/word/charts/chart172.xml" ContentType="application/vnd.openxmlformats-officedocument.drawingml.chart+xml"/>
  <Override PartName="/word/drawings/drawing14.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BF3CA" w14:textId="77777777" w:rsidR="007936F0" w:rsidRDefault="007936F0" w:rsidP="007818B0">
      <w:pPr>
        <w:pStyle w:val="BodyTextIndent2"/>
        <w:spacing w:after="240" w:line="240" w:lineRule="auto"/>
        <w:ind w:left="0"/>
        <w:jc w:val="center"/>
        <w:rPr>
          <w:rFonts w:ascii="Aptos Narrow" w:hAnsi="Aptos Narrow"/>
        </w:rPr>
      </w:pPr>
      <w:bookmarkStart w:id="0" w:name="_Hlk169629390"/>
      <w:bookmarkStart w:id="1" w:name="_Toc357503109"/>
      <w:bookmarkStart w:id="2" w:name="_Toc388618379"/>
      <w:bookmarkStart w:id="3" w:name="_Toc390350656"/>
      <w:bookmarkStart w:id="4" w:name="_Toc357503117"/>
      <w:bookmarkEnd w:id="0"/>
    </w:p>
    <w:p w14:paraId="02CA0168" w14:textId="5A168C94" w:rsidR="007818B0" w:rsidRPr="0080669C" w:rsidRDefault="00DE66F0" w:rsidP="007818B0">
      <w:pPr>
        <w:pStyle w:val="BodyTextIndent2"/>
        <w:spacing w:after="240" w:line="240" w:lineRule="auto"/>
        <w:ind w:left="0"/>
        <w:jc w:val="center"/>
        <w:rPr>
          <w:rFonts w:ascii="Aptos Narrow" w:hAnsi="Aptos Narrow"/>
        </w:rPr>
      </w:pPr>
      <w:r>
        <w:rPr>
          <w:rFonts w:ascii="Aptos Narrow" w:hAnsi="Aptos Narrow"/>
        </w:rPr>
        <w:tab/>
      </w:r>
    </w:p>
    <w:p w14:paraId="1AA49420" w14:textId="77777777" w:rsidR="007818B0" w:rsidRPr="0080669C" w:rsidRDefault="007818B0" w:rsidP="007818B0">
      <w:pPr>
        <w:pStyle w:val="BodyTextIndent2"/>
        <w:spacing w:after="240" w:line="240" w:lineRule="auto"/>
        <w:ind w:left="0"/>
        <w:jc w:val="center"/>
        <w:rPr>
          <w:rFonts w:ascii="Aptos Narrow" w:hAnsi="Aptos Narrow"/>
        </w:rPr>
      </w:pPr>
    </w:p>
    <w:p w14:paraId="36D362F3" w14:textId="77777777" w:rsidR="007818B0" w:rsidRPr="0080669C" w:rsidRDefault="007818B0" w:rsidP="007818B0">
      <w:pPr>
        <w:pStyle w:val="BodyTextIndent2"/>
        <w:spacing w:after="240" w:line="240" w:lineRule="auto"/>
        <w:ind w:left="0"/>
        <w:jc w:val="center"/>
        <w:rPr>
          <w:rFonts w:ascii="Aptos Narrow" w:hAnsi="Aptos Narrow"/>
        </w:rPr>
      </w:pPr>
    </w:p>
    <w:p w14:paraId="6687CE28" w14:textId="77777777" w:rsidR="007818B0" w:rsidRPr="0080669C" w:rsidRDefault="007818B0" w:rsidP="007818B0">
      <w:pPr>
        <w:pStyle w:val="BodyTextIndent2"/>
        <w:spacing w:after="240" w:line="240" w:lineRule="auto"/>
        <w:ind w:left="0"/>
        <w:jc w:val="center"/>
        <w:rPr>
          <w:rFonts w:ascii="Aptos Narrow" w:hAnsi="Aptos Narrow"/>
        </w:rPr>
      </w:pPr>
    </w:p>
    <w:p w14:paraId="02FCB21F" w14:textId="77777777" w:rsidR="007818B0" w:rsidRPr="0080669C" w:rsidRDefault="007818B0" w:rsidP="007818B0">
      <w:pPr>
        <w:pStyle w:val="BodyTextIndent2"/>
        <w:spacing w:after="240" w:line="240" w:lineRule="auto"/>
        <w:ind w:left="0"/>
        <w:jc w:val="center"/>
        <w:rPr>
          <w:rFonts w:ascii="Aptos Narrow" w:hAnsi="Aptos Narrow"/>
        </w:rPr>
      </w:pPr>
    </w:p>
    <w:p w14:paraId="38974700" w14:textId="77777777" w:rsidR="007818B0" w:rsidRPr="0080669C" w:rsidRDefault="007818B0" w:rsidP="007818B0">
      <w:pPr>
        <w:pStyle w:val="BodyTextIndent2"/>
        <w:spacing w:after="240" w:line="240" w:lineRule="auto"/>
        <w:ind w:left="0"/>
        <w:jc w:val="center"/>
        <w:rPr>
          <w:rFonts w:ascii="Aptos Narrow" w:hAnsi="Aptos Narrow"/>
        </w:rPr>
      </w:pPr>
    </w:p>
    <w:p w14:paraId="1E8B9C99" w14:textId="0C7ED5B2" w:rsidR="007818B0" w:rsidRPr="00D931A0" w:rsidRDefault="007818B0" w:rsidP="0098249D">
      <w:pPr>
        <w:pStyle w:val="BodyTextIndent2"/>
        <w:spacing w:after="0" w:line="360" w:lineRule="auto"/>
        <w:ind w:left="0"/>
        <w:jc w:val="center"/>
        <w:rPr>
          <w:rFonts w:ascii="Aptos Narrow" w:hAnsi="Aptos Narrow"/>
          <w:color w:val="003E4C"/>
          <w:sz w:val="60"/>
          <w:szCs w:val="60"/>
        </w:rPr>
      </w:pPr>
      <w:r w:rsidRPr="00D931A0">
        <w:rPr>
          <w:rFonts w:ascii="Aptos Narrow" w:hAnsi="Aptos Narrow"/>
          <w:color w:val="003E4C"/>
          <w:sz w:val="60"/>
          <w:szCs w:val="60"/>
        </w:rPr>
        <w:t xml:space="preserve">INFORMATĪVAIS ZIŅOJUMS </w:t>
      </w:r>
      <w:r w:rsidRPr="00D829F0">
        <w:rPr>
          <w:rFonts w:ascii="Source Sans Pro" w:hAnsi="Source Sans Pro"/>
          <w:color w:val="003E4C"/>
        </w:rPr>
        <w:br/>
      </w:r>
      <w:r w:rsidRPr="00D931A0">
        <w:rPr>
          <w:rFonts w:ascii="Aptos Narrow" w:hAnsi="Aptos Narrow"/>
          <w:color w:val="003E4C"/>
          <w:sz w:val="60"/>
          <w:szCs w:val="60"/>
        </w:rPr>
        <w:t>PAR DARBA TIRGUS VIDĒJA UN ILGTERMIŅA PROGNOZĒM</w:t>
      </w:r>
      <w:r w:rsidR="008E6714" w:rsidRPr="00D931A0">
        <w:rPr>
          <w:rFonts w:ascii="Aptos Narrow" w:hAnsi="Aptos Narrow"/>
          <w:color w:val="003E4C"/>
          <w:sz w:val="60"/>
          <w:szCs w:val="60"/>
        </w:rPr>
        <w:t xml:space="preserve"> LĪDZ 2040.GADAM</w:t>
      </w:r>
    </w:p>
    <w:p w14:paraId="0E19F593" w14:textId="77777777" w:rsidR="007818B0" w:rsidRPr="00EF7F3C" w:rsidRDefault="007818B0" w:rsidP="007818B0">
      <w:pPr>
        <w:pStyle w:val="BodyTextIndent2"/>
        <w:spacing w:after="240" w:line="240" w:lineRule="auto"/>
        <w:ind w:left="0"/>
        <w:jc w:val="center"/>
        <w:rPr>
          <w:rFonts w:ascii="Aptos Narrow" w:hAnsi="Aptos Narrow"/>
        </w:rPr>
      </w:pPr>
    </w:p>
    <w:p w14:paraId="14EEB882" w14:textId="77777777" w:rsidR="007818B0" w:rsidRPr="00EF7F3C" w:rsidRDefault="007818B0" w:rsidP="007818B0">
      <w:pPr>
        <w:pStyle w:val="BodyTextIndent2"/>
        <w:spacing w:after="240" w:line="240" w:lineRule="auto"/>
        <w:ind w:left="0"/>
        <w:jc w:val="center"/>
        <w:rPr>
          <w:rFonts w:ascii="Aptos Narrow" w:hAnsi="Aptos Narrow"/>
        </w:rPr>
      </w:pPr>
    </w:p>
    <w:p w14:paraId="25291E3B" w14:textId="77777777" w:rsidR="007818B0" w:rsidRPr="00EF7F3C" w:rsidRDefault="007818B0" w:rsidP="007818B0">
      <w:pPr>
        <w:pStyle w:val="BodyTextIndent2"/>
        <w:spacing w:after="240" w:line="240" w:lineRule="auto"/>
        <w:ind w:left="0"/>
        <w:jc w:val="center"/>
        <w:rPr>
          <w:rFonts w:ascii="Aptos Narrow" w:hAnsi="Aptos Narrow"/>
        </w:rPr>
      </w:pPr>
    </w:p>
    <w:p w14:paraId="35799075" w14:textId="77777777" w:rsidR="007818B0" w:rsidRPr="00EF7F3C" w:rsidRDefault="007818B0" w:rsidP="007818B0">
      <w:pPr>
        <w:pStyle w:val="BodyTextIndent2"/>
        <w:spacing w:after="240" w:line="240" w:lineRule="auto"/>
        <w:ind w:left="0"/>
        <w:jc w:val="center"/>
        <w:rPr>
          <w:rFonts w:ascii="Aptos Narrow" w:hAnsi="Aptos Narrow"/>
        </w:rPr>
      </w:pPr>
    </w:p>
    <w:p w14:paraId="13A795E0" w14:textId="77777777" w:rsidR="007818B0" w:rsidRPr="00EF7F3C" w:rsidRDefault="007818B0" w:rsidP="007818B0">
      <w:pPr>
        <w:pStyle w:val="BodyTextIndent2"/>
        <w:spacing w:after="240" w:line="240" w:lineRule="auto"/>
        <w:ind w:left="0"/>
        <w:jc w:val="center"/>
        <w:rPr>
          <w:rFonts w:ascii="Aptos Narrow" w:hAnsi="Aptos Narrow"/>
        </w:rPr>
      </w:pPr>
    </w:p>
    <w:p w14:paraId="1F2D5CC9" w14:textId="77777777" w:rsidR="007818B0" w:rsidRPr="00EF7F3C" w:rsidRDefault="007818B0" w:rsidP="007818B0">
      <w:pPr>
        <w:pStyle w:val="BodyTextIndent2"/>
        <w:spacing w:after="240" w:line="240" w:lineRule="auto"/>
        <w:ind w:left="0"/>
        <w:jc w:val="center"/>
        <w:rPr>
          <w:rFonts w:ascii="Aptos Narrow" w:hAnsi="Aptos Narrow"/>
        </w:rPr>
      </w:pPr>
    </w:p>
    <w:p w14:paraId="2A4D5D84" w14:textId="77777777" w:rsidR="007818B0" w:rsidRPr="00EF7F3C" w:rsidRDefault="007818B0" w:rsidP="007818B0">
      <w:pPr>
        <w:pStyle w:val="BodyTextIndent2"/>
        <w:spacing w:after="240" w:line="240" w:lineRule="auto"/>
        <w:ind w:left="0"/>
        <w:jc w:val="center"/>
        <w:rPr>
          <w:rFonts w:ascii="Aptos Narrow" w:hAnsi="Aptos Narrow"/>
        </w:rPr>
      </w:pPr>
    </w:p>
    <w:p w14:paraId="75096A44" w14:textId="77777777" w:rsidR="007818B0" w:rsidRPr="00EF7F3C" w:rsidRDefault="007818B0" w:rsidP="007818B0">
      <w:pPr>
        <w:pStyle w:val="BodyTextIndent2"/>
        <w:spacing w:after="240" w:line="240" w:lineRule="auto"/>
        <w:ind w:left="0"/>
        <w:jc w:val="center"/>
        <w:rPr>
          <w:rFonts w:ascii="Aptos Narrow" w:hAnsi="Aptos Narrow"/>
        </w:rPr>
      </w:pPr>
    </w:p>
    <w:p w14:paraId="7DBCB1BC" w14:textId="77777777" w:rsidR="007818B0" w:rsidRPr="00EF7F3C" w:rsidRDefault="007818B0" w:rsidP="008E6714">
      <w:pPr>
        <w:pStyle w:val="BodyTextIndent2"/>
        <w:spacing w:after="240" w:line="240" w:lineRule="auto"/>
        <w:ind w:left="0"/>
        <w:rPr>
          <w:rFonts w:ascii="Aptos Narrow" w:hAnsi="Aptos Narrow"/>
        </w:rPr>
      </w:pPr>
    </w:p>
    <w:p w14:paraId="4AFB62DF" w14:textId="77777777" w:rsidR="007818B0" w:rsidRPr="00EF7F3C" w:rsidRDefault="007818B0" w:rsidP="007818B0">
      <w:pPr>
        <w:pStyle w:val="BodyTextIndent2"/>
        <w:spacing w:after="240" w:line="240" w:lineRule="auto"/>
        <w:ind w:left="0"/>
        <w:jc w:val="center"/>
        <w:rPr>
          <w:rFonts w:ascii="Aptos Narrow" w:hAnsi="Aptos Narrow"/>
        </w:rPr>
      </w:pPr>
    </w:p>
    <w:p w14:paraId="290CDC4E" w14:textId="77777777" w:rsidR="007818B0" w:rsidRPr="00EF7F3C" w:rsidRDefault="007818B0" w:rsidP="007818B0">
      <w:pPr>
        <w:pStyle w:val="BodyTextIndent2"/>
        <w:spacing w:after="240" w:line="240" w:lineRule="auto"/>
        <w:ind w:left="0"/>
        <w:jc w:val="center"/>
        <w:rPr>
          <w:rFonts w:ascii="Aptos Narrow" w:hAnsi="Aptos Narrow"/>
        </w:rPr>
      </w:pPr>
    </w:p>
    <w:p w14:paraId="72C267C1" w14:textId="4C7CBB0D" w:rsidR="007818B0" w:rsidRPr="00D931A0" w:rsidRDefault="007818B0" w:rsidP="007818B0">
      <w:pPr>
        <w:pStyle w:val="BodyTextIndent2"/>
        <w:spacing w:after="240" w:line="240" w:lineRule="auto"/>
        <w:ind w:left="0"/>
        <w:jc w:val="center"/>
        <w:rPr>
          <w:rFonts w:ascii="Aptos Narrow" w:hAnsi="Aptos Narrow"/>
          <w:color w:val="003E4C"/>
          <w:sz w:val="40"/>
          <w:szCs w:val="40"/>
        </w:rPr>
      </w:pPr>
      <w:r w:rsidRPr="00D931A0">
        <w:rPr>
          <w:rFonts w:ascii="Aptos Narrow" w:hAnsi="Aptos Narrow"/>
          <w:color w:val="003E4C"/>
          <w:sz w:val="40"/>
          <w:szCs w:val="40"/>
        </w:rPr>
        <w:t>202</w:t>
      </w:r>
      <w:r w:rsidR="005E42E4" w:rsidRPr="00D931A0">
        <w:rPr>
          <w:rFonts w:ascii="Aptos Narrow" w:hAnsi="Aptos Narrow"/>
          <w:color w:val="003E4C"/>
          <w:sz w:val="40"/>
          <w:szCs w:val="40"/>
        </w:rPr>
        <w:t>6</w:t>
      </w:r>
      <w:r w:rsidRPr="00D931A0">
        <w:rPr>
          <w:rFonts w:ascii="Aptos Narrow" w:hAnsi="Aptos Narrow"/>
          <w:color w:val="003E4C"/>
          <w:sz w:val="40"/>
          <w:szCs w:val="40"/>
        </w:rPr>
        <w:br w:type="page"/>
      </w:r>
    </w:p>
    <w:p w14:paraId="27133F0A" w14:textId="7BA5CA18" w:rsidR="007818B0" w:rsidRPr="00D931A0" w:rsidRDefault="008D586E" w:rsidP="008D586E">
      <w:pPr>
        <w:pStyle w:val="BodyTextIndent2"/>
        <w:spacing w:after="240" w:line="240" w:lineRule="auto"/>
        <w:ind w:left="0"/>
        <w:rPr>
          <w:rFonts w:ascii="Aptos Narrow" w:hAnsi="Aptos Narrow"/>
          <w:b/>
          <w:color w:val="003E4C"/>
          <w:sz w:val="36"/>
          <w:szCs w:val="36"/>
        </w:rPr>
      </w:pPr>
      <w:r w:rsidRPr="00D931A0">
        <w:rPr>
          <w:rFonts w:ascii="Aptos Narrow" w:hAnsi="Aptos Narrow"/>
          <w:b/>
          <w:color w:val="003E4C"/>
          <w:sz w:val="36"/>
          <w:szCs w:val="36"/>
        </w:rPr>
        <w:lastRenderedPageBreak/>
        <w:t>IEVADS</w:t>
      </w:r>
    </w:p>
    <w:p w14:paraId="28663A13" w14:textId="77777777" w:rsidR="007818B0" w:rsidRPr="00D829F0" w:rsidRDefault="007818B0" w:rsidP="003677B6">
      <w:pPr>
        <w:pStyle w:val="Taksts11"/>
        <w:spacing w:after="120"/>
        <w:ind w:firstLine="0"/>
        <w:jc w:val="left"/>
        <w:rPr>
          <w:rFonts w:ascii="Source Sans Pro" w:hAnsi="Source Sans Pro"/>
          <w:color w:val="000000"/>
          <w:sz w:val="20"/>
          <w:lang w:val="lv-LV"/>
        </w:rPr>
      </w:pPr>
    </w:p>
    <w:p w14:paraId="076C4237" w14:textId="77777777" w:rsidR="005542E2" w:rsidRDefault="00485D83" w:rsidP="003677B6">
      <w:pPr>
        <w:pStyle w:val="BodyTextIndent2"/>
        <w:spacing w:line="240" w:lineRule="auto"/>
        <w:ind w:left="0"/>
        <w:jc w:val="both"/>
        <w:rPr>
          <w:rFonts w:ascii="Source Sans Pro" w:hAnsi="Source Sans Pro"/>
          <w:sz w:val="20"/>
          <w:szCs w:val="20"/>
        </w:rPr>
      </w:pPr>
      <w:r w:rsidRPr="00695667">
        <w:rPr>
          <w:rFonts w:ascii="Source Sans Pro" w:hAnsi="Source Sans Pro"/>
          <w:sz w:val="20"/>
          <w:szCs w:val="20"/>
        </w:rPr>
        <w:t>Izpildot Ministru kabineta 2009.</w:t>
      </w:r>
      <w:r w:rsidR="00015978">
        <w:rPr>
          <w:rFonts w:ascii="Source Sans Pro" w:hAnsi="Source Sans Pro"/>
          <w:sz w:val="20"/>
          <w:szCs w:val="20"/>
        </w:rPr>
        <w:t> </w:t>
      </w:r>
      <w:r w:rsidR="0080669C" w:rsidRPr="00695667">
        <w:rPr>
          <w:rFonts w:ascii="Source Sans Pro" w:hAnsi="Source Sans Pro"/>
          <w:sz w:val="20"/>
          <w:szCs w:val="20"/>
        </w:rPr>
        <w:t>gad</w:t>
      </w:r>
      <w:r w:rsidRPr="00695667">
        <w:rPr>
          <w:rFonts w:ascii="Source Sans Pro" w:hAnsi="Source Sans Pro"/>
          <w:sz w:val="20"/>
          <w:szCs w:val="20"/>
        </w:rPr>
        <w:t>a 14. jūlija protokollēmumu Nr.</w:t>
      </w:r>
      <w:r w:rsidR="00216915" w:rsidRPr="00695667">
        <w:rPr>
          <w:rFonts w:ascii="Source Sans Pro" w:hAnsi="Source Sans Pro"/>
          <w:sz w:val="20"/>
          <w:szCs w:val="20"/>
        </w:rPr>
        <w:t> </w:t>
      </w:r>
      <w:r w:rsidRPr="00695667">
        <w:rPr>
          <w:rFonts w:ascii="Source Sans Pro" w:hAnsi="Source Sans Pro"/>
          <w:sz w:val="20"/>
          <w:szCs w:val="20"/>
        </w:rPr>
        <w:t>48 24.</w:t>
      </w:r>
      <w:r w:rsidR="00216915" w:rsidRPr="00695667">
        <w:rPr>
          <w:rFonts w:ascii="Source Sans Pro" w:hAnsi="Source Sans Pro"/>
          <w:sz w:val="20"/>
          <w:szCs w:val="20"/>
        </w:rPr>
        <w:t> </w:t>
      </w:r>
      <w:r w:rsidRPr="00695667">
        <w:rPr>
          <w:rFonts w:ascii="Source Sans Pro" w:hAnsi="Source Sans Pro"/>
          <w:sz w:val="20"/>
          <w:szCs w:val="20"/>
        </w:rPr>
        <w:t>§ un 2016</w:t>
      </w:r>
      <w:r w:rsidR="00FF63B5" w:rsidRPr="00695667">
        <w:rPr>
          <w:rFonts w:ascii="Source Sans Pro" w:hAnsi="Source Sans Pro"/>
          <w:sz w:val="20"/>
          <w:szCs w:val="20"/>
        </w:rPr>
        <w:t>. gad</w:t>
      </w:r>
      <w:r w:rsidRPr="00695667">
        <w:rPr>
          <w:rFonts w:ascii="Source Sans Pro" w:hAnsi="Source Sans Pro"/>
          <w:sz w:val="20"/>
          <w:szCs w:val="20"/>
        </w:rPr>
        <w:t>a 8. novembra protokollēmumu Nr.</w:t>
      </w:r>
      <w:r w:rsidR="00216915" w:rsidRPr="00695667">
        <w:rPr>
          <w:rFonts w:ascii="Source Sans Pro" w:hAnsi="Source Sans Pro"/>
          <w:sz w:val="20"/>
          <w:szCs w:val="20"/>
        </w:rPr>
        <w:t> </w:t>
      </w:r>
      <w:r w:rsidRPr="00695667">
        <w:rPr>
          <w:rFonts w:ascii="Source Sans Pro" w:hAnsi="Source Sans Pro"/>
          <w:sz w:val="20"/>
          <w:szCs w:val="20"/>
        </w:rPr>
        <w:t>60 11.</w:t>
      </w:r>
      <w:r w:rsidR="00216915" w:rsidRPr="00695667">
        <w:rPr>
          <w:rFonts w:ascii="Source Sans Pro" w:hAnsi="Source Sans Pro"/>
          <w:sz w:val="20"/>
          <w:szCs w:val="20"/>
        </w:rPr>
        <w:t> </w:t>
      </w:r>
      <w:r w:rsidRPr="00695667">
        <w:rPr>
          <w:rFonts w:ascii="Source Sans Pro" w:hAnsi="Source Sans Pro"/>
          <w:sz w:val="20"/>
          <w:szCs w:val="20"/>
        </w:rPr>
        <w:t>§, Ekonomikas ministrija</w:t>
      </w:r>
      <w:r w:rsidRPr="51129A56">
        <w:rPr>
          <w:rFonts w:ascii="Source Sans Pro" w:hAnsi="Source Sans Pro"/>
          <w:sz w:val="20"/>
          <w:szCs w:val="20"/>
        </w:rPr>
        <w:t xml:space="preserve"> </w:t>
      </w:r>
      <w:r w:rsidRPr="00695667">
        <w:rPr>
          <w:rFonts w:ascii="Source Sans Pro" w:hAnsi="Source Sans Pro"/>
          <w:sz w:val="20"/>
          <w:szCs w:val="20"/>
        </w:rPr>
        <w:t xml:space="preserve">ir sagatavojusi </w:t>
      </w:r>
      <w:r w:rsidR="41C24530" w:rsidRPr="700D9C37">
        <w:rPr>
          <w:rFonts w:ascii="Source Sans Pro" w:hAnsi="Source Sans Pro"/>
          <w:sz w:val="20"/>
          <w:szCs w:val="20"/>
        </w:rPr>
        <w:t xml:space="preserve">kārtējo </w:t>
      </w:r>
      <w:r w:rsidRPr="00695667">
        <w:rPr>
          <w:rFonts w:ascii="Source Sans Pro" w:hAnsi="Source Sans Pro"/>
          <w:i/>
          <w:sz w:val="20"/>
          <w:szCs w:val="20"/>
        </w:rPr>
        <w:t>Informatīvo ziņojumu par darba tirgus vidēja un ilgtermiņa prognozēm</w:t>
      </w:r>
      <w:r w:rsidR="00D331AA" w:rsidRPr="00695667">
        <w:rPr>
          <w:rFonts w:ascii="Source Sans Pro" w:hAnsi="Source Sans Pro"/>
          <w:i/>
          <w:sz w:val="20"/>
          <w:szCs w:val="20"/>
        </w:rPr>
        <w:t xml:space="preserve"> līdz 2040. </w:t>
      </w:r>
      <w:r w:rsidR="00D331AA" w:rsidRPr="51129A56">
        <w:rPr>
          <w:rFonts w:ascii="Source Sans Pro" w:hAnsi="Source Sans Pro"/>
          <w:i/>
          <w:iCs/>
          <w:sz w:val="20"/>
          <w:szCs w:val="20"/>
        </w:rPr>
        <w:t>gadam</w:t>
      </w:r>
      <w:r w:rsidR="00E31E3E">
        <w:rPr>
          <w:rFonts w:ascii="Source Sans Pro" w:hAnsi="Source Sans Pro"/>
          <w:sz w:val="20"/>
          <w:szCs w:val="20"/>
        </w:rPr>
        <w:t xml:space="preserve"> (turpmāk – Ziņojums)</w:t>
      </w:r>
      <w:r w:rsidRPr="51129A56">
        <w:rPr>
          <w:rFonts w:ascii="Source Sans Pro" w:hAnsi="Source Sans Pro"/>
          <w:sz w:val="20"/>
          <w:szCs w:val="20"/>
        </w:rPr>
        <w:t>.</w:t>
      </w:r>
      <w:r w:rsidR="6D4EF885" w:rsidRPr="1AF7FCB1">
        <w:rPr>
          <w:rFonts w:ascii="Source Sans Pro" w:hAnsi="Source Sans Pro"/>
          <w:sz w:val="20"/>
          <w:szCs w:val="20"/>
        </w:rPr>
        <w:t xml:space="preserve"> </w:t>
      </w:r>
    </w:p>
    <w:p w14:paraId="78960531" w14:textId="722E537B" w:rsidR="00E50F62" w:rsidRDefault="6D4EF885" w:rsidP="003677B6">
      <w:pPr>
        <w:pStyle w:val="BodyTextIndent2"/>
        <w:spacing w:line="240" w:lineRule="auto"/>
        <w:ind w:left="0"/>
        <w:jc w:val="both"/>
        <w:rPr>
          <w:rFonts w:ascii="Source Sans Pro" w:hAnsi="Source Sans Pro"/>
          <w:sz w:val="20"/>
          <w:szCs w:val="20"/>
          <w:specVanish/>
        </w:rPr>
      </w:pPr>
      <w:r w:rsidRPr="6DF6BB3D">
        <w:rPr>
          <w:rFonts w:ascii="Source Sans Pro" w:hAnsi="Source Sans Pro"/>
          <w:sz w:val="20"/>
          <w:szCs w:val="20"/>
        </w:rPr>
        <w:t xml:space="preserve">Iepriekšējais </w:t>
      </w:r>
      <w:r w:rsidR="00BC7E84">
        <w:rPr>
          <w:rFonts w:ascii="Source Sans Pro" w:hAnsi="Source Sans Pro"/>
          <w:sz w:val="20"/>
          <w:szCs w:val="20"/>
        </w:rPr>
        <w:t>z</w:t>
      </w:r>
      <w:r w:rsidRPr="6DF6BB3D">
        <w:rPr>
          <w:rFonts w:ascii="Source Sans Pro" w:hAnsi="Source Sans Pro"/>
          <w:sz w:val="20"/>
          <w:szCs w:val="20"/>
        </w:rPr>
        <w:t>iņojums tika sagatavots</w:t>
      </w:r>
      <w:r w:rsidR="4DF9BBB8" w:rsidRPr="6DF6BB3D">
        <w:rPr>
          <w:rFonts w:ascii="Source Sans Pro" w:hAnsi="Source Sans Pro"/>
          <w:sz w:val="20"/>
          <w:szCs w:val="20"/>
        </w:rPr>
        <w:t xml:space="preserve"> </w:t>
      </w:r>
      <w:r w:rsidRPr="6DF6BB3D">
        <w:rPr>
          <w:rFonts w:ascii="Source Sans Pro" w:hAnsi="Source Sans Pro"/>
          <w:sz w:val="20"/>
          <w:szCs w:val="20"/>
        </w:rPr>
        <w:t>un</w:t>
      </w:r>
      <w:r w:rsidR="78EE3A17" w:rsidRPr="6DF6BB3D">
        <w:rPr>
          <w:rFonts w:ascii="Source Sans Pro" w:hAnsi="Source Sans Pro"/>
          <w:sz w:val="20"/>
          <w:szCs w:val="20"/>
        </w:rPr>
        <w:t xml:space="preserve"> </w:t>
      </w:r>
      <w:r w:rsidRPr="6DF6BB3D">
        <w:rPr>
          <w:rFonts w:ascii="Source Sans Pro" w:hAnsi="Source Sans Pro"/>
          <w:sz w:val="20"/>
          <w:szCs w:val="20"/>
        </w:rPr>
        <w:t>iesniegts</w:t>
      </w:r>
      <w:r w:rsidR="3AC5424A" w:rsidRPr="6DF6BB3D">
        <w:rPr>
          <w:rFonts w:ascii="Source Sans Pro" w:hAnsi="Source Sans Pro"/>
          <w:sz w:val="20"/>
          <w:szCs w:val="20"/>
        </w:rPr>
        <w:t xml:space="preserve"> izskatīšanai Ministru kabinetā</w:t>
      </w:r>
      <w:r w:rsidR="66DCF234" w:rsidRPr="6DF6BB3D">
        <w:rPr>
          <w:rFonts w:ascii="Source Sans Pro" w:hAnsi="Source Sans Pro"/>
          <w:sz w:val="20"/>
          <w:szCs w:val="20"/>
        </w:rPr>
        <w:t xml:space="preserve"> </w:t>
      </w:r>
      <w:r w:rsidR="78EE3A17" w:rsidRPr="6DF6BB3D">
        <w:rPr>
          <w:rFonts w:ascii="Source Sans Pro" w:hAnsi="Source Sans Pro"/>
          <w:sz w:val="20"/>
          <w:szCs w:val="20"/>
        </w:rPr>
        <w:t>2024.</w:t>
      </w:r>
      <w:r w:rsidR="007823FF" w:rsidRPr="6DF6BB3D">
        <w:rPr>
          <w:rFonts w:ascii="Source Sans Pro" w:hAnsi="Source Sans Pro"/>
          <w:sz w:val="20"/>
          <w:szCs w:val="20"/>
        </w:rPr>
        <w:t> </w:t>
      </w:r>
      <w:r w:rsidR="78EE3A17" w:rsidRPr="6DF6BB3D">
        <w:rPr>
          <w:rFonts w:ascii="Source Sans Pro" w:hAnsi="Source Sans Pro"/>
          <w:sz w:val="20"/>
          <w:szCs w:val="20"/>
        </w:rPr>
        <w:t>gada 2.</w:t>
      </w:r>
      <w:r w:rsidR="007823FF" w:rsidRPr="6DF6BB3D">
        <w:rPr>
          <w:rFonts w:ascii="Source Sans Pro" w:hAnsi="Source Sans Pro"/>
          <w:sz w:val="20"/>
          <w:szCs w:val="20"/>
        </w:rPr>
        <w:t> </w:t>
      </w:r>
      <w:r w:rsidR="78EE3A17" w:rsidRPr="6DF6BB3D">
        <w:rPr>
          <w:rFonts w:ascii="Source Sans Pro" w:hAnsi="Source Sans Pro"/>
          <w:sz w:val="20"/>
          <w:szCs w:val="20"/>
        </w:rPr>
        <w:t>decembrī</w:t>
      </w:r>
      <w:r w:rsidRPr="6DF6BB3D">
        <w:rPr>
          <w:rFonts w:ascii="Source Sans Pro" w:hAnsi="Source Sans Pro"/>
          <w:sz w:val="20"/>
          <w:szCs w:val="20"/>
        </w:rPr>
        <w:t xml:space="preserve"> </w:t>
      </w:r>
      <w:r w:rsidR="66DCF234" w:rsidRPr="6DF6BB3D">
        <w:rPr>
          <w:rFonts w:ascii="Source Sans Pro" w:hAnsi="Source Sans Pro"/>
          <w:sz w:val="20"/>
          <w:szCs w:val="20"/>
        </w:rPr>
        <w:t xml:space="preserve">(TAP ID </w:t>
      </w:r>
      <w:r w:rsidR="00747778" w:rsidRPr="6DF6BB3D">
        <w:rPr>
          <w:rFonts w:ascii="Source Sans Pro" w:hAnsi="Source Sans Pro"/>
          <w:sz w:val="20"/>
          <w:szCs w:val="20"/>
        </w:rPr>
        <w:t>2</w:t>
      </w:r>
      <w:r w:rsidR="66DCF234" w:rsidRPr="6DF6BB3D">
        <w:rPr>
          <w:rFonts w:ascii="Source Sans Pro" w:hAnsi="Source Sans Pro"/>
          <w:sz w:val="20"/>
          <w:szCs w:val="20"/>
        </w:rPr>
        <w:t>4-TA-1665)</w:t>
      </w:r>
      <w:r w:rsidR="00CA05DE" w:rsidRPr="6DF6BB3D">
        <w:rPr>
          <w:rFonts w:ascii="Source Sans Pro" w:hAnsi="Source Sans Pro"/>
          <w:sz w:val="20"/>
          <w:szCs w:val="20"/>
        </w:rPr>
        <w:t xml:space="preserve">, </w:t>
      </w:r>
      <w:r w:rsidR="00157E9E" w:rsidRPr="6DF6BB3D">
        <w:rPr>
          <w:rFonts w:ascii="Source Sans Pro" w:hAnsi="Source Sans Pro"/>
          <w:sz w:val="20"/>
          <w:szCs w:val="20"/>
        </w:rPr>
        <w:t>kura</w:t>
      </w:r>
      <w:r w:rsidR="00CA05DE" w:rsidRPr="6DF6BB3D">
        <w:rPr>
          <w:rFonts w:ascii="Source Sans Pro" w:hAnsi="Source Sans Pro"/>
          <w:sz w:val="20"/>
          <w:szCs w:val="20"/>
        </w:rPr>
        <w:t xml:space="preserve"> izskatīšana atlikta.</w:t>
      </w:r>
      <w:r w:rsidR="009957B3" w:rsidRPr="6DF6BB3D">
        <w:rPr>
          <w:rFonts w:ascii="Source Sans Pro" w:hAnsi="Source Sans Pro"/>
          <w:sz w:val="20"/>
          <w:szCs w:val="20"/>
        </w:rPr>
        <w:t xml:space="preserve"> 2024. gad</w:t>
      </w:r>
      <w:r w:rsidR="00157E9E" w:rsidRPr="6DF6BB3D">
        <w:rPr>
          <w:rFonts w:ascii="Source Sans Pro" w:hAnsi="Source Sans Pro"/>
          <w:sz w:val="20"/>
          <w:szCs w:val="20"/>
        </w:rPr>
        <w:t>ā sagatavotais</w:t>
      </w:r>
      <w:r w:rsidR="009957B3" w:rsidRPr="6DF6BB3D">
        <w:rPr>
          <w:rFonts w:ascii="Source Sans Pro" w:hAnsi="Source Sans Pro"/>
          <w:sz w:val="20"/>
          <w:szCs w:val="20"/>
        </w:rPr>
        <w:t xml:space="preserve"> </w:t>
      </w:r>
      <w:r w:rsidR="00BC7E84">
        <w:rPr>
          <w:rFonts w:ascii="Source Sans Pro" w:hAnsi="Source Sans Pro"/>
          <w:sz w:val="20"/>
          <w:szCs w:val="20"/>
        </w:rPr>
        <w:t>z</w:t>
      </w:r>
      <w:r w:rsidR="009957B3" w:rsidRPr="6DF6BB3D">
        <w:rPr>
          <w:rFonts w:ascii="Source Sans Pro" w:hAnsi="Source Sans Pro"/>
          <w:sz w:val="20"/>
          <w:szCs w:val="20"/>
        </w:rPr>
        <w:t>iņojums</w:t>
      </w:r>
      <w:r w:rsidR="0068373C" w:rsidRPr="6DF6BB3D">
        <w:rPr>
          <w:rFonts w:ascii="Source Sans Pro" w:hAnsi="Source Sans Pro"/>
          <w:sz w:val="20"/>
          <w:szCs w:val="20"/>
        </w:rPr>
        <w:t xml:space="preserve">, kā arī </w:t>
      </w:r>
      <w:r w:rsidR="005C5549" w:rsidRPr="6DF6BB3D">
        <w:rPr>
          <w:rFonts w:ascii="Source Sans Pro" w:hAnsi="Source Sans Pro"/>
          <w:sz w:val="20"/>
          <w:szCs w:val="20"/>
        </w:rPr>
        <w:t>citi</w:t>
      </w:r>
      <w:r w:rsidR="0068373C" w:rsidRPr="6DF6BB3D">
        <w:rPr>
          <w:rFonts w:ascii="Source Sans Pro" w:hAnsi="Source Sans Pro"/>
          <w:sz w:val="20"/>
          <w:szCs w:val="20"/>
        </w:rPr>
        <w:t xml:space="preserve"> iepriekšējie </w:t>
      </w:r>
      <w:r w:rsidR="00BC7E84">
        <w:rPr>
          <w:rFonts w:ascii="Source Sans Pro" w:hAnsi="Source Sans Pro"/>
          <w:sz w:val="20"/>
          <w:szCs w:val="20"/>
        </w:rPr>
        <w:t>z</w:t>
      </w:r>
      <w:r w:rsidR="0068373C" w:rsidRPr="6DF6BB3D">
        <w:rPr>
          <w:rFonts w:ascii="Source Sans Pro" w:hAnsi="Source Sans Pro"/>
          <w:sz w:val="20"/>
          <w:szCs w:val="20"/>
        </w:rPr>
        <w:t>iņojumi</w:t>
      </w:r>
      <w:r w:rsidR="009957B3" w:rsidRPr="6DF6BB3D">
        <w:rPr>
          <w:rFonts w:ascii="Source Sans Pro" w:hAnsi="Source Sans Pro"/>
          <w:sz w:val="20"/>
          <w:szCs w:val="20"/>
        </w:rPr>
        <w:t xml:space="preserve"> ir pieejam</w:t>
      </w:r>
      <w:r w:rsidR="0068373C" w:rsidRPr="6DF6BB3D">
        <w:rPr>
          <w:rFonts w:ascii="Source Sans Pro" w:hAnsi="Source Sans Pro"/>
          <w:sz w:val="20"/>
          <w:szCs w:val="20"/>
        </w:rPr>
        <w:t>i</w:t>
      </w:r>
      <w:r w:rsidR="009957B3" w:rsidRPr="6DF6BB3D">
        <w:rPr>
          <w:rFonts w:ascii="Source Sans Pro" w:hAnsi="Source Sans Pro"/>
          <w:sz w:val="20"/>
          <w:szCs w:val="20"/>
        </w:rPr>
        <w:t xml:space="preserve"> Ekonomikas ministrijas</w:t>
      </w:r>
      <w:r w:rsidR="001A4463" w:rsidRPr="6DF6BB3D">
        <w:rPr>
          <w:rFonts w:ascii="Source Sans Pro" w:hAnsi="Source Sans Pro"/>
          <w:sz w:val="20"/>
          <w:szCs w:val="20"/>
        </w:rPr>
        <w:t xml:space="preserve"> </w:t>
      </w:r>
      <w:r w:rsidR="00606F37" w:rsidRPr="6DF6BB3D">
        <w:rPr>
          <w:rFonts w:ascii="Source Sans Pro" w:hAnsi="Source Sans Pro"/>
          <w:sz w:val="20"/>
          <w:szCs w:val="20"/>
        </w:rPr>
        <w:t>interneta vietnē</w:t>
      </w:r>
      <w:r w:rsidR="006756C1" w:rsidRPr="6DF6BB3D">
        <w:rPr>
          <w:rFonts w:ascii="Source Sans Pro" w:hAnsi="Source Sans Pro"/>
          <w:sz w:val="20"/>
          <w:szCs w:val="20"/>
        </w:rPr>
        <w:t>:</w:t>
      </w:r>
      <w:r w:rsidR="00606F37" w:rsidRPr="6DF6BB3D">
        <w:rPr>
          <w:rFonts w:ascii="Source Sans Pro" w:hAnsi="Source Sans Pro"/>
          <w:sz w:val="20"/>
          <w:szCs w:val="20"/>
        </w:rPr>
        <w:t xml:space="preserve"> </w:t>
      </w:r>
      <w:hyperlink r:id="rId8">
        <w:r w:rsidR="006756C1" w:rsidRPr="6DF6BB3D">
          <w:rPr>
            <w:rStyle w:val="Hyperlink"/>
            <w:rFonts w:ascii="Source Sans Pro" w:hAnsi="Source Sans Pro"/>
            <w:sz w:val="20"/>
            <w:szCs w:val="20"/>
          </w:rPr>
          <w:t>https://www.e</w:t>
        </w:r>
        <w:bookmarkStart w:id="5" w:name="_Hlt234826938"/>
        <w:r w:rsidR="006756C1" w:rsidRPr="6DF6BB3D">
          <w:rPr>
            <w:rStyle w:val="Hyperlink"/>
            <w:rFonts w:ascii="Source Sans Pro" w:hAnsi="Source Sans Pro"/>
            <w:sz w:val="20"/>
            <w:szCs w:val="20"/>
          </w:rPr>
          <w:t>m</w:t>
        </w:r>
        <w:bookmarkEnd w:id="5"/>
        <w:r w:rsidR="006756C1" w:rsidRPr="6DF6BB3D">
          <w:rPr>
            <w:rStyle w:val="Hyperlink"/>
            <w:rFonts w:ascii="Source Sans Pro" w:hAnsi="Source Sans Pro"/>
            <w:sz w:val="20"/>
            <w:szCs w:val="20"/>
          </w:rPr>
          <w:t>.gov.lv/lv/darba-tirgus-zinojums</w:t>
        </w:r>
      </w:hyperlink>
      <w:r w:rsidR="006756C1" w:rsidRPr="6DF6BB3D">
        <w:rPr>
          <w:rFonts w:ascii="Source Sans Pro" w:hAnsi="Source Sans Pro"/>
          <w:sz w:val="20"/>
          <w:szCs w:val="20"/>
        </w:rPr>
        <w:t>.</w:t>
      </w:r>
    </w:p>
    <w:p w14:paraId="5B73D30C" w14:textId="77777777" w:rsidR="00485D83" w:rsidRPr="00695667" w:rsidRDefault="00485D83" w:rsidP="003677B6">
      <w:pPr>
        <w:pStyle w:val="BodyTextIndent2"/>
        <w:spacing w:line="240" w:lineRule="auto"/>
        <w:ind w:left="0"/>
        <w:jc w:val="both"/>
        <w:rPr>
          <w:rFonts w:ascii="Source Sans Pro" w:hAnsi="Source Sans Pro"/>
          <w:sz w:val="20"/>
          <w:szCs w:val="20"/>
        </w:rPr>
      </w:pPr>
      <w:r w:rsidRPr="00695667">
        <w:rPr>
          <w:rFonts w:ascii="Source Sans Pro" w:hAnsi="Source Sans Pro"/>
          <w:sz w:val="20"/>
          <w:szCs w:val="20"/>
        </w:rPr>
        <w:t>Ekonomikas ministrijas darba tirgus prognozes ir viens no instrumentiem, kas ļauj priekšlaicīgi paredzēt darba tirgus neatbilstību veidošanos nākotnē. Tās parāda iespējamās darba tirgus attīstības tendences un iespējamos riskus, saglabājoties esošai izglītības sistēmai un izglītības piedāvājuma struktūrai.</w:t>
      </w:r>
    </w:p>
    <w:p w14:paraId="05744D21" w14:textId="2E25AA00" w:rsidR="00485D83" w:rsidRPr="00695667" w:rsidRDefault="00485D83" w:rsidP="003677B6">
      <w:pPr>
        <w:pStyle w:val="BodyTextIndent2"/>
        <w:spacing w:line="240" w:lineRule="auto"/>
        <w:ind w:left="0"/>
        <w:jc w:val="both"/>
        <w:rPr>
          <w:rFonts w:ascii="Source Sans Pro" w:hAnsi="Source Sans Pro"/>
          <w:sz w:val="20"/>
          <w:szCs w:val="20"/>
        </w:rPr>
      </w:pPr>
      <w:r w:rsidRPr="00695667">
        <w:rPr>
          <w:rFonts w:ascii="Source Sans Pro" w:hAnsi="Source Sans Pro"/>
          <w:sz w:val="20"/>
          <w:szCs w:val="20"/>
        </w:rPr>
        <w:t>Prognozes ir</w:t>
      </w:r>
      <w:r w:rsidR="00772C80" w:rsidRPr="00695667">
        <w:rPr>
          <w:rFonts w:ascii="Source Sans Pro" w:hAnsi="Source Sans Pro"/>
          <w:sz w:val="20"/>
          <w:szCs w:val="20"/>
        </w:rPr>
        <w:t xml:space="preserve"> </w:t>
      </w:r>
      <w:r w:rsidRPr="00695667">
        <w:rPr>
          <w:rFonts w:ascii="Source Sans Pro" w:hAnsi="Source Sans Pro"/>
          <w:sz w:val="20"/>
          <w:szCs w:val="20"/>
        </w:rPr>
        <w:t>viens no posmiem darbaspēka piedāvājuma pielāgošanas procesā. Tā ir kvantitatīva bāze tālākām diskusijām starp nodarbinātības, izglītības un struktūrpolitikas veidotājiem, sociālajiem partneriem, zinātniekiem un citām iesaistītām pusēm, lai savlaicīgi sagatavotos un pielāgotos sagaidāmajām strukturālajām izmaiņām tautsaimniecībā.</w:t>
      </w:r>
    </w:p>
    <w:p w14:paraId="59BF8F54" w14:textId="6498316E" w:rsidR="00485D83" w:rsidRPr="00695667" w:rsidRDefault="00595E3C" w:rsidP="003677B6">
      <w:pPr>
        <w:pStyle w:val="BodyTextIndent2"/>
        <w:spacing w:line="240" w:lineRule="auto"/>
        <w:ind w:left="0"/>
        <w:jc w:val="both"/>
        <w:rPr>
          <w:rFonts w:ascii="Source Sans Pro" w:hAnsi="Source Sans Pro"/>
          <w:sz w:val="20"/>
          <w:szCs w:val="20"/>
        </w:rPr>
      </w:pPr>
      <w:r>
        <w:rPr>
          <w:rFonts w:ascii="Source Sans Pro" w:hAnsi="Source Sans Pro"/>
          <w:sz w:val="20"/>
          <w:szCs w:val="20"/>
        </w:rPr>
        <w:t>Z</w:t>
      </w:r>
      <w:r w:rsidR="00485D83" w:rsidRPr="7298677F">
        <w:rPr>
          <w:rFonts w:ascii="Source Sans Pro" w:hAnsi="Source Sans Pro"/>
          <w:sz w:val="20"/>
          <w:szCs w:val="20"/>
        </w:rPr>
        <w:t>iņojumā</w:t>
      </w:r>
      <w:r w:rsidR="00485D83" w:rsidRPr="00695667">
        <w:rPr>
          <w:rFonts w:ascii="Source Sans Pro" w:hAnsi="Source Sans Pro"/>
          <w:sz w:val="20"/>
          <w:szCs w:val="20"/>
        </w:rPr>
        <w:t xml:space="preserve"> raksturota esošā situācija darba tirgū, kā arī iekļautas Ekonomikas ministrijas aktualizētās vidēja termiņa darba tirgus prognozes laika periodam līdz 2030</w:t>
      </w:r>
      <w:r w:rsidR="00FF63B5" w:rsidRPr="00695667">
        <w:rPr>
          <w:rFonts w:ascii="Source Sans Pro" w:hAnsi="Source Sans Pro"/>
          <w:sz w:val="20"/>
          <w:szCs w:val="20"/>
        </w:rPr>
        <w:t>. gad</w:t>
      </w:r>
      <w:r w:rsidR="00485D83" w:rsidRPr="00695667">
        <w:rPr>
          <w:rFonts w:ascii="Source Sans Pro" w:hAnsi="Source Sans Pro"/>
          <w:sz w:val="20"/>
          <w:szCs w:val="20"/>
        </w:rPr>
        <w:t>am un ilgtermiņa darba tirgus prognozes līdz 2040</w:t>
      </w:r>
      <w:r w:rsidR="00FF63B5" w:rsidRPr="00695667">
        <w:rPr>
          <w:rFonts w:ascii="Source Sans Pro" w:hAnsi="Source Sans Pro"/>
          <w:sz w:val="20"/>
          <w:szCs w:val="20"/>
        </w:rPr>
        <w:t>. gad</w:t>
      </w:r>
      <w:r w:rsidR="00485D83" w:rsidRPr="00695667">
        <w:rPr>
          <w:rFonts w:ascii="Source Sans Pro" w:hAnsi="Source Sans Pro"/>
          <w:sz w:val="20"/>
          <w:szCs w:val="20"/>
        </w:rPr>
        <w:t>am. Darba tirgus prognozes balstās uz Ekonomikas ministrijas izstrādātajiem tautsaimniecības attīstības un demogrāfijas scenārijiem.</w:t>
      </w:r>
      <w:r w:rsidR="00997C62">
        <w:rPr>
          <w:rFonts w:ascii="Source Sans Pro" w:hAnsi="Source Sans Pro"/>
          <w:sz w:val="20"/>
          <w:szCs w:val="20"/>
        </w:rPr>
        <w:t xml:space="preserve"> </w:t>
      </w:r>
      <w:r w:rsidR="00485D83" w:rsidRPr="00695667">
        <w:rPr>
          <w:rFonts w:ascii="Source Sans Pro" w:hAnsi="Source Sans Pro"/>
          <w:sz w:val="20"/>
          <w:szCs w:val="20"/>
        </w:rPr>
        <w:t xml:space="preserve">Informācija izklāstīta </w:t>
      </w:r>
      <w:r w:rsidR="008056B8" w:rsidRPr="00695667">
        <w:rPr>
          <w:rFonts w:ascii="Source Sans Pro" w:hAnsi="Source Sans Pro"/>
          <w:sz w:val="20"/>
          <w:szCs w:val="20"/>
        </w:rPr>
        <w:t>4</w:t>
      </w:r>
      <w:r w:rsidR="00485D83" w:rsidRPr="00695667">
        <w:rPr>
          <w:rFonts w:ascii="Source Sans Pro" w:hAnsi="Source Sans Pro"/>
          <w:sz w:val="20"/>
          <w:szCs w:val="20"/>
        </w:rPr>
        <w:t xml:space="preserve"> nodaļās un pielikumā. Ziņojums sastāv no tautsaimniecības un darba tirgus tendenču raksturojuma, tautsaimniecības un demogrāfijas attīstības scenāriju apraksta, darba tirgus vidēja termiņa un ilgtermiņa prognozēm, kā arī kopsavilkuma ar rekomendācijām par darbaspēka pieprasījuma un piedāvājuma uzlabošanas virzieniem un pielikuma.</w:t>
      </w:r>
    </w:p>
    <w:p w14:paraId="24EA6707" w14:textId="6A77A5AA" w:rsidR="00485D83" w:rsidRPr="00695667" w:rsidRDefault="00A150B6" w:rsidP="003677B6">
      <w:pPr>
        <w:pStyle w:val="BodyTextIndent2"/>
        <w:spacing w:line="240" w:lineRule="auto"/>
        <w:ind w:left="0"/>
        <w:jc w:val="both"/>
        <w:rPr>
          <w:rFonts w:ascii="Source Sans Pro" w:hAnsi="Source Sans Pro"/>
          <w:sz w:val="20"/>
          <w:szCs w:val="20"/>
        </w:rPr>
      </w:pPr>
      <w:r>
        <w:rPr>
          <w:rFonts w:ascii="Source Sans Pro" w:hAnsi="Source Sans Pro"/>
          <w:sz w:val="20"/>
          <w:szCs w:val="20"/>
        </w:rPr>
        <w:t>S</w:t>
      </w:r>
      <w:r w:rsidR="00485D83" w:rsidRPr="00695667">
        <w:rPr>
          <w:rFonts w:ascii="Source Sans Pro" w:hAnsi="Source Sans Pro"/>
          <w:sz w:val="20"/>
          <w:szCs w:val="20"/>
        </w:rPr>
        <w:t>tatistiskā informācija, izņemot īpaši norādītos</w:t>
      </w:r>
      <w:r w:rsidR="00660525" w:rsidRPr="00695667">
        <w:rPr>
          <w:rFonts w:ascii="Source Sans Pro" w:hAnsi="Source Sans Pro"/>
          <w:sz w:val="20"/>
          <w:szCs w:val="20"/>
        </w:rPr>
        <w:t xml:space="preserve"> </w:t>
      </w:r>
      <w:r w:rsidR="0080669C" w:rsidRPr="00695667">
        <w:rPr>
          <w:rFonts w:ascii="Source Sans Pro" w:hAnsi="Source Sans Pro"/>
          <w:sz w:val="20"/>
          <w:szCs w:val="20"/>
        </w:rPr>
        <w:t>gad</w:t>
      </w:r>
      <w:r w:rsidR="00485D83" w:rsidRPr="00695667">
        <w:rPr>
          <w:rFonts w:ascii="Source Sans Pro" w:hAnsi="Source Sans Pro"/>
          <w:sz w:val="20"/>
          <w:szCs w:val="20"/>
        </w:rPr>
        <w:t>ījumus, ir ņemta no Centrālās statistikas pārvaldes datu bāzes. Ziņojumā ir izmantoti arī Eiropas Savienības statistikas biroja (</w:t>
      </w:r>
      <w:r w:rsidR="00485D83" w:rsidRPr="00695667">
        <w:rPr>
          <w:rFonts w:ascii="Source Sans Pro" w:hAnsi="Source Sans Pro"/>
          <w:i/>
          <w:sz w:val="20"/>
          <w:szCs w:val="20"/>
        </w:rPr>
        <w:t>Eurostat</w:t>
      </w:r>
      <w:r w:rsidR="00485D83" w:rsidRPr="00695667">
        <w:rPr>
          <w:rFonts w:ascii="Source Sans Pro" w:hAnsi="Source Sans Pro"/>
          <w:sz w:val="20"/>
          <w:szCs w:val="20"/>
        </w:rPr>
        <w:t xml:space="preserve">), Izglītības un zinātnes ministrijas, Nodarbinātības valsts aģentūras un Eiropas Profesionālās izglītības attīstības centra </w:t>
      </w:r>
      <w:r w:rsidR="00485D83" w:rsidRPr="5F1A62C8">
        <w:rPr>
          <w:rFonts w:ascii="Source Sans Pro" w:hAnsi="Source Sans Pro"/>
          <w:sz w:val="20"/>
          <w:szCs w:val="20"/>
        </w:rPr>
        <w:t>(</w:t>
      </w:r>
      <w:r w:rsidR="00485D83" w:rsidRPr="5F1A62C8">
        <w:rPr>
          <w:rFonts w:ascii="Source Sans Pro" w:hAnsi="Source Sans Pro"/>
          <w:i/>
          <w:sz w:val="20"/>
          <w:szCs w:val="20"/>
        </w:rPr>
        <w:t>Cedefop</w:t>
      </w:r>
      <w:r w:rsidR="00485D83" w:rsidRPr="5F1A62C8">
        <w:rPr>
          <w:rFonts w:ascii="Source Sans Pro" w:hAnsi="Source Sans Pro"/>
          <w:sz w:val="20"/>
          <w:szCs w:val="20"/>
        </w:rPr>
        <w:t>)</w:t>
      </w:r>
      <w:r w:rsidR="00485D83" w:rsidRPr="00695667">
        <w:rPr>
          <w:rFonts w:ascii="Source Sans Pro" w:hAnsi="Source Sans Pro"/>
          <w:sz w:val="20"/>
          <w:szCs w:val="20"/>
        </w:rPr>
        <w:t xml:space="preserve"> dati.</w:t>
      </w:r>
    </w:p>
    <w:p w14:paraId="4F7F4565" w14:textId="3ED74C7C" w:rsidR="00485D83" w:rsidRPr="00695667" w:rsidRDefault="00485D83" w:rsidP="003677B6">
      <w:pPr>
        <w:pStyle w:val="BodyTextIndent2"/>
        <w:spacing w:line="240" w:lineRule="auto"/>
        <w:ind w:left="0"/>
        <w:jc w:val="both"/>
        <w:rPr>
          <w:rFonts w:ascii="Source Sans Pro" w:hAnsi="Source Sans Pro"/>
          <w:sz w:val="20"/>
          <w:szCs w:val="20"/>
        </w:rPr>
      </w:pPr>
      <w:r w:rsidRPr="5F1A62C8">
        <w:rPr>
          <w:rFonts w:ascii="Source Sans Pro" w:hAnsi="Source Sans Pro"/>
          <w:sz w:val="20"/>
          <w:szCs w:val="20"/>
        </w:rPr>
        <w:t>Detalizēti ar E</w:t>
      </w:r>
      <w:r w:rsidR="00F26EF7" w:rsidRPr="5F1A62C8">
        <w:rPr>
          <w:rFonts w:ascii="Source Sans Pro" w:hAnsi="Source Sans Pro"/>
          <w:sz w:val="20"/>
          <w:szCs w:val="20"/>
        </w:rPr>
        <w:t>konomikas ministrijas</w:t>
      </w:r>
      <w:r w:rsidRPr="5F1A62C8">
        <w:rPr>
          <w:rFonts w:ascii="Source Sans Pro" w:hAnsi="Source Sans Pro"/>
          <w:sz w:val="20"/>
          <w:szCs w:val="20"/>
        </w:rPr>
        <w:t xml:space="preserve"> darba tirgus prognozēm, ekonomikas izaugsmes scenārijiem un demogrāfijas prognozēm iespējams iepazīties vietnē: </w:t>
      </w:r>
      <w:hyperlink r:id="rId9">
        <w:r w:rsidRPr="5F1A62C8">
          <w:rPr>
            <w:rStyle w:val="Hyperlink"/>
            <w:rFonts w:ascii="Source Sans Pro" w:hAnsi="Source Sans Pro"/>
            <w:sz w:val="20"/>
            <w:szCs w:val="20"/>
          </w:rPr>
          <w:t>https://prognozes.em.gov.lv</w:t>
        </w:r>
      </w:hyperlink>
      <w:r w:rsidRPr="5F1A62C8">
        <w:rPr>
          <w:rFonts w:ascii="Source Sans Pro" w:hAnsi="Source Sans Pro"/>
          <w:sz w:val="20"/>
          <w:szCs w:val="20"/>
        </w:rPr>
        <w:t>.</w:t>
      </w:r>
    </w:p>
    <w:p w14:paraId="7927B428" w14:textId="77777777" w:rsidR="007818B0" w:rsidRPr="00D829F0" w:rsidRDefault="007818B0" w:rsidP="007818B0">
      <w:pPr>
        <w:spacing w:after="0"/>
        <w:rPr>
          <w:rFonts w:ascii="Source Sans Pro" w:hAnsi="Source Sans Pro"/>
          <w:szCs w:val="20"/>
        </w:rPr>
      </w:pPr>
      <w:r w:rsidRPr="00D829F0">
        <w:rPr>
          <w:rFonts w:ascii="Source Sans Pro" w:hAnsi="Source Sans Pro"/>
          <w:szCs w:val="20"/>
        </w:rPr>
        <w:br w:type="page"/>
      </w:r>
    </w:p>
    <w:p w14:paraId="3F2BC1B8" w14:textId="77777777" w:rsidR="001B32EC" w:rsidRPr="00D829F0" w:rsidRDefault="001B32EC" w:rsidP="007818B0">
      <w:pPr>
        <w:spacing w:after="0"/>
        <w:rPr>
          <w:rFonts w:ascii="Source Sans Pro" w:hAnsi="Source Sans Pro"/>
          <w:szCs w:val="20"/>
        </w:rPr>
      </w:pPr>
    </w:p>
    <w:p w14:paraId="03376DE7" w14:textId="0100FF92" w:rsidR="007818B0" w:rsidRPr="00F14EB1" w:rsidRDefault="008D586E" w:rsidP="008D586E">
      <w:pPr>
        <w:pStyle w:val="BodyTextIndent2"/>
        <w:spacing w:after="240" w:line="240" w:lineRule="auto"/>
        <w:ind w:left="0"/>
        <w:rPr>
          <w:rFonts w:ascii="Aptos Narrow" w:hAnsi="Aptos Narrow"/>
          <w:b/>
          <w:color w:val="003E4C"/>
          <w:sz w:val="36"/>
          <w:szCs w:val="36"/>
        </w:rPr>
      </w:pPr>
      <w:r w:rsidRPr="00F14EB1">
        <w:rPr>
          <w:rFonts w:ascii="Aptos Narrow" w:hAnsi="Aptos Narrow"/>
          <w:b/>
          <w:color w:val="003E4C"/>
          <w:sz w:val="36"/>
          <w:szCs w:val="36"/>
        </w:rPr>
        <w:t>SAĪSINĀJUMI</w:t>
      </w:r>
    </w:p>
    <w:p w14:paraId="007FE4B4" w14:textId="77777777" w:rsidR="007818B0" w:rsidRPr="00D829F0" w:rsidRDefault="007818B0" w:rsidP="008D586E">
      <w:pPr>
        <w:pStyle w:val="Taksts11"/>
        <w:spacing w:after="120"/>
        <w:ind w:firstLine="0"/>
        <w:jc w:val="left"/>
        <w:rPr>
          <w:rFonts w:ascii="Source Sans Pro" w:hAnsi="Source Sans Pro"/>
          <w:color w:val="000000"/>
          <w:sz w:val="20"/>
          <w:lang w:val="lv-LV"/>
        </w:rPr>
      </w:pPr>
    </w:p>
    <w:tbl>
      <w:tblPr>
        <w:tblW w:w="5000" w:type="pct"/>
        <w:tblLayout w:type="fixed"/>
        <w:tblLook w:val="04A0" w:firstRow="1" w:lastRow="0" w:firstColumn="1" w:lastColumn="0" w:noHBand="0" w:noVBand="1"/>
      </w:tblPr>
      <w:tblGrid>
        <w:gridCol w:w="1130"/>
        <w:gridCol w:w="7941"/>
      </w:tblGrid>
      <w:tr w:rsidR="006F1A52" w:rsidRPr="00EF7F3C" w14:paraId="6BD069AB" w14:textId="77777777" w:rsidTr="00106DA0">
        <w:trPr>
          <w:trHeight w:val="330"/>
        </w:trPr>
        <w:tc>
          <w:tcPr>
            <w:tcW w:w="623" w:type="pct"/>
            <w:noWrap/>
            <w:vAlign w:val="center"/>
            <w:hideMark/>
          </w:tcPr>
          <w:p w14:paraId="5EF98519"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CEDEFOP</w:t>
            </w:r>
          </w:p>
        </w:tc>
        <w:tc>
          <w:tcPr>
            <w:tcW w:w="4377" w:type="pct"/>
            <w:noWrap/>
            <w:vAlign w:val="center"/>
            <w:hideMark/>
          </w:tcPr>
          <w:p w14:paraId="2573F024"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Eiropas Profesionālās izglītības attīstības centrs</w:t>
            </w:r>
          </w:p>
        </w:tc>
      </w:tr>
      <w:tr w:rsidR="006E1605" w:rsidRPr="00EF7F3C" w14:paraId="25554BAF" w14:textId="77777777" w:rsidTr="00106DA0">
        <w:trPr>
          <w:trHeight w:val="330"/>
        </w:trPr>
        <w:tc>
          <w:tcPr>
            <w:tcW w:w="623" w:type="pct"/>
            <w:noWrap/>
            <w:vAlign w:val="center"/>
          </w:tcPr>
          <w:p w14:paraId="5138A4EE" w14:textId="265F9467" w:rsidR="006E1605" w:rsidRPr="00EF7F3C" w:rsidRDefault="006E1605"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C</w:t>
            </w:r>
            <w:r w:rsidR="0003573D">
              <w:rPr>
                <w:rFonts w:ascii="Source Sans Pro" w:eastAsia="Times New Roman" w:hAnsi="Source Sans Pro" w:cs="Calibri Light"/>
                <w:color w:val="000000"/>
                <w:szCs w:val="20"/>
                <w:lang w:eastAsia="lv-LV"/>
              </w:rPr>
              <w:t>ovid</w:t>
            </w:r>
            <w:r w:rsidRPr="00D829F0">
              <w:rPr>
                <w:rFonts w:ascii="Source Sans Pro" w:eastAsia="Times New Roman" w:hAnsi="Source Sans Pro" w:cs="Calibri Light"/>
                <w:color w:val="000000"/>
                <w:szCs w:val="20"/>
                <w:lang w:eastAsia="lv-LV"/>
              </w:rPr>
              <w:t>-19</w:t>
            </w:r>
          </w:p>
        </w:tc>
        <w:tc>
          <w:tcPr>
            <w:tcW w:w="4377" w:type="pct"/>
            <w:noWrap/>
            <w:vAlign w:val="center"/>
          </w:tcPr>
          <w:p w14:paraId="051C2F75" w14:textId="2DC92D8D" w:rsidR="006E1605" w:rsidRPr="00EF7F3C" w:rsidRDefault="006E1605"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koronavīrusa SARS-CoV-2 izraisīta infekcijas slimība</w:t>
            </w:r>
          </w:p>
        </w:tc>
      </w:tr>
      <w:tr w:rsidR="006F1A52" w:rsidRPr="00EF7F3C" w14:paraId="50BA0FFF" w14:textId="77777777" w:rsidTr="00106DA0">
        <w:trPr>
          <w:trHeight w:val="330"/>
        </w:trPr>
        <w:tc>
          <w:tcPr>
            <w:tcW w:w="623" w:type="pct"/>
            <w:noWrap/>
            <w:vAlign w:val="center"/>
            <w:hideMark/>
          </w:tcPr>
          <w:p w14:paraId="3572C819"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CSP</w:t>
            </w:r>
          </w:p>
        </w:tc>
        <w:tc>
          <w:tcPr>
            <w:tcW w:w="4377" w:type="pct"/>
            <w:noWrap/>
            <w:vAlign w:val="center"/>
            <w:hideMark/>
          </w:tcPr>
          <w:p w14:paraId="0F732E0B"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Centrālā statistikas pārvalde</w:t>
            </w:r>
          </w:p>
        </w:tc>
      </w:tr>
      <w:tr w:rsidR="006F1A52" w:rsidRPr="00EF7F3C" w14:paraId="0FB6E85C" w14:textId="77777777" w:rsidTr="00106DA0">
        <w:trPr>
          <w:trHeight w:val="330"/>
        </w:trPr>
        <w:tc>
          <w:tcPr>
            <w:tcW w:w="623" w:type="pct"/>
            <w:noWrap/>
            <w:vAlign w:val="center"/>
            <w:hideMark/>
          </w:tcPr>
          <w:p w14:paraId="167A8312"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DSA</w:t>
            </w:r>
          </w:p>
        </w:tc>
        <w:tc>
          <w:tcPr>
            <w:tcW w:w="4377" w:type="pct"/>
            <w:noWrap/>
            <w:vAlign w:val="center"/>
            <w:hideMark/>
          </w:tcPr>
          <w:p w14:paraId="750303D5"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Darbaspēka izlasveida apsekojums</w:t>
            </w:r>
          </w:p>
        </w:tc>
      </w:tr>
      <w:tr w:rsidR="006F1A52" w:rsidRPr="00EF7F3C" w14:paraId="2784736F" w14:textId="77777777" w:rsidTr="00106DA0">
        <w:trPr>
          <w:trHeight w:val="330"/>
        </w:trPr>
        <w:tc>
          <w:tcPr>
            <w:tcW w:w="623" w:type="pct"/>
            <w:noWrap/>
            <w:vAlign w:val="center"/>
            <w:hideMark/>
          </w:tcPr>
          <w:p w14:paraId="76FCCD23" w14:textId="77777777" w:rsidR="006F1A52" w:rsidRPr="00EF7F3C" w:rsidRDefault="006F1A52" w:rsidP="000C591A">
            <w:pPr>
              <w:spacing w:before="40" w:after="40"/>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DVB</w:t>
            </w:r>
          </w:p>
        </w:tc>
        <w:tc>
          <w:tcPr>
            <w:tcW w:w="4377" w:type="pct"/>
            <w:noWrap/>
            <w:vAlign w:val="center"/>
            <w:hideMark/>
          </w:tcPr>
          <w:p w14:paraId="5B56AF00" w14:textId="77777777" w:rsidR="006F1A52" w:rsidRPr="00EF7F3C" w:rsidRDefault="006F1A52" w:rsidP="000C591A">
            <w:pPr>
              <w:spacing w:before="40" w:after="40"/>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darba vidē balstīts</w:t>
            </w:r>
          </w:p>
        </w:tc>
      </w:tr>
      <w:tr w:rsidR="006F1A52" w:rsidRPr="00EF7F3C" w14:paraId="7C3BE5A4" w14:textId="77777777" w:rsidTr="00106DA0">
        <w:trPr>
          <w:trHeight w:val="330"/>
        </w:trPr>
        <w:tc>
          <w:tcPr>
            <w:tcW w:w="623" w:type="pct"/>
            <w:noWrap/>
            <w:vAlign w:val="center"/>
            <w:hideMark/>
          </w:tcPr>
          <w:p w14:paraId="1F4D3A66"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EK</w:t>
            </w:r>
          </w:p>
        </w:tc>
        <w:tc>
          <w:tcPr>
            <w:tcW w:w="4377" w:type="pct"/>
            <w:noWrap/>
            <w:vAlign w:val="center"/>
            <w:hideMark/>
          </w:tcPr>
          <w:p w14:paraId="70C6230F"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Eiropas Komisija</w:t>
            </w:r>
          </w:p>
        </w:tc>
      </w:tr>
      <w:tr w:rsidR="006F1A52" w:rsidRPr="00EF7F3C" w14:paraId="4F0846B4" w14:textId="77777777" w:rsidTr="00106DA0">
        <w:trPr>
          <w:trHeight w:val="330"/>
        </w:trPr>
        <w:tc>
          <w:tcPr>
            <w:tcW w:w="623" w:type="pct"/>
            <w:noWrap/>
            <w:vAlign w:val="center"/>
            <w:hideMark/>
          </w:tcPr>
          <w:p w14:paraId="20E5B3B3"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EM</w:t>
            </w:r>
          </w:p>
        </w:tc>
        <w:tc>
          <w:tcPr>
            <w:tcW w:w="4377" w:type="pct"/>
            <w:noWrap/>
            <w:vAlign w:val="center"/>
            <w:hideMark/>
          </w:tcPr>
          <w:p w14:paraId="272B9BE4"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Ekonomikas ministrija</w:t>
            </w:r>
          </w:p>
        </w:tc>
      </w:tr>
      <w:tr w:rsidR="006F1A52" w:rsidRPr="00EF7F3C" w14:paraId="68A45523" w14:textId="77777777" w:rsidTr="00106DA0">
        <w:trPr>
          <w:trHeight w:val="330"/>
        </w:trPr>
        <w:tc>
          <w:tcPr>
            <w:tcW w:w="623" w:type="pct"/>
            <w:noWrap/>
            <w:vAlign w:val="center"/>
            <w:hideMark/>
          </w:tcPr>
          <w:p w14:paraId="6658F3BC"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ES</w:t>
            </w:r>
          </w:p>
        </w:tc>
        <w:tc>
          <w:tcPr>
            <w:tcW w:w="4377" w:type="pct"/>
            <w:noWrap/>
            <w:vAlign w:val="center"/>
            <w:hideMark/>
          </w:tcPr>
          <w:p w14:paraId="7D8B6B67"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Eiropas Savienība</w:t>
            </w:r>
          </w:p>
        </w:tc>
      </w:tr>
      <w:tr w:rsidR="006F1A52" w:rsidRPr="00EF7F3C" w14:paraId="77D4B978" w14:textId="77777777" w:rsidTr="00106DA0">
        <w:trPr>
          <w:trHeight w:val="330"/>
        </w:trPr>
        <w:tc>
          <w:tcPr>
            <w:tcW w:w="623" w:type="pct"/>
            <w:noWrap/>
            <w:vAlign w:val="center"/>
            <w:hideMark/>
          </w:tcPr>
          <w:p w14:paraId="62ADD5F0"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IKP</w:t>
            </w:r>
          </w:p>
        </w:tc>
        <w:tc>
          <w:tcPr>
            <w:tcW w:w="4377" w:type="pct"/>
            <w:noWrap/>
            <w:vAlign w:val="center"/>
            <w:hideMark/>
          </w:tcPr>
          <w:p w14:paraId="41F53A92"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iekšzemes kopprodukts</w:t>
            </w:r>
          </w:p>
        </w:tc>
      </w:tr>
      <w:tr w:rsidR="006F1A52" w:rsidRPr="00EF7F3C" w14:paraId="00A5BF5A" w14:textId="77777777" w:rsidTr="00106DA0">
        <w:trPr>
          <w:trHeight w:val="330"/>
        </w:trPr>
        <w:tc>
          <w:tcPr>
            <w:tcW w:w="623" w:type="pct"/>
            <w:noWrap/>
            <w:vAlign w:val="center"/>
            <w:hideMark/>
          </w:tcPr>
          <w:p w14:paraId="36DC26E8"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IKT</w:t>
            </w:r>
          </w:p>
        </w:tc>
        <w:tc>
          <w:tcPr>
            <w:tcW w:w="4377" w:type="pct"/>
            <w:noWrap/>
            <w:vAlign w:val="center"/>
            <w:hideMark/>
          </w:tcPr>
          <w:p w14:paraId="36CD64EE"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informācijas un komunikācijas tehnoloģijas</w:t>
            </w:r>
          </w:p>
        </w:tc>
      </w:tr>
      <w:tr w:rsidR="006F1A52" w:rsidRPr="00EF7F3C" w14:paraId="19AF038F" w14:textId="77777777" w:rsidTr="00106DA0">
        <w:trPr>
          <w:trHeight w:val="330"/>
        </w:trPr>
        <w:tc>
          <w:tcPr>
            <w:tcW w:w="623" w:type="pct"/>
            <w:noWrap/>
            <w:vAlign w:val="center"/>
            <w:hideMark/>
          </w:tcPr>
          <w:p w14:paraId="2C6366C5"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ISCO</w:t>
            </w:r>
          </w:p>
        </w:tc>
        <w:tc>
          <w:tcPr>
            <w:tcW w:w="4377" w:type="pct"/>
            <w:noWrap/>
            <w:vAlign w:val="center"/>
            <w:hideMark/>
          </w:tcPr>
          <w:p w14:paraId="7C6A6B9B"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Standartizētais profesiju klasifikators</w:t>
            </w:r>
          </w:p>
        </w:tc>
      </w:tr>
      <w:tr w:rsidR="006468C5" w14:paraId="086663F3" w14:textId="77777777" w:rsidTr="006468C5">
        <w:trPr>
          <w:trHeight w:val="290"/>
        </w:trPr>
        <w:tc>
          <w:tcPr>
            <w:tcW w:w="623" w:type="pct"/>
            <w:noWrap/>
            <w:vAlign w:val="center"/>
          </w:tcPr>
          <w:p w14:paraId="66DC3750" w14:textId="61E618E8" w:rsidR="006468C5" w:rsidRPr="29E3D4CA" w:rsidRDefault="006468C5" w:rsidP="00DF21E3">
            <w:pPr>
              <w:spacing w:before="40" w:after="40"/>
              <w:jc w:val="both"/>
              <w:rPr>
                <w:rFonts w:ascii="Source Sans Pro" w:eastAsia="Times New Roman" w:hAnsi="Source Sans Pro" w:cs="Calibri Light"/>
                <w:color w:val="000000" w:themeColor="text1"/>
                <w:lang w:eastAsia="lv-LV"/>
              </w:rPr>
            </w:pPr>
            <w:r>
              <w:rPr>
                <w:rFonts w:ascii="Source Sans Pro" w:eastAsia="Times New Roman" w:hAnsi="Source Sans Pro" w:cs="Calibri Light"/>
                <w:color w:val="000000" w:themeColor="text1"/>
                <w:lang w:eastAsia="lv-LV"/>
              </w:rPr>
              <w:t>IZM</w:t>
            </w:r>
          </w:p>
        </w:tc>
        <w:tc>
          <w:tcPr>
            <w:tcW w:w="4377" w:type="pct"/>
            <w:noWrap/>
            <w:vAlign w:val="center"/>
          </w:tcPr>
          <w:p w14:paraId="2942F2B9" w14:textId="013D991A" w:rsidR="006468C5" w:rsidRPr="29E3D4CA" w:rsidRDefault="006468C5" w:rsidP="00DF21E3">
            <w:pPr>
              <w:spacing w:before="40" w:after="40"/>
              <w:jc w:val="both"/>
              <w:rPr>
                <w:rFonts w:ascii="Source Sans Pro" w:eastAsia="Times New Roman" w:hAnsi="Source Sans Pro" w:cs="Calibri Light"/>
                <w:color w:val="000000" w:themeColor="text1"/>
                <w:lang w:eastAsia="lv-LV"/>
              </w:rPr>
            </w:pPr>
            <w:r>
              <w:rPr>
                <w:rFonts w:ascii="Source Sans Pro" w:eastAsia="Times New Roman" w:hAnsi="Source Sans Pro" w:cs="Calibri Light"/>
                <w:color w:val="000000" w:themeColor="text1"/>
                <w:lang w:eastAsia="lv-LV"/>
              </w:rPr>
              <w:t>Izglītības un zinātnes ministrija</w:t>
            </w:r>
          </w:p>
        </w:tc>
      </w:tr>
      <w:tr w:rsidR="2A72B865" w14:paraId="457E4479" w14:textId="77777777" w:rsidTr="006468C5">
        <w:trPr>
          <w:trHeight w:val="290"/>
        </w:trPr>
        <w:tc>
          <w:tcPr>
            <w:tcW w:w="623" w:type="pct"/>
            <w:noWrap/>
            <w:vAlign w:val="center"/>
          </w:tcPr>
          <w:p w14:paraId="35B41852" w14:textId="58E1F00D" w:rsidR="388BACB9" w:rsidRDefault="388BACB9" w:rsidP="00DF21E3">
            <w:pPr>
              <w:spacing w:before="40" w:after="40"/>
              <w:jc w:val="both"/>
            </w:pPr>
            <w:r w:rsidRPr="2A72B865">
              <w:rPr>
                <w:rFonts w:ascii="Source Sans Pro" w:eastAsia="Times New Roman" w:hAnsi="Source Sans Pro" w:cs="Calibri Light"/>
                <w:color w:val="000000" w:themeColor="text1"/>
                <w:lang w:eastAsia="lv-LV"/>
              </w:rPr>
              <w:t>LM</w:t>
            </w:r>
          </w:p>
        </w:tc>
        <w:tc>
          <w:tcPr>
            <w:tcW w:w="4377" w:type="pct"/>
            <w:noWrap/>
            <w:vAlign w:val="center"/>
          </w:tcPr>
          <w:p w14:paraId="22861BAE" w14:textId="6FFC9D89" w:rsidR="388BACB9" w:rsidRDefault="388BACB9" w:rsidP="00DF21E3">
            <w:pPr>
              <w:spacing w:before="40" w:after="40"/>
              <w:jc w:val="both"/>
            </w:pPr>
            <w:r w:rsidRPr="29E3D4CA">
              <w:rPr>
                <w:rFonts w:ascii="Source Sans Pro" w:eastAsia="Times New Roman" w:hAnsi="Source Sans Pro" w:cs="Calibri Light"/>
                <w:color w:val="000000" w:themeColor="text1"/>
                <w:lang w:eastAsia="lv-LV"/>
              </w:rPr>
              <w:t>Labklājība ministrija</w:t>
            </w:r>
          </w:p>
        </w:tc>
      </w:tr>
      <w:tr w:rsidR="009D2225" w:rsidRPr="00EF7F3C" w14:paraId="7959B38D" w14:textId="77777777" w:rsidTr="00106DA0">
        <w:trPr>
          <w:trHeight w:val="290"/>
        </w:trPr>
        <w:tc>
          <w:tcPr>
            <w:tcW w:w="623" w:type="pct"/>
            <w:noWrap/>
            <w:vAlign w:val="center"/>
          </w:tcPr>
          <w:p w14:paraId="4C98A135" w14:textId="14BB923F" w:rsidR="009D2225" w:rsidRPr="00EF7F3C" w:rsidRDefault="009D2225"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MI</w:t>
            </w:r>
          </w:p>
        </w:tc>
        <w:tc>
          <w:tcPr>
            <w:tcW w:w="4377" w:type="pct"/>
            <w:noWrap/>
            <w:vAlign w:val="center"/>
          </w:tcPr>
          <w:p w14:paraId="166D476C" w14:textId="365A9F87" w:rsidR="009D2225" w:rsidRPr="00EF7F3C" w:rsidRDefault="009D2225"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mākslīgais intelekts</w:t>
            </w:r>
          </w:p>
        </w:tc>
      </w:tr>
      <w:tr w:rsidR="006F1A52" w:rsidRPr="00EF7F3C" w14:paraId="64E1B7EB" w14:textId="77777777" w:rsidTr="00106DA0">
        <w:trPr>
          <w:trHeight w:val="290"/>
        </w:trPr>
        <w:tc>
          <w:tcPr>
            <w:tcW w:w="623" w:type="pct"/>
            <w:noWrap/>
            <w:vAlign w:val="center"/>
            <w:hideMark/>
          </w:tcPr>
          <w:p w14:paraId="7B062B7D"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NVA</w:t>
            </w:r>
          </w:p>
        </w:tc>
        <w:tc>
          <w:tcPr>
            <w:tcW w:w="4377" w:type="pct"/>
            <w:noWrap/>
            <w:vAlign w:val="center"/>
            <w:hideMark/>
          </w:tcPr>
          <w:p w14:paraId="36BF530C"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Nodarbinātības valsts aģentūra</w:t>
            </w:r>
          </w:p>
        </w:tc>
      </w:tr>
      <w:tr w:rsidR="006F1A52" w:rsidRPr="00EF7F3C" w14:paraId="32CC9283" w14:textId="77777777" w:rsidTr="00687746">
        <w:trPr>
          <w:trHeight w:val="290"/>
        </w:trPr>
        <w:tc>
          <w:tcPr>
            <w:tcW w:w="623" w:type="pct"/>
            <w:noWrap/>
            <w:hideMark/>
          </w:tcPr>
          <w:p w14:paraId="03AD6D8C"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OECD</w:t>
            </w:r>
          </w:p>
        </w:tc>
        <w:tc>
          <w:tcPr>
            <w:tcW w:w="4377" w:type="pct"/>
            <w:noWrap/>
            <w:vAlign w:val="center"/>
            <w:hideMark/>
          </w:tcPr>
          <w:p w14:paraId="5F1B79F9" w14:textId="77777777" w:rsidR="00687746" w:rsidRDefault="006F1A52" w:rsidP="00687746">
            <w:pPr>
              <w:spacing w:before="40" w:after="0"/>
              <w:jc w:val="both"/>
              <w:rPr>
                <w:rFonts w:ascii="Source Sans Pro" w:eastAsia="Times New Roman" w:hAnsi="Source Sans Pro" w:cs="Calibri Light"/>
                <w:i/>
                <w:color w:val="000000"/>
                <w:szCs w:val="20"/>
                <w:lang w:eastAsia="lv-LV"/>
              </w:rPr>
            </w:pPr>
            <w:r w:rsidRPr="00D829F0">
              <w:rPr>
                <w:rFonts w:ascii="Source Sans Pro" w:eastAsia="Times New Roman" w:hAnsi="Source Sans Pro" w:cs="Calibri Light"/>
                <w:color w:val="000000"/>
                <w:szCs w:val="20"/>
                <w:lang w:eastAsia="lv-LV"/>
              </w:rPr>
              <w:t>Ekonomiskās sadarbības un attīstības organizācija</w:t>
            </w:r>
            <w:r w:rsidR="00F01887" w:rsidRPr="00D829F0">
              <w:rPr>
                <w:rFonts w:ascii="Source Sans Pro" w:eastAsia="Times New Roman" w:hAnsi="Source Sans Pro" w:cs="Calibri Light"/>
                <w:color w:val="000000"/>
                <w:szCs w:val="20"/>
                <w:lang w:eastAsia="lv-LV"/>
              </w:rPr>
              <w:t xml:space="preserve"> (</w:t>
            </w:r>
            <w:r w:rsidR="00F01887" w:rsidRPr="00D829F0">
              <w:rPr>
                <w:rFonts w:ascii="Source Sans Pro" w:eastAsia="Times New Roman" w:hAnsi="Source Sans Pro" w:cs="Calibri Light"/>
                <w:i/>
                <w:color w:val="000000"/>
                <w:szCs w:val="20"/>
                <w:lang w:eastAsia="lv-LV"/>
              </w:rPr>
              <w:t xml:space="preserve">The Organisation for Economic </w:t>
            </w:r>
          </w:p>
          <w:p w14:paraId="2F50334B" w14:textId="3B163C7E" w:rsidR="006F1A52" w:rsidRPr="00EF7F3C" w:rsidRDefault="00F01887" w:rsidP="00687746">
            <w:pPr>
              <w:spacing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i/>
                <w:color w:val="000000"/>
                <w:szCs w:val="20"/>
                <w:lang w:eastAsia="lv-LV"/>
              </w:rPr>
              <w:t>Co-operation and Development</w:t>
            </w:r>
            <w:r w:rsidRPr="00D829F0">
              <w:rPr>
                <w:rFonts w:ascii="Source Sans Pro" w:eastAsia="Times New Roman" w:hAnsi="Source Sans Pro" w:cs="Calibri Light"/>
                <w:color w:val="000000"/>
                <w:szCs w:val="20"/>
                <w:lang w:eastAsia="lv-LV"/>
              </w:rPr>
              <w:t>)</w:t>
            </w:r>
          </w:p>
        </w:tc>
      </w:tr>
      <w:tr w:rsidR="00C271CB" w:rsidRPr="00EF7F3C" w14:paraId="76EB7C60" w14:textId="77777777" w:rsidTr="00106DA0">
        <w:trPr>
          <w:trHeight w:val="290"/>
        </w:trPr>
        <w:tc>
          <w:tcPr>
            <w:tcW w:w="623" w:type="pct"/>
            <w:noWrap/>
            <w:vAlign w:val="center"/>
          </w:tcPr>
          <w:p w14:paraId="449F8B38" w14:textId="56FAEFAC" w:rsidR="00C271CB" w:rsidRPr="00EF7F3C" w:rsidRDefault="00C271CB"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themeColor="text1"/>
                <w:lang w:eastAsia="lv-LV"/>
              </w:rPr>
              <w:t>P&amp;A</w:t>
            </w:r>
          </w:p>
        </w:tc>
        <w:tc>
          <w:tcPr>
            <w:tcW w:w="4377" w:type="pct"/>
            <w:noWrap/>
            <w:vAlign w:val="center"/>
          </w:tcPr>
          <w:p w14:paraId="37ACB012" w14:textId="0EB33294" w:rsidR="00C271CB" w:rsidRPr="00EF7F3C" w:rsidRDefault="00C271CB"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themeColor="text1"/>
                <w:lang w:eastAsia="lv-LV"/>
              </w:rPr>
              <w:t>pētniecība un attīstība</w:t>
            </w:r>
          </w:p>
        </w:tc>
      </w:tr>
      <w:tr w:rsidR="006F1A52" w:rsidRPr="00EF7F3C" w14:paraId="0FCECE34" w14:textId="77777777" w:rsidTr="00106DA0">
        <w:trPr>
          <w:trHeight w:val="290"/>
        </w:trPr>
        <w:tc>
          <w:tcPr>
            <w:tcW w:w="623" w:type="pct"/>
            <w:noWrap/>
            <w:vAlign w:val="center"/>
            <w:hideMark/>
          </w:tcPr>
          <w:p w14:paraId="377D55A5" w14:textId="38AC5454" w:rsidR="006F1A52" w:rsidRPr="00EF7F3C" w:rsidRDefault="4398C881" w:rsidP="000C591A">
            <w:pPr>
              <w:spacing w:before="40" w:after="40"/>
              <w:rPr>
                <w:color w:val="000000"/>
                <w:szCs w:val="20"/>
                <w:highlight w:val="yellow"/>
                <w:lang w:eastAsia="lv-LV"/>
              </w:rPr>
            </w:pPr>
            <w:r w:rsidRPr="00D829F0">
              <w:rPr>
                <w:rFonts w:ascii="Source Sans Pro" w:eastAsia="Times New Roman" w:hAnsi="Source Sans Pro" w:cs="Calibri Light"/>
                <w:color w:val="000000" w:themeColor="text1"/>
                <w:szCs w:val="20"/>
                <w:lang w:eastAsia="lv-LV"/>
              </w:rPr>
              <w:t>PPS</w:t>
            </w:r>
          </w:p>
        </w:tc>
        <w:tc>
          <w:tcPr>
            <w:tcW w:w="4377" w:type="pct"/>
            <w:noWrap/>
            <w:vAlign w:val="center"/>
            <w:hideMark/>
          </w:tcPr>
          <w:p w14:paraId="5E4B74DB" w14:textId="36FE758B" w:rsidR="006F1A52" w:rsidRPr="00EF7F3C" w:rsidRDefault="4398C881" w:rsidP="000C591A">
            <w:pPr>
              <w:spacing w:before="40" w:after="40"/>
              <w:rPr>
                <w:color w:val="000000"/>
                <w:szCs w:val="20"/>
                <w:highlight w:val="yellow"/>
                <w:lang w:eastAsia="lv-LV"/>
              </w:rPr>
            </w:pPr>
            <w:r w:rsidRPr="00D829F0">
              <w:rPr>
                <w:rFonts w:ascii="Source Sans Pro" w:hAnsi="Source Sans Pro"/>
                <w:color w:val="000000" w:themeColor="text1"/>
                <w:szCs w:val="20"/>
                <w:lang w:eastAsia="lv-LV"/>
              </w:rPr>
              <w:t>Pirktspējas paritātes standarts</w:t>
            </w:r>
          </w:p>
        </w:tc>
      </w:tr>
      <w:tr w:rsidR="006F1A52" w:rsidRPr="00EF7F3C" w14:paraId="163A26BE" w14:textId="77777777" w:rsidTr="00106DA0">
        <w:trPr>
          <w:trHeight w:val="290"/>
        </w:trPr>
        <w:tc>
          <w:tcPr>
            <w:tcW w:w="623" w:type="pct"/>
            <w:noWrap/>
            <w:hideMark/>
          </w:tcPr>
          <w:p w14:paraId="03503512" w14:textId="3B15DC8B" w:rsidR="00295827" w:rsidRPr="00EF7F3C" w:rsidRDefault="006F1A52" w:rsidP="000C591A">
            <w:pPr>
              <w:spacing w:before="40" w:after="40"/>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STEM</w:t>
            </w:r>
          </w:p>
        </w:tc>
        <w:tc>
          <w:tcPr>
            <w:tcW w:w="4377" w:type="pct"/>
            <w:noWrap/>
            <w:hideMark/>
          </w:tcPr>
          <w:p w14:paraId="3710AFEF" w14:textId="6E3EBA1A" w:rsidR="00295827" w:rsidRPr="00EF7F3C" w:rsidRDefault="006F1A52" w:rsidP="00106DA0">
            <w:pPr>
              <w:spacing w:before="40" w:after="40"/>
              <w:ind w:firstLineChars="6" w:firstLine="12"/>
              <w:rPr>
                <w:rFonts w:eastAsia="Times New Roman" w:cs="Calibri Light"/>
                <w:i/>
                <w:color w:val="000000"/>
                <w:szCs w:val="20"/>
                <w:highlight w:val="yellow"/>
                <w:lang w:val="en-GB" w:eastAsia="lv-LV"/>
              </w:rPr>
            </w:pPr>
            <w:r w:rsidRPr="00D829F0">
              <w:rPr>
                <w:rFonts w:ascii="Source Sans Pro" w:eastAsia="Times New Roman" w:hAnsi="Source Sans Pro" w:cs="Calibri Light"/>
                <w:color w:val="000000"/>
                <w:szCs w:val="20"/>
                <w:lang w:eastAsia="lv-LV"/>
              </w:rPr>
              <w:t>Zinātnes, tehnoloģiju, inženierzinātņu un matemātikas virzieni</w:t>
            </w:r>
            <w:r w:rsidR="00295827" w:rsidRPr="00D829F0">
              <w:rPr>
                <w:rFonts w:ascii="Source Sans Pro" w:eastAsia="Times New Roman" w:hAnsi="Source Sans Pro" w:cs="Calibri Light"/>
                <w:color w:val="000000"/>
                <w:szCs w:val="20"/>
                <w:lang w:eastAsia="lv-LV"/>
              </w:rPr>
              <w:t xml:space="preserve"> </w:t>
            </w:r>
            <w:r w:rsidR="006E1605" w:rsidRPr="00D829F0">
              <w:rPr>
                <w:rFonts w:ascii="Source Sans Pro" w:eastAsia="Times New Roman" w:hAnsi="Source Sans Pro" w:cs="Calibri Light"/>
                <w:color w:val="000000"/>
                <w:szCs w:val="20"/>
                <w:lang w:eastAsia="lv-LV"/>
              </w:rPr>
              <w:t>(</w:t>
            </w:r>
            <w:r w:rsidRPr="00D829F0">
              <w:rPr>
                <w:rFonts w:ascii="Source Sans Pro" w:eastAsia="Times New Roman" w:hAnsi="Source Sans Pro" w:cs="Calibri Light"/>
                <w:i/>
                <w:color w:val="000000"/>
                <w:szCs w:val="20"/>
                <w:lang w:val="en-GB" w:eastAsia="lv-LV"/>
              </w:rPr>
              <w:t>Science, technology, engineering and mathematics</w:t>
            </w:r>
            <w:r w:rsidR="006E1605" w:rsidRPr="00D829F0">
              <w:rPr>
                <w:rFonts w:ascii="Source Sans Pro" w:eastAsia="Times New Roman" w:hAnsi="Source Sans Pro" w:cs="Calibri Light"/>
                <w:i/>
                <w:color w:val="000000"/>
                <w:szCs w:val="20"/>
                <w:lang w:val="en-GB" w:eastAsia="lv-LV"/>
              </w:rPr>
              <w:t>)</w:t>
            </w:r>
          </w:p>
        </w:tc>
      </w:tr>
      <w:tr w:rsidR="00106DA0" w:rsidRPr="00EF7F3C" w14:paraId="544575F6" w14:textId="77777777" w:rsidTr="00106DA0">
        <w:trPr>
          <w:trHeight w:val="290"/>
        </w:trPr>
        <w:tc>
          <w:tcPr>
            <w:tcW w:w="623" w:type="pct"/>
            <w:noWrap/>
            <w:vAlign w:val="center"/>
          </w:tcPr>
          <w:p w14:paraId="4E5CCCEA" w14:textId="419A0CA5" w:rsidR="00106DA0" w:rsidRPr="00EF7F3C" w:rsidRDefault="00106DA0"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SDO</w:t>
            </w:r>
          </w:p>
        </w:tc>
        <w:tc>
          <w:tcPr>
            <w:tcW w:w="4377" w:type="pct"/>
            <w:noWrap/>
            <w:vAlign w:val="center"/>
          </w:tcPr>
          <w:p w14:paraId="592DFCBB" w14:textId="690AAE27" w:rsidR="00106DA0" w:rsidRPr="00EF7F3C" w:rsidRDefault="00106DA0"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Starptautiskā darba organizācija</w:t>
            </w:r>
          </w:p>
        </w:tc>
      </w:tr>
      <w:tr w:rsidR="006F1A52" w:rsidRPr="00D829F0" w14:paraId="5DD45E4E" w14:textId="77777777" w:rsidTr="00106DA0">
        <w:trPr>
          <w:trHeight w:val="290"/>
        </w:trPr>
        <w:tc>
          <w:tcPr>
            <w:tcW w:w="623" w:type="pct"/>
            <w:noWrap/>
            <w:vAlign w:val="center"/>
            <w:hideMark/>
          </w:tcPr>
          <w:p w14:paraId="4FECF301" w14:textId="77777777" w:rsidR="006F1A52" w:rsidRPr="00EF7F3C" w:rsidRDefault="006F1A52" w:rsidP="000C591A">
            <w:pPr>
              <w:spacing w:before="40" w:after="40"/>
              <w:jc w:val="both"/>
              <w:rPr>
                <w:rFonts w:eastAsia="Times New Roman" w:cs="Calibri Light"/>
                <w:color w:val="000000"/>
                <w:szCs w:val="20"/>
                <w:highlight w:val="yellow"/>
                <w:lang w:eastAsia="lv-LV"/>
              </w:rPr>
            </w:pPr>
            <w:r w:rsidRPr="00D829F0">
              <w:rPr>
                <w:rFonts w:ascii="Source Sans Pro" w:eastAsia="Times New Roman" w:hAnsi="Source Sans Pro" w:cs="Calibri Light"/>
                <w:color w:val="000000"/>
                <w:szCs w:val="20"/>
                <w:lang w:eastAsia="lv-LV"/>
              </w:rPr>
              <w:t>ULC</w:t>
            </w:r>
          </w:p>
        </w:tc>
        <w:tc>
          <w:tcPr>
            <w:tcW w:w="4377" w:type="pct"/>
            <w:noWrap/>
            <w:vAlign w:val="center"/>
            <w:hideMark/>
          </w:tcPr>
          <w:p w14:paraId="50335F1B" w14:textId="77777777" w:rsidR="006F1A52" w:rsidRPr="00D829F0" w:rsidRDefault="006F1A52" w:rsidP="000C591A">
            <w:pPr>
              <w:spacing w:before="40" w:after="40"/>
              <w:jc w:val="both"/>
              <w:rPr>
                <w:rFonts w:ascii="Source Sans Pro" w:eastAsia="Times New Roman" w:hAnsi="Source Sans Pro" w:cs="Calibri Light"/>
                <w:color w:val="000000"/>
                <w:szCs w:val="20"/>
                <w:lang w:eastAsia="lv-LV"/>
              </w:rPr>
            </w:pPr>
            <w:r w:rsidRPr="00D829F0">
              <w:rPr>
                <w:rFonts w:ascii="Source Sans Pro" w:eastAsia="Times New Roman" w:hAnsi="Source Sans Pro" w:cs="Calibri Light"/>
                <w:color w:val="000000"/>
                <w:szCs w:val="20"/>
                <w:lang w:eastAsia="lv-LV"/>
              </w:rPr>
              <w:t>produkcijas vienības darbaspēka izmaksas</w:t>
            </w:r>
          </w:p>
        </w:tc>
      </w:tr>
    </w:tbl>
    <w:p w14:paraId="58F71C36" w14:textId="77777777" w:rsidR="007818B0" w:rsidRPr="00D829F0" w:rsidRDefault="007818B0" w:rsidP="007818B0">
      <w:pPr>
        <w:pStyle w:val="BodyTextIndent2"/>
        <w:spacing w:after="240" w:line="240" w:lineRule="auto"/>
        <w:ind w:left="0"/>
        <w:jc w:val="both"/>
        <w:rPr>
          <w:rFonts w:ascii="Source Sans Pro" w:hAnsi="Source Sans Pro"/>
          <w:sz w:val="20"/>
          <w:szCs w:val="20"/>
        </w:rPr>
      </w:pPr>
      <w:r w:rsidRPr="00D829F0">
        <w:rPr>
          <w:rFonts w:ascii="Source Sans Pro" w:hAnsi="Source Sans Pro"/>
          <w:sz w:val="20"/>
          <w:szCs w:val="20"/>
        </w:rPr>
        <w:br w:type="page"/>
      </w:r>
    </w:p>
    <w:p w14:paraId="1B022D6B" w14:textId="77777777" w:rsidR="007818B0" w:rsidRPr="00F14EB1" w:rsidRDefault="007818B0" w:rsidP="00102234">
      <w:pPr>
        <w:pStyle w:val="BodyTextIndent2"/>
        <w:spacing w:line="240" w:lineRule="auto"/>
        <w:ind w:left="0"/>
        <w:rPr>
          <w:rFonts w:ascii="Aptos Narrow" w:hAnsi="Aptos Narrow"/>
          <w:b/>
          <w:color w:val="003E4C"/>
          <w:sz w:val="36"/>
          <w:szCs w:val="36"/>
        </w:rPr>
      </w:pPr>
      <w:r w:rsidRPr="00F14EB1">
        <w:rPr>
          <w:rFonts w:ascii="Aptos Narrow" w:hAnsi="Aptos Narrow"/>
          <w:b/>
          <w:color w:val="003E4C"/>
          <w:sz w:val="36"/>
          <w:szCs w:val="36"/>
        </w:rPr>
        <w:lastRenderedPageBreak/>
        <w:t>SATURS</w:t>
      </w:r>
    </w:p>
    <w:p w14:paraId="12D0CDB3" w14:textId="77777777" w:rsidR="006071DB" w:rsidRDefault="007818B0" w:rsidP="0A5921E4">
      <w:pPr>
        <w:pStyle w:val="TOC1"/>
        <w:tabs>
          <w:tab w:val="clear" w:pos="9072"/>
          <w:tab w:val="right" w:pos="9060"/>
        </w:tabs>
      </w:pPr>
      <w:r w:rsidRPr="0A5921E4">
        <w:fldChar w:fldCharType="begin"/>
      </w:r>
      <w:r>
        <w:instrText>TOC \o "1-3" \z \u \h</w:instrText>
      </w:r>
      <w:r w:rsidRPr="0A5921E4">
        <w:fldChar w:fldCharType="separate"/>
      </w:r>
      <w:hyperlink w:anchor="_Toc1906078213">
        <w:r w:rsidR="0A5921E4" w:rsidRPr="0A5921E4">
          <w:rPr>
            <w:rStyle w:val="Hyperlink"/>
          </w:rPr>
          <w:t>1. TAUTSAIMNIECĪBAS UN DARBA TIRGUS ATTĪSTĪBA</w:t>
        </w:r>
        <w:r>
          <w:tab/>
        </w:r>
        <w:r>
          <w:fldChar w:fldCharType="begin"/>
        </w:r>
        <w:r>
          <w:instrText>PAGEREF _Toc1906078213 \h</w:instrText>
        </w:r>
        <w:r>
          <w:fldChar w:fldCharType="separate"/>
        </w:r>
        <w:r w:rsidR="0A5921E4" w:rsidRPr="0A5921E4">
          <w:rPr>
            <w:rStyle w:val="Hyperlink"/>
          </w:rPr>
          <w:t>5</w:t>
        </w:r>
        <w:r>
          <w:fldChar w:fldCharType="end"/>
        </w:r>
      </w:hyperlink>
    </w:p>
    <w:p w14:paraId="6F6FF77C" w14:textId="77777777" w:rsidR="006071DB" w:rsidRDefault="0A5921E4" w:rsidP="0A5921E4">
      <w:pPr>
        <w:pStyle w:val="TOC2"/>
        <w:tabs>
          <w:tab w:val="clear" w:pos="9072"/>
          <w:tab w:val="right" w:pos="9060"/>
        </w:tabs>
      </w:pPr>
      <w:hyperlink w:anchor="_Toc1210525971">
        <w:r w:rsidRPr="0A5921E4">
          <w:rPr>
            <w:rStyle w:val="Hyperlink"/>
          </w:rPr>
          <w:t>1.1. Makroekonomiskā situācija un nozaru attīstība</w:t>
        </w:r>
        <w:r w:rsidR="006071DB">
          <w:tab/>
        </w:r>
        <w:r w:rsidR="006071DB">
          <w:fldChar w:fldCharType="begin"/>
        </w:r>
        <w:r w:rsidR="006071DB">
          <w:instrText>PAGEREF _Toc1210525971 \h</w:instrText>
        </w:r>
        <w:r w:rsidR="006071DB">
          <w:fldChar w:fldCharType="separate"/>
        </w:r>
        <w:r w:rsidRPr="0A5921E4">
          <w:rPr>
            <w:rStyle w:val="Hyperlink"/>
          </w:rPr>
          <w:t>6</w:t>
        </w:r>
        <w:r w:rsidR="006071DB">
          <w:fldChar w:fldCharType="end"/>
        </w:r>
      </w:hyperlink>
    </w:p>
    <w:p w14:paraId="35763760" w14:textId="77777777" w:rsidR="006071DB" w:rsidRDefault="0A5921E4" w:rsidP="0A5921E4">
      <w:pPr>
        <w:pStyle w:val="TOC2"/>
        <w:tabs>
          <w:tab w:val="clear" w:pos="9072"/>
          <w:tab w:val="right" w:pos="9060"/>
        </w:tabs>
      </w:pPr>
      <w:hyperlink w:anchor="_Toc1958502894">
        <w:r w:rsidRPr="0A5921E4">
          <w:rPr>
            <w:rStyle w:val="Hyperlink"/>
          </w:rPr>
          <w:t>1.2. Iedzīvotāju nodarbinātība un bezdarbs</w:t>
        </w:r>
        <w:r w:rsidR="006071DB">
          <w:tab/>
        </w:r>
        <w:r w:rsidR="006071DB">
          <w:fldChar w:fldCharType="begin"/>
        </w:r>
        <w:r w:rsidR="006071DB">
          <w:instrText>PAGEREF _Toc1958502894 \h</w:instrText>
        </w:r>
        <w:r w:rsidR="006071DB">
          <w:fldChar w:fldCharType="separate"/>
        </w:r>
        <w:r w:rsidRPr="0A5921E4">
          <w:rPr>
            <w:rStyle w:val="Hyperlink"/>
          </w:rPr>
          <w:t>11</w:t>
        </w:r>
        <w:r w:rsidR="006071DB">
          <w:fldChar w:fldCharType="end"/>
        </w:r>
      </w:hyperlink>
    </w:p>
    <w:p w14:paraId="133723F0" w14:textId="77777777" w:rsidR="006071DB" w:rsidRDefault="0A5921E4" w:rsidP="0A5921E4">
      <w:pPr>
        <w:pStyle w:val="TOC2"/>
        <w:tabs>
          <w:tab w:val="clear" w:pos="9072"/>
          <w:tab w:val="right" w:pos="9060"/>
        </w:tabs>
      </w:pPr>
      <w:hyperlink w:anchor="_Toc469819187">
        <w:r w:rsidRPr="0A5921E4">
          <w:rPr>
            <w:rStyle w:val="Hyperlink"/>
          </w:rPr>
          <w:t>1.3. Darba algas un produktivitāte</w:t>
        </w:r>
        <w:r w:rsidR="006071DB">
          <w:tab/>
        </w:r>
        <w:r w:rsidR="006071DB">
          <w:fldChar w:fldCharType="begin"/>
        </w:r>
        <w:r w:rsidR="006071DB">
          <w:instrText>PAGEREF _Toc469819187 \h</w:instrText>
        </w:r>
        <w:r w:rsidR="006071DB">
          <w:fldChar w:fldCharType="separate"/>
        </w:r>
        <w:r w:rsidRPr="0A5921E4">
          <w:rPr>
            <w:rStyle w:val="Hyperlink"/>
          </w:rPr>
          <w:t>16</w:t>
        </w:r>
        <w:r w:rsidR="006071DB">
          <w:fldChar w:fldCharType="end"/>
        </w:r>
      </w:hyperlink>
    </w:p>
    <w:p w14:paraId="456A5B4B" w14:textId="77777777" w:rsidR="006071DB" w:rsidRDefault="0A5921E4" w:rsidP="0A5921E4">
      <w:pPr>
        <w:pStyle w:val="TOC1"/>
        <w:tabs>
          <w:tab w:val="clear" w:pos="9072"/>
          <w:tab w:val="right" w:pos="9060"/>
        </w:tabs>
      </w:pPr>
      <w:hyperlink w:anchor="_Toc2077962380">
        <w:r w:rsidRPr="0A5921E4">
          <w:rPr>
            <w:rStyle w:val="Hyperlink"/>
          </w:rPr>
          <w:t>2. DARBASPĒKA PIEPRASĪJUMS UN PIEDĀVĀJUMS</w:t>
        </w:r>
        <w:r w:rsidR="006071DB">
          <w:tab/>
        </w:r>
        <w:r w:rsidR="006071DB">
          <w:fldChar w:fldCharType="begin"/>
        </w:r>
        <w:r w:rsidR="006071DB">
          <w:instrText>PAGEREF _Toc2077962380 \h</w:instrText>
        </w:r>
        <w:r w:rsidR="006071DB">
          <w:fldChar w:fldCharType="separate"/>
        </w:r>
        <w:r w:rsidRPr="0A5921E4">
          <w:rPr>
            <w:rStyle w:val="Hyperlink"/>
          </w:rPr>
          <w:t>23</w:t>
        </w:r>
        <w:r w:rsidR="006071DB">
          <w:fldChar w:fldCharType="end"/>
        </w:r>
      </w:hyperlink>
    </w:p>
    <w:p w14:paraId="1C3D336D" w14:textId="77777777" w:rsidR="006071DB" w:rsidRDefault="0A5921E4" w:rsidP="0A5921E4">
      <w:pPr>
        <w:pStyle w:val="TOC2"/>
        <w:tabs>
          <w:tab w:val="clear" w:pos="9072"/>
          <w:tab w:val="right" w:pos="9060"/>
        </w:tabs>
      </w:pPr>
      <w:hyperlink w:anchor="_Toc67228652">
        <w:r w:rsidRPr="0A5921E4">
          <w:rPr>
            <w:rStyle w:val="Hyperlink"/>
          </w:rPr>
          <w:t>2.1. Darbaspēka pieprasījuma izmaiņas un struktūra</w:t>
        </w:r>
        <w:r w:rsidR="006071DB">
          <w:tab/>
        </w:r>
        <w:r w:rsidR="006071DB">
          <w:fldChar w:fldCharType="begin"/>
        </w:r>
        <w:r w:rsidR="006071DB">
          <w:instrText>PAGEREF _Toc67228652 \h</w:instrText>
        </w:r>
        <w:r w:rsidR="006071DB">
          <w:fldChar w:fldCharType="separate"/>
        </w:r>
        <w:r w:rsidRPr="0A5921E4">
          <w:rPr>
            <w:rStyle w:val="Hyperlink"/>
          </w:rPr>
          <w:t>24</w:t>
        </w:r>
        <w:r w:rsidR="006071DB">
          <w:fldChar w:fldCharType="end"/>
        </w:r>
      </w:hyperlink>
    </w:p>
    <w:p w14:paraId="72EA94A4" w14:textId="77777777" w:rsidR="006071DB" w:rsidRDefault="0A5921E4" w:rsidP="0A5921E4">
      <w:pPr>
        <w:pStyle w:val="TOC2"/>
        <w:tabs>
          <w:tab w:val="clear" w:pos="9072"/>
          <w:tab w:val="right" w:pos="9060"/>
        </w:tabs>
      </w:pPr>
      <w:hyperlink w:anchor="_Toc476843105">
        <w:r w:rsidRPr="0A5921E4">
          <w:rPr>
            <w:rStyle w:val="Hyperlink"/>
          </w:rPr>
          <w:t>2.2. Demogrāfiskā situācija un darbaspēka piedāvājums</w:t>
        </w:r>
        <w:r w:rsidR="006071DB">
          <w:tab/>
        </w:r>
        <w:r w:rsidR="006071DB">
          <w:fldChar w:fldCharType="begin"/>
        </w:r>
        <w:r w:rsidR="006071DB">
          <w:instrText>PAGEREF _Toc476843105 \h</w:instrText>
        </w:r>
        <w:r w:rsidR="006071DB">
          <w:fldChar w:fldCharType="separate"/>
        </w:r>
        <w:r w:rsidRPr="0A5921E4">
          <w:rPr>
            <w:rStyle w:val="Hyperlink"/>
          </w:rPr>
          <w:t>34</w:t>
        </w:r>
        <w:r w:rsidR="006071DB">
          <w:fldChar w:fldCharType="end"/>
        </w:r>
      </w:hyperlink>
    </w:p>
    <w:p w14:paraId="2C5552B0" w14:textId="77777777" w:rsidR="006071DB" w:rsidRDefault="0A5921E4" w:rsidP="0A5921E4">
      <w:pPr>
        <w:pStyle w:val="TOC3"/>
        <w:tabs>
          <w:tab w:val="clear" w:pos="9072"/>
          <w:tab w:val="right" w:pos="9060"/>
        </w:tabs>
      </w:pPr>
      <w:hyperlink w:anchor="_Toc1177019564">
        <w:r w:rsidRPr="0A5921E4">
          <w:rPr>
            <w:rStyle w:val="Hyperlink"/>
          </w:rPr>
          <w:t>2.2.1. Demogrāfijas tendences</w:t>
        </w:r>
        <w:r w:rsidR="006071DB">
          <w:tab/>
        </w:r>
        <w:r w:rsidR="006071DB">
          <w:fldChar w:fldCharType="begin"/>
        </w:r>
        <w:r w:rsidR="006071DB">
          <w:instrText>PAGEREF _Toc1177019564 \h</w:instrText>
        </w:r>
        <w:r w:rsidR="006071DB">
          <w:fldChar w:fldCharType="separate"/>
        </w:r>
        <w:r w:rsidRPr="0A5921E4">
          <w:rPr>
            <w:rStyle w:val="Hyperlink"/>
          </w:rPr>
          <w:t>34</w:t>
        </w:r>
        <w:r w:rsidR="006071DB">
          <w:fldChar w:fldCharType="end"/>
        </w:r>
      </w:hyperlink>
    </w:p>
    <w:p w14:paraId="6051EE32" w14:textId="77777777" w:rsidR="006071DB" w:rsidRDefault="0A5921E4" w:rsidP="0A5921E4">
      <w:pPr>
        <w:pStyle w:val="TOC3"/>
        <w:tabs>
          <w:tab w:val="clear" w:pos="9072"/>
          <w:tab w:val="right" w:pos="9060"/>
        </w:tabs>
      </w:pPr>
      <w:hyperlink w:anchor="_Toc1765113125">
        <w:r w:rsidRPr="0A5921E4">
          <w:rPr>
            <w:rStyle w:val="Hyperlink"/>
          </w:rPr>
          <w:t>2.2.2. Iedzīvotāju līdzdalība darba tirgū un darbaspēka piedāvājums</w:t>
        </w:r>
        <w:r w:rsidR="006071DB">
          <w:tab/>
        </w:r>
        <w:r w:rsidR="006071DB">
          <w:fldChar w:fldCharType="begin"/>
        </w:r>
        <w:r w:rsidR="006071DB">
          <w:instrText>PAGEREF _Toc1765113125 \h</w:instrText>
        </w:r>
        <w:r w:rsidR="006071DB">
          <w:fldChar w:fldCharType="separate"/>
        </w:r>
        <w:r w:rsidRPr="0A5921E4">
          <w:rPr>
            <w:rStyle w:val="Hyperlink"/>
          </w:rPr>
          <w:t>36</w:t>
        </w:r>
        <w:r w:rsidR="006071DB">
          <w:fldChar w:fldCharType="end"/>
        </w:r>
      </w:hyperlink>
    </w:p>
    <w:p w14:paraId="422BE036" w14:textId="77777777" w:rsidR="006071DB" w:rsidRDefault="0A5921E4" w:rsidP="0A5921E4">
      <w:pPr>
        <w:pStyle w:val="TOC2"/>
        <w:tabs>
          <w:tab w:val="clear" w:pos="9072"/>
          <w:tab w:val="right" w:pos="9060"/>
        </w:tabs>
      </w:pPr>
      <w:hyperlink w:anchor="_Toc156590601">
        <w:r w:rsidRPr="0A5921E4">
          <w:rPr>
            <w:rStyle w:val="Hyperlink"/>
          </w:rPr>
          <w:t>2.3. Darba tirgus pieprasījuma un piedāvājuma atbilstība</w:t>
        </w:r>
        <w:r w:rsidR="006071DB">
          <w:tab/>
        </w:r>
        <w:r w:rsidR="006071DB">
          <w:fldChar w:fldCharType="begin"/>
        </w:r>
        <w:r w:rsidR="006071DB">
          <w:instrText>PAGEREF _Toc156590601 \h</w:instrText>
        </w:r>
        <w:r w:rsidR="006071DB">
          <w:fldChar w:fldCharType="separate"/>
        </w:r>
        <w:r w:rsidRPr="0A5921E4">
          <w:rPr>
            <w:rStyle w:val="Hyperlink"/>
          </w:rPr>
          <w:t>41</w:t>
        </w:r>
        <w:r w:rsidR="006071DB">
          <w:fldChar w:fldCharType="end"/>
        </w:r>
      </w:hyperlink>
    </w:p>
    <w:p w14:paraId="28454E9C" w14:textId="77777777" w:rsidR="006071DB" w:rsidRDefault="0A5921E4" w:rsidP="0A5921E4">
      <w:pPr>
        <w:pStyle w:val="TOC2"/>
        <w:tabs>
          <w:tab w:val="clear" w:pos="9072"/>
          <w:tab w:val="right" w:pos="9060"/>
        </w:tabs>
      </w:pPr>
      <w:hyperlink w:anchor="_Toc556601381">
        <w:r w:rsidRPr="0A5921E4">
          <w:rPr>
            <w:rStyle w:val="Hyperlink"/>
          </w:rPr>
          <w:t>2.4. Izglītības piedāvājuma izmaiņas</w:t>
        </w:r>
        <w:r w:rsidR="006071DB">
          <w:tab/>
        </w:r>
        <w:r w:rsidR="006071DB">
          <w:fldChar w:fldCharType="begin"/>
        </w:r>
        <w:r w:rsidR="006071DB">
          <w:instrText>PAGEREF _Toc556601381 \h</w:instrText>
        </w:r>
        <w:r w:rsidR="006071DB">
          <w:fldChar w:fldCharType="separate"/>
        </w:r>
        <w:r w:rsidRPr="0A5921E4">
          <w:rPr>
            <w:rStyle w:val="Hyperlink"/>
          </w:rPr>
          <w:t>46</w:t>
        </w:r>
        <w:r w:rsidR="006071DB">
          <w:fldChar w:fldCharType="end"/>
        </w:r>
      </w:hyperlink>
    </w:p>
    <w:p w14:paraId="05E58C18" w14:textId="77777777" w:rsidR="006071DB" w:rsidRDefault="0A5921E4" w:rsidP="0A5921E4">
      <w:pPr>
        <w:pStyle w:val="TOC1"/>
        <w:tabs>
          <w:tab w:val="clear" w:pos="9072"/>
          <w:tab w:val="right" w:pos="9060"/>
        </w:tabs>
      </w:pPr>
      <w:hyperlink w:anchor="_Toc397084192">
        <w:r w:rsidRPr="0A5921E4">
          <w:rPr>
            <w:rStyle w:val="Hyperlink"/>
          </w:rPr>
          <w:t>3. DARBA TIRGUS VIDĒJA UN ILGTERMIŅA PROGNOZES</w:t>
        </w:r>
        <w:r w:rsidR="006071DB">
          <w:tab/>
        </w:r>
        <w:r w:rsidR="006071DB">
          <w:fldChar w:fldCharType="begin"/>
        </w:r>
        <w:r w:rsidR="006071DB">
          <w:instrText>PAGEREF _Toc397084192 \h</w:instrText>
        </w:r>
        <w:r w:rsidR="006071DB">
          <w:fldChar w:fldCharType="separate"/>
        </w:r>
        <w:r w:rsidRPr="0A5921E4">
          <w:rPr>
            <w:rStyle w:val="Hyperlink"/>
          </w:rPr>
          <w:t>55</w:t>
        </w:r>
        <w:r w:rsidR="006071DB">
          <w:fldChar w:fldCharType="end"/>
        </w:r>
      </w:hyperlink>
    </w:p>
    <w:p w14:paraId="523C2AE4" w14:textId="77777777" w:rsidR="006071DB" w:rsidRDefault="0A5921E4" w:rsidP="0A5921E4">
      <w:pPr>
        <w:pStyle w:val="TOC2"/>
        <w:tabs>
          <w:tab w:val="clear" w:pos="9072"/>
          <w:tab w:val="right" w:pos="9060"/>
        </w:tabs>
      </w:pPr>
      <w:hyperlink w:anchor="_Toc1450269577">
        <w:r w:rsidRPr="0A5921E4">
          <w:rPr>
            <w:rStyle w:val="Hyperlink"/>
          </w:rPr>
          <w:t>3.1. Ekonomikas izaugsmes pieņēmumi un demogrāfijas prognozes</w:t>
        </w:r>
        <w:r w:rsidR="006071DB">
          <w:tab/>
        </w:r>
        <w:r w:rsidR="006071DB">
          <w:fldChar w:fldCharType="begin"/>
        </w:r>
        <w:r w:rsidR="006071DB">
          <w:instrText>PAGEREF _Toc1450269577 \h</w:instrText>
        </w:r>
        <w:r w:rsidR="006071DB">
          <w:fldChar w:fldCharType="separate"/>
        </w:r>
        <w:r w:rsidRPr="0A5921E4">
          <w:rPr>
            <w:rStyle w:val="Hyperlink"/>
          </w:rPr>
          <w:t>56</w:t>
        </w:r>
        <w:r w:rsidR="006071DB">
          <w:fldChar w:fldCharType="end"/>
        </w:r>
      </w:hyperlink>
    </w:p>
    <w:p w14:paraId="6946532E" w14:textId="77777777" w:rsidR="006071DB" w:rsidRDefault="0A5921E4" w:rsidP="0A5921E4">
      <w:pPr>
        <w:pStyle w:val="TOC3"/>
        <w:tabs>
          <w:tab w:val="clear" w:pos="9072"/>
          <w:tab w:val="right" w:pos="9060"/>
        </w:tabs>
      </w:pPr>
      <w:hyperlink w:anchor="_Toc258373401">
        <w:r w:rsidRPr="0A5921E4">
          <w:rPr>
            <w:rStyle w:val="Hyperlink"/>
          </w:rPr>
          <w:t>3.1.1. Ekonomikas izaugsmes pieņēmumi - mērķa scenārijs</w:t>
        </w:r>
        <w:r w:rsidR="006071DB">
          <w:tab/>
        </w:r>
        <w:r w:rsidR="006071DB">
          <w:fldChar w:fldCharType="begin"/>
        </w:r>
        <w:r w:rsidR="006071DB">
          <w:instrText>PAGEREF _Toc258373401 \h</w:instrText>
        </w:r>
        <w:r w:rsidR="006071DB">
          <w:fldChar w:fldCharType="separate"/>
        </w:r>
        <w:r w:rsidRPr="0A5921E4">
          <w:rPr>
            <w:rStyle w:val="Hyperlink"/>
          </w:rPr>
          <w:t>56</w:t>
        </w:r>
        <w:r w:rsidR="006071DB">
          <w:fldChar w:fldCharType="end"/>
        </w:r>
      </w:hyperlink>
    </w:p>
    <w:p w14:paraId="49F1EA32" w14:textId="77777777" w:rsidR="006071DB" w:rsidRDefault="0A5921E4" w:rsidP="0A5921E4">
      <w:pPr>
        <w:pStyle w:val="TOC3"/>
        <w:tabs>
          <w:tab w:val="clear" w:pos="9072"/>
          <w:tab w:val="right" w:pos="9060"/>
        </w:tabs>
      </w:pPr>
      <w:hyperlink w:anchor="_Toc881134068">
        <w:r w:rsidRPr="0A5921E4">
          <w:rPr>
            <w:rStyle w:val="Hyperlink"/>
          </w:rPr>
          <w:t>3.1.2. Demogrāfijas prognozes</w:t>
        </w:r>
        <w:r w:rsidR="006071DB">
          <w:tab/>
        </w:r>
        <w:r w:rsidR="006071DB">
          <w:fldChar w:fldCharType="begin"/>
        </w:r>
        <w:r w:rsidR="006071DB">
          <w:instrText>PAGEREF _Toc881134068 \h</w:instrText>
        </w:r>
        <w:r w:rsidR="006071DB">
          <w:fldChar w:fldCharType="separate"/>
        </w:r>
        <w:r w:rsidRPr="0A5921E4">
          <w:rPr>
            <w:rStyle w:val="Hyperlink"/>
          </w:rPr>
          <w:t>64</w:t>
        </w:r>
        <w:r w:rsidR="006071DB">
          <w:fldChar w:fldCharType="end"/>
        </w:r>
      </w:hyperlink>
    </w:p>
    <w:p w14:paraId="60B25BE0" w14:textId="77777777" w:rsidR="006071DB" w:rsidRDefault="0A5921E4" w:rsidP="0A5921E4">
      <w:pPr>
        <w:pStyle w:val="TOC2"/>
        <w:tabs>
          <w:tab w:val="clear" w:pos="9072"/>
          <w:tab w:val="right" w:pos="9060"/>
        </w:tabs>
      </w:pPr>
      <w:hyperlink w:anchor="_Toc756754001">
        <w:r w:rsidRPr="0A5921E4">
          <w:rPr>
            <w:rStyle w:val="Hyperlink"/>
          </w:rPr>
          <w:t>3.2. Darbaspēka pieprasījums un piedāvājums</w:t>
        </w:r>
        <w:r w:rsidR="006071DB">
          <w:tab/>
        </w:r>
        <w:r w:rsidR="006071DB">
          <w:fldChar w:fldCharType="begin"/>
        </w:r>
        <w:r w:rsidR="006071DB">
          <w:instrText>PAGEREF _Toc756754001 \h</w:instrText>
        </w:r>
        <w:r w:rsidR="006071DB">
          <w:fldChar w:fldCharType="separate"/>
        </w:r>
        <w:r w:rsidRPr="0A5921E4">
          <w:rPr>
            <w:rStyle w:val="Hyperlink"/>
          </w:rPr>
          <w:t>70</w:t>
        </w:r>
        <w:r w:rsidR="006071DB">
          <w:fldChar w:fldCharType="end"/>
        </w:r>
      </w:hyperlink>
    </w:p>
    <w:p w14:paraId="357B86CE" w14:textId="77777777" w:rsidR="006071DB" w:rsidRDefault="0A5921E4" w:rsidP="0A5921E4">
      <w:pPr>
        <w:pStyle w:val="TOC3"/>
        <w:tabs>
          <w:tab w:val="clear" w:pos="9072"/>
          <w:tab w:val="right" w:pos="9060"/>
        </w:tabs>
      </w:pPr>
      <w:hyperlink w:anchor="_Toc1746005313">
        <w:r w:rsidRPr="0A5921E4">
          <w:rPr>
            <w:rStyle w:val="Hyperlink"/>
          </w:rPr>
          <w:t>3.2.1. Darbaspēka pieprasījuma prognozes</w:t>
        </w:r>
        <w:r w:rsidR="006071DB">
          <w:tab/>
        </w:r>
        <w:r w:rsidR="006071DB">
          <w:fldChar w:fldCharType="begin"/>
        </w:r>
        <w:r w:rsidR="006071DB">
          <w:instrText>PAGEREF _Toc1746005313 \h</w:instrText>
        </w:r>
        <w:r w:rsidR="006071DB">
          <w:fldChar w:fldCharType="separate"/>
        </w:r>
        <w:r w:rsidRPr="0A5921E4">
          <w:rPr>
            <w:rStyle w:val="Hyperlink"/>
          </w:rPr>
          <w:t>70</w:t>
        </w:r>
        <w:r w:rsidR="006071DB">
          <w:fldChar w:fldCharType="end"/>
        </w:r>
      </w:hyperlink>
    </w:p>
    <w:p w14:paraId="5EEF4BED" w14:textId="77777777" w:rsidR="006071DB" w:rsidRDefault="0A5921E4" w:rsidP="0A5921E4">
      <w:pPr>
        <w:pStyle w:val="TOC3"/>
        <w:tabs>
          <w:tab w:val="clear" w:pos="9072"/>
          <w:tab w:val="right" w:pos="9060"/>
        </w:tabs>
      </w:pPr>
      <w:hyperlink w:anchor="_Toc1466052067">
        <w:r w:rsidRPr="0A5921E4">
          <w:rPr>
            <w:rStyle w:val="Hyperlink"/>
          </w:rPr>
          <w:t>3.2.2. Darbaspēka piedāvājuma prognozes</w:t>
        </w:r>
        <w:r w:rsidR="006071DB">
          <w:tab/>
        </w:r>
        <w:r w:rsidR="006071DB">
          <w:fldChar w:fldCharType="begin"/>
        </w:r>
        <w:r w:rsidR="006071DB">
          <w:instrText>PAGEREF _Toc1466052067 \h</w:instrText>
        </w:r>
        <w:r w:rsidR="006071DB">
          <w:fldChar w:fldCharType="separate"/>
        </w:r>
        <w:r w:rsidRPr="0A5921E4">
          <w:rPr>
            <w:rStyle w:val="Hyperlink"/>
          </w:rPr>
          <w:t>80</w:t>
        </w:r>
        <w:r w:rsidR="006071DB">
          <w:fldChar w:fldCharType="end"/>
        </w:r>
      </w:hyperlink>
    </w:p>
    <w:p w14:paraId="1D409AB1" w14:textId="77777777" w:rsidR="006071DB" w:rsidRDefault="0A5921E4" w:rsidP="0A5921E4">
      <w:pPr>
        <w:pStyle w:val="TOC3"/>
        <w:tabs>
          <w:tab w:val="clear" w:pos="9072"/>
          <w:tab w:val="right" w:pos="9060"/>
        </w:tabs>
      </w:pPr>
      <w:hyperlink w:anchor="_Toc116555934">
        <w:r w:rsidRPr="0A5921E4">
          <w:rPr>
            <w:rStyle w:val="Hyperlink"/>
          </w:rPr>
          <w:t>3.2.3. Darbaspēka pieprasījuma un piedāvājuma atbilstība</w:t>
        </w:r>
        <w:r w:rsidR="006071DB">
          <w:tab/>
        </w:r>
        <w:r w:rsidR="006071DB">
          <w:fldChar w:fldCharType="begin"/>
        </w:r>
        <w:r w:rsidR="006071DB">
          <w:instrText>PAGEREF _Toc116555934 \h</w:instrText>
        </w:r>
        <w:r w:rsidR="006071DB">
          <w:fldChar w:fldCharType="separate"/>
        </w:r>
        <w:r w:rsidRPr="0A5921E4">
          <w:rPr>
            <w:rStyle w:val="Hyperlink"/>
          </w:rPr>
          <w:t>85</w:t>
        </w:r>
        <w:r w:rsidR="006071DB">
          <w:fldChar w:fldCharType="end"/>
        </w:r>
      </w:hyperlink>
    </w:p>
    <w:p w14:paraId="527B38BD" w14:textId="77777777" w:rsidR="006071DB" w:rsidRDefault="0A5921E4" w:rsidP="0A5921E4">
      <w:pPr>
        <w:pStyle w:val="TOC1"/>
        <w:tabs>
          <w:tab w:val="clear" w:pos="9072"/>
          <w:tab w:val="right" w:pos="9060"/>
        </w:tabs>
      </w:pPr>
      <w:hyperlink w:anchor="_Toc1212335018">
        <w:r w:rsidRPr="0A5921E4">
          <w:rPr>
            <w:rStyle w:val="Hyperlink"/>
          </w:rPr>
          <w:t>4. KOPSAVILKUMS UN PRIEKŠLIKUMI</w:t>
        </w:r>
        <w:r w:rsidR="006071DB">
          <w:tab/>
        </w:r>
        <w:r w:rsidR="006071DB">
          <w:fldChar w:fldCharType="begin"/>
        </w:r>
        <w:r w:rsidR="006071DB">
          <w:instrText>PAGEREF _Toc1212335018 \h</w:instrText>
        </w:r>
        <w:r w:rsidR="006071DB">
          <w:fldChar w:fldCharType="separate"/>
        </w:r>
        <w:r w:rsidRPr="0A5921E4">
          <w:rPr>
            <w:rStyle w:val="Hyperlink"/>
          </w:rPr>
          <w:t>100</w:t>
        </w:r>
        <w:r w:rsidR="006071DB">
          <w:fldChar w:fldCharType="end"/>
        </w:r>
      </w:hyperlink>
    </w:p>
    <w:p w14:paraId="65E31349" w14:textId="60C42A1E" w:rsidR="007818B0" w:rsidRPr="00F14EB1" w:rsidRDefault="007818B0" w:rsidP="0A5921E4">
      <w:pPr>
        <w:spacing w:before="360" w:after="0" w:line="228" w:lineRule="auto"/>
        <w:rPr>
          <w:rFonts w:ascii="Aptos Narrow" w:eastAsia="Aptos Narrow" w:hAnsi="Aptos Narrow" w:cs="Aptos Narrow"/>
          <w:b/>
          <w:color w:val="000000" w:themeColor="text1"/>
          <w:sz w:val="24"/>
          <w:szCs w:val="24"/>
        </w:rPr>
      </w:pPr>
      <w:r w:rsidRPr="0A5921E4">
        <w:rPr>
          <w:rFonts w:ascii="Cambria" w:hAnsi="Cambria"/>
          <w:highlight w:val="yellow"/>
        </w:rPr>
        <w:fldChar w:fldCharType="end"/>
      </w:r>
      <w:r w:rsidR="65028790" w:rsidRPr="00F14EB1">
        <w:rPr>
          <w:rFonts w:ascii="Aptos Narrow" w:eastAsia="Aptos Narrow" w:hAnsi="Aptos Narrow" w:cs="Aptos Narrow"/>
          <w:b/>
          <w:color w:val="000000" w:themeColor="text1"/>
          <w:sz w:val="24"/>
          <w:szCs w:val="24"/>
        </w:rPr>
        <w:t>PIELIKUMS. DETALIZĒTAS DARBA TIRGUS VIDĒJA UN ILGTERMIŅA PROGNOZES</w:t>
      </w:r>
    </w:p>
    <w:p w14:paraId="273BF0EB" w14:textId="3645170B" w:rsidR="007818B0" w:rsidRPr="00F14EB1" w:rsidRDefault="007818B0" w:rsidP="008D586E">
      <w:pPr>
        <w:spacing w:before="360" w:after="0" w:line="228" w:lineRule="auto"/>
        <w:rPr>
          <w:rFonts w:ascii="Aptos Narrow" w:hAnsi="Aptos Narrow"/>
          <w:b/>
          <w:color w:val="000000" w:themeColor="text1"/>
          <w:sz w:val="24"/>
          <w:szCs w:val="24"/>
        </w:rPr>
      </w:pPr>
    </w:p>
    <w:p w14:paraId="419625F0" w14:textId="56A65B9B" w:rsidR="007818B0" w:rsidRPr="00D829F0" w:rsidRDefault="007818B0" w:rsidP="007818B0">
      <w:pPr>
        <w:spacing w:after="0"/>
        <w:rPr>
          <w:rFonts w:ascii="Source Sans Pro" w:hAnsi="Source Sans Pro"/>
          <w:b/>
          <w:caps/>
          <w:color w:val="000000" w:themeColor="text1"/>
          <w:sz w:val="6"/>
          <w:szCs w:val="6"/>
        </w:rPr>
      </w:pPr>
      <w:r w:rsidRPr="00D829F0">
        <w:rPr>
          <w:rFonts w:ascii="Source Sans Pro" w:hAnsi="Source Sans Pro"/>
          <w:color w:val="000000" w:themeColor="text1"/>
          <w:sz w:val="6"/>
          <w:szCs w:val="6"/>
        </w:rPr>
        <w:br w:type="page"/>
      </w:r>
    </w:p>
    <w:p w14:paraId="13648F76"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6CBF4AC5"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3E0F24A2"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3CE40718"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4389999F"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2A6B3EEA"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5534078A"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779435F4"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31ED5321"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6A2EEE86"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72C2F3EA"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6FC8CC8E"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44B4EAD2"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28E2D39E"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5C78178B"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6423E641"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0B86391B"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16277B67"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74BD27C5"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2EDD5C02"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51342BC4" w14:textId="77777777" w:rsidR="008D586E" w:rsidRPr="00D829F0" w:rsidRDefault="008D586E" w:rsidP="00CD313C">
      <w:pPr>
        <w:pStyle w:val="BodyTextIndent2"/>
        <w:spacing w:line="240" w:lineRule="auto"/>
        <w:ind w:left="0"/>
        <w:jc w:val="both"/>
        <w:rPr>
          <w:rFonts w:ascii="Source Sans Pro" w:hAnsi="Source Sans Pro"/>
          <w:sz w:val="20"/>
          <w:szCs w:val="20"/>
        </w:rPr>
      </w:pPr>
    </w:p>
    <w:p w14:paraId="311748DF" w14:textId="77777777" w:rsidR="0077767D" w:rsidRPr="00D829F0" w:rsidRDefault="0077767D" w:rsidP="00CD313C">
      <w:pPr>
        <w:pStyle w:val="BodyTextIndent2"/>
        <w:spacing w:line="240" w:lineRule="auto"/>
        <w:ind w:left="0"/>
        <w:jc w:val="both"/>
        <w:rPr>
          <w:rFonts w:ascii="Source Sans Pro" w:hAnsi="Source Sans Pro"/>
          <w:sz w:val="20"/>
          <w:szCs w:val="20"/>
        </w:rPr>
      </w:pPr>
    </w:p>
    <w:p w14:paraId="668292D6" w14:textId="2C996280" w:rsidR="00CD313C" w:rsidRPr="00EF7F3C" w:rsidRDefault="00CD313C" w:rsidP="00D931A0">
      <w:pPr>
        <w:pStyle w:val="Heading1"/>
        <w:rPr>
          <w:highlight w:val="yellow"/>
        </w:rPr>
      </w:pPr>
      <w:bookmarkStart w:id="6" w:name="_Toc1906078213"/>
      <w:r w:rsidRPr="008056B8">
        <w:rPr>
          <w:noProof/>
          <w:szCs w:val="104"/>
        </w:rPr>
        <w:drawing>
          <wp:anchor distT="0" distB="0" distL="114300" distR="114300" simplePos="0" relativeHeight="251658408" behindDoc="1" locked="0" layoutInCell="1" allowOverlap="1" wp14:anchorId="285F7D78" wp14:editId="5643A95F">
            <wp:simplePos x="0" y="0"/>
            <wp:positionH relativeFrom="page">
              <wp:posOffset>0</wp:posOffset>
            </wp:positionH>
            <wp:positionV relativeFrom="page">
              <wp:posOffset>0</wp:posOffset>
            </wp:positionV>
            <wp:extent cx="7560000" cy="5040000"/>
            <wp:effectExtent l="0" t="0" r="3175" b="8255"/>
            <wp:wrapNone/>
            <wp:docPr id="1396" name="Picture 1396" descr="Metallic spheres connected in m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Picture 1396" descr="Metallic spheres connected in mesh"/>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60000" cy="5040000"/>
                    </a:xfrm>
                    <a:prstGeom prst="rect">
                      <a:avLst/>
                    </a:prstGeom>
                  </pic:spPr>
                </pic:pic>
              </a:graphicData>
            </a:graphic>
            <wp14:sizeRelH relativeFrom="page">
              <wp14:pctWidth>0</wp14:pctWidth>
            </wp14:sizeRelH>
            <wp14:sizeRelV relativeFrom="page">
              <wp14:pctHeight>0</wp14:pctHeight>
            </wp14:sizeRelV>
          </wp:anchor>
        </w:drawing>
      </w:r>
      <w:r w:rsidR="005D7337" w:rsidRPr="2F31C5D7">
        <w:t xml:space="preserve">1. </w:t>
      </w:r>
      <w:r w:rsidR="00A42DA9" w:rsidRPr="2F31C5D7">
        <w:t>TAUTSAIMNIECĪBAS UN DARBA TIRGUS ATTĪSTĪBA</w:t>
      </w:r>
      <w:bookmarkEnd w:id="1"/>
      <w:bookmarkEnd w:id="2"/>
      <w:bookmarkEnd w:id="3"/>
      <w:r w:rsidRPr="2F31C5D7">
        <w:rPr>
          <w:highlight w:val="yellow"/>
        </w:rPr>
        <w:br w:type="page"/>
      </w:r>
      <w:bookmarkEnd w:id="6"/>
    </w:p>
    <w:p w14:paraId="5AB613D4" w14:textId="77777777" w:rsidR="00983AF9" w:rsidRPr="00983AF9" w:rsidRDefault="00983AF9" w:rsidP="00983AF9">
      <w:pPr>
        <w:pStyle w:val="BodyTextIndent2"/>
        <w:spacing w:line="240" w:lineRule="auto"/>
        <w:ind w:left="0"/>
        <w:jc w:val="both"/>
        <w:rPr>
          <w:rFonts w:ascii="Source Sans Pro" w:hAnsi="Source Sans Pro"/>
          <w:sz w:val="20"/>
          <w:szCs w:val="20"/>
        </w:rPr>
      </w:pPr>
      <w:bookmarkStart w:id="7" w:name="_Toc293074217"/>
      <w:bookmarkStart w:id="8" w:name="_Toc357503110"/>
      <w:bookmarkStart w:id="9" w:name="_Toc388618380"/>
      <w:bookmarkStart w:id="10" w:name="_Toc390350657"/>
      <w:bookmarkStart w:id="11" w:name="_Toc293074218"/>
      <w:bookmarkStart w:id="12" w:name="_Toc357503111"/>
    </w:p>
    <w:p w14:paraId="6B06DD69" w14:textId="77777777" w:rsidR="00983AF9" w:rsidRPr="00983AF9" w:rsidRDefault="00983AF9" w:rsidP="00983AF9">
      <w:pPr>
        <w:pStyle w:val="BodyTextIndent2"/>
        <w:spacing w:line="240" w:lineRule="auto"/>
        <w:ind w:left="0"/>
        <w:jc w:val="both"/>
        <w:rPr>
          <w:rFonts w:ascii="Source Sans Pro" w:hAnsi="Source Sans Pro"/>
          <w:sz w:val="20"/>
          <w:szCs w:val="20"/>
        </w:rPr>
      </w:pPr>
    </w:p>
    <w:p w14:paraId="399D34F9" w14:textId="7FC346B0" w:rsidR="00112623" w:rsidRPr="00A92FE8" w:rsidRDefault="00187F01" w:rsidP="007B44F9">
      <w:pPr>
        <w:pBdr>
          <w:left w:val="single" w:sz="24" w:space="10" w:color="0E5A69"/>
        </w:pBdr>
        <w:spacing w:after="120"/>
        <w:jc w:val="both"/>
        <w:rPr>
          <w:rFonts w:ascii="Aptos Narrow" w:hAnsi="Aptos Narrow" w:cs="Verdana"/>
          <w:i/>
          <w:color w:val="0E5A69"/>
          <w:sz w:val="40"/>
          <w:szCs w:val="40"/>
        </w:rPr>
      </w:pPr>
      <w:r w:rsidRPr="004A6EF2">
        <w:rPr>
          <w:rFonts w:ascii="Aptos Narrow" w:hAnsi="Aptos Narrow"/>
          <w:i/>
          <w:color w:val="0E5A69"/>
          <w:sz w:val="40"/>
          <w:szCs w:val="40"/>
        </w:rPr>
        <w:t>Pēc trīs gadu stagnācijas</w:t>
      </w:r>
      <w:r w:rsidR="00112623" w:rsidRPr="004A6EF2">
        <w:rPr>
          <w:rFonts w:ascii="Aptos Narrow" w:hAnsi="Aptos Narrow"/>
          <w:i/>
          <w:color w:val="0E5A69"/>
          <w:sz w:val="40"/>
          <w:szCs w:val="40"/>
        </w:rPr>
        <w:t xml:space="preserve"> </w:t>
      </w:r>
      <w:r w:rsidR="00112623" w:rsidRPr="004A6EF2">
        <w:rPr>
          <w:rFonts w:ascii="Aptos Narrow" w:hAnsi="Aptos Narrow" w:cs="Verdana"/>
          <w:i/>
          <w:color w:val="0E5A69"/>
          <w:sz w:val="40"/>
          <w:szCs w:val="40"/>
        </w:rPr>
        <w:t xml:space="preserve">Latvijas ekonomika 2025. gadā atgriezās pie izaugsmes, un darba tirgus stabilizējās, </w:t>
      </w:r>
      <w:r w:rsidR="004A6EF2">
        <w:rPr>
          <w:rFonts w:ascii="Aptos Narrow" w:hAnsi="Aptos Narrow" w:cs="Verdana"/>
          <w:i/>
          <w:color w:val="0E5A69"/>
          <w:sz w:val="40"/>
          <w:szCs w:val="40"/>
        </w:rPr>
        <w:t>tomēr</w:t>
      </w:r>
      <w:r w:rsidR="00112623" w:rsidRPr="004A6EF2">
        <w:rPr>
          <w:rFonts w:ascii="Aptos Narrow" w:hAnsi="Aptos Narrow" w:cs="Verdana"/>
          <w:i/>
          <w:color w:val="0E5A69"/>
          <w:sz w:val="40"/>
          <w:szCs w:val="40"/>
        </w:rPr>
        <w:t xml:space="preserve"> galvenais konkurētspējas izaicinājums saglabājas </w:t>
      </w:r>
      <w:r w:rsidR="004B11BE" w:rsidRPr="004A6EF2">
        <w:rPr>
          <w:rFonts w:ascii="Aptos Narrow" w:hAnsi="Aptos Narrow" w:cs="Verdana"/>
          <w:i/>
          <w:color w:val="0E5A69"/>
          <w:sz w:val="40"/>
          <w:szCs w:val="40"/>
        </w:rPr>
        <w:t>–</w:t>
      </w:r>
      <w:r w:rsidR="00112623" w:rsidRPr="004A6EF2">
        <w:rPr>
          <w:rFonts w:ascii="Aptos Narrow" w:hAnsi="Aptos Narrow" w:cs="Verdana"/>
          <w:i/>
          <w:color w:val="0E5A69"/>
          <w:sz w:val="40"/>
          <w:szCs w:val="40"/>
        </w:rPr>
        <w:t xml:space="preserve"> darbaspēka izmaksas aug straujāk nekā produktivitāte</w:t>
      </w:r>
    </w:p>
    <w:p w14:paraId="35A8E631" w14:textId="77777777" w:rsidR="001644DC" w:rsidRPr="001644DC" w:rsidRDefault="001644DC" w:rsidP="001644DC">
      <w:pPr>
        <w:pStyle w:val="BodyTextIndent2"/>
        <w:spacing w:line="240" w:lineRule="auto"/>
        <w:ind w:left="0"/>
        <w:jc w:val="both"/>
        <w:rPr>
          <w:rFonts w:ascii="Source Sans Pro" w:hAnsi="Source Sans Pro"/>
          <w:sz w:val="20"/>
          <w:szCs w:val="20"/>
        </w:rPr>
      </w:pPr>
    </w:p>
    <w:p w14:paraId="4A7795F3" w14:textId="77777777" w:rsidR="004A6EF2" w:rsidRDefault="004A6EF2" w:rsidP="001644DC">
      <w:pPr>
        <w:pStyle w:val="BodyTextIndent2"/>
        <w:spacing w:line="240" w:lineRule="auto"/>
        <w:ind w:left="0"/>
        <w:jc w:val="both"/>
        <w:rPr>
          <w:rFonts w:ascii="Source Sans Pro" w:hAnsi="Source Sans Pro"/>
          <w:sz w:val="20"/>
          <w:szCs w:val="20"/>
        </w:rPr>
      </w:pPr>
    </w:p>
    <w:p w14:paraId="41407FF1" w14:textId="77777777" w:rsidR="004A6EF2" w:rsidRDefault="004A6EF2" w:rsidP="001644DC">
      <w:pPr>
        <w:pStyle w:val="BodyTextIndent2"/>
        <w:spacing w:line="240" w:lineRule="auto"/>
        <w:ind w:left="0"/>
        <w:jc w:val="both"/>
        <w:rPr>
          <w:rFonts w:ascii="Source Sans Pro" w:hAnsi="Source Sans Pro"/>
          <w:sz w:val="20"/>
          <w:szCs w:val="20"/>
        </w:rPr>
      </w:pPr>
    </w:p>
    <w:p w14:paraId="59A57A43" w14:textId="77777777" w:rsidR="004A6EF2" w:rsidRPr="001644DC" w:rsidRDefault="004A6EF2" w:rsidP="001644DC">
      <w:pPr>
        <w:pStyle w:val="BodyTextIndent2"/>
        <w:spacing w:line="240" w:lineRule="auto"/>
        <w:ind w:left="0"/>
        <w:jc w:val="both"/>
        <w:rPr>
          <w:rFonts w:ascii="Source Sans Pro" w:hAnsi="Source Sans Pro"/>
          <w:sz w:val="20"/>
          <w:szCs w:val="20"/>
        </w:rPr>
      </w:pPr>
    </w:p>
    <w:p w14:paraId="3F11A96A" w14:textId="3A712030" w:rsidR="0053017C" w:rsidRPr="00084A77" w:rsidRDefault="005D423A" w:rsidP="00620421">
      <w:pPr>
        <w:pStyle w:val="Heading2"/>
      </w:pPr>
      <w:bookmarkStart w:id="13" w:name="_Toc1210525971"/>
      <w:r w:rsidRPr="00084A77">
        <w:t>1.1. Makroekonomiskā situācija</w:t>
      </w:r>
      <w:bookmarkEnd w:id="7"/>
      <w:bookmarkEnd w:id="8"/>
      <w:bookmarkEnd w:id="9"/>
      <w:bookmarkEnd w:id="10"/>
      <w:r w:rsidR="00D6511B" w:rsidRPr="00084A77">
        <w:t xml:space="preserve"> </w:t>
      </w:r>
      <w:r w:rsidR="007818B0" w:rsidRPr="00084A77">
        <w:t>un nozaru attīstība</w:t>
      </w:r>
      <w:bookmarkEnd w:id="13"/>
    </w:p>
    <w:bookmarkEnd w:id="4"/>
    <w:bookmarkEnd w:id="11"/>
    <w:bookmarkEnd w:id="12"/>
    <w:p w14:paraId="0386AE82" w14:textId="77777777" w:rsidR="004B39FD" w:rsidRDefault="004B39FD" w:rsidP="003677B6">
      <w:pPr>
        <w:pStyle w:val="BodyTextIndent2"/>
        <w:spacing w:line="240" w:lineRule="auto"/>
        <w:ind w:left="0"/>
        <w:jc w:val="both"/>
        <w:rPr>
          <w:rFonts w:ascii="Source Sans Pro" w:hAnsi="Source Sans Pro"/>
          <w:sz w:val="20"/>
          <w:szCs w:val="20"/>
        </w:rPr>
      </w:pPr>
    </w:p>
    <w:p w14:paraId="53DED694" w14:textId="77777777" w:rsidR="004B39FD" w:rsidRPr="004B39FD" w:rsidRDefault="004B39FD" w:rsidP="009739C4">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3C59AC1E" w14:textId="779654D6" w:rsidR="004B39FD" w:rsidRPr="009739C4" w:rsidRDefault="004B39FD" w:rsidP="009739C4">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tab/>
      </w:r>
      <w:r w:rsidRPr="1BFB338D">
        <w:rPr>
          <w:rFonts w:ascii="Aptos Narrow" w:hAnsi="Aptos Narrow" w:cs="Verdana"/>
          <w:color w:val="262626" w:themeColor="text1" w:themeTint="D9"/>
          <w:sz w:val="22"/>
        </w:rPr>
        <w:t>Latvijas ekonomika 2025.</w:t>
      </w:r>
      <w:r w:rsidR="007B44F9" w:rsidRPr="1BFB338D">
        <w:rPr>
          <w:rFonts w:ascii="Aptos Narrow" w:hAnsi="Aptos Narrow" w:cs="Verdana"/>
          <w:color w:val="262626" w:themeColor="text1" w:themeTint="D9"/>
          <w:sz w:val="22"/>
        </w:rPr>
        <w:t> </w:t>
      </w:r>
      <w:r w:rsidRPr="1BFB338D">
        <w:rPr>
          <w:rFonts w:ascii="Aptos Narrow" w:hAnsi="Aptos Narrow" w:cs="Verdana"/>
          <w:color w:val="262626" w:themeColor="text1" w:themeTint="D9"/>
          <w:sz w:val="22"/>
        </w:rPr>
        <w:t xml:space="preserve">gadā ir atguvusi izaugsmi – </w:t>
      </w:r>
      <w:r w:rsidR="00452E78" w:rsidRPr="1BFB338D">
        <w:rPr>
          <w:rFonts w:ascii="Aptos Narrow" w:hAnsi="Aptos Narrow" w:cs="Verdana"/>
          <w:color w:val="262626" w:themeColor="text1" w:themeTint="D9"/>
          <w:sz w:val="22"/>
        </w:rPr>
        <w:t>IKP</w:t>
      </w:r>
      <w:r w:rsidRPr="1BFB338D">
        <w:rPr>
          <w:rFonts w:ascii="Aptos Narrow" w:hAnsi="Aptos Narrow" w:cs="Verdana"/>
          <w:color w:val="262626" w:themeColor="text1" w:themeTint="D9"/>
          <w:sz w:val="22"/>
        </w:rPr>
        <w:t xml:space="preserve"> pieauga par 2,1</w:t>
      </w:r>
      <w:r w:rsidR="00921C3E">
        <w:rPr>
          <w:rFonts w:ascii="Aptos Narrow" w:hAnsi="Aptos Narrow" w:cs="Verdana"/>
          <w:color w:val="262626" w:themeColor="text1" w:themeTint="D9"/>
          <w:sz w:val="22"/>
        </w:rPr>
        <w:t> </w:t>
      </w:r>
      <w:r w:rsidRPr="1BFB338D">
        <w:rPr>
          <w:rFonts w:ascii="Aptos Narrow" w:hAnsi="Aptos Narrow" w:cs="Verdana"/>
          <w:color w:val="262626" w:themeColor="text1" w:themeTint="D9"/>
          <w:sz w:val="22"/>
        </w:rPr>
        <w:t>%, apliecinot tautsaimniecības spēju pārvarēt pēdējo gadu satricinājumus.</w:t>
      </w:r>
    </w:p>
    <w:p w14:paraId="572CBF02" w14:textId="6098714B" w:rsidR="004B39FD" w:rsidRPr="009739C4" w:rsidRDefault="004B39FD" w:rsidP="009739C4">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sidR="00CD106B">
        <w:rPr>
          <w:rFonts w:ascii="Aptos Narrow" w:hAnsi="Aptos Narrow" w:cs="Verdana"/>
          <w:b/>
          <w:color w:val="00859B"/>
          <w:sz w:val="22"/>
        </w:rPr>
        <w:tab/>
      </w:r>
      <w:r w:rsidRPr="004B39FD">
        <w:rPr>
          <w:rFonts w:ascii="Aptos Narrow" w:hAnsi="Aptos Narrow" w:cs="Verdana"/>
          <w:color w:val="262626"/>
          <w:sz w:val="22"/>
        </w:rPr>
        <w:t xml:space="preserve">Izaugsmi </w:t>
      </w:r>
      <w:r w:rsidR="006B4DED">
        <w:rPr>
          <w:rFonts w:ascii="Aptos Narrow" w:hAnsi="Aptos Narrow" w:cs="Verdana"/>
          <w:color w:val="262626"/>
          <w:sz w:val="22"/>
        </w:rPr>
        <w:t>veicināja</w:t>
      </w:r>
      <w:r w:rsidRPr="004B39FD">
        <w:rPr>
          <w:rFonts w:ascii="Aptos Narrow" w:hAnsi="Aptos Narrow" w:cs="Verdana"/>
          <w:color w:val="262626"/>
          <w:sz w:val="22"/>
        </w:rPr>
        <w:t xml:space="preserve"> investīciju kāpums, ko sekmēja ES fondu līdzekļu apguve</w:t>
      </w:r>
      <w:r w:rsidR="006B4DED">
        <w:rPr>
          <w:rFonts w:ascii="Aptos Narrow" w:hAnsi="Aptos Narrow" w:cs="Verdana"/>
          <w:color w:val="262626"/>
          <w:sz w:val="22"/>
        </w:rPr>
        <w:t xml:space="preserve"> un</w:t>
      </w:r>
      <w:r w:rsidRPr="004B39FD">
        <w:rPr>
          <w:rFonts w:ascii="Aptos Narrow" w:hAnsi="Aptos Narrow" w:cs="Verdana"/>
          <w:color w:val="262626"/>
          <w:sz w:val="22"/>
        </w:rPr>
        <w:t xml:space="preserve"> privātā sektora kreditēšanas atjaunošanās.</w:t>
      </w:r>
    </w:p>
    <w:p w14:paraId="6AA88DD6" w14:textId="3C5A637F" w:rsidR="004B39FD" w:rsidRPr="009739C4" w:rsidRDefault="004B39FD" w:rsidP="009739C4">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sidR="00CD106B">
        <w:rPr>
          <w:rFonts w:ascii="Aptos Narrow" w:hAnsi="Aptos Narrow" w:cs="Verdana"/>
          <w:b/>
          <w:color w:val="00859B"/>
          <w:sz w:val="22"/>
        </w:rPr>
        <w:tab/>
      </w:r>
      <w:r w:rsidRPr="004B39FD">
        <w:rPr>
          <w:rFonts w:ascii="Aptos Narrow" w:hAnsi="Aptos Narrow" w:cs="Verdana"/>
          <w:color w:val="262626"/>
          <w:sz w:val="22"/>
        </w:rPr>
        <w:t>Ražojošās nozares auga straujāk nekā pakalpojumi,  lielāko pienesumu deva apstrādes rūpniecība un būvniecība, vienlaikus tautsaimniecības struktūrā pakāpeniski pieaugot pakalpojumu, jo īpaši informācijas un komunikācijas pakalpojumu, nozīmei.</w:t>
      </w:r>
    </w:p>
    <w:p w14:paraId="11A015C0" w14:textId="5D4184DC" w:rsidR="004B39FD" w:rsidRPr="004B39FD" w:rsidRDefault="004B39FD" w:rsidP="009739C4">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sidR="00CD106B">
        <w:rPr>
          <w:rFonts w:ascii="Aptos Narrow" w:hAnsi="Aptos Narrow" w:cs="Verdana"/>
          <w:b/>
          <w:color w:val="00859B"/>
          <w:sz w:val="22"/>
        </w:rPr>
        <w:tab/>
      </w:r>
      <w:r w:rsidRPr="004B39FD">
        <w:rPr>
          <w:rFonts w:ascii="Aptos Narrow" w:hAnsi="Aptos Narrow" w:cs="Verdana"/>
          <w:color w:val="262626"/>
          <w:sz w:val="22"/>
        </w:rPr>
        <w:t xml:space="preserve">Latvija joprojām atpaliek no ES vidējā labklājības līmeņa – </w:t>
      </w:r>
      <w:r w:rsidR="00452E78">
        <w:rPr>
          <w:rFonts w:ascii="Aptos Narrow" w:hAnsi="Aptos Narrow" w:cs="Verdana"/>
          <w:color w:val="262626"/>
          <w:sz w:val="22"/>
        </w:rPr>
        <w:t>IKP</w:t>
      </w:r>
      <w:r w:rsidRPr="004B39FD">
        <w:rPr>
          <w:rFonts w:ascii="Aptos Narrow" w:hAnsi="Aptos Narrow" w:cs="Verdana"/>
          <w:color w:val="262626"/>
          <w:sz w:val="22"/>
        </w:rPr>
        <w:t xml:space="preserve"> uz vienu iedzīvotāju sasniedz aptuveni 71</w:t>
      </w:r>
      <w:r w:rsidR="00921C3E">
        <w:rPr>
          <w:rFonts w:ascii="Aptos Narrow" w:hAnsi="Aptos Narrow" w:cs="Verdana"/>
          <w:color w:val="262626"/>
          <w:sz w:val="22"/>
        </w:rPr>
        <w:t> </w:t>
      </w:r>
      <w:r w:rsidRPr="004B39FD">
        <w:rPr>
          <w:rFonts w:ascii="Aptos Narrow" w:hAnsi="Aptos Narrow" w:cs="Verdana"/>
          <w:color w:val="262626"/>
          <w:sz w:val="22"/>
        </w:rPr>
        <w:t>% no ES vidējā, un konverģence norit lēnāk nekā kaimiņvalstīs.</w:t>
      </w:r>
    </w:p>
    <w:p w14:paraId="491ACEB8" w14:textId="77777777" w:rsidR="004B39FD" w:rsidRDefault="004B39FD" w:rsidP="003677B6">
      <w:pPr>
        <w:pStyle w:val="BodyTextIndent2"/>
        <w:spacing w:line="240" w:lineRule="auto"/>
        <w:ind w:left="0"/>
        <w:jc w:val="both"/>
        <w:rPr>
          <w:rFonts w:ascii="Source Sans Pro" w:hAnsi="Source Sans Pro"/>
          <w:sz w:val="20"/>
          <w:szCs w:val="20"/>
        </w:rPr>
      </w:pPr>
    </w:p>
    <w:p w14:paraId="10DC3EEE" w14:textId="4E40423B" w:rsidR="00B73A48" w:rsidRPr="00D829F0" w:rsidRDefault="00181606" w:rsidP="003677B6">
      <w:pPr>
        <w:pStyle w:val="BodyTextIndent2"/>
        <w:spacing w:line="240" w:lineRule="auto"/>
        <w:ind w:left="0"/>
        <w:jc w:val="both"/>
        <w:rPr>
          <w:rFonts w:ascii="Source Sans Pro" w:hAnsi="Source Sans Pro"/>
          <w:sz w:val="20"/>
          <w:szCs w:val="20"/>
        </w:rPr>
      </w:pPr>
      <w:r w:rsidRPr="00D829F0">
        <w:rPr>
          <w:rFonts w:ascii="Source Sans Pro" w:hAnsi="Source Sans Pro"/>
          <w:sz w:val="20"/>
          <w:szCs w:val="20"/>
        </w:rPr>
        <w:t>Pirms</w:t>
      </w:r>
      <w:r w:rsidR="00B73A48" w:rsidRPr="00D829F0">
        <w:rPr>
          <w:rFonts w:ascii="Source Sans Pro" w:hAnsi="Source Sans Pro"/>
          <w:sz w:val="20"/>
          <w:szCs w:val="20"/>
        </w:rPr>
        <w:t xml:space="preserve"> Covid-19 </w:t>
      </w:r>
      <w:r w:rsidRPr="00D829F0">
        <w:rPr>
          <w:rFonts w:ascii="Source Sans Pro" w:hAnsi="Source Sans Pro"/>
          <w:sz w:val="20"/>
          <w:szCs w:val="20"/>
        </w:rPr>
        <w:t xml:space="preserve">pandēmijas Latvijā </w:t>
      </w:r>
      <w:r w:rsidR="00B73A48" w:rsidRPr="00D829F0">
        <w:rPr>
          <w:rFonts w:ascii="Source Sans Pro" w:hAnsi="Source Sans Pro"/>
          <w:sz w:val="20"/>
          <w:szCs w:val="20"/>
        </w:rPr>
        <w:t xml:space="preserve">saglabājās stabila ekonomiskā izaugsme, </w:t>
      </w:r>
      <w:r w:rsidRPr="00D829F0">
        <w:rPr>
          <w:rFonts w:ascii="Source Sans Pro" w:hAnsi="Source Sans Pro"/>
          <w:sz w:val="20"/>
          <w:szCs w:val="20"/>
        </w:rPr>
        <w:t>kas</w:t>
      </w:r>
      <w:r w:rsidR="00B73A48" w:rsidRPr="00D829F0">
        <w:rPr>
          <w:rFonts w:ascii="Source Sans Pro" w:hAnsi="Source Sans Pro"/>
          <w:sz w:val="20"/>
          <w:szCs w:val="20"/>
        </w:rPr>
        <w:t xml:space="preserve"> pārsniedza ES vidējos rādītājus</w:t>
      </w:r>
      <w:r w:rsidRPr="00D829F0">
        <w:rPr>
          <w:rFonts w:ascii="Source Sans Pro" w:hAnsi="Source Sans Pro"/>
          <w:sz w:val="20"/>
          <w:szCs w:val="20"/>
        </w:rPr>
        <w:t xml:space="preserve"> – no</w:t>
      </w:r>
      <w:r w:rsidR="00B73A48" w:rsidRPr="00D829F0">
        <w:rPr>
          <w:rFonts w:ascii="Source Sans Pro" w:hAnsi="Source Sans Pro"/>
          <w:sz w:val="20"/>
          <w:szCs w:val="20"/>
        </w:rPr>
        <w:t xml:space="preserve"> 2013</w:t>
      </w:r>
      <w:r w:rsidR="00FF63B5" w:rsidRPr="00D829F0">
        <w:rPr>
          <w:rFonts w:ascii="Source Sans Pro" w:hAnsi="Source Sans Pro"/>
          <w:sz w:val="20"/>
          <w:szCs w:val="20"/>
        </w:rPr>
        <w:t>.</w:t>
      </w:r>
      <w:r w:rsidR="00B73A48" w:rsidRPr="00D829F0">
        <w:rPr>
          <w:rFonts w:ascii="Source Sans Pro" w:hAnsi="Source Sans Pro"/>
          <w:sz w:val="20"/>
          <w:szCs w:val="20"/>
        </w:rPr>
        <w:t xml:space="preserve"> līdz 2019</w:t>
      </w:r>
      <w:r w:rsidR="00FF63B5" w:rsidRPr="00D829F0">
        <w:rPr>
          <w:rFonts w:ascii="Source Sans Pro" w:hAnsi="Source Sans Pro"/>
          <w:sz w:val="20"/>
          <w:szCs w:val="20"/>
        </w:rPr>
        <w:t>.</w:t>
      </w:r>
      <w:r w:rsidR="00CA57D4">
        <w:rPr>
          <w:rFonts w:ascii="Source Sans Pro" w:hAnsi="Source Sans Pro"/>
          <w:sz w:val="20"/>
          <w:szCs w:val="20"/>
        </w:rPr>
        <w:t> </w:t>
      </w:r>
      <w:r w:rsidR="00FF63B5" w:rsidRPr="00D829F0">
        <w:rPr>
          <w:rFonts w:ascii="Source Sans Pro" w:hAnsi="Source Sans Pro"/>
          <w:sz w:val="20"/>
          <w:szCs w:val="20"/>
        </w:rPr>
        <w:t>gad</w:t>
      </w:r>
      <w:r w:rsidR="00B73A48" w:rsidRPr="00D829F0">
        <w:rPr>
          <w:rFonts w:ascii="Source Sans Pro" w:hAnsi="Source Sans Pro"/>
          <w:sz w:val="20"/>
          <w:szCs w:val="20"/>
        </w:rPr>
        <w:t>am IKP vidēji pieauga par 2,9</w:t>
      </w:r>
      <w:r w:rsidR="0080669C" w:rsidRPr="00D829F0">
        <w:rPr>
          <w:rFonts w:ascii="Source Sans Pro" w:hAnsi="Source Sans Pro"/>
          <w:sz w:val="20"/>
          <w:szCs w:val="20"/>
        </w:rPr>
        <w:t>%</w:t>
      </w:r>
      <w:r w:rsidR="00B73A48" w:rsidRPr="00D829F0">
        <w:rPr>
          <w:rFonts w:ascii="Source Sans Pro" w:hAnsi="Source Sans Pro"/>
          <w:sz w:val="20"/>
          <w:szCs w:val="20"/>
        </w:rPr>
        <w:t xml:space="preserve"> </w:t>
      </w:r>
      <w:r w:rsidRPr="00D829F0">
        <w:rPr>
          <w:rFonts w:ascii="Source Sans Pro" w:hAnsi="Source Sans Pro"/>
          <w:sz w:val="20"/>
          <w:szCs w:val="20"/>
        </w:rPr>
        <w:t>gadā. Pandēmijas ietekmē 2020.</w:t>
      </w:r>
      <w:r w:rsidR="00CA57D4">
        <w:rPr>
          <w:rFonts w:ascii="Source Sans Pro" w:hAnsi="Source Sans Pro"/>
          <w:sz w:val="20"/>
          <w:szCs w:val="20"/>
        </w:rPr>
        <w:t> </w:t>
      </w:r>
      <w:r w:rsidRPr="00D829F0">
        <w:rPr>
          <w:rFonts w:ascii="Source Sans Pro" w:hAnsi="Source Sans Pro"/>
          <w:sz w:val="20"/>
          <w:szCs w:val="20"/>
        </w:rPr>
        <w:t xml:space="preserve">gadā IKP </w:t>
      </w:r>
      <w:r w:rsidR="00B73A48" w:rsidRPr="00D829F0">
        <w:rPr>
          <w:rFonts w:ascii="Source Sans Pro" w:hAnsi="Source Sans Pro"/>
          <w:sz w:val="20"/>
          <w:szCs w:val="20"/>
        </w:rPr>
        <w:t>saruka par 3,5</w:t>
      </w:r>
      <w:r w:rsidRPr="00D829F0">
        <w:rPr>
          <w:rFonts w:ascii="Source Sans Pro" w:hAnsi="Source Sans Pro"/>
          <w:sz w:val="20"/>
          <w:szCs w:val="20"/>
        </w:rPr>
        <w:t>%, taču</w:t>
      </w:r>
      <w:r w:rsidR="00B73A48" w:rsidRPr="00D829F0">
        <w:rPr>
          <w:rFonts w:ascii="Source Sans Pro" w:hAnsi="Source Sans Pro"/>
          <w:sz w:val="20"/>
          <w:szCs w:val="20"/>
        </w:rPr>
        <w:t xml:space="preserve"> valdības un ES fondu atbalsta pasākumi</w:t>
      </w:r>
      <w:r w:rsidRPr="00D829F0">
        <w:rPr>
          <w:rFonts w:ascii="Source Sans Pro" w:hAnsi="Source Sans Pro"/>
          <w:sz w:val="20"/>
          <w:szCs w:val="20"/>
        </w:rPr>
        <w:t xml:space="preserve"> sekmēja strauju</w:t>
      </w:r>
      <w:r w:rsidR="00B73A48" w:rsidRPr="00D829F0">
        <w:rPr>
          <w:rFonts w:ascii="Source Sans Pro" w:hAnsi="Source Sans Pro"/>
          <w:sz w:val="20"/>
          <w:szCs w:val="20"/>
        </w:rPr>
        <w:t xml:space="preserve"> ekonomikas atveseļošanos, un </w:t>
      </w:r>
      <w:r w:rsidRPr="00D829F0">
        <w:rPr>
          <w:rFonts w:ascii="Source Sans Pro" w:hAnsi="Source Sans Pro"/>
          <w:sz w:val="20"/>
          <w:szCs w:val="20"/>
        </w:rPr>
        <w:t>2021.</w:t>
      </w:r>
      <w:r w:rsidR="00CA57D4">
        <w:rPr>
          <w:rFonts w:ascii="Source Sans Pro" w:hAnsi="Source Sans Pro"/>
          <w:sz w:val="20"/>
          <w:szCs w:val="20"/>
        </w:rPr>
        <w:t> </w:t>
      </w:r>
      <w:r w:rsidRPr="00D829F0">
        <w:rPr>
          <w:rFonts w:ascii="Source Sans Pro" w:hAnsi="Source Sans Pro"/>
          <w:sz w:val="20"/>
          <w:szCs w:val="20"/>
        </w:rPr>
        <w:t>gadā IKP pieauga par 6,9%. Turpmākajos gados ekonomikas attīstību būtiski ietekmēja Krievijas iebrukuma Ukrainā izraisītie piegāžu ķēžu pārrāvumi, energoresursu un pārtikas dārdzības izraisītais inflācijas kāpums, augstās procentu likmes un vājais ārējais pieprasījums – 2022.</w:t>
      </w:r>
      <w:r w:rsidR="00CA57D4">
        <w:rPr>
          <w:rFonts w:ascii="Source Sans Pro" w:hAnsi="Source Sans Pro"/>
          <w:sz w:val="20"/>
          <w:szCs w:val="20"/>
        </w:rPr>
        <w:t> </w:t>
      </w:r>
      <w:r w:rsidRPr="00D829F0">
        <w:rPr>
          <w:rFonts w:ascii="Source Sans Pro" w:hAnsi="Source Sans Pro"/>
          <w:sz w:val="20"/>
          <w:szCs w:val="20"/>
        </w:rPr>
        <w:t>gadā IKP pieaugums būtiski palēninājās līdz 1,9%, bet 2023.</w:t>
      </w:r>
      <w:r w:rsidR="00921C3E">
        <w:rPr>
          <w:rFonts w:ascii="Source Sans Pro" w:hAnsi="Source Sans Pro"/>
          <w:sz w:val="20"/>
          <w:szCs w:val="20"/>
        </w:rPr>
        <w:t> </w:t>
      </w:r>
      <w:r w:rsidRPr="00D829F0">
        <w:rPr>
          <w:rFonts w:ascii="Source Sans Pro" w:hAnsi="Source Sans Pro"/>
          <w:sz w:val="20"/>
          <w:szCs w:val="20"/>
        </w:rPr>
        <w:t>gadā IKP saruka par 0,9%.</w:t>
      </w:r>
    </w:p>
    <w:p w14:paraId="6C66EB94" w14:textId="69DF976A" w:rsidR="00B73A48" w:rsidRPr="00D829F0" w:rsidRDefault="00941756" w:rsidP="003677B6">
      <w:pPr>
        <w:pStyle w:val="BodyTextIndent2"/>
        <w:spacing w:line="240" w:lineRule="auto"/>
        <w:ind w:left="0"/>
        <w:jc w:val="both"/>
        <w:rPr>
          <w:rFonts w:ascii="Source Sans Pro" w:hAnsi="Source Sans Pro"/>
          <w:sz w:val="20"/>
          <w:szCs w:val="20"/>
        </w:rPr>
      </w:pPr>
      <w:r w:rsidRPr="00D829F0">
        <w:rPr>
          <w:rFonts w:ascii="Source Sans Pro" w:hAnsi="Source Sans Pro"/>
          <w:sz w:val="20"/>
          <w:szCs w:val="20"/>
        </w:rPr>
        <w:t>2024.</w:t>
      </w:r>
      <w:r w:rsidR="00CA57D4">
        <w:rPr>
          <w:rFonts w:ascii="Source Sans Pro" w:hAnsi="Source Sans Pro"/>
          <w:sz w:val="20"/>
          <w:szCs w:val="20"/>
        </w:rPr>
        <w:t> </w:t>
      </w:r>
      <w:r w:rsidRPr="00D829F0">
        <w:rPr>
          <w:rFonts w:ascii="Source Sans Pro" w:hAnsi="Source Sans Pro"/>
          <w:sz w:val="20"/>
          <w:szCs w:val="20"/>
        </w:rPr>
        <w:t>gadā Latvijas ekonomika kopumā saglabājās iepriekšējā gada līmenī. Lai arī inflācijas tempi stabilizējās, nelabvēlīgā ārējā vide turpināja kavēt izaugsmi. Gada pirmajā pusgadā ekonomika vēl turpināja sarukt, taču, sākot ar otro pusgadu, IKP atkal sāka pieaugt. Ekonomikas attīstību 2024.</w:t>
      </w:r>
      <w:r w:rsidR="00CA57D4">
        <w:rPr>
          <w:rFonts w:ascii="Source Sans Pro" w:hAnsi="Source Sans Pro"/>
          <w:sz w:val="20"/>
          <w:szCs w:val="20"/>
        </w:rPr>
        <w:t> </w:t>
      </w:r>
      <w:r w:rsidRPr="00D829F0">
        <w:rPr>
          <w:rFonts w:ascii="Source Sans Pro" w:hAnsi="Source Sans Pro"/>
          <w:sz w:val="20"/>
          <w:szCs w:val="20"/>
        </w:rPr>
        <w:t>gadā ietekmēja vājais ārējais pieprasījums, augstas procentu likmes un investīciju aktivitātes samazinājums – investīcijas saruka par 7%, ko būtiski ietekmēja privāto investīciju mazināšanās un ES finansēto programmu apgūšanas kavēšanās. Gan privātais patēriņš, gan  preču un pakalpojumu eksports pieauga tikai par 0,1%, savukārt imports samazinājās par 1,8%.</w:t>
      </w:r>
    </w:p>
    <w:p w14:paraId="436872AB" w14:textId="14E55E39" w:rsidR="00B73A48" w:rsidRPr="00D829F0" w:rsidRDefault="001F09C7" w:rsidP="003677B6">
      <w:pPr>
        <w:pStyle w:val="BodyTextIndent2"/>
        <w:spacing w:line="240" w:lineRule="auto"/>
        <w:ind w:left="0"/>
        <w:jc w:val="both"/>
        <w:rPr>
          <w:rFonts w:ascii="Source Sans Pro" w:hAnsi="Source Sans Pro"/>
          <w:sz w:val="20"/>
          <w:szCs w:val="20"/>
        </w:rPr>
      </w:pPr>
      <w:r w:rsidRPr="00D829F0">
        <w:rPr>
          <w:rFonts w:ascii="Source Sans Pro" w:hAnsi="Source Sans Pro"/>
          <w:sz w:val="20"/>
          <w:szCs w:val="20"/>
        </w:rPr>
        <w:t>2025.</w:t>
      </w:r>
      <w:r w:rsidR="00CA57D4">
        <w:rPr>
          <w:rFonts w:ascii="Source Sans Pro" w:hAnsi="Source Sans Pro"/>
          <w:sz w:val="20"/>
          <w:szCs w:val="20"/>
        </w:rPr>
        <w:t> </w:t>
      </w:r>
      <w:r w:rsidRPr="00D829F0">
        <w:rPr>
          <w:rFonts w:ascii="Source Sans Pro" w:hAnsi="Source Sans Pro"/>
          <w:sz w:val="20"/>
          <w:szCs w:val="20"/>
        </w:rPr>
        <w:t xml:space="preserve">gadā Latvijas ekonomika atgriezās pie izaugsmes – IKP pieauga par 2,1%, apliecinot, ka tautsaimniecība ir spējusi pārvarēt pēdējo gadu satricinājumus. Šo izaugsmi lielā mērā veicināja straujš investīciju pieaugums (par 9,8%), ko sekmēja gan ES fondu līdzekļu straujāka apguve, gan privātā sektora kreditēšanas aktivizēšanās. Mājsaimniecību patēriņa dinamika uzlabojās – privātais patēriņš pieauga par 0,8%, ko sekmēja stabilā situācija darba tirgū, darba samaksas kāpums un inflācijas tempa pakāpeniska samazināšanās. Valsts patēriņš pieauga par 3,3%, ko galvenokārt noteica lielāki izdevumi sabiedrisko pakalpojumu nodrošināšanai </w:t>
      </w:r>
      <w:r w:rsidRPr="00D829F0">
        <w:rPr>
          <w:rFonts w:ascii="Source Sans Pro" w:hAnsi="Source Sans Pro"/>
          <w:sz w:val="20"/>
          <w:szCs w:val="20"/>
        </w:rPr>
        <w:lastRenderedPageBreak/>
        <w:t>un izdevumi drošības un aizsardzības jomā. Eksporta dinamikā iezīmējās atšķirīgas tendences – preču eksports samazinājās par 0,3%, savukārt pakalpojumu eksports pieauga par 1%. Imports pieauga par 5,7%, atspoguļojot iekšējā pieprasījuma un investīciju aktivitātes atjaunošanos.</w:t>
      </w:r>
      <w:r w:rsidR="00B73A48" w:rsidRPr="00D829F0">
        <w:rPr>
          <w:rFonts w:ascii="Source Sans Pro" w:hAnsi="Source Sans Pro"/>
          <w:sz w:val="20"/>
          <w:szCs w:val="20"/>
        </w:rPr>
        <w:t xml:space="preserve"> </w:t>
      </w:r>
    </w:p>
    <w:p w14:paraId="1903E529" w14:textId="3E628C29" w:rsidR="00B73A48" w:rsidRPr="00D829F0" w:rsidRDefault="00B73A48" w:rsidP="003677B6">
      <w:pPr>
        <w:pStyle w:val="BodyTextIndent2"/>
        <w:spacing w:line="240" w:lineRule="auto"/>
        <w:ind w:left="0"/>
        <w:jc w:val="right"/>
        <w:rPr>
          <w:rStyle w:val="Strong"/>
          <w:rFonts w:ascii="Source Sans Pro" w:hAnsi="Source Sans Pro"/>
          <w:b w:val="0"/>
          <w:color w:val="000000"/>
          <w:sz w:val="20"/>
        </w:rPr>
      </w:pPr>
      <w:r w:rsidRPr="00D829F0">
        <w:rPr>
          <w:rStyle w:val="Strong"/>
          <w:rFonts w:ascii="Source Sans Pro" w:hAnsi="Source Sans Pro"/>
          <w:b w:val="0"/>
          <w:color w:val="000000"/>
          <w:sz w:val="20"/>
        </w:rPr>
        <w:t>1.1. attēls</w:t>
      </w:r>
    </w:p>
    <w:p w14:paraId="457B23F8" w14:textId="2947CB07" w:rsidR="00B73A48" w:rsidRPr="00D829F0" w:rsidRDefault="00B73A48" w:rsidP="003677B6">
      <w:pPr>
        <w:tabs>
          <w:tab w:val="center" w:pos="1134"/>
          <w:tab w:val="center" w:pos="3402"/>
          <w:tab w:val="center" w:pos="5670"/>
          <w:tab w:val="center" w:pos="7938"/>
        </w:tabs>
        <w:spacing w:before="120" w:after="120"/>
        <w:rPr>
          <w:rStyle w:val="Strong"/>
          <w:rFonts w:ascii="Source Sans Pro" w:hAnsi="Source Sans Pro"/>
          <w:b w:val="0"/>
          <w:color w:val="000000"/>
          <w:sz w:val="22"/>
        </w:rPr>
      </w:pPr>
      <w:r w:rsidRPr="00727842">
        <w:rPr>
          <w:rFonts w:ascii="Segoe UI Light" w:hAnsi="Segoe UI Light"/>
          <w:b/>
          <w:sz w:val="18"/>
          <w:szCs w:val="24"/>
        </w:rPr>
        <w:tab/>
        <w:t>Iekšzemes</w:t>
      </w:r>
      <w:r w:rsidRPr="00727842">
        <w:rPr>
          <w:rFonts w:ascii="Segoe UI Light" w:hAnsi="Segoe UI Light"/>
          <w:b/>
          <w:sz w:val="18"/>
          <w:szCs w:val="24"/>
        </w:rPr>
        <w:tab/>
        <w:t>Preču un pakalpojumu</w:t>
      </w:r>
      <w:r w:rsidRPr="00727842">
        <w:rPr>
          <w:rFonts w:ascii="Segoe UI Light" w:hAnsi="Segoe UI Light"/>
          <w:b/>
          <w:sz w:val="18"/>
          <w:szCs w:val="24"/>
        </w:rPr>
        <w:tab/>
        <w:t>Bruto pamatkapitāla</w:t>
      </w:r>
      <w:r w:rsidRPr="00727842">
        <w:rPr>
          <w:rFonts w:ascii="Segoe UI Light" w:hAnsi="Segoe UI Light"/>
          <w:b/>
          <w:sz w:val="18"/>
          <w:szCs w:val="24"/>
        </w:rPr>
        <w:tab/>
        <w:t>Privātā patēriņa</w:t>
      </w:r>
      <w:r w:rsidRPr="00727842">
        <w:rPr>
          <w:rFonts w:ascii="Segoe UI Light" w:hAnsi="Segoe UI Light"/>
          <w:b/>
          <w:sz w:val="18"/>
          <w:szCs w:val="24"/>
        </w:rPr>
        <w:tab/>
      </w:r>
      <w:r w:rsidRPr="00727842">
        <w:rPr>
          <w:rFonts w:ascii="Segoe UI Light" w:hAnsi="Segoe UI Light"/>
          <w:b/>
          <w:sz w:val="18"/>
          <w:szCs w:val="24"/>
        </w:rPr>
        <w:br/>
      </w:r>
      <w:r w:rsidRPr="00727842">
        <w:rPr>
          <w:rFonts w:ascii="Segoe UI Light" w:hAnsi="Segoe UI Light"/>
          <w:b/>
          <w:sz w:val="18"/>
          <w:szCs w:val="24"/>
        </w:rPr>
        <w:tab/>
        <w:t>kopprodukta dinamika</w:t>
      </w:r>
      <w:r w:rsidRPr="00727842">
        <w:rPr>
          <w:rFonts w:ascii="Segoe UI Light" w:hAnsi="Segoe UI Light"/>
          <w:b/>
          <w:sz w:val="18"/>
          <w:szCs w:val="24"/>
        </w:rPr>
        <w:tab/>
        <w:t>eksporta izmaiņas</w:t>
      </w:r>
      <w:r w:rsidRPr="00727842">
        <w:rPr>
          <w:rFonts w:ascii="Segoe UI Light" w:hAnsi="Segoe UI Light"/>
          <w:b/>
          <w:sz w:val="18"/>
          <w:szCs w:val="24"/>
        </w:rPr>
        <w:tab/>
        <w:t>veidošanas dinamika</w:t>
      </w:r>
      <w:r w:rsidRPr="00727842">
        <w:rPr>
          <w:rFonts w:ascii="Segoe UI Light" w:hAnsi="Segoe UI Light"/>
          <w:b/>
          <w:sz w:val="18"/>
          <w:szCs w:val="24"/>
        </w:rPr>
        <w:tab/>
        <w:t>izmaiņas</w:t>
      </w:r>
      <w:r w:rsidRPr="00727842">
        <w:rPr>
          <w:rFonts w:ascii="Segoe UI Light" w:hAnsi="Segoe UI Light"/>
          <w:b/>
          <w:sz w:val="18"/>
          <w:szCs w:val="24"/>
        </w:rPr>
        <w:br/>
      </w:r>
      <w:r w:rsidRPr="00727842">
        <w:rPr>
          <w:rFonts w:ascii="Segoe UI Light" w:hAnsi="Segoe UI Light"/>
          <w:i/>
          <w:sz w:val="16"/>
          <w:szCs w:val="24"/>
        </w:rPr>
        <w:tab/>
        <w:t>procentos</w:t>
      </w:r>
      <w:r w:rsidRPr="00727842">
        <w:rPr>
          <w:rFonts w:ascii="Segoe UI Light" w:hAnsi="Segoe UI Light"/>
          <w:i/>
          <w:sz w:val="16"/>
          <w:szCs w:val="24"/>
        </w:rPr>
        <w:tab/>
        <w:t>procentos</w:t>
      </w:r>
      <w:r w:rsidRPr="00D829F0">
        <w:rPr>
          <w:rStyle w:val="Strong"/>
          <w:rFonts w:ascii="Source Sans Pro" w:hAnsi="Source Sans Pro"/>
          <w:b w:val="0"/>
          <w:color w:val="000000"/>
          <w:sz w:val="22"/>
        </w:rPr>
        <w:tab/>
      </w:r>
      <w:r w:rsidRPr="00727842">
        <w:rPr>
          <w:rFonts w:ascii="Segoe UI Light" w:hAnsi="Segoe UI Light"/>
          <w:i/>
          <w:sz w:val="16"/>
          <w:szCs w:val="24"/>
        </w:rPr>
        <w:t>procentos</w:t>
      </w:r>
      <w:r w:rsidRPr="00D829F0">
        <w:rPr>
          <w:rStyle w:val="Strong"/>
          <w:rFonts w:ascii="Source Sans Pro" w:hAnsi="Source Sans Pro"/>
          <w:b w:val="0"/>
          <w:color w:val="000000"/>
          <w:sz w:val="22"/>
        </w:rPr>
        <w:tab/>
      </w:r>
      <w:r w:rsidRPr="00727842">
        <w:rPr>
          <w:rFonts w:ascii="Segoe UI Light" w:hAnsi="Segoe UI Light"/>
          <w:i/>
          <w:sz w:val="16"/>
          <w:szCs w:val="24"/>
        </w:rPr>
        <w:t>procentos</w:t>
      </w:r>
    </w:p>
    <w:p w14:paraId="201FC546" w14:textId="4C5C1F4E" w:rsidR="00B73A48" w:rsidRPr="00D829F0" w:rsidRDefault="00727842" w:rsidP="003677B6">
      <w:pPr>
        <w:tabs>
          <w:tab w:val="left" w:pos="2786"/>
          <w:tab w:val="left" w:pos="5227"/>
          <w:tab w:val="left" w:pos="7495"/>
        </w:tabs>
        <w:spacing w:after="120"/>
        <w:ind w:right="-164"/>
        <w:rPr>
          <w:rFonts w:ascii="Source Sans Pro" w:hAnsi="Source Sans Pro"/>
        </w:rPr>
      </w:pPr>
      <w:r w:rsidRPr="00D829F0">
        <w:rPr>
          <w:rFonts w:ascii="Source Sans Pro" w:hAnsi="Source Sans Pro"/>
          <w:noProof/>
          <w:szCs w:val="20"/>
          <w:lang w:val="en-US"/>
        </w:rPr>
        <w:drawing>
          <wp:inline distT="0" distB="0" distL="0" distR="0" wp14:anchorId="7EB7AF49" wp14:editId="12A6D7AC">
            <wp:extent cx="1440000" cy="1800000"/>
            <wp:effectExtent l="0" t="0" r="0" b="0"/>
            <wp:docPr id="492" name="Chart 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D829F0">
        <w:rPr>
          <w:rFonts w:ascii="Source Sans Pro" w:hAnsi="Source Sans Pro"/>
          <w:noProof/>
          <w:szCs w:val="20"/>
          <w:lang w:val="en-US"/>
        </w:rPr>
        <w:drawing>
          <wp:inline distT="0" distB="0" distL="0" distR="0" wp14:anchorId="2C815AF9" wp14:editId="25ACA286">
            <wp:extent cx="1440000" cy="1800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829F0">
        <w:rPr>
          <w:rFonts w:ascii="Source Sans Pro" w:hAnsi="Source Sans Pro"/>
          <w:noProof/>
          <w:szCs w:val="20"/>
          <w:lang w:val="en-US"/>
        </w:rPr>
        <w:drawing>
          <wp:inline distT="0" distB="0" distL="0" distR="0" wp14:anchorId="01EEAB0F" wp14:editId="6AE3BBA1">
            <wp:extent cx="1440000" cy="18000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D829F0">
        <w:rPr>
          <w:rFonts w:ascii="Source Sans Pro" w:hAnsi="Source Sans Pro"/>
          <w:noProof/>
          <w:szCs w:val="20"/>
          <w:lang w:val="en-US"/>
        </w:rPr>
        <w:drawing>
          <wp:inline distT="0" distB="0" distL="0" distR="0" wp14:anchorId="73619776" wp14:editId="3DA1FE3C">
            <wp:extent cx="1440000" cy="18000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DFE2A5" w14:textId="77777777" w:rsidR="00B73A48" w:rsidRPr="00D829F0" w:rsidRDefault="00B73A48" w:rsidP="003677B6">
      <w:pPr>
        <w:spacing w:after="120"/>
        <w:jc w:val="both"/>
        <w:rPr>
          <w:rFonts w:ascii="Source Sans Pro" w:eastAsia="Times New Roman" w:hAnsi="Source Sans Pro"/>
          <w:color w:val="000000"/>
          <w:szCs w:val="24"/>
          <w:lang w:eastAsia="lv-LV"/>
        </w:rPr>
      </w:pPr>
      <w:r w:rsidRPr="00D829F0">
        <w:rPr>
          <w:rFonts w:ascii="Source Sans Pro" w:hAnsi="Source Sans Pro"/>
          <w:sz w:val="16"/>
          <w:szCs w:val="16"/>
        </w:rPr>
        <w:t>Avots: CSP</w:t>
      </w:r>
    </w:p>
    <w:p w14:paraId="002D4D01" w14:textId="77777777" w:rsidR="0080669C" w:rsidRPr="00D829F0" w:rsidRDefault="0080669C" w:rsidP="003677B6">
      <w:pPr>
        <w:pStyle w:val="BodyTextIndent2"/>
        <w:spacing w:line="240" w:lineRule="auto"/>
        <w:ind w:left="0"/>
        <w:jc w:val="both"/>
        <w:rPr>
          <w:rFonts w:ascii="Source Sans Pro" w:hAnsi="Source Sans Pro"/>
          <w:sz w:val="20"/>
          <w:szCs w:val="20"/>
        </w:rPr>
      </w:pPr>
    </w:p>
    <w:p w14:paraId="1106DA71" w14:textId="5E3EC9FF" w:rsidR="00B73A48" w:rsidRPr="00D829F0" w:rsidRDefault="00B73A48" w:rsidP="003677B6">
      <w:pPr>
        <w:pStyle w:val="BodyTextIndent2"/>
        <w:spacing w:line="240" w:lineRule="auto"/>
        <w:ind w:left="0"/>
        <w:jc w:val="both"/>
        <w:rPr>
          <w:rFonts w:ascii="Source Sans Pro" w:hAnsi="Source Sans Pro"/>
          <w:sz w:val="20"/>
          <w:szCs w:val="20"/>
        </w:rPr>
      </w:pPr>
      <w:r w:rsidRPr="00D829F0">
        <w:rPr>
          <w:rFonts w:ascii="Source Sans Pro" w:hAnsi="Source Sans Pro"/>
          <w:sz w:val="20"/>
          <w:szCs w:val="20"/>
        </w:rPr>
        <w:t>2010</w:t>
      </w:r>
      <w:r w:rsidR="00FF63B5" w:rsidRPr="00D829F0">
        <w:rPr>
          <w:rFonts w:ascii="Source Sans Pro" w:hAnsi="Source Sans Pro"/>
          <w:sz w:val="20"/>
          <w:szCs w:val="20"/>
        </w:rPr>
        <w:t>.</w:t>
      </w:r>
      <w:r w:rsidR="00F55620">
        <w:rPr>
          <w:rFonts w:ascii="Source Sans Pro" w:hAnsi="Source Sans Pro"/>
          <w:sz w:val="20"/>
          <w:szCs w:val="20"/>
        </w:rPr>
        <w:t> </w:t>
      </w:r>
      <w:r w:rsidR="00FF63B5" w:rsidRPr="00D829F0">
        <w:rPr>
          <w:rFonts w:ascii="Source Sans Pro" w:hAnsi="Source Sans Pro"/>
          <w:sz w:val="20"/>
          <w:szCs w:val="20"/>
        </w:rPr>
        <w:t>gad</w:t>
      </w:r>
      <w:r w:rsidRPr="00D829F0">
        <w:rPr>
          <w:rFonts w:ascii="Source Sans Pro" w:hAnsi="Source Sans Pro"/>
          <w:sz w:val="20"/>
          <w:szCs w:val="20"/>
        </w:rPr>
        <w:t>ā ražojošās nozares (</w:t>
      </w:r>
      <w:r w:rsidR="00AB6D81" w:rsidRPr="00D829F0">
        <w:rPr>
          <w:rFonts w:ascii="Source Sans Pro" w:hAnsi="Source Sans Pro"/>
          <w:sz w:val="20"/>
          <w:szCs w:val="20"/>
        </w:rPr>
        <w:t>lauksaimniecība, mežsaimniecība</w:t>
      </w:r>
      <w:r w:rsidRPr="00D829F0">
        <w:rPr>
          <w:rFonts w:ascii="Source Sans Pro" w:hAnsi="Source Sans Pro"/>
          <w:sz w:val="20"/>
          <w:szCs w:val="20"/>
        </w:rPr>
        <w:t xml:space="preserve"> un </w:t>
      </w:r>
      <w:r w:rsidR="00AB6D81" w:rsidRPr="00D829F0">
        <w:rPr>
          <w:rFonts w:ascii="Source Sans Pro" w:hAnsi="Source Sans Pro"/>
          <w:sz w:val="20"/>
          <w:szCs w:val="20"/>
        </w:rPr>
        <w:t xml:space="preserve">zivsaimniecība, rūpniecība, </w:t>
      </w:r>
      <w:r w:rsidRPr="00D829F0">
        <w:rPr>
          <w:rFonts w:ascii="Source Sans Pro" w:hAnsi="Source Sans Pro"/>
          <w:sz w:val="20"/>
          <w:szCs w:val="20"/>
        </w:rPr>
        <w:t xml:space="preserve">kā arī </w:t>
      </w:r>
      <w:r w:rsidR="00AB6D81" w:rsidRPr="00D829F0">
        <w:rPr>
          <w:rFonts w:ascii="Source Sans Pro" w:hAnsi="Source Sans Pro"/>
          <w:sz w:val="20"/>
          <w:szCs w:val="20"/>
        </w:rPr>
        <w:t>būvniecība</w:t>
      </w:r>
      <w:r w:rsidRPr="00D829F0">
        <w:rPr>
          <w:rFonts w:ascii="Source Sans Pro" w:hAnsi="Source Sans Pro"/>
          <w:sz w:val="20"/>
          <w:szCs w:val="20"/>
        </w:rPr>
        <w:t xml:space="preserve">) </w:t>
      </w:r>
      <w:r w:rsidR="00683BD9">
        <w:rPr>
          <w:rFonts w:ascii="Source Sans Pro" w:hAnsi="Source Sans Pro"/>
          <w:sz w:val="20"/>
          <w:szCs w:val="20"/>
        </w:rPr>
        <w:t>veidoja</w:t>
      </w:r>
      <w:r w:rsidRPr="00D829F0">
        <w:rPr>
          <w:rFonts w:ascii="Source Sans Pro" w:hAnsi="Source Sans Pro"/>
          <w:sz w:val="20"/>
          <w:szCs w:val="20"/>
        </w:rPr>
        <w:t xml:space="preserve"> 28,</w:t>
      </w:r>
      <w:r w:rsidR="00AB6D81" w:rsidRPr="00D829F0">
        <w:rPr>
          <w:rFonts w:ascii="Source Sans Pro" w:hAnsi="Source Sans Pro"/>
          <w:sz w:val="20"/>
          <w:szCs w:val="20"/>
        </w:rPr>
        <w:t>2</w:t>
      </w:r>
      <w:r w:rsidR="0080669C" w:rsidRPr="00D829F0">
        <w:rPr>
          <w:rFonts w:ascii="Source Sans Pro" w:hAnsi="Source Sans Pro"/>
          <w:sz w:val="20"/>
          <w:szCs w:val="20"/>
        </w:rPr>
        <w:t>%</w:t>
      </w:r>
      <w:r w:rsidRPr="00D829F0">
        <w:rPr>
          <w:rFonts w:ascii="Source Sans Pro" w:hAnsi="Source Sans Pro"/>
          <w:sz w:val="20"/>
          <w:szCs w:val="20"/>
        </w:rPr>
        <w:t xml:space="preserve"> no kopējās pievienotās vērtības</w:t>
      </w:r>
      <w:r w:rsidR="00AB6D81" w:rsidRPr="00D829F0">
        <w:rPr>
          <w:rFonts w:ascii="Source Sans Pro" w:hAnsi="Source Sans Pro"/>
          <w:sz w:val="20"/>
          <w:szCs w:val="20"/>
        </w:rPr>
        <w:t>, bet 2025.</w:t>
      </w:r>
      <w:r w:rsidR="00F55620">
        <w:rPr>
          <w:rFonts w:ascii="Source Sans Pro" w:hAnsi="Source Sans Pro"/>
          <w:sz w:val="20"/>
          <w:szCs w:val="20"/>
        </w:rPr>
        <w:t> </w:t>
      </w:r>
      <w:r w:rsidR="00AB6D81" w:rsidRPr="00D829F0">
        <w:rPr>
          <w:rFonts w:ascii="Source Sans Pro" w:hAnsi="Source Sans Pro"/>
          <w:sz w:val="20"/>
          <w:szCs w:val="20"/>
        </w:rPr>
        <w:t>gadā – 26,1%. 2025.</w:t>
      </w:r>
      <w:r w:rsidR="00F55620">
        <w:rPr>
          <w:rFonts w:ascii="Source Sans Pro" w:hAnsi="Source Sans Pro"/>
          <w:sz w:val="20"/>
          <w:szCs w:val="20"/>
        </w:rPr>
        <w:t> </w:t>
      </w:r>
      <w:r w:rsidR="00FF63B5" w:rsidRPr="00D829F0">
        <w:rPr>
          <w:rFonts w:ascii="Source Sans Pro" w:hAnsi="Source Sans Pro"/>
          <w:sz w:val="20"/>
          <w:szCs w:val="20"/>
        </w:rPr>
        <w:t>gad</w:t>
      </w:r>
      <w:r w:rsidRPr="00D829F0">
        <w:rPr>
          <w:rFonts w:ascii="Source Sans Pro" w:hAnsi="Source Sans Pro"/>
          <w:sz w:val="20"/>
          <w:szCs w:val="20"/>
        </w:rPr>
        <w:t>ā, salīdzinot ar 2010</w:t>
      </w:r>
      <w:r w:rsidR="00FF63B5" w:rsidRPr="00D829F0">
        <w:rPr>
          <w:rFonts w:ascii="Source Sans Pro" w:hAnsi="Source Sans Pro"/>
          <w:sz w:val="20"/>
          <w:szCs w:val="20"/>
        </w:rPr>
        <w:t>.</w:t>
      </w:r>
      <w:r w:rsidR="00F55620">
        <w:rPr>
          <w:rFonts w:ascii="Source Sans Pro" w:hAnsi="Source Sans Pro"/>
          <w:sz w:val="20"/>
          <w:szCs w:val="20"/>
        </w:rPr>
        <w:t> </w:t>
      </w:r>
      <w:r w:rsidR="00FF63B5" w:rsidRPr="00D829F0">
        <w:rPr>
          <w:rFonts w:ascii="Source Sans Pro" w:hAnsi="Source Sans Pro"/>
          <w:sz w:val="20"/>
          <w:szCs w:val="20"/>
        </w:rPr>
        <w:t>gad</w:t>
      </w:r>
      <w:r w:rsidRPr="00D829F0">
        <w:rPr>
          <w:rFonts w:ascii="Source Sans Pro" w:hAnsi="Source Sans Pro"/>
          <w:sz w:val="20"/>
          <w:szCs w:val="20"/>
        </w:rPr>
        <w:t xml:space="preserve">u, </w:t>
      </w:r>
      <w:r w:rsidR="00AB6D81" w:rsidRPr="00D829F0">
        <w:rPr>
          <w:rFonts w:ascii="Source Sans Pro" w:hAnsi="Source Sans Pro"/>
          <w:sz w:val="20"/>
          <w:szCs w:val="20"/>
        </w:rPr>
        <w:t>tautsaimniecības struktūrā</w:t>
      </w:r>
      <w:r w:rsidRPr="00D829F0">
        <w:rPr>
          <w:rFonts w:ascii="Source Sans Pro" w:hAnsi="Source Sans Pro"/>
          <w:sz w:val="20"/>
          <w:szCs w:val="20"/>
        </w:rPr>
        <w:t xml:space="preserve"> ir pieaudzis </w:t>
      </w:r>
      <w:r w:rsidR="00AB6D81" w:rsidRPr="00D829F0">
        <w:rPr>
          <w:rFonts w:ascii="Source Sans Pro" w:hAnsi="Source Sans Pro"/>
          <w:sz w:val="20"/>
          <w:szCs w:val="20"/>
        </w:rPr>
        <w:t>būvniecības</w:t>
      </w:r>
      <w:r w:rsidRPr="00D829F0">
        <w:rPr>
          <w:rFonts w:ascii="Source Sans Pro" w:hAnsi="Source Sans Pro"/>
          <w:sz w:val="20"/>
          <w:szCs w:val="20"/>
        </w:rPr>
        <w:t xml:space="preserve">, komercpakalpojumu un sabiedrisko pakalpojumu </w:t>
      </w:r>
      <w:r w:rsidR="00AB6D81" w:rsidRPr="00D829F0">
        <w:rPr>
          <w:rFonts w:ascii="Source Sans Pro" w:hAnsi="Source Sans Pro"/>
          <w:sz w:val="20"/>
          <w:szCs w:val="20"/>
        </w:rPr>
        <w:t xml:space="preserve">nozaru īpatsvars, savukārt </w:t>
      </w:r>
      <w:r w:rsidRPr="00D829F0">
        <w:rPr>
          <w:rFonts w:ascii="Source Sans Pro" w:hAnsi="Source Sans Pro"/>
          <w:sz w:val="20"/>
          <w:szCs w:val="20"/>
        </w:rPr>
        <w:t xml:space="preserve">samazinājies </w:t>
      </w:r>
      <w:r w:rsidR="00AB6D81" w:rsidRPr="00D829F0">
        <w:rPr>
          <w:rFonts w:ascii="Source Sans Pro" w:hAnsi="Source Sans Pro"/>
          <w:sz w:val="20"/>
          <w:szCs w:val="20"/>
        </w:rPr>
        <w:t>rūpniecības, transporta</w:t>
      </w:r>
      <w:r w:rsidRPr="00D829F0">
        <w:rPr>
          <w:rFonts w:ascii="Source Sans Pro" w:hAnsi="Source Sans Pro"/>
          <w:sz w:val="20"/>
          <w:szCs w:val="20"/>
        </w:rPr>
        <w:t xml:space="preserve"> un </w:t>
      </w:r>
      <w:r w:rsidR="00AB6D81" w:rsidRPr="00D829F0">
        <w:rPr>
          <w:rFonts w:ascii="Source Sans Pro" w:hAnsi="Source Sans Pro"/>
          <w:sz w:val="20"/>
          <w:szCs w:val="20"/>
        </w:rPr>
        <w:t>tirdzniecības nozaru īpatsvars. Lauksaimniecībā</w:t>
      </w:r>
      <w:r w:rsidRPr="00D829F0">
        <w:rPr>
          <w:rFonts w:ascii="Source Sans Pro" w:hAnsi="Source Sans Pro"/>
          <w:sz w:val="20"/>
          <w:szCs w:val="20"/>
        </w:rPr>
        <w:t>, mežsaimniecībā un zivsaimniecībā tas saglabājies nemainīgs.</w:t>
      </w:r>
    </w:p>
    <w:p w14:paraId="21F67123" w14:textId="5B1470C5" w:rsidR="00BE0A67" w:rsidRPr="00D829F0" w:rsidRDefault="00BE0A67" w:rsidP="00BE0A67">
      <w:pPr>
        <w:spacing w:after="120"/>
        <w:jc w:val="both"/>
        <w:rPr>
          <w:rFonts w:ascii="Source Sans Pro" w:hAnsi="Source Sans Pro"/>
          <w:szCs w:val="26"/>
        </w:rPr>
      </w:pPr>
      <w:r w:rsidRPr="00D829F0">
        <w:rPr>
          <w:rFonts w:ascii="Source Sans Pro" w:hAnsi="Source Sans Pro"/>
          <w:szCs w:val="26"/>
        </w:rPr>
        <w:t>2015.-2019.</w:t>
      </w:r>
      <w:r w:rsidR="00F55620">
        <w:rPr>
          <w:rFonts w:ascii="Source Sans Pro" w:hAnsi="Source Sans Pro"/>
          <w:szCs w:val="26"/>
        </w:rPr>
        <w:t> </w:t>
      </w:r>
      <w:r w:rsidRPr="00D829F0">
        <w:rPr>
          <w:rFonts w:ascii="Source Sans Pro" w:hAnsi="Source Sans Pro"/>
          <w:szCs w:val="26"/>
        </w:rPr>
        <w:t>gados izaugsme bija visās nozarēs, izņemot pārējo rūpniecību, finanšu darbības un operācijas ar nekustamo īpašumu. Lielākā ietekme izaugsmē bija tirdzniecības un apstrādes rūpniecības apjomu kāpumam. 2020.</w:t>
      </w:r>
      <w:r w:rsidR="00F55620">
        <w:rPr>
          <w:rFonts w:ascii="Source Sans Pro" w:hAnsi="Source Sans Pro"/>
          <w:szCs w:val="26"/>
        </w:rPr>
        <w:t> </w:t>
      </w:r>
      <w:r w:rsidRPr="00D829F0">
        <w:rPr>
          <w:rFonts w:ascii="Source Sans Pro" w:hAnsi="Source Sans Pro"/>
          <w:szCs w:val="26"/>
        </w:rPr>
        <w:t xml:space="preserve">gadā Covid-19 krīze negatīvi ietekmēja praktiski visas nozares un lielākā ietekme bija apjomu kritumam lielā daļā pakalpojumu nozaru un būvniecībā. Ekonomikai atlabstot, 2021. gadā izaugsme bija vērojama visās nozarēs, izņemot būvniecību, izmitināšanu un izglītību. </w:t>
      </w:r>
      <w:r w:rsidR="00F55620">
        <w:rPr>
          <w:rFonts w:ascii="Source Sans Pro" w:hAnsi="Source Sans Pro"/>
          <w:szCs w:val="26"/>
        </w:rPr>
        <w:t>Ģ</w:t>
      </w:r>
      <w:r w:rsidR="00F55620" w:rsidRPr="00D829F0">
        <w:rPr>
          <w:rFonts w:ascii="Source Sans Pro" w:hAnsi="Source Sans Pro"/>
          <w:szCs w:val="26"/>
        </w:rPr>
        <w:t xml:space="preserve">eopolitiskās situācijas ietekmē </w:t>
      </w:r>
      <w:r w:rsidRPr="00D829F0">
        <w:rPr>
          <w:rFonts w:ascii="Source Sans Pro" w:hAnsi="Source Sans Pro"/>
          <w:szCs w:val="26"/>
        </w:rPr>
        <w:t>2022.</w:t>
      </w:r>
      <w:r w:rsidR="00F55620">
        <w:rPr>
          <w:rFonts w:ascii="Source Sans Pro" w:hAnsi="Source Sans Pro"/>
          <w:szCs w:val="26"/>
        </w:rPr>
        <w:t> </w:t>
      </w:r>
      <w:r w:rsidRPr="00D829F0">
        <w:rPr>
          <w:rFonts w:ascii="Source Sans Pro" w:hAnsi="Source Sans Pro"/>
          <w:szCs w:val="26"/>
        </w:rPr>
        <w:t>gadā ekonomikas izaugsme bija mērena– ražojošās nozares samazinājās, bet pakalpojumu apjomi pieauga. 2023.–2024.</w:t>
      </w:r>
      <w:r w:rsidR="00F55620">
        <w:rPr>
          <w:rFonts w:ascii="Source Sans Pro" w:hAnsi="Source Sans Pro"/>
          <w:szCs w:val="26"/>
        </w:rPr>
        <w:t> </w:t>
      </w:r>
      <w:r w:rsidRPr="00D829F0">
        <w:rPr>
          <w:rFonts w:ascii="Source Sans Pro" w:hAnsi="Source Sans Pro"/>
          <w:szCs w:val="26"/>
        </w:rPr>
        <w:t>gadā, pieaugot inflācijai, procentu likmēm un nenoteiktībai, ekonomika sabremzējās. Apjomi samazinājās lielā daļā pakalpojumu nozaru, transportā un rūpniecībā. Lielākā ietekme bija apjomu kritumam transportā un apstrādes rūpniecībā un kāpumam tirdzniecībā, valsts pārvaldē un aizsardzībā. 2025.</w:t>
      </w:r>
      <w:r w:rsidR="00F55620">
        <w:rPr>
          <w:rFonts w:ascii="Source Sans Pro" w:hAnsi="Source Sans Pro"/>
          <w:szCs w:val="26"/>
        </w:rPr>
        <w:t> </w:t>
      </w:r>
      <w:r w:rsidRPr="00D829F0">
        <w:rPr>
          <w:rFonts w:ascii="Source Sans Pro" w:hAnsi="Source Sans Pro"/>
          <w:szCs w:val="26"/>
        </w:rPr>
        <w:t>gadā, ekonomikai atgūstoties spēcīgāka ārējā pieprasījuma un investīciju kāpuma dēļ, apjomi pieauga lielākajā daļā pakalpojumu nozaru, būvniecībā un apstrādes rūpniecībā, un lielāko ietekmi deva apstrādes rūpniecības, būvniecības un tirdzniecības kāpums. Ražojošās nozares 2025.</w:t>
      </w:r>
      <w:r w:rsidR="008331FA">
        <w:rPr>
          <w:rFonts w:ascii="Source Sans Pro" w:hAnsi="Source Sans Pro"/>
          <w:szCs w:val="26"/>
        </w:rPr>
        <w:t> </w:t>
      </w:r>
      <w:r w:rsidRPr="00D829F0">
        <w:rPr>
          <w:rFonts w:ascii="Source Sans Pro" w:hAnsi="Source Sans Pro"/>
          <w:szCs w:val="26"/>
        </w:rPr>
        <w:t>gadā uzrādīja pieaugumu par 3,3%, savukārt pakalpojumu nozares – par 1,6%.</w:t>
      </w:r>
    </w:p>
    <w:p w14:paraId="065F0BDB" w14:textId="7633AADD" w:rsidR="00BE0A67" w:rsidRPr="00D829F0" w:rsidRDefault="00BE0A67" w:rsidP="00BE0A67">
      <w:pPr>
        <w:spacing w:after="120"/>
        <w:jc w:val="both"/>
        <w:rPr>
          <w:rFonts w:ascii="Source Sans Pro" w:hAnsi="Source Sans Pro"/>
          <w:szCs w:val="20"/>
        </w:rPr>
      </w:pPr>
      <w:r w:rsidRPr="00D829F0">
        <w:rPr>
          <w:rFonts w:ascii="Source Sans Pro" w:hAnsi="Source Sans Pro"/>
          <w:b/>
          <w:szCs w:val="20"/>
        </w:rPr>
        <w:t>Lauksaimniecības, mežsaimniecības un zivsaimniecības</w:t>
      </w:r>
      <w:r w:rsidRPr="00D829F0">
        <w:rPr>
          <w:rFonts w:ascii="Source Sans Pro" w:hAnsi="Source Sans Pro"/>
          <w:szCs w:val="20"/>
        </w:rPr>
        <w:t xml:space="preserve"> nozares darbība ir cieši saistīta ar laika apstākļiem, tādēļ nozarē kopumā vērojama svārstīga izaugsme. 2024.</w:t>
      </w:r>
      <w:r w:rsidR="008331FA">
        <w:rPr>
          <w:rFonts w:ascii="Source Sans Pro" w:hAnsi="Source Sans Pro"/>
          <w:szCs w:val="20"/>
        </w:rPr>
        <w:t> </w:t>
      </w:r>
      <w:r w:rsidRPr="00D829F0">
        <w:rPr>
          <w:rFonts w:ascii="Source Sans Pro" w:hAnsi="Source Sans Pro"/>
          <w:szCs w:val="20"/>
        </w:rPr>
        <w:t>gadā produkcijas apjomi pieauga par 4%, pateicoties kāpumam gan lauksaimniecībā, gan mežsaimniecībā. Savukārt 2025.</w:t>
      </w:r>
      <w:r w:rsidR="008331FA">
        <w:rPr>
          <w:rFonts w:ascii="Source Sans Pro" w:hAnsi="Source Sans Pro"/>
          <w:szCs w:val="20"/>
        </w:rPr>
        <w:t> </w:t>
      </w:r>
      <w:r w:rsidRPr="00D829F0">
        <w:rPr>
          <w:rFonts w:ascii="Source Sans Pro" w:hAnsi="Source Sans Pro"/>
          <w:szCs w:val="20"/>
        </w:rPr>
        <w:t>gadā nozarē fiksēts kritums par 3,2%, ko lielā mērā noteica mežsaimniecības apjomu sarukums – nelabvēlīgie laikapstākļi apgrūtināja cirsmu izstrādi un koksnes transportēšanu, savukārt pieprasījuma kritumu ietekmēja būvniecības aktivitātes bremzēšanās Eiropā un energoresursu tirgus normalizēšanās pēc iepriekšējo gadu pieprasījuma pieauguma. Augkopības apjomi 2025.</w:t>
      </w:r>
      <w:r w:rsidR="008331FA">
        <w:rPr>
          <w:rFonts w:ascii="Source Sans Pro" w:hAnsi="Source Sans Pro"/>
          <w:szCs w:val="20"/>
        </w:rPr>
        <w:t> </w:t>
      </w:r>
      <w:r w:rsidRPr="00D829F0">
        <w:rPr>
          <w:rFonts w:ascii="Source Sans Pro" w:hAnsi="Source Sans Pro"/>
          <w:szCs w:val="20"/>
        </w:rPr>
        <w:t>gadā pieauga augstās ziemāju ražas dēļ.</w:t>
      </w:r>
    </w:p>
    <w:p w14:paraId="2A0528A0" w14:textId="77777777" w:rsidR="00F12FF2" w:rsidRDefault="00F12FF2">
      <w:pPr>
        <w:spacing w:after="0"/>
        <w:rPr>
          <w:rFonts w:ascii="Source Sans Pro" w:eastAsia="Times New Roman" w:hAnsi="Source Sans Pro"/>
          <w:color w:val="000000"/>
          <w:lang w:eastAsia="lv-LV"/>
        </w:rPr>
      </w:pPr>
      <w:r>
        <w:rPr>
          <w:rFonts w:ascii="Source Sans Pro" w:eastAsia="Times New Roman" w:hAnsi="Source Sans Pro"/>
          <w:color w:val="000000"/>
          <w:lang w:eastAsia="lv-LV"/>
        </w:rPr>
        <w:br w:type="page"/>
      </w:r>
    </w:p>
    <w:p w14:paraId="6E890D9C" w14:textId="694DFE59" w:rsidR="00B73A48" w:rsidRPr="00D829F0" w:rsidRDefault="00B73A48" w:rsidP="003677B6">
      <w:pPr>
        <w:spacing w:after="120"/>
        <w:jc w:val="right"/>
        <w:rPr>
          <w:rFonts w:ascii="Source Sans Pro" w:hAnsi="Source Sans Pro"/>
          <w:szCs w:val="26"/>
        </w:rPr>
      </w:pPr>
      <w:r w:rsidRPr="00D829F0">
        <w:rPr>
          <w:rFonts w:ascii="Source Sans Pro" w:eastAsia="Times New Roman" w:hAnsi="Source Sans Pro"/>
          <w:color w:val="000000"/>
          <w:lang w:eastAsia="lv-LV"/>
        </w:rPr>
        <w:lastRenderedPageBreak/>
        <w:t>1.2. attēls</w:t>
      </w:r>
    </w:p>
    <w:p w14:paraId="1ADC0340" w14:textId="284BDB76" w:rsidR="00B73A48" w:rsidRPr="00A068FF" w:rsidRDefault="00B73A48" w:rsidP="003677B6">
      <w:pPr>
        <w:spacing w:after="120"/>
        <w:jc w:val="center"/>
        <w:rPr>
          <w:rFonts w:ascii="Segoe UI Light" w:hAnsi="Segoe UI Light"/>
          <w:i/>
          <w:sz w:val="16"/>
          <w:szCs w:val="24"/>
        </w:rPr>
      </w:pPr>
      <w:r w:rsidRPr="00A068FF">
        <w:rPr>
          <w:rFonts w:ascii="Segoe UI Light" w:hAnsi="Segoe UI Light"/>
          <w:b/>
          <w:sz w:val="18"/>
          <w:szCs w:val="24"/>
        </w:rPr>
        <w:t>Tautsaimniecības struktūra</w:t>
      </w:r>
      <w:r w:rsidRPr="00A068FF">
        <w:rPr>
          <w:rFonts w:ascii="Segoe UI Light" w:hAnsi="Segoe UI Light"/>
          <w:b/>
          <w:sz w:val="18"/>
          <w:szCs w:val="24"/>
        </w:rPr>
        <w:br/>
      </w:r>
      <w:r w:rsidRPr="00A068FF">
        <w:rPr>
          <w:rFonts w:ascii="Segoe UI Light" w:hAnsi="Segoe UI Light"/>
          <w:i/>
          <w:sz w:val="16"/>
          <w:szCs w:val="24"/>
        </w:rPr>
        <w:t>202</w:t>
      </w:r>
      <w:r w:rsidR="00FF3DAE" w:rsidRPr="00A068FF">
        <w:rPr>
          <w:rFonts w:ascii="Segoe UI Light" w:hAnsi="Segoe UI Light"/>
          <w:i/>
          <w:sz w:val="16"/>
          <w:szCs w:val="24"/>
        </w:rPr>
        <w:t>5</w:t>
      </w:r>
      <w:r w:rsidR="00FF63B5" w:rsidRPr="00A068FF">
        <w:rPr>
          <w:rFonts w:ascii="Segoe UI Light" w:hAnsi="Segoe UI Light"/>
          <w:i/>
          <w:sz w:val="16"/>
          <w:szCs w:val="24"/>
        </w:rPr>
        <w:t>. gad</w:t>
      </w:r>
      <w:r w:rsidRPr="00A068FF">
        <w:rPr>
          <w:rFonts w:ascii="Segoe UI Light" w:hAnsi="Segoe UI Light"/>
          <w:i/>
          <w:sz w:val="16"/>
          <w:szCs w:val="24"/>
        </w:rPr>
        <w:t>ā*, procentos</w:t>
      </w:r>
    </w:p>
    <w:p w14:paraId="314107D1" w14:textId="0201686B" w:rsidR="00C075DC" w:rsidRPr="00A068FF" w:rsidRDefault="00E57B99" w:rsidP="00C075DC">
      <w:pPr>
        <w:spacing w:after="120"/>
        <w:ind w:hanging="110"/>
        <w:rPr>
          <w:rFonts w:ascii="Candara" w:hAnsi="Candara"/>
          <w:sz w:val="14"/>
          <w:szCs w:val="14"/>
        </w:rPr>
      </w:pPr>
      <w:r w:rsidRPr="00A068FF">
        <w:rPr>
          <w:rFonts w:ascii="Candara" w:hAnsi="Candara"/>
          <w:noProof/>
          <w:sz w:val="14"/>
          <w:szCs w:val="14"/>
          <w:lang w:val="en-US"/>
        </w:rPr>
        <mc:AlternateContent>
          <mc:Choice Requires="wps">
            <w:drawing>
              <wp:anchor distT="0" distB="0" distL="114300" distR="114300" simplePos="0" relativeHeight="251658305" behindDoc="0" locked="0" layoutInCell="1" allowOverlap="1" wp14:anchorId="2868CE5A" wp14:editId="023BB2E6">
                <wp:simplePos x="0" y="0"/>
                <wp:positionH relativeFrom="column">
                  <wp:posOffset>3945407</wp:posOffset>
                </wp:positionH>
                <wp:positionV relativeFrom="paragraph">
                  <wp:posOffset>6741821</wp:posOffset>
                </wp:positionV>
                <wp:extent cx="395605" cy="347396"/>
                <wp:effectExtent l="0" t="0" r="444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 cy="347396"/>
                        </a:xfrm>
                        <a:prstGeom prst="rect">
                          <a:avLst/>
                        </a:prstGeom>
                        <a:noFill/>
                        <a:ln w="6350">
                          <a:noFill/>
                        </a:ln>
                      </wps:spPr>
                      <wps:txbx>
                        <w:txbxContent>
                          <w:p w14:paraId="7BC71AFD" w14:textId="77777777" w:rsidR="00464837"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R92</w:t>
                            </w:r>
                          </w:p>
                          <w:p w14:paraId="4D5CD517" w14:textId="77777777" w:rsidR="00B83D7D" w:rsidRPr="0080669C"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8CE5A" id="_x0000_t202" coordsize="21600,21600" o:spt="202" path="m,l,21600r21600,l21600,xe">
                <v:stroke joinstyle="miter"/>
                <v:path gradientshapeok="t" o:connecttype="rect"/>
              </v:shapetype>
              <v:shape id="Text Box 21" o:spid="_x0000_s1026" type="#_x0000_t202" style="position:absolute;margin-left:310.65pt;margin-top:530.85pt;width:31.15pt;height:27.3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moHQIAAEQEAAAOAAAAZHJzL2Uyb0RvYy54bWysU0tv2zAMvg/YfxB0X+w0S7YacYqsRYYB&#10;QVsgHXpWZCk2JomapMTOfv0o2Xmg22nYRSbN9/eR87tOK3IQzjdgSjoe5ZQIw6FqzK6k319WHz5T&#10;4gMzFVNgREmPwtO7xft389YW4gZqUJVwBJMYX7S2pHUItsgyz2uhmR+BFQaNEpxmAVW3yyrHWsyu&#10;VXaT57OsBVdZB1x4j38feiNdpPxSCh6epPQiEFVS7C2k16V3G99sMWfFzjFbN3xog/1DF5o1Boue&#10;Uz2wwMjeNX+k0g134EGGEQedgZQNF2kGnGacv5lmUzMr0iwIjrdnmPz/S8sfDxv77EjovkCHBKYh&#10;vF0D/+ERm6y1vhh8Iqa+8OgdB+2k0/GLIxAMRGyPZzxFFwjHn5Pb6SyfUsLRNPn4aXI7i3hnl2Dr&#10;fPgqQJMolNQhXakBdlj70LueXGItA6tGqUSZMqQt6WwyzVPA2YLJlRn67luNTYdu22FYFLdQHXFe&#10;B/0qeMtXDRZfMx+emUPucRLc5/CEj1SARWCQKKnB/frb/+iPlKCVkhZ3qaT+5545QYn6ZpCsySzP&#10;4/JdK+5a2V4rZq/vAdd1jJdjeRIx2AV1EqUD/Yprv4xV0cQMx9ol3Z7E+9BvOJ4NF8tlcsJ1syys&#10;zcbyE80R2pfulTk74B+QuEc4bR0r3tDQ+/ZELPcBZJM4uqA64I6rmlgezirewrWevC7Hv/gNAAD/&#10;/wMAUEsDBBQABgAIAAAAIQCudf0H4QAAAA0BAAAPAAAAZHJzL2Rvd25yZXYueG1sTI/BTsMwDIbv&#10;SLxDZCQuE0vToTCVptNA4oKEEGMHjmmTtRGNUzVZ27095gRH+//0+3O5W3zPJjtGF1CBWGfALDbB&#10;OGwVHD9f7rbAYtJodB/QKrjYCLvq+qrUhQkzftjpkFpGJRgLraBLaSg4j01nvY7rMFik7BRGrxON&#10;Y8vNqGcq9z3Ps0xyrx3ShU4P9rmzzffh7BW85/LL4ek4m9VUu9XT5Q33r0mp25tl/wgs2SX9wfCr&#10;T+pQkVMdzmgi6xXIXGwIpSCT4gEYIXK7kcBqWgkh74FXJf//RfUDAAD//wMAUEsBAi0AFAAGAAgA&#10;AAAhALaDOJL+AAAA4QEAABMAAAAAAAAAAAAAAAAAAAAAAFtDb250ZW50X1R5cGVzXS54bWxQSwEC&#10;LQAUAAYACAAAACEAOP0h/9YAAACUAQAACwAAAAAAAAAAAAAAAAAvAQAAX3JlbHMvLnJlbHNQSwEC&#10;LQAUAAYACAAAACEA8XY5qB0CAABEBAAADgAAAAAAAAAAAAAAAAAuAgAAZHJzL2Uyb0RvYy54bWxQ&#10;SwECLQAUAAYACAAAACEArnX9B+EAAAANAQAADwAAAAAAAAAAAAAAAAB3BAAAZHJzL2Rvd25yZXYu&#10;eG1sUEsFBgAAAAAEAAQA8wAAAIUFAAAAAA==&#10;" filled="f" stroked="f" strokeweight=".5pt">
                <v:textbox inset="1mm,1mm,1mm,1mm">
                  <w:txbxContent>
                    <w:p w14:paraId="7BC71AFD" w14:textId="77777777" w:rsidR="00464837"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R92</w:t>
                      </w:r>
                    </w:p>
                    <w:p w14:paraId="4D5CD517" w14:textId="77777777" w:rsidR="00B83D7D" w:rsidRPr="0080669C"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v:textbox>
              </v:shape>
            </w:pict>
          </mc:Fallback>
        </mc:AlternateContent>
      </w:r>
      <w:r w:rsidR="00F83771" w:rsidRPr="00A068FF">
        <w:rPr>
          <w:rFonts w:ascii="Candara" w:hAnsi="Candara"/>
          <w:noProof/>
          <w:sz w:val="14"/>
          <w:szCs w:val="14"/>
          <w:lang w:val="en-US"/>
        </w:rPr>
        <mc:AlternateContent>
          <mc:Choice Requires="wps">
            <w:drawing>
              <wp:anchor distT="0" distB="0" distL="114300" distR="114300" simplePos="0" relativeHeight="251658315" behindDoc="0" locked="0" layoutInCell="1" allowOverlap="1" wp14:anchorId="1636FBE4" wp14:editId="23C27E79">
                <wp:simplePos x="0" y="0"/>
                <wp:positionH relativeFrom="column">
                  <wp:posOffset>1758163</wp:posOffset>
                </wp:positionH>
                <wp:positionV relativeFrom="paragraph">
                  <wp:posOffset>2163470</wp:posOffset>
                </wp:positionV>
                <wp:extent cx="353060" cy="372822"/>
                <wp:effectExtent l="0" t="0" r="8890" b="8255"/>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060" cy="372822"/>
                        </a:xfrm>
                        <a:prstGeom prst="rect">
                          <a:avLst/>
                        </a:prstGeom>
                        <a:noFill/>
                        <a:ln w="6350">
                          <a:noFill/>
                        </a:ln>
                      </wps:spPr>
                      <wps:txbx>
                        <w:txbxContent>
                          <w:p w14:paraId="19F4DECC" w14:textId="77777777" w:rsidR="00B83D7D" w:rsidRDefault="00E74F48"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C18</w:t>
                            </w:r>
                          </w:p>
                          <w:p w14:paraId="010E2616" w14:textId="5F2EAE04" w:rsidR="00E74F48" w:rsidRPr="0080669C" w:rsidRDefault="00E74F48"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6FBE4" id="Text Box 489" o:spid="_x0000_s1027" type="#_x0000_t202" style="position:absolute;margin-left:138.45pt;margin-top:170.35pt;width:27.8pt;height:29.3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sIQIAAEsEAAAOAAAAZHJzL2Uyb0RvYy54bWysVEtv2zAMvg/YfxB0X+wkaFYYcYqsRYYB&#10;QVsgHXpWZCkxJosapcTufv0o2Xmg22nYRSbFN79Pnt91jWFHhb4GW/LxKOdMWQlVbXcl//6y+nTL&#10;mQ/CVsKAVSV/U57fLT5+mLeuUBPYg6kUMkpifdG6ku9DcEWWeblXjfAjcMqSUQM2IpCKu6xC0VL2&#10;xmSTPJ9lLWDlEKTynm4feiNfpPxaKxmetPYqMFNy6i2kE9O5jWe2mItih8Ltazm0If6hi0bUloqe&#10;Uz2IINgB6z9SNbVE8KDDSEKTgda1VGkGmmacv5tmsxdOpVloOd6d1+T/X1r5eNy4Z2Sh+wIdAZiG&#10;8G4N8oen3WSt88XgE3fqC0/ecdBOYxO/NAKjQNrt23mfqgtM0uX0ZprPyCLJNP08uZ1M4r6zS7BD&#10;H74qaFgUSo4EV2pAHNc+9K4nl1jLwqo2JkFmLGtLPpve5CngbKHkxg59963GpkO37VhdxfkoOt5s&#10;oXqjsRF6RngnVzX1sBY+PAskClDbROvwRIc2QLVgkDjbA/762330J2TIyllLlCq5/3kQqDgz3yxh&#10;Np3leeTgtYLXyvZasYfmHoi1Y3pATiaRgjGYk6gRmldi/zJWJZOwkmqXfHsS70NPdHo9Ui2XyYlY&#10;50RY242TJ7Tjhl+6V4FugCEQfo9wIp8o3qHR+/Z4LA8BdJ2gumx1WD8xNoE9vK74JK715HX5Byx+&#10;AwAA//8DAFBLAwQUAAYACAAAACEA1pq2CeIAAAALAQAADwAAAGRycy9kb3ducmV2LnhtbEyPwU7D&#10;MAyG70i8Q2QkLhNLaUdHS9NpIHFBmhDbDjumjddGNE7VZG339oQT3Gz50+/vLzaz6diIg9OWBDwu&#10;I2BItVWaGgHHw/vDMzDnJSnZWUIBV3SwKW9vCpkrO9EXjnvfsBBCLpcCWu/7nHNXt2ikW9oeKdzO&#10;djDSh3VouBrkFMJNx+MoSrmRmsKHVvb41mL9vb8YAZ9xetJ0Pk5qMVZ68Xrd0fbDC3F/N29fgHmc&#10;/R8Mv/pBHcrgVNkLKcc6AfE6zQIqIFlFa2CBSJL4CVgVhixbAS8L/r9D+QMAAP//AwBQSwECLQAU&#10;AAYACAAAACEAtoM4kv4AAADhAQAAEwAAAAAAAAAAAAAAAAAAAAAAW0NvbnRlbnRfVHlwZXNdLnht&#10;bFBLAQItABQABgAIAAAAIQA4/SH/1gAAAJQBAAALAAAAAAAAAAAAAAAAAC8BAABfcmVscy8ucmVs&#10;c1BLAQItABQABgAIAAAAIQBxSupsIQIAAEsEAAAOAAAAAAAAAAAAAAAAAC4CAABkcnMvZTJvRG9j&#10;LnhtbFBLAQItABQABgAIAAAAIQDWmrYJ4gAAAAsBAAAPAAAAAAAAAAAAAAAAAHsEAABkcnMvZG93&#10;bnJldi54bWxQSwUGAAAAAAQABADzAAAAigUAAAAA&#10;" filled="f" stroked="f" strokeweight=".5pt">
                <v:textbox inset="1mm,1mm,1mm,1mm">
                  <w:txbxContent>
                    <w:p w14:paraId="19F4DECC" w14:textId="77777777" w:rsidR="00B83D7D" w:rsidRDefault="00E74F48"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C18</w:t>
                      </w:r>
                    </w:p>
                    <w:p w14:paraId="010E2616" w14:textId="5F2EAE04" w:rsidR="00E74F48" w:rsidRPr="0080669C" w:rsidRDefault="00E74F48"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v:textbox>
              </v:shape>
            </w:pict>
          </mc:Fallback>
        </mc:AlternateContent>
      </w:r>
      <w:r w:rsidR="00F83771" w:rsidRPr="00A068FF">
        <w:rPr>
          <w:rFonts w:ascii="Candara" w:hAnsi="Candara"/>
          <w:noProof/>
          <w:sz w:val="14"/>
          <w:szCs w:val="14"/>
          <w:lang w:val="en-US"/>
        </w:rPr>
        <mc:AlternateContent>
          <mc:Choice Requires="wps">
            <w:drawing>
              <wp:anchor distT="0" distB="0" distL="114300" distR="114300" simplePos="0" relativeHeight="251658410" behindDoc="0" locked="0" layoutInCell="1" allowOverlap="1" wp14:anchorId="2F0675A4" wp14:editId="74CE592E">
                <wp:simplePos x="0" y="0"/>
                <wp:positionH relativeFrom="column">
                  <wp:posOffset>5053965</wp:posOffset>
                </wp:positionH>
                <wp:positionV relativeFrom="paragraph">
                  <wp:posOffset>5901055</wp:posOffset>
                </wp:positionV>
                <wp:extent cx="362138" cy="330451"/>
                <wp:effectExtent l="0" t="0" r="0" b="0"/>
                <wp:wrapNone/>
                <wp:docPr id="1300150520" name="Text Box 1300150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138" cy="330451"/>
                        </a:xfrm>
                        <a:prstGeom prst="rect">
                          <a:avLst/>
                        </a:prstGeom>
                        <a:noFill/>
                        <a:ln w="6350">
                          <a:noFill/>
                        </a:ln>
                      </wps:spPr>
                      <wps:txbx>
                        <w:txbxContent>
                          <w:p w14:paraId="02BFC7B9" w14:textId="5BC976DF" w:rsidR="00F83771" w:rsidRPr="0080669C"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1,1%</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675A4" id="Text Box 1300150520" o:spid="_x0000_s1028" type="#_x0000_t202" style="position:absolute;margin-left:397.95pt;margin-top:464.65pt;width:28.5pt;height:26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ciIwIAAEsEAAAOAAAAZHJzL2Uyb0RvYy54bWysVF1v2yAUfZ+0/4B4X+zEazRZcaqsVaZJ&#10;UVsprfpMMMRomMuAxO5+/S7Y+VC3p2kvmMu93I9zDl7c9q0mR+G8AlPR6SSnRBgOtTL7ir48rz99&#10;ocQHZmqmwYiKvglPb5cfPyw6W4oZNKBr4QgmMb7sbEWbEGyZZZ43omV+AlYYdEpwLQtoun1WO9Zh&#10;9lZnszyfZx242jrgwns8vR+cdJnySyl4eJTSi0B0RbG3kFaX1l1cs+WClXvHbKP42Ab7hy5apgwW&#10;Pae6Z4GRg1N/pGoVd+BBhgmHNgMpFRdpBpxmmr+bZtswK9IsCI63Z5j8/0vLH45b++RI6L9CjwSm&#10;IbzdAP/hEZuss74cYyKmvvQYHQftpWvjF0cgeBGxfTvjKfpAOB4W89m0QAFwdBVF/vlmGvHOLpet&#10;8+GbgJbETUUd0pUaYMeND0PoKSTWMrBWWifKtCFdRefFTZ4unD2YXJux76HV2HTodz1RdUVnsYF4&#10;soP6Dcd2MCjCW75W2MOG+fDEHEoAB0JZh0dcpAasBeOOkgbcr7+dx3hkBr2UdCipivqfB+YEJfq7&#10;Qc6KeZ5HDV4b7trYXRvm0N4BqnaKD8jytMXLLujTVjpoX1H9q1gVXcxwrF3R3Wl7Fwah4+vhYrVK&#10;Qag6y8LGbC0/sR0Rfu5fmbMjDQH5e4CT+Fj5jo0hduBjdQggVaLqguoIPyo2kT2+rvgkru0UdfkH&#10;LH8DAAD//wMAUEsDBBQABgAIAAAAIQBwwbs44QAAAAsBAAAPAAAAZHJzL2Rvd25yZXYueG1sTI/B&#10;ToNAEIbvJr7DZky8NHYpTSsgS1NNvJiYxtqDx4WdApGdJewW6Ns7nvQ4/3z555t8N9tOjDj41pGC&#10;1TICgVQ501Kt4PT5+pCA8EGT0Z0jVHBFD7vi9ibXmXETfeB4DLXgEvKZVtCE0GdS+qpBq/3S9Ui8&#10;O7vB6sDjUEsz6InLbSfjKNpKq1viC43u8aXB6vt4sQoO8farpfNpMouxbBfP13favwWl7u/m/ROI&#10;gHP4g+FXn9WhYKfSXch40Sl4TDcpowrSOF2DYCLZxJyUnCSrNcgil/9/KH4AAAD//wMAUEsBAi0A&#10;FAAGAAgAAAAhALaDOJL+AAAA4QEAABMAAAAAAAAAAAAAAAAAAAAAAFtDb250ZW50X1R5cGVzXS54&#10;bWxQSwECLQAUAAYACAAAACEAOP0h/9YAAACUAQAACwAAAAAAAAAAAAAAAAAvAQAAX3JlbHMvLnJl&#10;bHNQSwECLQAUAAYACAAAACEArlWnIiMCAABLBAAADgAAAAAAAAAAAAAAAAAuAgAAZHJzL2Uyb0Rv&#10;Yy54bWxQSwECLQAUAAYACAAAACEAcMG7OOEAAAALAQAADwAAAAAAAAAAAAAAAAB9BAAAZHJzL2Rv&#10;d25yZXYueG1sUEsFBgAAAAAEAAQA8wAAAIsFAAAAAA==&#10;" filled="f" stroked="f" strokeweight=".5pt">
                <v:textbox inset="1mm,1mm,1mm,1mm">
                  <w:txbxContent>
                    <w:p w14:paraId="02BFC7B9" w14:textId="5BC976DF" w:rsidR="00F83771" w:rsidRPr="0080669C"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1,1%</w:t>
                      </w:r>
                    </w:p>
                  </w:txbxContent>
                </v:textbox>
              </v:shape>
            </w:pict>
          </mc:Fallback>
        </mc:AlternateContent>
      </w:r>
      <w:r w:rsidR="00F83771" w:rsidRPr="00A068FF">
        <w:rPr>
          <w:rFonts w:ascii="Candara" w:hAnsi="Candara"/>
          <w:noProof/>
          <w:sz w:val="14"/>
          <w:szCs w:val="14"/>
          <w:lang w:val="en-US"/>
        </w:rPr>
        <mc:AlternateContent>
          <mc:Choice Requires="wps">
            <w:drawing>
              <wp:anchor distT="0" distB="0" distL="114300" distR="114300" simplePos="0" relativeHeight="251658270" behindDoc="0" locked="0" layoutInCell="1" allowOverlap="1" wp14:anchorId="1FF33C6A" wp14:editId="0FF12FDE">
                <wp:simplePos x="0" y="0"/>
                <wp:positionH relativeFrom="column">
                  <wp:posOffset>3936365</wp:posOffset>
                </wp:positionH>
                <wp:positionV relativeFrom="paragraph">
                  <wp:posOffset>5570220</wp:posOffset>
                </wp:positionV>
                <wp:extent cx="831850" cy="465455"/>
                <wp:effectExtent l="0" t="0" r="6350" b="0"/>
                <wp:wrapNone/>
                <wp:docPr id="417576714" name="Text Box 417576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0" cy="465455"/>
                        </a:xfrm>
                        <a:prstGeom prst="rect">
                          <a:avLst/>
                        </a:prstGeom>
                        <a:noFill/>
                        <a:ln w="6350">
                          <a:noFill/>
                        </a:ln>
                      </wps:spPr>
                      <wps:txbx>
                        <w:txbxContent>
                          <w:p w14:paraId="032F7C60" w14:textId="2C02DC72"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33C6A" id="Text Box 417576714" o:spid="_x0000_s1029" type="#_x0000_t202" style="position:absolute;margin-left:309.95pt;margin-top:438.6pt;width:65.5pt;height:36.6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1szIgIAAEsEAAAOAAAAZHJzL2Uyb0RvYy54bWysVF1v2yAUfZ+0/4B4X+w0TVRZcaqsVaZJ&#10;UVspnfpMMMRomMuAxM5+/S7Y+Vi3p2kvmMu93I9zDp7fd40mB+G8AlPS8SinRBgOlTK7kn57XX26&#10;o8QHZiqmwYiSHoWn94uPH+atLcQN1KAr4QgmMb5obUnrEGyRZZ7XomF+BFYYdEpwDQtoul1WOdZi&#10;9kZnN3k+y1pwlXXAhfd4+tg76SLll1Lw8CylF4HokmJvIa0urdu4Zos5K3aO2VrxoQ32D100TBks&#10;ek71yAIje6f+SNUo7sCDDCMOTQZSKi7SDDjNOH83zaZmVqRZEBxvzzD5/5eWPx029sWR0H2GDglM&#10;Q3i7Bv7dIzZZa30xxERMfeExOg7aSdfEL45A8CJiezzjKbpAOB7eTcZ3U/RwdN3OprfTacQ7u1y2&#10;zocvAhoSNyV1SFdqgB3WPvShp5BYy8BKaZ0o04a0JZ1NMP1vHkyuzdB332psOnTbjqiqpJPYQDzZ&#10;QnXEsR30ivCWrxT2sGY+vDCHEsC2UdbhGRepAWvBsKOkBvfzb+cxHplBLyUtSqqk/seeOUGJ/mqQ&#10;s8ksz6MGrw13bWyvDbNvHgBVO8YHZHna4mUX9GkrHTRvqP5lrIouZjjWLmk4bR9CL3R8PVwslykI&#10;VWdZWJuN5Se2I8Kv3RtzdqAhIH9PcBIfK96x0cf2qC/3AaRKVF1QHeBHxSayh9cVn8S1naIu/4DF&#10;LwAAAP//AwBQSwMEFAAGAAgAAAAhAIwHKyHgAAAACwEAAA8AAABkcnMvZG93bnJldi54bWxMj8FO&#10;g0AQhu8mvsNmTLzZ3TZSCjI0lqSJFw9WDx4XGIHAziK7pfj2rid7nJkv/3x/tl/MIGaaXGcZYb1S&#10;IIgrW3fcIHy8Hx92IJzXXOvBMiH8kIN9fnuT6bS2F36j+eQbEULYpRqh9X5MpXRVS0a7lR2Jw+3L&#10;Tkb7ME6NrCd9CeFmkBulttLojsOHVo9UtFT1p7NB+OyXwvhjfCh7+n55PTwWbi4LxPu75fkJhKfF&#10;/8Pwpx/UIQ9OpT1z7cSAsF0nSUARdnG8ARGIOFJhUyIkkYpA5pm87pD/AgAA//8DAFBLAQItABQA&#10;BgAIAAAAIQC2gziS/gAAAOEBAAATAAAAAAAAAAAAAAAAAAAAAABbQ29udGVudF9UeXBlc10ueG1s&#10;UEsBAi0AFAAGAAgAAAAhADj9If/WAAAAlAEAAAsAAAAAAAAAAAAAAAAALwEAAF9yZWxzLy5yZWxz&#10;UEsBAi0AFAAGAAgAAAAhAN9jWzMiAgAASwQAAA4AAAAAAAAAAAAAAAAALgIAAGRycy9lMm9Eb2Mu&#10;eG1sUEsBAi0AFAAGAAgAAAAhAIwHKyHgAAAACwEAAA8AAAAAAAAAAAAAAAAAfAQAAGRycy9kb3du&#10;cmV2LnhtbFBLBQYAAAAABAAEAPMAAACJBQAAAAA=&#10;" filled="f" stroked="f" strokeweight=".5pt">
                <v:textbox inset="1mm,1mm,1mm,1mm">
                  <w:txbxContent>
                    <w:p w14:paraId="032F7C60" w14:textId="2C02DC72"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486A52" w:rsidRPr="00A068FF">
        <w:rPr>
          <w:rFonts w:ascii="Candara" w:hAnsi="Candara"/>
          <w:noProof/>
          <w:sz w:val="14"/>
          <w:szCs w:val="14"/>
          <w:lang w:val="en-US"/>
        </w:rPr>
        <mc:AlternateContent>
          <mc:Choice Requires="wps">
            <w:drawing>
              <wp:anchor distT="0" distB="0" distL="114300" distR="114300" simplePos="0" relativeHeight="251658324" behindDoc="0" locked="0" layoutInCell="1" allowOverlap="1" wp14:anchorId="5D7F5E8C" wp14:editId="1AF316F1">
                <wp:simplePos x="0" y="0"/>
                <wp:positionH relativeFrom="column">
                  <wp:posOffset>4495165</wp:posOffset>
                </wp:positionH>
                <wp:positionV relativeFrom="paragraph">
                  <wp:posOffset>5214620</wp:posOffset>
                </wp:positionV>
                <wp:extent cx="760095" cy="342900"/>
                <wp:effectExtent l="0" t="0" r="1905"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095" cy="342900"/>
                        </a:xfrm>
                        <a:prstGeom prst="rect">
                          <a:avLst/>
                        </a:prstGeom>
                        <a:noFill/>
                        <a:ln w="6350">
                          <a:noFill/>
                        </a:ln>
                      </wps:spPr>
                      <wps:txbx>
                        <w:txbxContent>
                          <w:p w14:paraId="44088DCB" w14:textId="66346F8E" w:rsidR="00B83D7D" w:rsidRPr="0080669C" w:rsidRDefault="00486A52"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Darbaspēka meklēšana 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F5E8C" id="Text Box 63" o:spid="_x0000_s1030" type="#_x0000_t202" style="position:absolute;margin-left:353.95pt;margin-top:410.6pt;width:59.85pt;height:27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IEJAIAAEsEAAAOAAAAZHJzL2Uyb0RvYy54bWysVF1v2yAUfZ+0/4B4X+wkbdZacaqsVaZJ&#10;UVspnfpMMMRomMuAxO5+/S7Y+VC3p2kvmMu93I9zDp7fdY0mB+G8AlPS8SinRBgOlTK7kn5/WX26&#10;ocQHZiqmwYiSvglP7xYfP8xbW4gJ1KAr4QgmMb5obUnrEGyRZZ7XomF+BFYYdEpwDQtoul1WOdZi&#10;9kZnkzyfZS24yjrgwns8feiddJHySyl4eJLSi0B0SbG3kFaX1m1cs8WcFTvHbK340Ab7hy4apgwW&#10;PaV6YIGRvVN/pGoUd+BBhhGHJgMpFRdpBpxmnL+bZlMzK9IsCI63J5j8/0vLHw8b++xI6L5AhwSm&#10;IbxdA//hEZustb4YYiKmvvAYHQftpGviF0cgeBGxfTvhKbpAOB5+nuX57TUlHF3Tq8ltnvDOzpet&#10;8+GrgIbETUkd0pUaYIe1D7E8K44hsZaBldI6UaYNaUs6m17n6cLJgze0GfruW41Nh27bEVWV9CoS&#10;Hk+2UL3h2A56RXjLVwp7WDMfnplDCeBAKOvwhIvUgLVg2FFSg/v1t/MYj8ygl5IWJVVS/3PPnKBE&#10;fzPI2RThiBq8NNylsb00zL65B1TtGB+Q5WmLl13Qx6100Lyi+pexKrqY4Vi7pNvj9j70QsfXw8Vy&#10;mYJQdZaFtdlYfmQ7IvzSvTJnBxoC8vcIR/Gx4h0bfWzPx3IfQKpE1RnVAX5UbGJweF3xSVzaKer8&#10;D1j8BgAA//8DAFBLAwQUAAYACAAAACEAkK0MM+EAAAALAQAADwAAAGRycy9kb3ducmV2LnhtbEyP&#10;wU7DMAyG70i8Q2QkLhNLF4m2K02ngcQFCSHGDjumjddGNE7VZG339oQT3Gz50+/vL3eL7dmEozeO&#10;JGzWCTCkxmlDrYTj1+tDDswHRVr1jlDCFT3sqtubUhXazfSJ0yG0LIaQL5SELoSh4Nw3HVrl125A&#10;irezG60KcR1brkc1x3Dbc5EkKbfKUPzQqQFfOmy+Dxcr4UOkJ0Pn46xXU21Wz9d32r8FKe/vlv0T&#10;sIBL+IPhVz+qQxWdanch7VkvIUuybUQl5GIjgEUiF1kKrI5D9iiAVyX/36H6AQAA//8DAFBLAQIt&#10;ABQABgAIAAAAIQC2gziS/gAAAOEBAAATAAAAAAAAAAAAAAAAAAAAAABbQ29udGVudF9UeXBlc10u&#10;eG1sUEsBAi0AFAAGAAgAAAAhADj9If/WAAAAlAEAAAsAAAAAAAAAAAAAAAAALwEAAF9yZWxzLy5y&#10;ZWxzUEsBAi0AFAAGAAgAAAAhAGwyYgQkAgAASwQAAA4AAAAAAAAAAAAAAAAALgIAAGRycy9lMm9E&#10;b2MueG1sUEsBAi0AFAAGAAgAAAAhAJCtDDPhAAAACwEAAA8AAAAAAAAAAAAAAAAAfgQAAGRycy9k&#10;b3ducmV2LnhtbFBLBQYAAAAABAAEAPMAAACMBQAAAAA=&#10;" filled="f" stroked="f" strokeweight=".5pt">
                <v:textbox inset="1mm,1mm,1mm,1mm">
                  <w:txbxContent>
                    <w:p w14:paraId="44088DCB" w14:textId="66346F8E" w:rsidR="00B83D7D" w:rsidRPr="0080669C" w:rsidRDefault="00486A52"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Darbaspēka meklēšana 0,7%</w:t>
                      </w:r>
                    </w:p>
                  </w:txbxContent>
                </v:textbox>
              </v:shape>
            </w:pict>
          </mc:Fallback>
        </mc:AlternateContent>
      </w:r>
      <w:r w:rsidR="002C304B" w:rsidRPr="00A068FF">
        <w:rPr>
          <w:rFonts w:ascii="Candara" w:hAnsi="Candara"/>
          <w:noProof/>
          <w:sz w:val="14"/>
          <w:szCs w:val="14"/>
          <w:lang w:val="en-US"/>
        </w:rPr>
        <mc:AlternateContent>
          <mc:Choice Requires="wps">
            <w:drawing>
              <wp:anchor distT="0" distB="0" distL="114300" distR="114300" simplePos="0" relativeHeight="251658295" behindDoc="0" locked="0" layoutInCell="1" allowOverlap="1" wp14:anchorId="5FCC23A2" wp14:editId="487732C8">
                <wp:simplePos x="0" y="0"/>
                <wp:positionH relativeFrom="column">
                  <wp:posOffset>5365115</wp:posOffset>
                </wp:positionH>
                <wp:positionV relativeFrom="paragraph">
                  <wp:posOffset>3125470</wp:posOffset>
                </wp:positionV>
                <wp:extent cx="359410" cy="562610"/>
                <wp:effectExtent l="0" t="0" r="2540" b="8890"/>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562610"/>
                        </a:xfrm>
                        <a:prstGeom prst="rect">
                          <a:avLst/>
                        </a:prstGeom>
                        <a:noFill/>
                        <a:ln w="6350">
                          <a:noFill/>
                        </a:ln>
                      </wps:spPr>
                      <wps:txbx>
                        <w:txbxContent>
                          <w:p w14:paraId="06B5CAE0" w14:textId="47B421F9" w:rsidR="00B83D7D" w:rsidRDefault="002C304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Rek-lāma</w:t>
                            </w:r>
                          </w:p>
                          <w:p w14:paraId="57D9D0A6" w14:textId="3A0702F8" w:rsidR="002C304B" w:rsidRPr="0080669C" w:rsidRDefault="002C304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C23A2" id="Text Box 454" o:spid="_x0000_s1031" type="#_x0000_t202" style="position:absolute;margin-left:422.45pt;margin-top:246.1pt;width:28.3pt;height:44.3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6aIQIAAEsEAAAOAAAAZHJzL2Uyb0RvYy54bWysVE2P2yAQvVfqf0DcGztJE7VWnFW6q1SV&#10;ot2VstWeCYbYKjAUSOz013fAzoe2PVW94IEZZt7Me3hx12lFjsL5BkxJx6OcEmE4VI3Zl/T7y/rD&#10;J0p8YKZiCowo6Ul4erd8/27R2kJMoAZVCUcwifFFa0tah2CLLPO8Fpr5EVhh0CnBaRZw6/ZZ5ViL&#10;2bXKJnk+z1pwlXXAhfd4+tA76TLll1Lw8CSlF4GokiK2kFaX1l1cs+WCFXvHbN3wAQb7BxSaNQaL&#10;XlI9sMDIwTV/pNINd+BBhhEHnYGUDRepB+xmnL/pZlszK1IvOBxvL2Py/y8tfzxu7bMjofsCHRKY&#10;mvB2A/yHx9lkrfXFEBNn6guP0bHRTjodv9gCwYs429NlnqILhOPhdPb54xg9HF2z+WSOdsx5vWyd&#10;D18FaBKNkjqkKwFgx40Pfeg5JNYysG6USpQpQ9qSzqezPF24eDC5MgPuHmoEHbpdR5oKUUQA8WQH&#10;1QnbdtArwlu+bhDDhvnwzBxKAGGjrMMTLlIB1oLBoqQG9+tv5zEemUEvJS1KqqT+54E5QYn6ZpCz&#10;6TzPowZvN+52s7vdmIO+B1TtGB+Q5cnEyy6osykd6FdU/ypWRRczHGuXdHc270MvdHw9XKxWKQhV&#10;Z1nYmK3lZ7bjhF+6V+bsQENA/h7hLD5WvGGjj+35WB0CyCZRdZ3qMH5UbCJ7eF3xSdzuU9T1H7D8&#10;DQAA//8DAFBLAwQUAAYACAAAACEAZ0pO5eIAAAALAQAADwAAAGRycy9kb3ducmV2LnhtbEyPwU7D&#10;MBBE70j8g7VIXCpqN0qrJMSpChIXJIQoPXB04m1iEa+j2E3Sv8ec4Liap5m35X6xPZtw9MaRhM1a&#10;AENqnDbUSjh9vjxkwHxQpFXvCCVc0cO+ur0pVaHdTB84HUPLYgn5QknoQhgKzn3ToVV+7QakmJ3d&#10;aFWI59hyPao5ltueJ0LsuFWG4kKnBnzusPk+XqyE92T3Zeh8mvVqqs3q6fpGh9cg5f3dcngEFnAJ&#10;fzD86kd1qKJT7S6kPeslZGmaR1RCmicJsEjkYrMFVkvYZiIDXpX8/w/VDwAAAP//AwBQSwECLQAU&#10;AAYACAAAACEAtoM4kv4AAADhAQAAEwAAAAAAAAAAAAAAAAAAAAAAW0NvbnRlbnRfVHlwZXNdLnht&#10;bFBLAQItABQABgAIAAAAIQA4/SH/1gAAAJQBAAALAAAAAAAAAAAAAAAAAC8BAABfcmVscy8ucmVs&#10;c1BLAQItABQABgAIAAAAIQAsjt6aIQIAAEsEAAAOAAAAAAAAAAAAAAAAAC4CAABkcnMvZTJvRG9j&#10;LnhtbFBLAQItABQABgAIAAAAIQBnSk7l4gAAAAsBAAAPAAAAAAAAAAAAAAAAAHsEAABkcnMvZG93&#10;bnJldi54bWxQSwUGAAAAAAQABADzAAAAigUAAAAA&#10;" filled="f" stroked="f" strokeweight=".5pt">
                <v:textbox inset="1mm,1mm,1mm,1mm">
                  <w:txbxContent>
                    <w:p w14:paraId="06B5CAE0" w14:textId="47B421F9" w:rsidR="00B83D7D" w:rsidRDefault="002C304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Rek-lāma</w:t>
                      </w:r>
                    </w:p>
                    <w:p w14:paraId="57D9D0A6" w14:textId="3A0702F8" w:rsidR="002C304B" w:rsidRPr="0080669C" w:rsidRDefault="002C304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0,9%</w:t>
                      </w:r>
                    </w:p>
                  </w:txbxContent>
                </v:textbox>
              </v:shape>
            </w:pict>
          </mc:Fallback>
        </mc:AlternateContent>
      </w:r>
      <w:r w:rsidR="00CC30E2" w:rsidRPr="00A068FF">
        <w:rPr>
          <w:rFonts w:ascii="Candara" w:hAnsi="Candara"/>
          <w:noProof/>
          <w:sz w:val="14"/>
          <w:szCs w:val="14"/>
          <w:lang w:val="en-US"/>
        </w:rPr>
        <mc:AlternateContent>
          <mc:Choice Requires="wps">
            <w:drawing>
              <wp:anchor distT="0" distB="0" distL="114300" distR="114300" simplePos="0" relativeHeight="251658294" behindDoc="0" locked="0" layoutInCell="1" allowOverlap="1" wp14:anchorId="05966690" wp14:editId="1BB1F7BA">
                <wp:simplePos x="0" y="0"/>
                <wp:positionH relativeFrom="column">
                  <wp:posOffset>4507865</wp:posOffset>
                </wp:positionH>
                <wp:positionV relativeFrom="paragraph">
                  <wp:posOffset>3042920</wp:posOffset>
                </wp:positionV>
                <wp:extent cx="719455" cy="645795"/>
                <wp:effectExtent l="0" t="0" r="4445" b="1905"/>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645795"/>
                        </a:xfrm>
                        <a:prstGeom prst="rect">
                          <a:avLst/>
                        </a:prstGeom>
                        <a:noFill/>
                        <a:ln w="6350">
                          <a:noFill/>
                        </a:ln>
                      </wps:spPr>
                      <wps:txbx>
                        <w:txbxContent>
                          <w:p w14:paraId="07E3C28A" w14:textId="2ED4DE0C" w:rsidR="00B83D7D" w:rsidRDefault="00CC30E2"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Juridiskie, grāmatvedības pakalpojumi</w:t>
                            </w:r>
                          </w:p>
                          <w:p w14:paraId="269825CD" w14:textId="4832C184" w:rsidR="00CC30E2" w:rsidRPr="0080669C" w:rsidRDefault="00CC30E2"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66690" id="Text Box 455" o:spid="_x0000_s1032" type="#_x0000_t202" style="position:absolute;margin-left:354.95pt;margin-top:239.6pt;width:56.65pt;height:50.8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wVWIgIAAEsEAAAOAAAAZHJzL2Uyb0RvYy54bWysVFtv2yAUfp+0/4B4X+y0TbpacaqsVaZJ&#10;UVspnfpMMMTWgMOAxM5+/Q7Yuajb07QXfA7nfr4Pz+47rcheON+AKel4lFMiDIeqMduSfn9dfvpM&#10;iQ/MVEyBESU9CE/v5x8/zFpbiCuoQVXCEUxifNHaktYh2CLLPK+FZn4EVhg0SnCaBVTdNqscazG7&#10;VtlVnk+zFlxlHXDhPd4+9kY6T/mlFDw8S+lFIKqk2FtIp0vnJp7ZfMaKrWO2bvjQBvuHLjRrDBY9&#10;pXpkgZGda/5IpRvuwIMMIw46AykbLtIMOM04fzfNumZWpFlwOd6e1uT/X1r+tF/bF0dC9wU6BDAN&#10;4e0K+A+Pu8la64vBJ+7UFx6946CddDp+cQSCgbjbw2mfoguE4+Xt+O5mMqGEo2l6M7m9m8R9Z+dg&#10;63z4KkCTKJTUIVypAbZf+dC7Hl1iLQPLRqkEmTKkxaTXkzwFnCyYXJmh777V2HToNh1pKgyIDcSb&#10;DVQHHNtBzwhv+bLBHlbMhxfmkAI4ENI6POMhFWAtGCRKanC//nYf/REZtFLSIqVK6n/umBOUqG8G&#10;Mbue5nnk4KXiLpXNpWJ2+gGQtWN8QJYnEYNdUEdROtBvyP5FrIomZjjWLunmKD6Enuj4erhYLJIT&#10;ss6ysDJry49oxw2/dm/M2QGGgPg9wZF8rHiHRu/b47HYBZBNguq81WH9yNgE9vC64pO41JPX+R8w&#10;/w0AAP//AwBQSwMEFAAGAAgAAAAhAKdfFb7iAAAACwEAAA8AAABkcnMvZG93bnJldi54bWxMj8FO&#10;wzAMhu9IvENkJC4TSyiwtV3TaSBxQUKIscOOaeO1EY1TNVnbvT3hBDdb/vT7+4vtbDs24uCNIwn3&#10;SwEMqXbaUCPh8PV6lwLzQZFWnSOUcEEP2/L6qlC5dhN94rgPDYsh5HMloQ2hzzn3dYtW+aXrkeLt&#10;5AarQlyHhutBTTHcdjwRYsWtMhQ/tKrHlxbr7/3ZSvhIVkdDp8OkF2NlFs+Xd9q9BSlvb+bdBljA&#10;OfzB8Ksf1aGMTpU7k/ask7AWWRZRCY/rLAEWiTR5iEMl4SkVGfCy4P87lD8AAAD//wMAUEsBAi0A&#10;FAAGAAgAAAAhALaDOJL+AAAA4QEAABMAAAAAAAAAAAAAAAAAAAAAAFtDb250ZW50X1R5cGVzXS54&#10;bWxQSwECLQAUAAYACAAAACEAOP0h/9YAAACUAQAACwAAAAAAAAAAAAAAAAAvAQAAX3JlbHMvLnJl&#10;bHNQSwECLQAUAAYACAAAACEA9h8FViICAABLBAAADgAAAAAAAAAAAAAAAAAuAgAAZHJzL2Uyb0Rv&#10;Yy54bWxQSwECLQAUAAYACAAAACEAp18VvuIAAAALAQAADwAAAAAAAAAAAAAAAAB8BAAAZHJzL2Rv&#10;d25yZXYueG1sUEsFBgAAAAAEAAQA8wAAAIsFAAAAAA==&#10;" filled="f" stroked="f" strokeweight=".5pt">
                <v:textbox inset="1mm,1mm,1mm,1mm">
                  <w:txbxContent>
                    <w:p w14:paraId="07E3C28A" w14:textId="2ED4DE0C" w:rsidR="00B83D7D" w:rsidRDefault="00CC30E2"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Juridiskie, grāmatvedības pakalpojumi</w:t>
                      </w:r>
                    </w:p>
                    <w:p w14:paraId="269825CD" w14:textId="4832C184" w:rsidR="00CC30E2" w:rsidRPr="0080669C" w:rsidRDefault="00CC30E2"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2,2%</w:t>
                      </w:r>
                    </w:p>
                  </w:txbxContent>
                </v:textbox>
              </v:shape>
            </w:pict>
          </mc:Fallback>
        </mc:AlternateContent>
      </w:r>
      <w:r w:rsidR="00772BB9" w:rsidRPr="00A068FF">
        <w:rPr>
          <w:rFonts w:ascii="Candara" w:hAnsi="Candara"/>
          <w:noProof/>
          <w:sz w:val="14"/>
          <w:szCs w:val="14"/>
          <w:lang w:val="en-US"/>
        </w:rPr>
        <mc:AlternateContent>
          <mc:Choice Requires="wps">
            <w:drawing>
              <wp:anchor distT="0" distB="0" distL="114300" distR="114300" simplePos="0" relativeHeight="251658262" behindDoc="0" locked="0" layoutInCell="1" allowOverlap="1" wp14:anchorId="08A9D5A3" wp14:editId="4B8C1D6A">
                <wp:simplePos x="0" y="0"/>
                <wp:positionH relativeFrom="column">
                  <wp:posOffset>4507865</wp:posOffset>
                </wp:positionH>
                <wp:positionV relativeFrom="paragraph">
                  <wp:posOffset>2655570</wp:posOffset>
                </wp:positionV>
                <wp:extent cx="1174750" cy="381000"/>
                <wp:effectExtent l="0" t="0" r="6350" b="0"/>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0" cy="381000"/>
                        </a:xfrm>
                        <a:prstGeom prst="rect">
                          <a:avLst/>
                        </a:prstGeom>
                        <a:noFill/>
                        <a:ln w="6350">
                          <a:noFill/>
                        </a:ln>
                      </wps:spPr>
                      <wps:txbx>
                        <w:txbxContent>
                          <w:p w14:paraId="2CA4121F" w14:textId="64D7E176" w:rsidR="00B83D7D" w:rsidRPr="0080669C" w:rsidRDefault="009B0D5C" w:rsidP="00C075DC">
                            <w:pPr>
                              <w:tabs>
                                <w:tab w:val="left" w:pos="4820"/>
                              </w:tabs>
                              <w:spacing w:after="0"/>
                              <w:rPr>
                                <w:rFonts w:ascii="Segoe UI Light" w:hAnsi="Segoe UI Light" w:cs="Segoe UI Light"/>
                                <w:b/>
                                <w:bCs/>
                                <w:color w:val="FFFFFF" w:themeColor="background1"/>
                                <w:sz w:val="16"/>
                                <w:szCs w:val="16"/>
                              </w:rPr>
                            </w:pPr>
                            <w:r w:rsidRPr="009B0D5C">
                              <w:rPr>
                                <w:rFonts w:ascii="Segoe UI Light" w:hAnsi="Segoe UI Light" w:cs="Segoe UI Light"/>
                                <w:b/>
                                <w:bCs/>
                                <w:color w:val="FFFFFF" w:themeColor="background1"/>
                                <w:sz w:val="16"/>
                                <w:szCs w:val="16"/>
                              </w:rPr>
                              <w:t>Profesionālie, zinātniskie un tehniskie 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9D5A3" id="Text Box 493" o:spid="_x0000_s1033" type="#_x0000_t202" style="position:absolute;margin-left:354.95pt;margin-top:209.1pt;width:92.5pt;height:30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t5JQIAAEwEAAAOAAAAZHJzL2Uyb0RvYy54bWysVE2P2yAQvVfqf0DcGzubNllZcVbprlJV&#10;inZXylZ7JhhiVMxQILHTX98BOx/d9lT1ghlmmI/3Hp7fdY0mB+G8AlPS8SinRBgOlTK7kn57WX24&#10;pcQHZiqmwYiSHoWnd4v37+atLcQN1KAr4QgmMb5obUnrEGyRZZ7XomF+BFYYdEpwDQtoul1WOdZi&#10;9kZnN3k+zVpwlXXAhfd4+tA76SLll1Lw8CSlF4HokmJvIa0urdu4Zos5K3aO2VrxoQ32D100TBks&#10;ek71wAIje6f+SNUo7sCDDCMOTQZSKi7SDDjNOH8zzaZmVqRZEBxvzzD5/5eWPx429tmR0H2GDglM&#10;Q3i7Bv7dIzZZa30xxERMfeExOg7aSdfEL45A8CJiezzjKbpAeMw2nn2cfUIXR9/kdpznCfDscts6&#10;H74IaEjclNQhX6kDdlj7EOuz4hQSixlYKa0TZ9qQtqTTCab/zYM3tBka73uNXYdu2xFVlXQWGY8n&#10;W6iOOLeDXhLe8pXCHtbMh2fmUAPYNuo6POEiNWAtGHaU1OB+/u08xiM16KWkRU2V1P/YMyco0V8N&#10;kjZDxUYRJmMyTYa7NrbXhtk394CyHeMLsjxt8bIL+rSVDppXlP8yVkUXMxxrlzSctvehVzo+Hy6W&#10;yxSEsrMsrM3G8hPdEeGX7pU5O9AQkMBHOKmPFW/Y6GN71Jf7AFIlqi6oDvCjZBODw/OKb+LaTlGX&#10;n8DiFwAAAP//AwBQSwMEFAAGAAgAAAAhADTWBRHdAAAACwEAAA8AAABkcnMvZG93bnJldi54bWxM&#10;j8FOg0AQhu8mvsNmTHoxdoFgC8jSNKgPYDXxuoURSNlZ3F1a+vaOJz3ON3/++abcLWYUZ3R+sKQg&#10;XkcgkBrbDtQp+Hh/fchA+KCp1aMlVHBFD7vq9qbURWsv9IbnQ+gEl5AvtII+hKmQ0jc9Gu3XdkLi&#10;3Zd1RgceXSdbpy9cbkaZRNFGGj0QX+j1hHWPzekwGwXP6fUzvp/p5XHjT9O3d3Xsklqp1d2yfwIR&#10;cAl/YfjVZ3Wo2OloZ2q9GBVsozznqII0zhIQnMjylMmRyZaJrEr5/4fqBwAA//8DAFBLAQItABQA&#10;BgAIAAAAIQC2gziS/gAAAOEBAAATAAAAAAAAAAAAAAAAAAAAAABbQ29udGVudF9UeXBlc10ueG1s&#10;UEsBAi0AFAAGAAgAAAAhADj9If/WAAAAlAEAAAsAAAAAAAAAAAAAAAAALwEAAF9yZWxzLy5yZWxz&#10;UEsBAi0AFAAGAAgAAAAhABkEu3klAgAATAQAAA4AAAAAAAAAAAAAAAAALgIAAGRycy9lMm9Eb2Mu&#10;eG1sUEsBAi0AFAAGAAgAAAAhADTWBRHdAAAACwEAAA8AAAAAAAAAAAAAAAAAfwQAAGRycy9kb3du&#10;cmV2LnhtbFBLBQYAAAAABAAEAPMAAACJBQAAAAA=&#10;" filled="f" stroked="f" strokeweight=".5pt">
                <v:textbox inset="2mm,1mm,1mm,1mm">
                  <w:txbxContent>
                    <w:p w14:paraId="2CA4121F" w14:textId="64D7E176" w:rsidR="00B83D7D" w:rsidRPr="0080669C" w:rsidRDefault="009B0D5C" w:rsidP="00C075DC">
                      <w:pPr>
                        <w:tabs>
                          <w:tab w:val="left" w:pos="4820"/>
                        </w:tabs>
                        <w:spacing w:after="0"/>
                        <w:rPr>
                          <w:rFonts w:ascii="Segoe UI Light" w:hAnsi="Segoe UI Light" w:cs="Segoe UI Light"/>
                          <w:b/>
                          <w:bCs/>
                          <w:color w:val="FFFFFF" w:themeColor="background1"/>
                          <w:sz w:val="16"/>
                          <w:szCs w:val="16"/>
                        </w:rPr>
                      </w:pPr>
                      <w:r w:rsidRPr="009B0D5C">
                        <w:rPr>
                          <w:rFonts w:ascii="Segoe UI Light" w:hAnsi="Segoe UI Light" w:cs="Segoe UI Light"/>
                          <w:b/>
                          <w:bCs/>
                          <w:color w:val="FFFFFF" w:themeColor="background1"/>
                          <w:sz w:val="16"/>
                          <w:szCs w:val="16"/>
                        </w:rPr>
                        <w:t>Profesionālie, zinātniskie un tehniskie pakalpojumi</w:t>
                      </w:r>
                    </w:p>
                  </w:txbxContent>
                </v:textbox>
              </v:shape>
            </w:pict>
          </mc:Fallback>
        </mc:AlternateContent>
      </w:r>
      <w:r w:rsidR="00772BB9" w:rsidRPr="00A068FF">
        <w:rPr>
          <w:rFonts w:ascii="Candara" w:hAnsi="Candara"/>
          <w:noProof/>
          <w:sz w:val="14"/>
          <w:szCs w:val="14"/>
          <w:lang w:val="en-US"/>
        </w:rPr>
        <mc:AlternateContent>
          <mc:Choice Requires="wps">
            <w:drawing>
              <wp:anchor distT="0" distB="0" distL="114300" distR="114300" simplePos="0" relativeHeight="251658303" behindDoc="0" locked="0" layoutInCell="1" allowOverlap="1" wp14:anchorId="346ED1DE" wp14:editId="3DABB52C">
                <wp:simplePos x="0" y="0"/>
                <wp:positionH relativeFrom="column">
                  <wp:posOffset>3263265</wp:posOffset>
                </wp:positionH>
                <wp:positionV relativeFrom="paragraph">
                  <wp:posOffset>4103370</wp:posOffset>
                </wp:positionV>
                <wp:extent cx="1085850" cy="215900"/>
                <wp:effectExtent l="0" t="0" r="0" b="0"/>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215900"/>
                        </a:xfrm>
                        <a:prstGeom prst="rect">
                          <a:avLst/>
                        </a:prstGeom>
                        <a:noFill/>
                        <a:ln w="6350">
                          <a:noFill/>
                        </a:ln>
                      </wps:spPr>
                      <wps:txbx>
                        <w:txbxContent>
                          <w:p w14:paraId="1782D956" w14:textId="34327B39" w:rsidR="00B83D7D" w:rsidRPr="0080669C" w:rsidRDefault="00772BB9" w:rsidP="00C075DC">
                            <w:pPr>
                              <w:tabs>
                                <w:tab w:val="left" w:pos="1418"/>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Sociālā aprūpe 0,8%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ED1DE" id="Text Box 463" o:spid="_x0000_s1034" type="#_x0000_t202" style="position:absolute;margin-left:256.95pt;margin-top:323.1pt;width:85.5pt;height:17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lfIwIAAEwEAAAOAAAAZHJzL2Uyb0RvYy54bWysVF1v2yAUfZ+0/4B4X+ykSpRZcaqsVaZJ&#10;UVsprfpMMMRomMuAxM5+/S7YabJuT9NeMJd7uR/nHLy47RpNjsJ5Baak41FOiTAcKmX2JX15Xn+a&#10;U+IDMxXTYERJT8LT2+XHD4vWFmICNehKOIJJjC9aW9I6BFtkmee1aJgfgRUGnRJcwwKabp9VjrWY&#10;vdHZJM9nWQuusg648B5P73snXab8UgoeHqX0IhBdUuwtpNWldRfXbLlgxd4xWys+tMH+oYuGKYNF&#10;31Lds8DIwak/UjWKO/Agw4hDk4GUios0A04zzt9Ns62ZFWkWBMfbN5j8/0vLH45b++RI6L5AhwSm&#10;IbzdAP/uEZustb4YYiKmvvAYHQftpGviF0cgeBGxPb3hKbpAeMyWz6fzKbo4+ibj6ec8AZ5dblvn&#10;w1cBDYmbkjrkK3XAjhsfYn1WnENiMQNrpXXiTBvSlnR2g+l/8+ANbYbG+15j16HbdURVJZ1HxuPJ&#10;DqoTzu2gl4S3fK2whw3z4Yk51AC2jboOj7hIDVgLhh0lNbiffzuP8UgNeilpUVMl9T8OzAlK9DeD&#10;pN3MckSAhGvDXRu7a8McmjtA2Y7xBVmetnjZBX3eSgfNK8p/FauiixmOtUu6O2/vQq90fD5crFYp&#10;CGVnWdiYreVnuiPCz90rc3agISCBD3BWHyvesdHH9qivDgGkSlRdUB3gR8kmBofnFd/EtZ2iLj+B&#10;5S8AAAD//wMAUEsDBBQABgAIAAAAIQCTr6fh4AAAAAsBAAAPAAAAZHJzL2Rvd25yZXYueG1sTI9N&#10;T8MwDIbvSPyHyEhcJpaujGqUptNA4oKEEGMHjmnjtRGNUzVZ2/17vBPc/PHo9eNiO7tOjDgE60nB&#10;apmAQKq9sdQoOHy93m1AhKjJ6M4TKjhjgG15fVXo3PiJPnHcx0ZwCIVcK2hj7HMpQ92i02HpeyTe&#10;Hf3gdOR2aKQZ9MThrpNpkmTSaUt8odU9vrRY/+xPTsFHmn1bOh4msxgru3g+v9PuLSp1ezPvnkBE&#10;nOMfDBd9VoeSnSp/IhNEp+Bhdf/IqIJsnaUgmMg2a55UlyJJQZaF/P9D+QsAAP//AwBQSwECLQAU&#10;AAYACAAAACEAtoM4kv4AAADhAQAAEwAAAAAAAAAAAAAAAAAAAAAAW0NvbnRlbnRfVHlwZXNdLnht&#10;bFBLAQItABQABgAIAAAAIQA4/SH/1gAAAJQBAAALAAAAAAAAAAAAAAAAAC8BAABfcmVscy8ucmVs&#10;c1BLAQItABQABgAIAAAAIQDVcYlfIwIAAEwEAAAOAAAAAAAAAAAAAAAAAC4CAABkcnMvZTJvRG9j&#10;LnhtbFBLAQItABQABgAIAAAAIQCTr6fh4AAAAAsBAAAPAAAAAAAAAAAAAAAAAH0EAABkcnMvZG93&#10;bnJldi54bWxQSwUGAAAAAAQABADzAAAAigUAAAAA&#10;" filled="f" stroked="f" strokeweight=".5pt">
                <v:textbox inset="1mm,1mm,1mm,1mm">
                  <w:txbxContent>
                    <w:p w14:paraId="1782D956" w14:textId="34327B39" w:rsidR="00B83D7D" w:rsidRPr="0080669C" w:rsidRDefault="00772BB9" w:rsidP="00C075DC">
                      <w:pPr>
                        <w:tabs>
                          <w:tab w:val="left" w:pos="1418"/>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Sociālā aprūpe 0,8%</w:t>
                      </w:r>
                    </w:p>
                  </w:txbxContent>
                </v:textbox>
              </v:shape>
            </w:pict>
          </mc:Fallback>
        </mc:AlternateContent>
      </w:r>
      <w:r w:rsidR="005F5D00" w:rsidRPr="00A068FF">
        <w:rPr>
          <w:rFonts w:ascii="Candara" w:hAnsi="Candara"/>
          <w:noProof/>
          <w:sz w:val="14"/>
          <w:szCs w:val="14"/>
          <w:lang w:val="en-US"/>
        </w:rPr>
        <mc:AlternateContent>
          <mc:Choice Requires="wps">
            <w:drawing>
              <wp:anchor distT="0" distB="0" distL="114300" distR="114300" simplePos="0" relativeHeight="251658283" behindDoc="0" locked="0" layoutInCell="1" allowOverlap="1" wp14:anchorId="731C0F25" wp14:editId="44A181D7">
                <wp:simplePos x="0" y="0"/>
                <wp:positionH relativeFrom="column">
                  <wp:posOffset>3999865</wp:posOffset>
                </wp:positionH>
                <wp:positionV relativeFrom="paragraph">
                  <wp:posOffset>2185670</wp:posOffset>
                </wp:positionV>
                <wp:extent cx="1333500" cy="467995"/>
                <wp:effectExtent l="0" t="0" r="0" b="8255"/>
                <wp:wrapNone/>
                <wp:docPr id="468"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67995"/>
                        </a:xfrm>
                        <a:prstGeom prst="rect">
                          <a:avLst/>
                        </a:prstGeom>
                        <a:noFill/>
                        <a:ln w="6350">
                          <a:noFill/>
                        </a:ln>
                      </wps:spPr>
                      <wps:txbx>
                        <w:txbxContent>
                          <w:p w14:paraId="36990565" w14:textId="2004F551" w:rsidR="00B83D7D" w:rsidRDefault="00B312A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Īpašumu apsaimniekošana</w:t>
                            </w:r>
                          </w:p>
                          <w:p w14:paraId="7B821247" w14:textId="3B6F68EA" w:rsidR="005F5D00" w:rsidRPr="0080669C" w:rsidRDefault="005F5D0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C0F25" id="Text Box 468" o:spid="_x0000_s1035" type="#_x0000_t202" style="position:absolute;margin-left:314.95pt;margin-top:172.1pt;width:105pt;height:36.8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QbIwIAAEwEAAAOAAAAZHJzL2Uyb0RvYy54bWysVE2P2yAQvVfqf0DcGzubbtpYcVbprlJV&#10;inZXylZ7Jhhiq8BQILHTX98BOx/a9lT1ghlmmI/3Hp7fdVqRg3C+AVPS8SinRBgOVWN2Jf3+svrw&#10;mRIfmKmYAiNKehSe3i3ev5u3thA3UIOqhCOYxPiitSWtQ7BFlnleC838CKww6JTgNAtoul1WOdZi&#10;dq2ymzyfZi24yjrgwns8feiddJHySyl4eJLSi0BUSbG3kFaX1m1cs8WcFTvHbN3woQ32D11o1hgs&#10;ek71wAIje9f8kUo33IEHGUYcdAZSNlykGXCacf5mmk3NrEizIDjenmHy/y8tfzxs7LMjofsCHRKY&#10;hvB2DfyHR2yy1vpiiImY+sJjdBy0k07HL45A8CJiezzjKbpAeMw2mUxuc3Rx9H2cfprNbiPg2eW2&#10;dT58FaBJ3JTUIV+pA3ZY+9CHnkJiMQOrRqnEmTKkLekU86cLZw8mV2ZovO81dh26bUeaqqSz2EA8&#10;2UJ1xLkd9JLwlq8a7GHNfHhmDjWAbaOuwxMuUgHWgmFHSQ3u19/OYzxSg15KWtRUSf3PPXOCEvXN&#10;IGmTaR7RCNeGuza214bZ63tA2Y7xBVmetnjZBXXaSgf6FeW/jFXRxQzH2iXdnrb3oVc6Ph8ulssU&#10;hLKzLKzNxvIT3RHhl+6VOTvQEJDARzipjxVv2Ohjez6W+wCySVRdUB3gR8kmsofnFd/EtZ2iLj+B&#10;xW8AAAD//wMAUEsDBBQABgAIAAAAIQAJj1cV4gAAAAsBAAAPAAAAZHJzL2Rvd25yZXYueG1sTI/B&#10;TsMwDIbvSLxDZCQu05auq8pa6k4DiQsSQowddkybrI1onKrJ2u7tyU5wtP3p9/cXu9l0bFSD05YQ&#10;1qsImKLaSk0NwvH7bbkF5rwgKTpLCuGqHOzK+7tC5NJO9KXGg29YCCGXC4TW+z7n3NWtMsKtbK8o&#10;3M52MMKHcWi4HMQUwk3H4yhKuRGawodW9Oq1VfXP4WIQPuP0pOl8nORirPTi5fpB+3eP+Pgw75+B&#10;eTX7Pxhu+kEdyuBU2QtJxzqENM6ygCJskiQGFojt5rapEJL1Uwa8LPj/DuUvAAAA//8DAFBLAQIt&#10;ABQABgAIAAAAIQC2gziS/gAAAOEBAAATAAAAAAAAAAAAAAAAAAAAAABbQ29udGVudF9UeXBlc10u&#10;eG1sUEsBAi0AFAAGAAgAAAAhADj9If/WAAAAlAEAAAsAAAAAAAAAAAAAAAAALwEAAF9yZWxzLy5y&#10;ZWxzUEsBAi0AFAAGAAgAAAAhAGJJ9BsjAgAATAQAAA4AAAAAAAAAAAAAAAAALgIAAGRycy9lMm9E&#10;b2MueG1sUEsBAi0AFAAGAAgAAAAhAAmPVxXiAAAACwEAAA8AAAAAAAAAAAAAAAAAfQQAAGRycy9k&#10;b3ducmV2LnhtbFBLBQYAAAAABAAEAPMAAACMBQAAAAA=&#10;" filled="f" stroked="f" strokeweight=".5pt">
                <v:textbox inset="1mm,1mm,1mm,1mm">
                  <w:txbxContent>
                    <w:p w14:paraId="36990565" w14:textId="2004F551" w:rsidR="00B83D7D" w:rsidRDefault="00B312A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Īpašumu apsaimniekošana</w:t>
                      </w:r>
                    </w:p>
                    <w:p w14:paraId="7B821247" w14:textId="3B6F68EA" w:rsidR="005F5D00" w:rsidRPr="0080669C" w:rsidRDefault="005F5D0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4,2%</w:t>
                      </w:r>
                    </w:p>
                  </w:txbxContent>
                </v:textbox>
              </v:shape>
            </w:pict>
          </mc:Fallback>
        </mc:AlternateContent>
      </w:r>
      <w:r w:rsidR="003D450D" w:rsidRPr="00A068FF">
        <w:rPr>
          <w:rFonts w:ascii="Candara" w:hAnsi="Candara"/>
          <w:noProof/>
          <w:sz w:val="14"/>
          <w:szCs w:val="14"/>
          <w:lang w:val="en-US"/>
        </w:rPr>
        <mc:AlternateContent>
          <mc:Choice Requires="wps">
            <w:drawing>
              <wp:anchor distT="0" distB="0" distL="114300" distR="114300" simplePos="0" relativeHeight="251658274" behindDoc="0" locked="0" layoutInCell="1" allowOverlap="1" wp14:anchorId="788F3160" wp14:editId="7383A903">
                <wp:simplePos x="0" y="0"/>
                <wp:positionH relativeFrom="column">
                  <wp:posOffset>5034062</wp:posOffset>
                </wp:positionH>
                <wp:positionV relativeFrom="paragraph">
                  <wp:posOffset>5565766</wp:posOffset>
                </wp:positionV>
                <wp:extent cx="681355" cy="498143"/>
                <wp:effectExtent l="0" t="0" r="4445" b="0"/>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 cy="498143"/>
                        </a:xfrm>
                        <a:prstGeom prst="rect">
                          <a:avLst/>
                        </a:prstGeom>
                        <a:noFill/>
                        <a:ln w="6350">
                          <a:noFill/>
                        </a:ln>
                      </wps:spPr>
                      <wps:txbx>
                        <w:txbxContent>
                          <w:p w14:paraId="48FDDF8C" w14:textId="77777777" w:rsidR="00B83D7D" w:rsidRPr="0080669C" w:rsidRDefault="003D450D"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Ūdens apgāde</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F3160" id="Text Box 509" o:spid="_x0000_s1036" type="#_x0000_t202" style="position:absolute;margin-left:396.4pt;margin-top:438.25pt;width:53.65pt;height:39.2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PBJgIAAEwEAAAOAAAAZHJzL2Uyb0RvYy54bWysVE1v2zAMvQ/YfxB0X5w0TZYacYqsRYYB&#10;QVsgHXpWZCkWJouapMTOfv0o2flAt9OwiyyKFMnH9+T5fVtrchDOKzAFHQ2GlAjDoVRmV9Dvr6tP&#10;M0p8YKZkGowo6FF4er/4+GHe2FzcQAW6FI5gEuPzxha0CsHmWeZ5JWrmB2CFQacEV7OApttlpWMN&#10;Zq91djMcTrMGXGkdcOE9nj52TrpI+aUUPDxL6UUguqDYW0irS+s2rtlizvKdY7ZSvG+D/UMXNVMG&#10;i55TPbLAyN6pP1LVijvwIMOAQ52BlIqLhAHRjIbv0GwqZkXCgsPx9jwm///S8qfDxr44Etov0CKB&#10;CYS3a+A/PM4ma6zP+5g4U597jI5AW+nq+EUIBC/ibI/neYo2EI6H09loPJlQwtF1ezcb3Y7jvLPL&#10;Zet8+CqgJnFTUId0pQbYYe1DF3oKibUMrJTWiTJtSIMFxpNhunD2YHJt+r67VmPTod22RJWILzEe&#10;j7ZQHhG3g04S3vKVwibWzIcX5lADiAh1HZ5xkRqwGPQ7Sipwv/52HuORGvRS0qCmCup/7pkTlOhv&#10;Bkn7jIqNIkzGeJoMd21srw2zrx8AZTvCF2R52uJlF/RpKx3Ubyj/ZayKLmY41i5oOG0fQqd0fD5c&#10;LJcpCGVnWVibjeUnuuOIX9s35mzPQ0ACn+CkPpa/o6OL7QhZ7gNIlbi6TLWfP0o2sd0/r/gmru0U&#10;dfkJLH4DAAD//wMAUEsDBBQABgAIAAAAIQBUDOvS4AAAAAsBAAAPAAAAZHJzL2Rvd25yZXYueG1s&#10;TI/BTsMwEETvSPyDtUhcELUTNWkT4lQowAdQkLi68ZJEjdfBdtr07zEnetvRjmbeVLvFjOyEzg+W&#10;JCQrAQyptXqgTsLnx9vjFpgPirQaLaGEC3rY1bc3lSq1PdM7nvahYzGEfKkk9CFMJee+7dEov7IT&#10;Uvx9W2dUiNJ1XDt1juFm5KkQOTdqoNjQqwmbHtvjfjYSXtaXr+Rhptcs98fpx7smcWkj5f3d8vwE&#10;LOAS/s3whx/RoY5MBzuT9myUsCnSiB4kbDd5Biw6CiESYId4ZOsCeF3x6w31LwAAAP//AwBQSwEC&#10;LQAUAAYACAAAACEAtoM4kv4AAADhAQAAEwAAAAAAAAAAAAAAAAAAAAAAW0NvbnRlbnRfVHlwZXNd&#10;LnhtbFBLAQItABQABgAIAAAAIQA4/SH/1gAAAJQBAAALAAAAAAAAAAAAAAAAAC8BAABfcmVscy8u&#10;cmVsc1BLAQItABQABgAIAAAAIQCbFMPBJgIAAEwEAAAOAAAAAAAAAAAAAAAAAC4CAABkcnMvZTJv&#10;RG9jLnhtbFBLAQItABQABgAIAAAAIQBUDOvS4AAAAAsBAAAPAAAAAAAAAAAAAAAAAIAEAABkcnMv&#10;ZG93bnJldi54bWxQSwUGAAAAAAQABADzAAAAjQUAAAAA&#10;" filled="f" stroked="f" strokeweight=".5pt">
                <v:textbox inset="2mm,1mm,1mm,1mm">
                  <w:txbxContent>
                    <w:p w14:paraId="48FDDF8C" w14:textId="77777777" w:rsidR="00B83D7D" w:rsidRPr="0080669C" w:rsidRDefault="003D450D"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Ūdens apgāde</w:t>
                      </w:r>
                    </w:p>
                  </w:txbxContent>
                </v:textbox>
              </v:shape>
            </w:pict>
          </mc:Fallback>
        </mc:AlternateContent>
      </w:r>
      <w:r w:rsidR="00AC7242" w:rsidRPr="00A068FF">
        <w:rPr>
          <w:rFonts w:ascii="Candara" w:hAnsi="Candara"/>
          <w:noProof/>
          <w:sz w:val="14"/>
          <w:szCs w:val="14"/>
          <w:lang w:val="en-US"/>
        </w:rPr>
        <mc:AlternateContent>
          <mc:Choice Requires="wps">
            <w:drawing>
              <wp:anchor distT="0" distB="0" distL="114300" distR="114300" simplePos="0" relativeHeight="251658269" behindDoc="0" locked="0" layoutInCell="1" allowOverlap="1" wp14:anchorId="13072B1C" wp14:editId="5325D65A">
                <wp:simplePos x="0" y="0"/>
                <wp:positionH relativeFrom="column">
                  <wp:posOffset>3935417</wp:posOffset>
                </wp:positionH>
                <wp:positionV relativeFrom="paragraph">
                  <wp:posOffset>5565767</wp:posOffset>
                </wp:positionV>
                <wp:extent cx="1013460" cy="341194"/>
                <wp:effectExtent l="0" t="0" r="0" b="1905"/>
                <wp:wrapNone/>
                <wp:docPr id="505"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3460" cy="341194"/>
                        </a:xfrm>
                        <a:prstGeom prst="rect">
                          <a:avLst/>
                        </a:prstGeom>
                        <a:noFill/>
                        <a:ln w="6350">
                          <a:noFill/>
                        </a:ln>
                      </wps:spPr>
                      <wps:txbx>
                        <w:txbxContent>
                          <w:p w14:paraId="4E75D839" w14:textId="77777777" w:rsidR="00B83D7D" w:rsidRPr="0080669C" w:rsidRDefault="003D450D" w:rsidP="00C075DC">
                            <w:pPr>
                              <w:tabs>
                                <w:tab w:val="left" w:pos="4820"/>
                              </w:tabs>
                              <w:spacing w:after="0"/>
                              <w:rPr>
                                <w:rFonts w:ascii="Segoe UI Light" w:hAnsi="Segoe UI Light" w:cs="Segoe UI Light"/>
                                <w:b/>
                                <w:bCs/>
                                <w:color w:val="FFFFFF" w:themeColor="background1"/>
                                <w:sz w:val="16"/>
                                <w:szCs w:val="16"/>
                              </w:rPr>
                            </w:pPr>
                            <w:r w:rsidRPr="003D450D">
                              <w:rPr>
                                <w:rFonts w:ascii="Segoe UI Light" w:hAnsi="Segoe UI Light" w:cs="Segoe UI Light"/>
                                <w:b/>
                                <w:bCs/>
                                <w:color w:val="FFFFFF" w:themeColor="background1"/>
                                <w:sz w:val="16"/>
                                <w:szCs w:val="16"/>
                              </w:rPr>
                              <w:t>Izmitināšana un ēdināšana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72B1C" id="Text Box 505" o:spid="_x0000_s1037" type="#_x0000_t202" style="position:absolute;margin-left:309.9pt;margin-top:438.25pt;width:79.8pt;height:26.8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u7/JAIAAE0EAAAOAAAAZHJzL2Uyb0RvYy54bWysVE1v2zAMvQ/YfxB0X2w3WbAZcYqsRYYB&#10;QVsgHXpWZCk2JomapMTufv0o2flAt9OwiyyKFPnI9+TFba8VOQrnWzAVLSY5JcJwqFuzr+j35/WH&#10;T5T4wEzNFBhR0Vfh6e3y/btFZ0txAw2oWjiCSYwvO1vRJgRbZpnnjdDMT8AKg04JTrOApttntWMd&#10;Ztcqu8nzedaBq60DLrzH0/vBSZcpv5SCh0cpvQhEVRSxhbS6tO7imi0XrNw7ZpuWjzDYP6DQrDVY&#10;9JzqngVGDq79I5VuuQMPMkw46AykbLlIPWA3Rf6mm23DrEi94HC8PY/J/7+0/OG4tU+OhP4L9Ehg&#10;asLbDfAfHmeTddaXY0ycqS89RsdGe+l0/GILBC/ibF/P8xR9IDxmy4vpbI4ujr7prCg+z+LAs8tt&#10;63z4KkCTuKmoQ74SAnbc+DCEnkJiMQPrVqnEmTKkq+h8+jFPF84eTK7MCHzAGlGHfteTtkZIRUQQ&#10;j3ZQv2LjDgZNeMvXLYLYMB+emEMRIG4UdnjERSrAYjDuKGnA/frbeYxHbtBLSYeiqqj/eWBOUKK+&#10;GWRtOs/zqMJrw10bu2vDHPQdoG4LfEKWpy1edkGdttKBfkH9r2JVdDHDsXZFw2l7Fwap4/vhYrVK&#10;Qag7y8LGbC0/8R1H/Ny/MGdHHgIy+AAn+bHyDR1D7EDI6hBAtomry1TH+aNmE9vj+4qP4tpOUZe/&#10;wPI3AAAA//8DAFBLAwQUAAYACAAAACEAuL2M5OAAAAALAQAADwAAAGRycy9kb3ducmV2LnhtbEyP&#10;QU+DQBSE7yb+h80z8WaX1goFeTSWpIkXD1YPHhf2CQT2LbJbiv/e9aTHyUxmvsn3ixnETJPrLCOs&#10;VxEI4trqjhuE97fj3Q6E84q1GiwTwjc52BfXV7nKtL3wK80n34hQwi5TCK33Yyalq1syyq3sSBy8&#10;TzsZ5YOcGqkndQnlZpCbKIqlUR2HhVaNVLZU96ezQfjol9L4Y3Koevp6fjlsSzdXJeLtzfL0CMLT&#10;4v/C8Isf0KEITJU9s3ZiQIjXaUD3CLskfgAREkmSbkFUCOl9tAFZ5PL/h+IHAAD//wMAUEsBAi0A&#10;FAAGAAgAAAAhALaDOJL+AAAA4QEAABMAAAAAAAAAAAAAAAAAAAAAAFtDb250ZW50X1R5cGVzXS54&#10;bWxQSwECLQAUAAYACAAAACEAOP0h/9YAAACUAQAACwAAAAAAAAAAAAAAAAAvAQAAX3JlbHMvLnJl&#10;bHNQSwECLQAUAAYACAAAACEAIuLu/yQCAABNBAAADgAAAAAAAAAAAAAAAAAuAgAAZHJzL2Uyb0Rv&#10;Yy54bWxQSwECLQAUAAYACAAAACEAuL2M5OAAAAALAQAADwAAAAAAAAAAAAAAAAB+BAAAZHJzL2Rv&#10;d25yZXYueG1sUEsFBgAAAAAEAAQA8wAAAIsFAAAAAA==&#10;" filled="f" stroked="f" strokeweight=".5pt">
                <v:textbox inset="1mm,1mm,1mm,1mm">
                  <w:txbxContent>
                    <w:p w14:paraId="4E75D839" w14:textId="77777777" w:rsidR="00B83D7D" w:rsidRPr="0080669C" w:rsidRDefault="003D450D" w:rsidP="00C075DC">
                      <w:pPr>
                        <w:tabs>
                          <w:tab w:val="left" w:pos="4820"/>
                        </w:tabs>
                        <w:spacing w:after="0"/>
                        <w:rPr>
                          <w:rFonts w:ascii="Segoe UI Light" w:hAnsi="Segoe UI Light" w:cs="Segoe UI Light"/>
                          <w:b/>
                          <w:bCs/>
                          <w:color w:val="FFFFFF" w:themeColor="background1"/>
                          <w:sz w:val="16"/>
                          <w:szCs w:val="16"/>
                        </w:rPr>
                      </w:pPr>
                      <w:r w:rsidRPr="003D450D">
                        <w:rPr>
                          <w:rFonts w:ascii="Segoe UI Light" w:hAnsi="Segoe UI Light" w:cs="Segoe UI Light"/>
                          <w:b/>
                          <w:bCs/>
                          <w:color w:val="FFFFFF" w:themeColor="background1"/>
                          <w:sz w:val="16"/>
                          <w:szCs w:val="16"/>
                        </w:rPr>
                        <w:t>Izmitināšana un ēdināšana</w:t>
                      </w:r>
                    </w:p>
                  </w:txbxContent>
                </v:textbox>
              </v:shape>
            </w:pict>
          </mc:Fallback>
        </mc:AlternateContent>
      </w:r>
      <w:r w:rsidR="001337A7" w:rsidRPr="00A068FF">
        <w:rPr>
          <w:rFonts w:ascii="Candara" w:hAnsi="Candara"/>
          <w:noProof/>
          <w:sz w:val="14"/>
          <w:szCs w:val="14"/>
          <w:lang w:val="en-US"/>
        </w:rPr>
        <mc:AlternateContent>
          <mc:Choice Requires="wps">
            <w:drawing>
              <wp:anchor distT="0" distB="0" distL="114300" distR="114300" simplePos="0" relativeHeight="251658252" behindDoc="0" locked="0" layoutInCell="1" allowOverlap="1" wp14:anchorId="63619937" wp14:editId="74C49720">
                <wp:simplePos x="0" y="0"/>
                <wp:positionH relativeFrom="column">
                  <wp:posOffset>4862</wp:posOffset>
                </wp:positionH>
                <wp:positionV relativeFrom="paragraph">
                  <wp:posOffset>959646</wp:posOffset>
                </wp:positionV>
                <wp:extent cx="1105469" cy="359410"/>
                <wp:effectExtent l="0" t="0" r="0" b="2540"/>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5469" cy="359410"/>
                        </a:xfrm>
                        <a:prstGeom prst="rect">
                          <a:avLst/>
                        </a:prstGeom>
                        <a:noFill/>
                        <a:ln w="6350">
                          <a:noFill/>
                        </a:ln>
                      </wps:spPr>
                      <wps:txbx>
                        <w:txbxContent>
                          <w:p w14:paraId="3290986C" w14:textId="77777777" w:rsidR="001337A7" w:rsidRDefault="001337A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 xml:space="preserve">Kokapstrāde </w:t>
                            </w:r>
                          </w:p>
                          <w:p w14:paraId="3B00F0F9" w14:textId="77777777" w:rsidR="00B83D7D" w:rsidRPr="0080669C" w:rsidRDefault="001337A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3,6%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19937" id="Text Box 490" o:spid="_x0000_s1038" type="#_x0000_t202" style="position:absolute;margin-left:.4pt;margin-top:75.55pt;width:87.05pt;height:28.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2NJAIAAE0EAAAOAAAAZHJzL2Uyb0RvYy54bWysVFtv2yAUfp+0/4B4X+wkTbRacaqsVaZJ&#10;UVspnfpMMMRomMOAxO5+/Q7Yuajb07QXfA7nfr4PL+66RpOjcF6BKel4lFMiDIdKmX1Jv7+sP32m&#10;xAdmKqbBiJK+CU/vlh8/LFpbiAnUoCvhCCYxvmhtSesQbJFlnteiYX4EVhg0SnANC6i6fVY51mL2&#10;RmeTPJ9nLbjKOuDCe7x96I10mfJLKXh4ktKLQHRJsbeQTpfOXTyz5YIVe8dsrfjQBvuHLhqmDBY9&#10;p3pggZGDU3+kahR34EGGEYcmAykVF2kGnGacv5tmWzMr0iy4HG/Pa/L/Ly1/PG7tsyOh+wIdApiG&#10;8HYD/IfH3WSt9cXgE3fqC4/ecdBOuiZ+cQSCgbjbt/M+RRcIj9nG+exmfksJR9t0dnszTgvPLtHW&#10;+fBVQEOiUFKHeKUO2HHjQ6zPipNLLGZgrbROmGlD2pLOp7M8BZwtGKHN0Hjfa+w6dLuOqApbmkTI&#10;49UOqjcc3EHPCW/5WmETG+bDM3NIAhwJiR2e8JAasBgMEiU1uF9/u4/+iA1aKWmRVCX1Pw/MCUr0&#10;N4OoTed5Hll4rbhrZXetmENzD8jbMT4hy5OIwS7okygdNK/I/1WsiiZmONYu6e4k3oee6vh+uFit&#10;khPyzrKwMVvLT3jHFb90r8zZAYeACD7CiX6seAdH79sDsjoEkCphddnqsH/kbIJweF/xUVzryevy&#10;F1j+BgAA//8DAFBLAwQUAAYACAAAACEAG9dm9t8AAAAIAQAADwAAAGRycy9kb3ducmV2LnhtbEyP&#10;zWrDMBCE74W+g9hCL6GRbdo4cS2HNJBLoYT8HHqUrY0taq2MpdjO21c5tcedGWa+zdeTadmAvdOW&#10;BMTzCBhSZZWmWsD5tHtZAnNekpKtJRRwQwfr4vEhl5myIx1wOPqahRJymRTQeN9lnLuqQSPd3HZI&#10;wbvY3kgfzr7mqpdjKDctT6JowY3UFBYa2eG2werneDUC9sniW9PlPKrZUOrZx+2LNp9eiOenafMO&#10;zOPk/8Jwxw/oUASm0l5JOdYKCNw+qG9xDOxup68rYKWAJEpT4EXO/z9Q/AIAAP//AwBQSwECLQAU&#10;AAYACAAAACEAtoM4kv4AAADhAQAAEwAAAAAAAAAAAAAAAAAAAAAAW0NvbnRlbnRfVHlwZXNdLnht&#10;bFBLAQItABQABgAIAAAAIQA4/SH/1gAAAJQBAAALAAAAAAAAAAAAAAAAAC8BAABfcmVscy8ucmVs&#10;c1BLAQItABQABgAIAAAAIQCnZY2NJAIAAE0EAAAOAAAAAAAAAAAAAAAAAC4CAABkcnMvZTJvRG9j&#10;LnhtbFBLAQItABQABgAIAAAAIQAb12b23wAAAAgBAAAPAAAAAAAAAAAAAAAAAH4EAABkcnMvZG93&#10;bnJldi54bWxQSwUGAAAAAAQABADzAAAAigUAAAAA&#10;" filled="f" stroked="f" strokeweight=".5pt">
                <v:textbox inset="1mm,1mm,1mm,1mm">
                  <w:txbxContent>
                    <w:p w14:paraId="3290986C" w14:textId="77777777" w:rsidR="001337A7" w:rsidRDefault="001337A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 xml:space="preserve">Kokapstrāde </w:t>
                      </w:r>
                    </w:p>
                    <w:p w14:paraId="3B00F0F9" w14:textId="77777777" w:rsidR="00B83D7D" w:rsidRPr="0080669C" w:rsidRDefault="001337A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3,6%</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16" behindDoc="0" locked="0" layoutInCell="1" allowOverlap="1" wp14:anchorId="26D59BCB" wp14:editId="6BC67D6E">
                <wp:simplePos x="0" y="0"/>
                <wp:positionH relativeFrom="column">
                  <wp:posOffset>1464310</wp:posOffset>
                </wp:positionH>
                <wp:positionV relativeFrom="paragraph">
                  <wp:posOffset>2292350</wp:posOffset>
                </wp:positionV>
                <wp:extent cx="353060" cy="354330"/>
                <wp:effectExtent l="0" t="0" r="8890" b="7620"/>
                <wp:wrapNone/>
                <wp:docPr id="488"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060" cy="354330"/>
                        </a:xfrm>
                        <a:prstGeom prst="rect">
                          <a:avLst/>
                        </a:prstGeom>
                        <a:noFill/>
                        <a:ln w="6350">
                          <a:noFill/>
                        </a:ln>
                      </wps:spPr>
                      <wps:txbx>
                        <w:txbxContent>
                          <w:p w14:paraId="334D21D5" w14:textId="3D8A819B" w:rsidR="00B83D7D"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C31</w:t>
                            </w:r>
                          </w:p>
                          <w:p w14:paraId="25F0DBA8" w14:textId="6D09311E" w:rsidR="00B83D7D" w:rsidRPr="0080669C"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59BCB" id="Text Box 488" o:spid="_x0000_s1039" type="#_x0000_t202" style="position:absolute;margin-left:115.3pt;margin-top:180.5pt;width:27.8pt;height:27.9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EIgIAAEwEAAAOAAAAZHJzL2Uyb0RvYy54bWysVFtv2yAUfp+0/4B4X+zUSzRZcaqsVaZJ&#10;UVsprfpMMMRomMOAxO5+/Q7Yuajb07QXfA7nfr4PL277VpOjcF6Bqeh0klMiDIdamX1FX57Xn75Q&#10;4gMzNdNgREXfhKe3y48fFp0txQ00oGvhCCYxvuxsRZsQbJllnjeiZX4CVhg0SnAtC6i6fVY71mH2&#10;Vmc3eT7POnC1dcCF93h7PxjpMuWXUvDwKKUXgeiKYm8hnS6du3hmywUr947ZRvGxDfYPXbRMGSx6&#10;TnXPAiMHp/5I1SruwIMMEw5tBlIqLtIMOM00fzfNtmFWpFlwOd6e1+T/X1r+cNzaJ0dC/xV6BDAN&#10;4e0G+A+Pu8k668vRJ+7Ulx6946C9dG384ggEA3G3b+d9ij4QjpfFrMjnaOFoKmafiyLtO7sEW+fD&#10;NwEtiUJFHcKVGmDHjQ+xPCtPLrGWgbXSOkGmDekqOi9meQo4WzBCm7HvodXYdOh3PVE1zldExOPV&#10;Duo3nNvBQAlv+VphExvmwxNzyAHsG3kdHvGQGrAYjBIlDbhff7uP/ggNWinpkFMV9T8PzAlK9HeD&#10;oBXzPI8kvFbctbK7VsyhvQOk7RRfkOVJxGAX9EmUDtpXpP8qVkUTMxxrV3R3Eu/CwHR8PlysVskJ&#10;aWdZ2Jit5Se444qf+1fm7IhDQAAf4MQ+Vr6DY/AdAFkdAkiVsLpsddw/UjZBOD6v+Cau9eR1+Qks&#10;fwMAAP//AwBQSwMEFAAGAAgAAAAhAE6WN2bhAAAACwEAAA8AAABkcnMvZG93bnJldi54bWxMj8Fq&#10;wzAQRO+F/IPYQC+hke0UYVyvQ1ropVBKkxx6lC3FFrVWxlJs5++rntrjso+ZN+V+sT2b9OiNI4R0&#10;mwDT1DhlqEU4n14fcmA+SFKyd6QRbtrDvlrdlbJQbqZPPR1Dy2II+UIidCEMBee+6bSVfusGTfF3&#10;caOVIZ5jy9Uo5xhue54lieBWGooNnRz0S6eb7+PVInxk4svQ5TyrzVSbzfPtnQ5vAfF+vRyegAW9&#10;hD8YfvWjOlTRqXZXUp71CNkuERFF2Ik0jopElosMWI3wmIoceFXy/xuqHwAAAP//AwBQSwECLQAU&#10;AAYACAAAACEAtoM4kv4AAADhAQAAEwAAAAAAAAAAAAAAAAAAAAAAW0NvbnRlbnRfVHlwZXNdLnht&#10;bFBLAQItABQABgAIAAAAIQA4/SH/1gAAAJQBAAALAAAAAAAAAAAAAAAAAC8BAABfcmVscy8ucmVs&#10;c1BLAQItABQABgAIAAAAIQDg+WtEIgIAAEwEAAAOAAAAAAAAAAAAAAAAAC4CAABkcnMvZTJvRG9j&#10;LnhtbFBLAQItABQABgAIAAAAIQBOljdm4QAAAAsBAAAPAAAAAAAAAAAAAAAAAHwEAABkcnMvZG93&#10;bnJldi54bWxQSwUGAAAAAAQABADzAAAAigUAAAAA&#10;" filled="f" stroked="f" strokeweight=".5pt">
                <v:textbox inset="1mm,1mm,1mm,1mm">
                  <w:txbxContent>
                    <w:p w14:paraId="334D21D5" w14:textId="3D8A819B" w:rsidR="00B83D7D"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C31</w:t>
                      </w:r>
                    </w:p>
                    <w:p w14:paraId="25F0DBA8" w14:textId="6D09311E" w:rsidR="00B83D7D" w:rsidRPr="0080669C"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17" behindDoc="0" locked="0" layoutInCell="1" allowOverlap="1" wp14:anchorId="38C6D820" wp14:editId="3F5E2482">
                <wp:simplePos x="0" y="0"/>
                <wp:positionH relativeFrom="column">
                  <wp:posOffset>1159510</wp:posOffset>
                </wp:positionH>
                <wp:positionV relativeFrom="paragraph">
                  <wp:posOffset>2292350</wp:posOffset>
                </wp:positionV>
                <wp:extent cx="353060" cy="354330"/>
                <wp:effectExtent l="0" t="0" r="8890" b="7620"/>
                <wp:wrapNone/>
                <wp:docPr id="48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060" cy="354330"/>
                        </a:xfrm>
                        <a:prstGeom prst="rect">
                          <a:avLst/>
                        </a:prstGeom>
                        <a:noFill/>
                        <a:ln w="6350">
                          <a:noFill/>
                        </a:ln>
                      </wps:spPr>
                      <wps:txbx>
                        <w:txbxContent>
                          <w:p w14:paraId="779F6EB8" w14:textId="19AE66C3" w:rsidR="00B83D7D"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C21</w:t>
                            </w:r>
                          </w:p>
                          <w:p w14:paraId="458EA01E" w14:textId="628D57D9" w:rsidR="00B83D7D" w:rsidRPr="0080669C"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6D820" id="Text Box 487" o:spid="_x0000_s1040" type="#_x0000_t202" style="position:absolute;margin-left:91.3pt;margin-top:180.5pt;width:27.8pt;height:27.9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YDIgIAAEwEAAAOAAAAZHJzL2Uyb0RvYy54bWysVFtv2yAUfp+0/4B4X+zUTTRZcaqsVaZJ&#10;UVspnfpMMMRomMOAxO5+/Q7Yuajb07QXfA7nfr4PL+76VpOjcF6Bqeh0klMiDIdamX1Fv7+sP32m&#10;xAdmaqbBiIq+CU/vlh8/LDpbihtoQNfCEUxifNnZijYh2DLLPG9Ey/wErDBolOBaFlB1+6x2rMPs&#10;rc5u8nyedeBq64AL7/H2YTDSZcovpeDhSUovAtEVxd5COl06d/HMlgtW7h2zjeJjG+wfumiZMlj0&#10;nOqBBUYOTv2RqlXcgQcZJhzaDKRUXKQZcJpp/m6abcOsSLPgcrw9r8n/v7T88bi1z46E/gv0CGAa&#10;wtsN8B8ed5N11pejT9ypLz16x0F76dr4xREIBuJu3877FH0gHC+LWZHP0cLRVMxuiyLtO7sEW+fD&#10;VwEtiUJFHcKVGmDHjQ+xPCtPLrGWgbXSOkGmDekqOi9meQo4WzBCm7HvodXYdOh3PVE1zncbEY9X&#10;O6jfcG4HAyW85WuFTWyYD8/MIQewb+R1eMJDasBiMEqUNOB+/e0++iM0aKWkQ05V1P88MCco0d8M&#10;glbM8zyS8Fpx18ruWjGH9h6QtlN8QZYnEYNd0CdROmhfkf6rWBVNzHCsXdHdSbwPA9Px+XCxWiUn&#10;pJ1lYWO2lp/gjit+6V+ZsyMOAQF8hBP7WPkOjsF3AGR1CCBVwuqy1XH/SNkE4fi84pu41pPX5Sew&#10;/A0AAP//AwBQSwMEFAAGAAgAAAAhABeMGs3gAAAACwEAAA8AAABkcnMvZG93bnJldi54bWxMj8Fq&#10;wzAQRO+F/IPYQC+hke0UYVzLIS30UiilSQ49ypZii1orYym28/fdntrjsI/ZN+V+cT2bzBisRwnp&#10;NgFmsPHaYivhfHp9yIGFqFCr3qORcDMB9tXqrlSF9jN+mukYW0YlGAoloYtxKDgPTWecCls/GKTb&#10;xY9ORYpjy/WoZip3Pc+SRHCnLNKHTg3mpTPN9/HqJHxk4svi5TzrzVTbzfPtHQ9vUcr79XJ4AhbN&#10;Ev9g+NUndajIqfZX1IH1lPNMECphJ1IaRUS2yzNgtYTHVOTAq5L/31D9AAAA//8DAFBLAQItABQA&#10;BgAIAAAAIQC2gziS/gAAAOEBAAATAAAAAAAAAAAAAAAAAAAAAABbQ29udGVudF9UeXBlc10ueG1s&#10;UEsBAi0AFAAGAAgAAAAhADj9If/WAAAAlAEAAAsAAAAAAAAAAAAAAAAALwEAAF9yZWxzLy5yZWxz&#10;UEsBAi0AFAAGAAgAAAAhAF7sFgMiAgAATAQAAA4AAAAAAAAAAAAAAAAALgIAAGRycy9lMm9Eb2Mu&#10;eG1sUEsBAi0AFAAGAAgAAAAhABeMGs3gAAAACwEAAA8AAAAAAAAAAAAAAAAAfAQAAGRycy9kb3du&#10;cmV2LnhtbFBLBQYAAAAABAAEAPMAAACJBQAAAAA=&#10;" filled="f" stroked="f" strokeweight=".5pt">
                <v:textbox inset="1mm,1mm,1mm,1mm">
                  <w:txbxContent>
                    <w:p w14:paraId="779F6EB8" w14:textId="19AE66C3" w:rsidR="00B83D7D"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C21</w:t>
                      </w:r>
                    </w:p>
                    <w:p w14:paraId="458EA01E" w14:textId="628D57D9" w:rsidR="00B83D7D" w:rsidRPr="0080669C"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11" behindDoc="0" locked="0" layoutInCell="1" allowOverlap="1" wp14:anchorId="19AB63C0" wp14:editId="5F1E6C07">
                <wp:simplePos x="0" y="0"/>
                <wp:positionH relativeFrom="column">
                  <wp:posOffset>4004310</wp:posOffset>
                </wp:positionH>
                <wp:positionV relativeFrom="paragraph">
                  <wp:posOffset>4470400</wp:posOffset>
                </wp:positionV>
                <wp:extent cx="488950" cy="549275"/>
                <wp:effectExtent l="0" t="0" r="6350" b="3175"/>
                <wp:wrapNone/>
                <wp:docPr id="45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 cy="549275"/>
                        </a:xfrm>
                        <a:prstGeom prst="rect">
                          <a:avLst/>
                        </a:prstGeom>
                        <a:noFill/>
                        <a:ln w="6350">
                          <a:noFill/>
                        </a:ln>
                      </wps:spPr>
                      <wps:txbx>
                        <w:txbxContent>
                          <w:p w14:paraId="3082E8CC" w14:textId="4B1E135A" w:rsidR="00B83D7D"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Apdroši-nāšana</w:t>
                            </w:r>
                          </w:p>
                          <w:p w14:paraId="2E198448" w14:textId="1C963FE6" w:rsidR="00B83D7D" w:rsidRPr="0080669C"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B63C0" id="Text Box 451" o:spid="_x0000_s1041" type="#_x0000_t202" style="position:absolute;margin-left:315.3pt;margin-top:352pt;width:38.5pt;height:43.2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HIwIAAEwEAAAOAAAAZHJzL2Uyb0RvYy54bWysVF1v2yAUfZ+0/4B4X+ykTZZacaqsVaZJ&#10;UVsprfpMMMRWMZcBiZ39+l2w89FuT9NeMJd7uR/nHDy7bWtF9sK6CnROh4OUEqE5FJXe5vTlefll&#10;SonzTBdMgRY5PQhHb+efP80ak4kRlKAKYQkm0S5rTE5L702WJI6XomZuAEZodEqwNfNo2m1SWNZg&#10;9lolozSdJA3Ywljgwjk8ve+cdB7zSym4f5TSCU9UTrE3H1cb101Yk/mMZVvLTFnxvg32D13UrNJY&#10;9JTqnnlGdrb6I1VdcQsOpB9wqBOQsuIizoDTDNMP06xLZkScBcFx5gST+39p+cN+bZ4s8e03aJHA&#10;OIQzK+BvDrFJGuOyPiZg6jKH0WHQVto6fHEEghcR28MJT9F6wvHwejq9GaOHo2t8fTP6Og54J+fL&#10;xjr/XUBNwianFumKDbD9yvku9BgSamlYVkpFypQmTU4nV5j+nQeTK9333bUamvbtpiVVgfPFDsLR&#10;BooDzm2hk4QzfFlhEyvm/BOzqAHsG3XtH3GRCrAY9DtKSrC//nYe4pEa9FLSoKZy6n7umBWUqB8a&#10;SbuapGkQ4aVhL43NpaF39R2gbIf4ggyPW7xsvTpupYX6FeW/CFXRxTTH2jndHLd3vlM6Ph8uFosY&#10;hLIzzK/02vAj3QHi5/aVWdPz4JHABziqj2Uf6OhiO9gXOw+yilydUe3xR8lGtvvnFd7EpR2jzj+B&#10;+W8AAAD//wMAUEsDBBQABgAIAAAAIQAYjWaL4QAAAAsBAAAPAAAAZHJzL2Rvd25yZXYueG1sTI9B&#10;T8MwDIXvSPyHyEhcJpYwoB2l6TSQuCAhxNhhx7Tx2orGqZqs7f495gQ32+/p+Xv5ZnadGHEIrScN&#10;t0sFAqnytqVaw/7r9WYNIkRD1nSeUMMZA2yKy4vcZNZP9InjLtaCQyhkRkMTY59JGaoGnQlL3yOx&#10;dvSDM5HXoZZ2MBOHu06ulEqkMy3xh8b0+NJg9b07OQ0fq+TQ0nE/2cVYtovn8ztt36LW11fz9glE&#10;xDn+meEXn9GhYKbSn8gG0WlI7lTCVg2puudS7EhVypeSh0f1ALLI5f8OxQ8AAAD//wMAUEsBAi0A&#10;FAAGAAgAAAAhALaDOJL+AAAA4QEAABMAAAAAAAAAAAAAAAAAAAAAAFtDb250ZW50X1R5cGVzXS54&#10;bWxQSwECLQAUAAYACAAAACEAOP0h/9YAAACUAQAACwAAAAAAAAAAAAAAAAAvAQAAX3JlbHMvLnJl&#10;bHNQSwECLQAUAAYACAAAACEAWfy5hyMCAABMBAAADgAAAAAAAAAAAAAAAAAuAgAAZHJzL2Uyb0Rv&#10;Yy54bWxQSwECLQAUAAYACAAAACEAGI1mi+EAAAALAQAADwAAAAAAAAAAAAAAAAB9BAAAZHJzL2Rv&#10;d25yZXYueG1sUEsFBgAAAAAEAAQA8wAAAIsFAAAAAA==&#10;" filled="f" stroked="f" strokeweight=".5pt">
                <v:textbox inset="1mm,1mm,1mm,1mm">
                  <w:txbxContent>
                    <w:p w14:paraId="3082E8CC" w14:textId="4B1E135A" w:rsidR="00B83D7D"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Apdroši-nāšana</w:t>
                      </w:r>
                    </w:p>
                    <w:p w14:paraId="2E198448" w14:textId="1C963FE6" w:rsidR="00B83D7D" w:rsidRPr="0080669C"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0,9%</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92" behindDoc="0" locked="0" layoutInCell="1" allowOverlap="1" wp14:anchorId="2D2339FC" wp14:editId="3B745289">
                <wp:simplePos x="0" y="0"/>
                <wp:positionH relativeFrom="column">
                  <wp:posOffset>1845310</wp:posOffset>
                </wp:positionH>
                <wp:positionV relativeFrom="paragraph">
                  <wp:posOffset>6591300</wp:posOffset>
                </wp:positionV>
                <wp:extent cx="674370" cy="496570"/>
                <wp:effectExtent l="0" t="0" r="0" b="0"/>
                <wp:wrapNone/>
                <wp:docPr id="45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496570"/>
                        </a:xfrm>
                        <a:prstGeom prst="rect">
                          <a:avLst/>
                        </a:prstGeom>
                        <a:noFill/>
                        <a:ln w="6350">
                          <a:noFill/>
                        </a:ln>
                      </wps:spPr>
                      <wps:txbx>
                        <w:txbxContent>
                          <w:p w14:paraId="3F50E9CE" w14:textId="144D99D0" w:rsidR="00B83D7D"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Mežsaimnie-cība</w:t>
                            </w:r>
                          </w:p>
                          <w:p w14:paraId="7D81F1EC" w14:textId="6560B616" w:rsidR="00B83D7D" w:rsidRPr="0080669C"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339FC" id="Text Box 459" o:spid="_x0000_s1042" type="#_x0000_t202" style="position:absolute;margin-left:145.3pt;margin-top:519pt;width:53.1pt;height:39.1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R8IwIAAEwEAAAOAAAAZHJzL2Uyb0RvYy54bWysVE1v2zAMvQ/YfxB0X+w0bdoZcYqsRYYB&#10;QVsgHXpWZCk2JomapMTOfv0o2flAt9Owi0yJFPnI9+TZfacV2QvnGzAlHY9ySoThUDVmW9Lvr8tP&#10;d5T4wEzFFBhR0oPw9H7+8cOstYW4ghpUJRzBJMYXrS1pHYItsszzWmjmR2CFQacEp1nArdtmlWMt&#10;Ztcqu8rzadaCq6wDLrzH08feSecpv5SCh2cpvQhElRSxhbS6tG7ims1nrNg6ZuuGDzDYP6DQrDFY&#10;9JTqkQVGdq75I5VuuAMPMow46AykbLhIPWA34/xdN+uaWZF6weF4exqT/39p+dN+bV8cCd0X6JDA&#10;1IS3K+A/PM4ma60vhpg4U194jI6NdtLp+MUWCF7E2R5O8xRdIBwPp7fXk1v0cHRdf57eoB1zni9b&#10;58NXAZpEo6QO6UoA2H7lQx96DIm1DCwbpRJlypAWC0xu8nTh5MHkygy4e6gRdOg2HWkq7G8aEcSj&#10;DVQH7NtBLwlv+bJBECvmwwtzqAHEjboOz7hIBVgMBouSGtyvv53HeKQGvZS0qKmS+p875gQl6ptB&#10;0ibTPI8ivNy4y83mcmN2+gFQtmN8QZYnEy+7oI6mdKDfUP6LWBVdzHCsXdLN0XwIvdLx+XCxWKQg&#10;lJ1lYWXWlh/pjiN+7d6YswMPAQl8gqP6WPGOjj62J2SxCyCbxNV5qsP8UbKJ7eF5xTdxuU9R55/A&#10;/DcAAAD//wMAUEsDBBQABgAIAAAAIQBEx7yv4QAAAA0BAAAPAAAAZHJzL2Rvd25yZXYueG1sTI/B&#10;TsMwEETvSPyDtUhcKmonlaw2xKkKEhckhCg9cHRiN7GI11HsJunfs5zguDNPszPlfvE9m+wYXUAF&#10;2VoAs9gE47BVcPp8edgCi0mj0X1Aq+BqI+yr25tSFybM+GGnY2oZhWAstIIupaHgPDad9Tquw2CR&#10;vHMYvU50ji03o54p3Pc8F0Jyrx3Sh04P9rmzzffx4hW85/LL4fk0m9VUu9XT9Q0Pr0mp+7vl8Ags&#10;2SX9wfBbn6pDRZ3qcEETWa8g3wlJKBlis6VVhGx2ktbUJGWZzIFXJf+/ovoBAAD//wMAUEsBAi0A&#10;FAAGAAgAAAAhALaDOJL+AAAA4QEAABMAAAAAAAAAAAAAAAAAAAAAAFtDb250ZW50X1R5cGVzXS54&#10;bWxQSwECLQAUAAYACAAAACEAOP0h/9YAAACUAQAACwAAAAAAAAAAAAAAAAAvAQAAX3JlbHMvLnJl&#10;bHNQSwECLQAUAAYACAAAACEAgFsEfCMCAABMBAAADgAAAAAAAAAAAAAAAAAuAgAAZHJzL2Uyb0Rv&#10;Yy54bWxQSwECLQAUAAYACAAAACEARMe8r+EAAAANAQAADwAAAAAAAAAAAAAAAAB9BAAAZHJzL2Rv&#10;d25yZXYueG1sUEsFBgAAAAAEAAQA8wAAAIsFAAAAAA==&#10;" filled="f" stroked="f" strokeweight=".5pt">
                <v:textbox inset="1mm,1mm,1mm,1mm">
                  <w:txbxContent>
                    <w:p w14:paraId="3F50E9CE" w14:textId="144D99D0" w:rsidR="00B83D7D"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Mežsaimnie-cība</w:t>
                      </w:r>
                    </w:p>
                    <w:p w14:paraId="7D81F1EC" w14:textId="6560B616" w:rsidR="00B83D7D" w:rsidRPr="0080669C"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09" behindDoc="0" locked="0" layoutInCell="1" allowOverlap="1" wp14:anchorId="7201D003" wp14:editId="4A95F521">
                <wp:simplePos x="0" y="0"/>
                <wp:positionH relativeFrom="column">
                  <wp:posOffset>5560468</wp:posOffset>
                </wp:positionH>
                <wp:positionV relativeFrom="paragraph">
                  <wp:posOffset>6712950</wp:posOffset>
                </wp:positionV>
                <wp:extent cx="251460" cy="2514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1460"/>
                        </a:xfrm>
                        <a:prstGeom prst="rect">
                          <a:avLst/>
                        </a:prstGeom>
                        <a:noFill/>
                        <a:ln w="6350">
                          <a:noFill/>
                        </a:ln>
                      </wps:spPr>
                      <wps:txbx>
                        <w:txbxContent>
                          <w:p w14:paraId="35434810" w14:textId="169381F8" w:rsidR="003545F6" w:rsidRDefault="003545F6" w:rsidP="00C075DC">
                            <w:pPr>
                              <w:tabs>
                                <w:tab w:val="left" w:pos="4820"/>
                              </w:tabs>
                              <w:spacing w:after="0"/>
                              <w:rPr>
                                <w:rFonts w:ascii="Segoe UI Light" w:hAnsi="Segoe UI Light" w:cs="Segoe UI Light"/>
                                <w:b/>
                                <w:bCs/>
                                <w:color w:val="FFFFFF" w:themeColor="background1"/>
                                <w:sz w:val="16"/>
                                <w:szCs w:val="16"/>
                              </w:rPr>
                            </w:pPr>
                          </w:p>
                          <w:p w14:paraId="1E1C26EE" w14:textId="16EB80B6" w:rsidR="00D26ACE" w:rsidRDefault="00D26ACE" w:rsidP="00C075DC">
                            <w:pPr>
                              <w:tabs>
                                <w:tab w:val="left" w:pos="4820"/>
                              </w:tabs>
                              <w:spacing w:after="0"/>
                              <w:rPr>
                                <w:rFonts w:ascii="Segoe UI Light" w:hAnsi="Segoe UI Light" w:cs="Segoe UI Light"/>
                                <w:b/>
                                <w:bCs/>
                                <w:color w:val="FFFFFF" w:themeColor="background1"/>
                                <w:sz w:val="16"/>
                                <w:szCs w:val="16"/>
                              </w:rPr>
                            </w:pPr>
                          </w:p>
                          <w:p w14:paraId="68FD9A52" w14:textId="6F4BE044" w:rsidR="00B83D7D" w:rsidRPr="0080669C" w:rsidRDefault="003545F6"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1D003" id="Text Box 3" o:spid="_x0000_s1043" type="#_x0000_t202" style="position:absolute;margin-left:437.85pt;margin-top:528.6pt;width:19.8pt;height:19.8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oWIAIAAEwEAAAOAAAAZHJzL2Uyb0RvYy54bWysVEtv2zAMvg/YfxB0X5yka1oYcYqsRYYB&#10;QVsgHXpWZCk2JosapcTufv0o2Xmg22nYRSbFN79Pnt91jWEHhb4GW/DJaMyZshLK2u4K/v1l9emW&#10;Mx+ELYUBqwr+pjy/W3z8MG9drqZQgSkVMkpifd66glchuDzLvKxUI/wInLJk1ICNCKTiLitRtJS9&#10;Mdl0PJ5lLWDpEKTynm4feiNfpPxaKxmetPYqMFNw6i2kE9O5jWe2mIt8h8JVtRzaEP/QRSNqS0VP&#10;qR5EEGyP9R+pmloieNBhJKHJQOtaqjQDTTMZv5tmUwmn0iy0HO9Oa/L/L618PGzcM7LQfYGOAExD&#10;eLcG+cPTbrLW+XzwiTv1uSfvOGinsYlfGoFRIO327bRP1QUm6XJ6Pfk8I4sk0yDHnOdghz58VdCw&#10;KBQcCa7UgDisfehdjy6xloVVbUyCzFjWFnx2dT1OAScLJTd26LtvNTYdum3H6pLmu4mIx6stlG80&#10;N0JPCe/kqqYm1sKHZ4HEAeqbeB2e6NAGqBgMEmcV4K+/3Ud/goasnLXEqYL7n3uBijPzzRJoN8TY&#10;SMKkXM2SgpfK9lKx++YeiLYTekFOJpGCMZijqBGaV6L/MlYlk7CSahc8HMX70DOdno9Uy2VyIto5&#10;EdZ24+QR7rjil+5VoBtwCATgIxzZJ/J3cPS+PSDLfQBdJ6zOWx32T5RNaA/PK76JSz15nX8Ci98A&#10;AAD//wMAUEsDBBQABgAIAAAAIQA5FxWx4AAAAA0BAAAPAAAAZHJzL2Rvd25yZXYueG1sTI/LTsMw&#10;EEX3SPyDNUhsUOskkEdDnAoF+AAKUrdubJKo8TjYTpv+PdMVLGfu0Z0z1XYxIztp5weLAuJ1BExj&#10;a9WAnYCvz/dVAcwHiUqOFrWAi/awrW9vKlkqe8YPfdqFjlEJ+lIK6EOYSs5922sj/dpOGin7ts7I&#10;QKPruHLyTOVm5EkUZdzIAelCLyfd9Lo97mYj4PXpso8fZnxLM3+cfrxrYpc0QtzfLS/PwIJewh8M&#10;V31Sh5qcDnZG5dkooMjTnFAKojRPgBGyidNHYIfrapMVwOuK//+i/gUAAP//AwBQSwECLQAUAAYA&#10;CAAAACEAtoM4kv4AAADhAQAAEwAAAAAAAAAAAAAAAAAAAAAAW0NvbnRlbnRfVHlwZXNdLnhtbFBL&#10;AQItABQABgAIAAAAIQA4/SH/1gAAAJQBAAALAAAAAAAAAAAAAAAAAC8BAABfcmVscy8ucmVsc1BL&#10;AQItABQABgAIAAAAIQCYvpoWIAIAAEwEAAAOAAAAAAAAAAAAAAAAAC4CAABkcnMvZTJvRG9jLnht&#10;bFBLAQItABQABgAIAAAAIQA5FxWx4AAAAA0BAAAPAAAAAAAAAAAAAAAAAHoEAABkcnMvZG93bnJl&#10;di54bWxQSwUGAAAAAAQABADzAAAAhwUAAAAA&#10;" filled="f" stroked="f" strokeweight=".5pt">
                <v:textbox inset="2mm,1mm,1mm,1mm">
                  <w:txbxContent>
                    <w:p w14:paraId="35434810" w14:textId="169381F8" w:rsidR="003545F6" w:rsidRDefault="003545F6" w:rsidP="00C075DC">
                      <w:pPr>
                        <w:tabs>
                          <w:tab w:val="left" w:pos="4820"/>
                        </w:tabs>
                        <w:spacing w:after="0"/>
                        <w:rPr>
                          <w:rFonts w:ascii="Segoe UI Light" w:hAnsi="Segoe UI Light" w:cs="Segoe UI Light"/>
                          <w:b/>
                          <w:bCs/>
                          <w:color w:val="FFFFFF" w:themeColor="background1"/>
                          <w:sz w:val="16"/>
                          <w:szCs w:val="16"/>
                        </w:rPr>
                      </w:pPr>
                    </w:p>
                    <w:p w14:paraId="1E1C26EE" w14:textId="16EB80B6" w:rsidR="00D26ACE" w:rsidRDefault="00D26ACE" w:rsidP="00C075DC">
                      <w:pPr>
                        <w:tabs>
                          <w:tab w:val="left" w:pos="4820"/>
                        </w:tabs>
                        <w:spacing w:after="0"/>
                        <w:rPr>
                          <w:rFonts w:ascii="Segoe UI Light" w:hAnsi="Segoe UI Light" w:cs="Segoe UI Light"/>
                          <w:b/>
                          <w:bCs/>
                          <w:color w:val="FFFFFF" w:themeColor="background1"/>
                          <w:sz w:val="16"/>
                          <w:szCs w:val="16"/>
                        </w:rPr>
                      </w:pPr>
                    </w:p>
                    <w:p w14:paraId="68FD9A52" w14:textId="6F4BE044" w:rsidR="00B83D7D" w:rsidRPr="0080669C" w:rsidRDefault="003545F6"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08" behindDoc="0" locked="0" layoutInCell="1" allowOverlap="1" wp14:anchorId="75E9DE82" wp14:editId="280A142B">
                <wp:simplePos x="0" y="0"/>
                <wp:positionH relativeFrom="column">
                  <wp:posOffset>5034456</wp:posOffset>
                </wp:positionH>
                <wp:positionV relativeFrom="paragraph">
                  <wp:posOffset>6713754</wp:posOffset>
                </wp:positionV>
                <wp:extent cx="577246" cy="330452"/>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46" cy="330452"/>
                        </a:xfrm>
                        <a:prstGeom prst="rect">
                          <a:avLst/>
                        </a:prstGeom>
                        <a:noFill/>
                        <a:ln w="6350">
                          <a:noFill/>
                        </a:ln>
                      </wps:spPr>
                      <wps:txbx>
                        <w:txbxContent>
                          <w:p w14:paraId="350B3377" w14:textId="77777777" w:rsidR="0049419F" w:rsidRDefault="003545F6" w:rsidP="00C075DC">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Ieguves rūpniecībaT</w:t>
                            </w:r>
                          </w:p>
                          <w:p w14:paraId="641626B6" w14:textId="282932DB" w:rsidR="00AF6E02" w:rsidRDefault="00AF6E02" w:rsidP="00C075DC">
                            <w:pPr>
                              <w:tabs>
                                <w:tab w:val="left" w:pos="4820"/>
                              </w:tabs>
                              <w:spacing w:after="0"/>
                              <w:rPr>
                                <w:rFonts w:ascii="Segoe UI Light" w:hAnsi="Segoe UI Light" w:cs="Segoe UI Light"/>
                                <w:b/>
                                <w:bCs/>
                                <w:sz w:val="16"/>
                                <w:szCs w:val="16"/>
                              </w:rPr>
                            </w:pPr>
                          </w:p>
                          <w:p w14:paraId="7325206A" w14:textId="09C2292F" w:rsidR="00B83D7D" w:rsidRPr="0080669C" w:rsidRDefault="00B83D7D" w:rsidP="00C075DC">
                            <w:pPr>
                              <w:tabs>
                                <w:tab w:val="left" w:pos="4820"/>
                              </w:tabs>
                              <w:spacing w:after="0"/>
                              <w:rPr>
                                <w:rFonts w:ascii="Segoe UI Light" w:hAnsi="Segoe UI Light" w:cs="Segoe UI Light"/>
                                <w:b/>
                                <w:bCs/>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9DE82" id="Text Box 13" o:spid="_x0000_s1044" type="#_x0000_t202" style="position:absolute;margin-left:396.4pt;margin-top:528.65pt;width:45.45pt;height:26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4+JwIAAEwEAAAOAAAAZHJzL2Uyb0RvYy54bWysVE1v2zAMvQ/YfxB0X+wkTVIYcYqsRYYB&#10;QVsgLXpWZCk2JouapMTOfv0o2flAt1PRiyyKFMnH9+T5XVsrchDWVaBzOhyklAjNoaj0LqevL6tv&#10;t5Q4z3TBFGiR06Nw9G7x9cu8MZkYQQmqEJZgEu2yxuS09N5kSeJ4KWrmBmCERqcEWzOPpt0lhWUN&#10;Zq9VMkrTadKALYwFLpzD04fOSRcxv5SC+ycpnfBE5RR783G1cd2GNVnMWbazzJQV79tgH+iiZpXG&#10;oudUD8wzsrfVP6nqiltwIP2AQ52AlBUXEQOiGabv0GxKZkTEgsNx5jwm93lp+eNhY54t8e13aJHA&#10;CMKZNfBfDmeTNMZlfUyYqcscRgegrbR1+CIEghdxtsfzPEXrCcfDyWw2uplSwtE1Hqc3k1GYd3K5&#10;bKzzPwTUJGxyapGu2AA7rJ3vQk8hoZaGVaVUpExp0uR0Op6k8cLZg8mV7vvuWg1N+3bbkqpAfLeh&#10;g3C0heKIuC10knCGrypsYs2cf2YWNYCIUNf+CRepAItBv6OkBPvnf+chHqlBLyUNaiqn7veeWUGJ&#10;+qmRtBkqNogwGuNpNOy1sb029L6+B5TtEF+Q4XGLl61Xp620UL+h/JehKrqY5lg7p/60vfed0vH5&#10;cLFcxiCUnWF+rTeGn+gOI35p35g1PQ8eCXyEk/pY9o6OLrYjZLn3IKvI1WWq/fxRspHt/nmFN3Ft&#10;x6jLT2DxFwAA//8DAFBLAwQUAAYACAAAACEA75rZJeAAAAANAQAADwAAAGRycy9kb3ducmV2Lnht&#10;bEyPwU7DMBBE70j8g7VIXBC1k9AmDXEqFOADKEhc3dgkUeN1sJ02/XuWExxnZzTzttotdmQn48Pg&#10;UEKyEsAMtk4P2En4eH+9L4CFqFCr0aGRcDEBdvX1VaVK7c74Zk772DEqwVAqCX2MU8l5aHtjVVi5&#10;ySB5X85bFUn6jmuvzlRuR54KseFWDUgLvZpM05v2uJ+thOeHy2dyN+PLehOO03fwTeLTRsrbm+Xp&#10;EVg0S/wLwy8+oUNNTAc3ow5slJBvU0KPZIh1ngGjSFFkObADnRKxzYDXFf//Rf0DAAD//wMAUEsB&#10;Ai0AFAAGAAgAAAAhALaDOJL+AAAA4QEAABMAAAAAAAAAAAAAAAAAAAAAAFtDb250ZW50X1R5cGVz&#10;XS54bWxQSwECLQAUAAYACAAAACEAOP0h/9YAAACUAQAACwAAAAAAAAAAAAAAAAAvAQAAX3JlbHMv&#10;LnJlbHNQSwECLQAUAAYACAAAACEA0MA+PicCAABMBAAADgAAAAAAAAAAAAAAAAAuAgAAZHJzL2Uy&#10;b0RvYy54bWxQSwECLQAUAAYACAAAACEA75rZJeAAAAANAQAADwAAAAAAAAAAAAAAAACBBAAAZHJz&#10;L2Rvd25yZXYueG1sUEsFBgAAAAAEAAQA8wAAAI4FAAAAAA==&#10;" filled="f" stroked="f" strokeweight=".5pt">
                <v:textbox inset="2mm,1mm,1mm,1mm">
                  <w:txbxContent>
                    <w:p w14:paraId="350B3377" w14:textId="77777777" w:rsidR="0049419F" w:rsidRDefault="003545F6" w:rsidP="00C075DC">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Ieguves rūpniecībaT</w:t>
                      </w:r>
                    </w:p>
                    <w:p w14:paraId="641626B6" w14:textId="282932DB" w:rsidR="00AF6E02" w:rsidRDefault="00AF6E02" w:rsidP="00C075DC">
                      <w:pPr>
                        <w:tabs>
                          <w:tab w:val="left" w:pos="4820"/>
                        </w:tabs>
                        <w:spacing w:after="0"/>
                        <w:rPr>
                          <w:rFonts w:ascii="Segoe UI Light" w:hAnsi="Segoe UI Light" w:cs="Segoe UI Light"/>
                          <w:b/>
                          <w:bCs/>
                          <w:sz w:val="16"/>
                          <w:szCs w:val="16"/>
                        </w:rPr>
                      </w:pPr>
                    </w:p>
                    <w:p w14:paraId="7325206A" w14:textId="09C2292F" w:rsidR="00B83D7D" w:rsidRPr="0080669C" w:rsidRDefault="00B83D7D" w:rsidP="00C075DC">
                      <w:pPr>
                        <w:tabs>
                          <w:tab w:val="left" w:pos="4820"/>
                        </w:tabs>
                        <w:spacing w:after="0"/>
                        <w:rPr>
                          <w:rFonts w:ascii="Segoe UI Light" w:hAnsi="Segoe UI Light" w:cs="Segoe UI Light"/>
                          <w:b/>
                          <w:bCs/>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73" behindDoc="0" locked="0" layoutInCell="1" allowOverlap="1" wp14:anchorId="25B481AD" wp14:editId="18DF8B56">
                <wp:simplePos x="0" y="0"/>
                <wp:positionH relativeFrom="column">
                  <wp:posOffset>5033092</wp:posOffset>
                </wp:positionH>
                <wp:positionV relativeFrom="paragraph">
                  <wp:posOffset>6233795</wp:posOffset>
                </wp:positionV>
                <wp:extent cx="719455" cy="359410"/>
                <wp:effectExtent l="0" t="0" r="4445" b="2540"/>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359410"/>
                        </a:xfrm>
                        <a:prstGeom prst="rect">
                          <a:avLst/>
                        </a:prstGeom>
                        <a:noFill/>
                        <a:ln w="6350">
                          <a:noFill/>
                        </a:ln>
                      </wps:spPr>
                      <wps:txbx>
                        <w:txbxContent>
                          <w:p w14:paraId="40D7F5AD" w14:textId="77777777" w:rsidR="00B83D7D" w:rsidRDefault="003545F6"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Citi pakalpojumi</w:t>
                            </w:r>
                          </w:p>
                          <w:p w14:paraId="6A832547" w14:textId="78B2B874"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481AD" id="Text Box 508" o:spid="_x0000_s1045" type="#_x0000_t202" style="position:absolute;margin-left:396.3pt;margin-top:490.85pt;width:56.65pt;height:28.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e9hJgIAAEwEAAAOAAAAZHJzL2Uyb0RvYy54bWysVFtv2jAUfp+0/2D5fQRKoSMiVKwV0yTU&#10;VqJTn41jE2uOj2cbEvbrd+yEi7o9TXtxzvG5n+9z5vdtrclBOK/AFHQ0GFIiDIdSmV1Bv7+uPn2m&#10;xAdmSqbBiIIehaf3i48f5o3NxQ1UoEvhCCYxPm9sQasQbJ5lnleiZn4AVhg0SnA1C6i6XVY61mD2&#10;Wmc3w+E0a8CV1gEX3uPtY2eki5RfSsHDs5ReBKILir2FdLp0buOZLeYs3zlmK8X7Ntg/dFEzZbDo&#10;OdUjC4zsnfojVa24Aw8yDDjUGUipuEgz4DSj4btpNhWzIs2Cy/H2vCb//9Lyp8PGvjgS2i/QIoBp&#10;CG/XwH943E3WWJ/3PnGnPvfoHQdtpavjF0cgGIi7PZ73KdpAOF7ejWa3kwklHE3jyex2lPadXYKt&#10;8+GrgJpEoaAO4UoNsMPah1ie5SeXWMvASmmdINOGNAWdjifDFHC2YIQ2fd9dq7Hp0G5bokqcbxYR&#10;j1dbKI84t4OOEt7ylcIm1syHF+aQAzgR8jo84yE1YDHoJUoqcL/+dh/9ERq0UtIgpwrqf+6ZE5To&#10;bwZBu0PGRhImZTxNirtWtteK2dcPgLQd4QuyPIkY7II+idJB/Yb0X8aqaGKGY+2ChpP4EDqm4/Ph&#10;YrlMTkg7y8LabCw/wR1X/Nq+MWd7HAIC+AQn9rH8HRydbwfIch9AqoTVZav9/pGyCcL+ecU3ca0n&#10;r8tPYPEbAAD//wMAUEsDBBQABgAIAAAAIQCf6Og44AAAAAwBAAAPAAAAZHJzL2Rvd25yZXYueG1s&#10;TI9BTsMwEEX3SNzBGiQ2iNpJaZqEOBUKcAAKEls3HpKo8TjYTpveHrOC5eg//f+m2i1mZCd0frAk&#10;IVkJYEit1QN1Ej7eX+9zYD4o0mq0hBIu6GFXX19VqtT2TG942oeOxRLypZLQhzCVnPu2R6P8yk5I&#10;MfuyzqgQT9dx7dQ5lpuRp0Jk3KiB4kKvJmx6bI/72Uh4frh8JnczvWwyf5y+vWsSlzZS3t4sT4/A&#10;Ai7hD4Zf/agOdXQ62Jm0Z6OEbZFmEZVQ5MkWWCQKsSmAHSIq1vkaeF3x/0/UPwAAAP//AwBQSwEC&#10;LQAUAAYACAAAACEAtoM4kv4AAADhAQAAEwAAAAAAAAAAAAAAAAAAAAAAW0NvbnRlbnRfVHlwZXNd&#10;LnhtbFBLAQItABQABgAIAAAAIQA4/SH/1gAAAJQBAAALAAAAAAAAAAAAAAAAAC8BAABfcmVscy8u&#10;cmVsc1BLAQItABQABgAIAAAAIQB9pe9hJgIAAEwEAAAOAAAAAAAAAAAAAAAAAC4CAABkcnMvZTJv&#10;RG9jLnhtbFBLAQItABQABgAIAAAAIQCf6Og44AAAAAwBAAAPAAAAAAAAAAAAAAAAAIAEAABkcnMv&#10;ZG93bnJldi54bWxQSwUGAAAAAAQABADzAAAAjQUAAAAA&#10;" filled="f" stroked="f" strokeweight=".5pt">
                <v:textbox inset="2mm,1mm,1mm,1mm">
                  <w:txbxContent>
                    <w:p w14:paraId="40D7F5AD" w14:textId="77777777" w:rsidR="00B83D7D" w:rsidRDefault="003545F6"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Citi pakalpojumi</w:t>
                      </w:r>
                    </w:p>
                    <w:p w14:paraId="6A832547" w14:textId="78B2B874"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07" behindDoc="0" locked="0" layoutInCell="1" allowOverlap="1" wp14:anchorId="52F132A4" wp14:editId="0A309399">
                <wp:simplePos x="0" y="0"/>
                <wp:positionH relativeFrom="column">
                  <wp:posOffset>4761312</wp:posOffset>
                </wp:positionH>
                <wp:positionV relativeFrom="paragraph">
                  <wp:posOffset>6593840</wp:posOffset>
                </wp:positionV>
                <wp:extent cx="303172" cy="384772"/>
                <wp:effectExtent l="0" t="0" r="190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172" cy="384772"/>
                        </a:xfrm>
                        <a:prstGeom prst="rect">
                          <a:avLst/>
                        </a:prstGeom>
                        <a:noFill/>
                        <a:ln w="6350">
                          <a:noFill/>
                        </a:ln>
                      </wps:spPr>
                      <wps:txbx>
                        <w:txbxContent>
                          <w:p w14:paraId="6AE66470" w14:textId="03993586" w:rsidR="00464837"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R93</w:t>
                            </w:r>
                          </w:p>
                          <w:p w14:paraId="5707040F" w14:textId="21AD9199" w:rsidR="00B83D7D" w:rsidRPr="0080669C"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132A4" id="Text Box 16" o:spid="_x0000_s1046" type="#_x0000_t202" style="position:absolute;margin-left:374.9pt;margin-top:519.2pt;width:23.85pt;height:30.3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RgIQIAAEwEAAAOAAAAZHJzL2Uyb0RvYy54bWysVFtv2yAUfp+0/4B4X+wkW1pZcaqsVaZJ&#10;UVsprfpMMMTWgMOAxM5+/Q7Yuajb07QXfA7nfr4Pz+86rchBON+AKel4lFMiDIeqMbuSvr6sPt1S&#10;4gMzFVNgREmPwtO7xccP89YWYgI1qEo4gkmML1pb0joEW2SZ57XQzI/ACoNGCU6zgKrbZZVjLWbX&#10;Kpvk+SxrwVXWARfe4+1Db6SLlF9KwcOTlF4EokqKvYV0unRu45kt5qzYOWbrhg9tsH/oQrPGYNFz&#10;qgcWGNm75o9UuuEOPMgw4qAzkLLhIs2A04zzd9NsamZFmgWX4+15Tf7/peWPh419diR0X6FDANMQ&#10;3q6B//C4m6y1vhh84k594dE7DtpJp+MXRyAYiLs9nvcpukA4Xk7z6fhmQglH0/T28w3KMecl2Dof&#10;vgnQJAoldQhXaoAd1j70rieXWMvAqlEqQaYMaUs6m37JU8DZgsmVGfruW41Nh27bkaYq6SQhHq+2&#10;UB1xbgc9JbzlqwabWDMfnplDDuBEyOvwhIdUgMVgkCipwf362330R2jQSkmLnCqp/7lnTlCivhsE&#10;bTrL80jCa8VdK9trxez1PSBtx/iCLE8iBrugTqJ0oN+Q/stYFU3McKxd0u1JvA890/H5cLFcJiek&#10;nWVhbTaWn+COK37p3pizAw4BAXyEE/tY8Q6O3rcHZLkPIJuE1WWrw/6Rsgnt4XnFN3GtJ6/LT2Dx&#10;GwAA//8DAFBLAwQUAAYACAAAACEA3XGo2+MAAAANAQAADwAAAGRycy9kb3ducmV2LnhtbEyPwU7D&#10;MBBE70j8g7VIXCpqU0rTpHGqgsQFCSFKDz068TaxiNdR7Cbp3+Oe4Dg7o5m3+XayLRuw98aRhMe5&#10;AIZUOW2olnD4fntYA/NBkVatI5RwQQ/b4vYmV5l2I33hsA81iyXkMyWhCaHLOPdVg1b5ueuQondy&#10;vVUhyr7muldjLLctXwix4lYZiguN6vC1wepnf7YSPhero6HTYdSzoTSzl8sH7d6DlPd3024DLOAU&#10;/sJwxY/oUESm0p1Je9ZKSJZpRA/REE/rJbAYSdLkGVh5PaWpAF7k/P8XxS8AAAD//wMAUEsBAi0A&#10;FAAGAAgAAAAhALaDOJL+AAAA4QEAABMAAAAAAAAAAAAAAAAAAAAAAFtDb250ZW50X1R5cGVzXS54&#10;bWxQSwECLQAUAAYACAAAACEAOP0h/9YAAACUAQAACwAAAAAAAAAAAAAAAAAvAQAAX3JlbHMvLnJl&#10;bHNQSwECLQAUAAYACAAAACEABilEYCECAABMBAAADgAAAAAAAAAAAAAAAAAuAgAAZHJzL2Uyb0Rv&#10;Yy54bWxQSwECLQAUAAYACAAAACEA3XGo2+MAAAANAQAADwAAAAAAAAAAAAAAAAB7BAAAZHJzL2Rv&#10;d25yZXYueG1sUEsFBgAAAAAEAAQA8wAAAIsFAAAAAA==&#10;" filled="f" stroked="f" strokeweight=".5pt">
                <v:textbox inset="1mm,1mm,1mm,1mm">
                  <w:txbxContent>
                    <w:p w14:paraId="6AE66470" w14:textId="03993586" w:rsidR="00464837"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R93</w:t>
                      </w:r>
                    </w:p>
                    <w:p w14:paraId="5707040F" w14:textId="21AD9199" w:rsidR="00B83D7D" w:rsidRPr="0080669C"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06" behindDoc="0" locked="0" layoutInCell="1" allowOverlap="1" wp14:anchorId="049B1C24" wp14:editId="4D935676">
                <wp:simplePos x="0" y="0"/>
                <wp:positionH relativeFrom="column">
                  <wp:posOffset>4324903</wp:posOffset>
                </wp:positionH>
                <wp:positionV relativeFrom="paragraph">
                  <wp:posOffset>6620510</wp:posOffset>
                </wp:positionV>
                <wp:extent cx="395605" cy="359410"/>
                <wp:effectExtent l="0" t="0" r="4445"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 cy="359410"/>
                        </a:xfrm>
                        <a:prstGeom prst="rect">
                          <a:avLst/>
                        </a:prstGeom>
                        <a:noFill/>
                        <a:ln w="6350">
                          <a:noFill/>
                        </a:ln>
                      </wps:spPr>
                      <wps:txbx>
                        <w:txbxContent>
                          <w:p w14:paraId="302537FB" w14:textId="77777777" w:rsidR="00757D2B" w:rsidRDefault="00757D2B"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R90</w:t>
                            </w:r>
                          </w:p>
                          <w:p w14:paraId="5CF8FAFF" w14:textId="77777777" w:rsidR="0049419F"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p w14:paraId="4DE3DC95" w14:textId="0A398D93" w:rsidR="00B83D7D" w:rsidRPr="0080669C" w:rsidRDefault="00B83D7D" w:rsidP="00C075DC">
                            <w:pPr>
                              <w:tabs>
                                <w:tab w:val="left" w:pos="4820"/>
                              </w:tabs>
                              <w:spacing w:after="0"/>
                              <w:rPr>
                                <w:rFonts w:ascii="Segoe UI Light" w:hAnsi="Segoe UI Light" w:cs="Segoe UI Light"/>
                                <w:sz w:val="16"/>
                                <w:szCs w:val="16"/>
                              </w:rPr>
                            </w:pP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B1C24" id="Text Box 17" o:spid="_x0000_s1047" type="#_x0000_t202" style="position:absolute;margin-left:340.55pt;margin-top:521.3pt;width:31.15pt;height:28.3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3HHJAIAAEwEAAAOAAAAZHJzL2Uyb0RvYy54bWysVFtv2yAUfp+0/4B4X+wkS7RacaqsVaZJ&#10;UVsprfpMMMRomMOAxO5+/Q7Yuajb07QXfA7nfr4PL267RpOjcF6BKel4lFMiDIdKmX1JX57Xn75Q&#10;4gMzFdNgREnfhKe3y48fFq0txARq0JVwBJMYX7S2pHUItsgyz2vRMD8CKwwaJbiGBVTdPqscazF7&#10;o7NJns+zFlxlHXDhPd7e90a6TPmlFDw8SulFILqk2FtIp0vnLp7ZcsGKvWO2Vnxog/1DFw1TBoue&#10;U92zwMjBqT9SNYo78CDDiEOTgZSKizQDTjPO302zrZkVaRZcjrfnNfn/l5Y/HLf2yZHQfYUOAUxD&#10;eLsB/sPjbrLW+mLwiTv1hUfvOGgnXRO/OALBQNzt23mfoguE4+X0ZjbPZ5RwNE1nN5/Had/ZJdg6&#10;H74JaEgUSuoQrtQAO258iOVZcXKJtQysldYJMm1IW9L5dJangLMFI7QZ+u5bjU2HbtcRVZV0Mo6I&#10;x6sdVG84t4OeEt7ytcImNsyHJ+aQAzgR8jo84iE1YDEYJEpqcL/+dh/9ERq0UtIip0rqfx6YE5To&#10;7wZBm87zPJLwWnHXyu5aMYfmDpC2Y3xBlicRg13QJ1E6aF6R/qtYFU3McKxd0t1JvAs90/H5cLFa&#10;JSeknWVhY7aWn+COK37uXpmzAw4BAXyAE/tY8Q6O3rcHZHUIIFXC6rLVYf9I2QTh8Lzim7jWk9fl&#10;J7D8DQAA//8DAFBLAwQUAAYACAAAACEAx8QkJuIAAAANAQAADwAAAGRycy9kb3ducmV2LnhtbEyP&#10;wU7DMAyG70i8Q2QkLhNLW6qydU2ngcQFCU2MHXZMm6yNaJyqydru7fFOcLT/T78/F9vZdmzUgzcO&#10;BcTLCJjG2imDjYDj9/vTCpgPEpXsHGoBV+1hW97fFTJXbsIvPR5Cw6gEfS4FtCH0Oee+brWVful6&#10;jZSd3WBloHFouBrkROW240kUZdxKg3Shlb1+a3X9c7hYAfskOxk8Hye1GCuzeL1+4u4jCPH4MO82&#10;wIKewx8MN31Sh5KcKndB5VknIFvFMaEURGmSASPkJX1OgVW31XqdAC8L/v+L8hcAAP//AwBQSwEC&#10;LQAUAAYACAAAACEAtoM4kv4AAADhAQAAEwAAAAAAAAAAAAAAAAAAAAAAW0NvbnRlbnRfVHlwZXNd&#10;LnhtbFBLAQItABQABgAIAAAAIQA4/SH/1gAAAJQBAAALAAAAAAAAAAAAAAAAAC8BAABfcmVscy8u&#10;cmVsc1BLAQItABQABgAIAAAAIQA6t3HHJAIAAEwEAAAOAAAAAAAAAAAAAAAAAC4CAABkcnMvZTJv&#10;RG9jLnhtbFBLAQItABQABgAIAAAAIQDHxCQm4gAAAA0BAAAPAAAAAAAAAAAAAAAAAH4EAABkcnMv&#10;ZG93bnJldi54bWxQSwUGAAAAAAQABADzAAAAjQUAAAAA&#10;" filled="f" stroked="f" strokeweight=".5pt">
                <v:textbox inset="1mm,1mm,1mm,1mm">
                  <w:txbxContent>
                    <w:p w14:paraId="302537FB" w14:textId="77777777" w:rsidR="00757D2B" w:rsidRDefault="00757D2B"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R90</w:t>
                      </w:r>
                    </w:p>
                    <w:p w14:paraId="5CF8FAFF" w14:textId="77777777" w:rsidR="0049419F" w:rsidRDefault="0046483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p w14:paraId="4DE3DC95" w14:textId="0A398D93" w:rsidR="00B83D7D" w:rsidRPr="0080669C" w:rsidRDefault="00B83D7D" w:rsidP="00C075DC">
                      <w:pPr>
                        <w:tabs>
                          <w:tab w:val="left" w:pos="4820"/>
                        </w:tabs>
                        <w:spacing w:after="0"/>
                        <w:rPr>
                          <w:rFonts w:ascii="Segoe UI Light" w:hAnsi="Segoe UI Light" w:cs="Segoe UI Light"/>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72" behindDoc="0" locked="0" layoutInCell="1" allowOverlap="1" wp14:anchorId="24E562D6" wp14:editId="0F0D79D2">
                <wp:simplePos x="0" y="0"/>
                <wp:positionH relativeFrom="column">
                  <wp:posOffset>3934378</wp:posOffset>
                </wp:positionH>
                <wp:positionV relativeFrom="paragraph">
                  <wp:posOffset>6336030</wp:posOffset>
                </wp:positionV>
                <wp:extent cx="791845" cy="359410"/>
                <wp:effectExtent l="0" t="0" r="8255" b="2540"/>
                <wp:wrapNone/>
                <wp:docPr id="507"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359410"/>
                        </a:xfrm>
                        <a:prstGeom prst="rect">
                          <a:avLst/>
                        </a:prstGeom>
                        <a:noFill/>
                        <a:ln w="6350">
                          <a:noFill/>
                        </a:ln>
                      </wps:spPr>
                      <wps:txbx>
                        <w:txbxContent>
                          <w:p w14:paraId="67597125" w14:textId="77777777" w:rsidR="0049419F" w:rsidRDefault="003545F6" w:rsidP="00C075DC">
                            <w:pPr>
                              <w:tabs>
                                <w:tab w:val="left" w:pos="4820"/>
                              </w:tabs>
                              <w:spacing w:after="0"/>
                              <w:rPr>
                                <w:rFonts w:ascii="Segoe UI Light" w:hAnsi="Segoe UI Light" w:cs="Segoe UI Light"/>
                                <w:b/>
                                <w:bCs/>
                                <w:sz w:val="16"/>
                                <w:szCs w:val="16"/>
                              </w:rPr>
                            </w:pPr>
                            <w:r w:rsidRPr="003545F6">
                              <w:rPr>
                                <w:rFonts w:ascii="Segoe UI Light" w:hAnsi="Segoe UI Light" w:cs="Segoe UI Light"/>
                                <w:b/>
                                <w:bCs/>
                                <w:sz w:val="16"/>
                                <w:szCs w:val="16"/>
                              </w:rPr>
                              <w:t>Māksla, izklaide un atpūta</w:t>
                            </w:r>
                          </w:p>
                          <w:p w14:paraId="37F8B45B" w14:textId="571DEBE4" w:rsidR="00AF6E02" w:rsidRDefault="00AF6E02" w:rsidP="00C075DC">
                            <w:pPr>
                              <w:tabs>
                                <w:tab w:val="left" w:pos="4820"/>
                              </w:tabs>
                              <w:spacing w:after="0"/>
                              <w:rPr>
                                <w:rFonts w:ascii="Segoe UI Light" w:hAnsi="Segoe UI Light" w:cs="Segoe UI Light"/>
                                <w:b/>
                                <w:bCs/>
                                <w:sz w:val="16"/>
                                <w:szCs w:val="16"/>
                              </w:rPr>
                            </w:pPr>
                          </w:p>
                          <w:p w14:paraId="2D7F15C7" w14:textId="6D568A41" w:rsidR="00B83D7D" w:rsidRPr="0080669C" w:rsidRDefault="00B83D7D" w:rsidP="00C075DC">
                            <w:pPr>
                              <w:tabs>
                                <w:tab w:val="left" w:pos="4820"/>
                              </w:tabs>
                              <w:spacing w:after="0"/>
                              <w:rPr>
                                <w:rFonts w:ascii="Segoe UI Light" w:hAnsi="Segoe UI Light" w:cs="Segoe UI Light"/>
                                <w:b/>
                                <w:bCs/>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562D6" id="Text Box 507" o:spid="_x0000_s1048" type="#_x0000_t202" style="position:absolute;margin-left:309.8pt;margin-top:498.9pt;width:62.35pt;height:28.3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wXRJwIAAEwEAAAOAAAAZHJzL2Uyb0RvYy54bWysVMlu2zAQvRfoPxC81/ISO4lgOXATuChg&#10;JAGcIGeaIi2hJIclaUvp13dIyQvSnopeqBnOPu9R87tWK3IQztdgCjoaDCkRhkNZm11BX19WX24o&#10;8YGZkikwoqDvwtO7xedP88bmYgwVqFI4gkmMzxtb0CoEm2eZ55XQzA/ACoNGCU6zgKrbZaVjDWbX&#10;KhsPh7OsAVdaB1x4j7cPnZEuUn4pBQ9PUnoRiCoo9hbS6dK5jWe2mLN855itat63wf6hC81qg0VP&#10;qR5YYGTv6j9S6Zo78CDDgIPOQMqaizQDTjMafphmUzEr0iy4HG9Pa/L/Ly1/PGzssyOh/QotApiG&#10;8HYN/IfH3WSN9XnvE3fqc4/ecdBWOh2/OALBQNzt+2mfog2E4+X17ejmakoJR9Nkens1SvvOzsHW&#10;+fBNgCZRKKhDuFID7LD2IZZn+dEl1jKwqpVKkClDmoLOJtNhCjhZMEKZvu+u1dh0aLctqcuCjscR&#10;8Xi1hfId53bQUcJbvqqxiTXz4Zk55ABOhLwOT3hIBVgMeomSCtyvv91Hf4QGrZQ0yKmC+p975gQl&#10;6rtB0K6RsZGESZnMkuIule2lYvb6HpC2I3xBlicRg11QR1E60G9I/2WsiiZmONYuaDiK96FjOj4f&#10;LpbL5IS0syyszcbyI9xxxS/tG3O2xyEggI9wZB/LP8DR+XaALPcBZJ2wOm+13z9SNkHYP6/4Ji71&#10;5HX+CSx+AwAA//8DAFBLAwQUAAYACAAAACEAVMRqteAAAAAMAQAADwAAAGRycy9kb3ducmV2Lnht&#10;bEyPQU7DMBBF90jcwRokNog6KW7ahDgVCnAAClK3bmySqPE42E6b3p5hRZejefr//XI724GdjA+9&#10;QwnpIgFmsHG6x1bC1+f74wZYiAq1GhwaCRcTYFvd3pSq0O6MH+a0iy2jEAyFktDFOBach6YzVoWF&#10;Gw3S79t5qyKdvuXaqzOF24EvkyTjVvVIDZ0aTd2Z5ribrIRXcdmnDxO+rbJwHH+Cr1O/rKW8v5tf&#10;noFFM8d/GP70SR0qcjq4CXVgg4QszTNCJeT5mjYQsRbiCdiB0GQlBPCq5Ncjql8AAAD//wMAUEsB&#10;Ai0AFAAGAAgAAAAhALaDOJL+AAAA4QEAABMAAAAAAAAAAAAAAAAAAAAAAFtDb250ZW50X1R5cGVz&#10;XS54bWxQSwECLQAUAAYACAAAACEAOP0h/9YAAACUAQAACwAAAAAAAAAAAAAAAAAvAQAAX3JlbHMv&#10;LnJlbHNQSwECLQAUAAYACAAAACEA9V8F0ScCAABMBAAADgAAAAAAAAAAAAAAAAAuAgAAZHJzL2Uy&#10;b0RvYy54bWxQSwECLQAUAAYACAAAACEAVMRqteAAAAAMAQAADwAAAAAAAAAAAAAAAACBBAAAZHJz&#10;L2Rvd25yZXYueG1sUEsFBgAAAAAEAAQA8wAAAI4FAAAAAA==&#10;" filled="f" stroked="f" strokeweight=".5pt">
                <v:textbox inset="2mm,1mm,1mm,1mm">
                  <w:txbxContent>
                    <w:p w14:paraId="67597125" w14:textId="77777777" w:rsidR="0049419F" w:rsidRDefault="003545F6" w:rsidP="00C075DC">
                      <w:pPr>
                        <w:tabs>
                          <w:tab w:val="left" w:pos="4820"/>
                        </w:tabs>
                        <w:spacing w:after="0"/>
                        <w:rPr>
                          <w:rFonts w:ascii="Segoe UI Light" w:hAnsi="Segoe UI Light" w:cs="Segoe UI Light"/>
                          <w:b/>
                          <w:bCs/>
                          <w:sz w:val="16"/>
                          <w:szCs w:val="16"/>
                        </w:rPr>
                      </w:pPr>
                      <w:r w:rsidRPr="003545F6">
                        <w:rPr>
                          <w:rFonts w:ascii="Segoe UI Light" w:hAnsi="Segoe UI Light" w:cs="Segoe UI Light"/>
                          <w:b/>
                          <w:bCs/>
                          <w:sz w:val="16"/>
                          <w:szCs w:val="16"/>
                        </w:rPr>
                        <w:t>Māksla, izklaide un atpūta</w:t>
                      </w:r>
                    </w:p>
                    <w:p w14:paraId="37F8B45B" w14:textId="571DEBE4" w:rsidR="00AF6E02" w:rsidRDefault="00AF6E02" w:rsidP="00C075DC">
                      <w:pPr>
                        <w:tabs>
                          <w:tab w:val="left" w:pos="4820"/>
                        </w:tabs>
                        <w:spacing w:after="0"/>
                        <w:rPr>
                          <w:rFonts w:ascii="Segoe UI Light" w:hAnsi="Segoe UI Light" w:cs="Segoe UI Light"/>
                          <w:b/>
                          <w:bCs/>
                          <w:sz w:val="16"/>
                          <w:szCs w:val="16"/>
                        </w:rPr>
                      </w:pPr>
                    </w:p>
                    <w:p w14:paraId="2D7F15C7" w14:textId="6D568A41" w:rsidR="00B83D7D" w:rsidRPr="0080669C" w:rsidRDefault="00B83D7D" w:rsidP="00C075DC">
                      <w:pPr>
                        <w:tabs>
                          <w:tab w:val="left" w:pos="4820"/>
                        </w:tabs>
                        <w:spacing w:after="0"/>
                        <w:rPr>
                          <w:rFonts w:ascii="Segoe UI Light" w:hAnsi="Segoe UI Light" w:cs="Segoe UI Light"/>
                          <w:b/>
                          <w:bCs/>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26" behindDoc="0" locked="0" layoutInCell="1" allowOverlap="1" wp14:anchorId="41CF0FAD" wp14:editId="3F993B69">
                <wp:simplePos x="0" y="0"/>
                <wp:positionH relativeFrom="column">
                  <wp:posOffset>4761865</wp:posOffset>
                </wp:positionH>
                <wp:positionV relativeFrom="paragraph">
                  <wp:posOffset>6002737</wp:posOffset>
                </wp:positionV>
                <wp:extent cx="362138" cy="330451"/>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138" cy="330451"/>
                        </a:xfrm>
                        <a:prstGeom prst="rect">
                          <a:avLst/>
                        </a:prstGeom>
                        <a:noFill/>
                        <a:ln w="6350">
                          <a:noFill/>
                        </a:ln>
                      </wps:spPr>
                      <wps:txbx>
                        <w:txbxContent>
                          <w:p w14:paraId="0C4EA545" w14:textId="01A200C2" w:rsidR="00B83D7D"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I55</w:t>
                            </w:r>
                          </w:p>
                          <w:p w14:paraId="0D0AA79F" w14:textId="6C3CB6D4" w:rsidR="00B83D7D" w:rsidRPr="0080669C"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F0FAD" id="Text Box 25" o:spid="_x0000_s1049" type="#_x0000_t202" style="position:absolute;margin-left:374.95pt;margin-top:472.65pt;width:28.5pt;height:26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4rJAIAAEwEAAAOAAAAZHJzL2Uyb0RvYy54bWysVF1v2yAUfZ+0/4B4X+zEazRZcaqsVaZJ&#10;UVsprfpMMMTWgMuAxO5+/S7Y+VC3p2kvmMu93I9zDl7c9lqRo3C+BVPR6SSnRBgOdWv2FX15Xn/6&#10;QokPzNRMgREVfROe3i4/flh0thQzaEDVwhFMYnzZ2Yo2IdgyyzxvhGZ+AlYYdEpwmgU03T6rHesw&#10;u1bZLM/nWQeutg648B5P7wcnXab8UgoeHqX0IhBVUewtpNWldRfXbLlg5d4x27R8bIP9QxeatQaL&#10;nlPds8DIwbV/pNItd+BBhgkHnYGULRdpBpxmmr+bZtswK9IsCI63Z5j8/0vLH45b++RI6L9CjwSm&#10;IbzdAP/hEZuss74cYyKmvvQYHQftpdPxiyMQvIjYvp3xFH0gHA+L+WxaoAA4uooi/3wzjXhnl8vW&#10;+fBNgCZxU1GHdKUG2HHjwxB6Com1DKxbpRJlypCuovPiJk8Xzh5MrszY99BqbDr0u560dUVnRewg&#10;Hu2gfsO5HQyS8JavW2xiw3x4Yg41gBOhrsMjLlIBFoNxR0kD7tffzmM8UoNeSjrUVEX9zwNzghL1&#10;3SBpxTzPowivDXdt7K4Nc9B3gLKd4guyPG3xsgvqtJUO9CvKfxWroosZjrUrujtt78KgdHw+XKxW&#10;KQhlZ1nYmK3lJ7ojxM/9K3N25CEggQ9wUh8r39ExxA6ErA4BZJu4uqA64o+STWyPzyu+iWs7RV1+&#10;AsvfAAAA//8DAFBLAwQUAAYACAAAACEA2qluV+EAAAALAQAADwAAAGRycy9kb3ducmV2LnhtbEyP&#10;wU7DMAyG70i8Q2QkLhNL2Ua3dk2ngcQFCSHGDjumjddWNE7VZG339pgTHP370+/P2W6yrRiw940j&#10;BY/zCARS6UxDlYLj1+vDBoQPmoxuHaGCK3rY5bc3mU6NG+kTh0OoBJeQT7WCOoQuldKXNVrt565D&#10;4t3Z9VYHHvtKml6PXG5buYiiWFrdEF+odYcvNZbfh4tV8LGITw2dj6OZDUUze76+0/4tKHV/N+23&#10;IAJO4Q+GX31Wh5ydCnch40WrYL1KEkYVJKunJQgmNlHMScFJsl6CzDP5/4f8BwAA//8DAFBLAQIt&#10;ABQABgAIAAAAIQC2gziS/gAAAOEBAAATAAAAAAAAAAAAAAAAAAAAAABbQ29udGVudF9UeXBlc10u&#10;eG1sUEsBAi0AFAAGAAgAAAAhADj9If/WAAAAlAEAAAsAAAAAAAAAAAAAAAAALwEAAF9yZWxzLy5y&#10;ZWxzUEsBAi0AFAAGAAgAAAAhAMWrHiskAgAATAQAAA4AAAAAAAAAAAAAAAAALgIAAGRycy9lMm9E&#10;b2MueG1sUEsBAi0AFAAGAAgAAAAhANqpblfhAAAACwEAAA8AAAAAAAAAAAAAAAAAfgQAAGRycy9k&#10;b3ducmV2LnhtbFBLBQYAAAAABAAEAPMAAACMBQAAAAA=&#10;" filled="f" stroked="f" strokeweight=".5pt">
                <v:textbox inset="1mm,1mm,1mm,1mm">
                  <w:txbxContent>
                    <w:p w14:paraId="0C4EA545" w14:textId="01A200C2" w:rsidR="00B83D7D"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I55</w:t>
                      </w:r>
                    </w:p>
                    <w:p w14:paraId="0D0AA79F" w14:textId="6C3CB6D4" w:rsidR="00B83D7D" w:rsidRPr="0080669C"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13" behindDoc="0" locked="0" layoutInCell="1" allowOverlap="1" wp14:anchorId="748903A2" wp14:editId="475D4B8C">
                <wp:simplePos x="0" y="0"/>
                <wp:positionH relativeFrom="column">
                  <wp:posOffset>3936447</wp:posOffset>
                </wp:positionH>
                <wp:positionV relativeFrom="paragraph">
                  <wp:posOffset>6002655</wp:posOffset>
                </wp:positionV>
                <wp:extent cx="647700" cy="330451"/>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30451"/>
                        </a:xfrm>
                        <a:prstGeom prst="rect">
                          <a:avLst/>
                        </a:prstGeom>
                        <a:noFill/>
                        <a:ln w="6350">
                          <a:noFill/>
                        </a:ln>
                      </wps:spPr>
                      <wps:txbx>
                        <w:txbxContent>
                          <w:p w14:paraId="329B3486" w14:textId="0CED26EF" w:rsidR="00B83D7D"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Ēdināšana</w:t>
                            </w:r>
                          </w:p>
                          <w:p w14:paraId="43F02CE3" w14:textId="5F0D6DA3" w:rsidR="00B83D7D" w:rsidRPr="0080669C"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903A2" id="Text Box 28" o:spid="_x0000_s1050" type="#_x0000_t202" style="position:absolute;margin-left:309.95pt;margin-top:472.65pt;width:51pt;height:26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4OjIwIAAEwEAAAOAAAAZHJzL2Uyb0RvYy54bWysVFtv2yAUfp+0/4B4X+xcmk5WnCprlWlS&#10;1FZKpz4TDDEa5jAgsbtfvwN2Lur2NO0FcziHc/m+Dy/uukaTo3BegSnpeJRTIgyHSpl9Sb+/rD99&#10;psQHZiqmwYiSvglP75YfPyxaW4gJ1KAr4QgmMb5obUnrEGyRZZ7XomF+BFYYdEpwDQtoun1WOdZi&#10;9kZnkzyfZy24yjrgwns8feiddJnySyl4eJLSi0B0SbG3kFaX1l1cs+WCFXvHbK340Ab7hy4apgwW&#10;Pad6YIGRg1N/pGoUd+BBhhGHJgMpFRdpBpxmnL+bZlszK9IsCI63Z5j8/0vLH49b++xI6L5AhwSm&#10;IbzdAP/hEZustb4YYiKmvvAYHQftpGviF0cgeBGxfTvjKbpAOB7OZ7e3OXo4uqbTfHYzjnhnl8vW&#10;+fBVQEPipqQO6UoNsOPGhz70FBJrGVgrrRNl2pAWC0xv8nTh7MHk2gx9963GpkO364iqSjqZxQ7i&#10;0Q6qN5zbQS8Jb/laYRMb5sMzc6gB7Bt1HZ5wkRqwGAw7Smpwv/52HuORGvRS0qKmSup/HpgTlOhv&#10;BkmbzvMIR7g23LWxuzbMobkHlO0YX5DlaYuXXdCnrXTQvKL8V7EqupjhWLuku9P2PvRKx+fDxWqV&#10;glB2loWN2Vp+ojtC/NK9MmcHHgIS+Agn9bHiHR19bE/I6hBAqsTVBdUBf5RsYnt4XvFNXNsp6vIT&#10;WP4GAAD//wMAUEsDBBQABgAIAAAAIQB3ym/G4QAAAAsBAAAPAAAAZHJzL2Rvd25yZXYueG1sTI/B&#10;TsMwDIbvSLxDZCQuE0vbQUdL02kgcUGaENsOO6ZN1kY0TtVkbff2mBMc/fvT78/FZrYdG/XgjUMB&#10;8TICprF2ymAj4Hh4f3gG5oNEJTuHWsBVe9iUtzeFzJWb8EuP+9AwKkGfSwFtCH3Oua9bbaVful4j&#10;7c5usDLQODRcDXKictvxJIpSbqVButDKXr+1uv7eX6yAzyQ9GTwfJ7UYK7N4ve5w+xGEuL+bty/A&#10;gp7DHwy/+qQOJTlV7oLKs05AGmcZoQKyx6cVMCLWSUxJRUm2XgEvC/7/h/IHAAD//wMAUEsBAi0A&#10;FAAGAAgAAAAhALaDOJL+AAAA4QEAABMAAAAAAAAAAAAAAAAAAAAAAFtDb250ZW50X1R5cGVzXS54&#10;bWxQSwECLQAUAAYACAAAACEAOP0h/9YAAACUAQAACwAAAAAAAAAAAAAAAAAvAQAAX3JlbHMvLnJl&#10;bHNQSwECLQAUAAYACAAAACEARgODoyMCAABMBAAADgAAAAAAAAAAAAAAAAAuAgAAZHJzL2Uyb0Rv&#10;Yy54bWxQSwECLQAUAAYACAAAACEAd8pvxuEAAAALAQAADwAAAAAAAAAAAAAAAAB9BAAAZHJzL2Rv&#10;d25yZXYueG1sUEsFBgAAAAAEAAQA8wAAAIsFAAAAAA==&#10;" filled="f" stroked="f" strokeweight=".5pt">
                <v:textbox inset="1mm,1mm,1mm,1mm">
                  <w:txbxContent>
                    <w:p w14:paraId="329B3486" w14:textId="0CED26EF" w:rsidR="00B83D7D"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Ēdināšana</w:t>
                      </w:r>
                    </w:p>
                    <w:p w14:paraId="43F02CE3" w14:textId="5F0D6DA3" w:rsidR="00B83D7D" w:rsidRPr="0080669C" w:rsidRDefault="00F83771" w:rsidP="00C075DC">
                      <w:pPr>
                        <w:tabs>
                          <w:tab w:val="left" w:pos="567"/>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1,6%</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01" behindDoc="0" locked="0" layoutInCell="1" allowOverlap="1" wp14:anchorId="612810B3" wp14:editId="591590DF">
                <wp:simplePos x="0" y="0"/>
                <wp:positionH relativeFrom="column">
                  <wp:posOffset>3228290</wp:posOffset>
                </wp:positionH>
                <wp:positionV relativeFrom="paragraph">
                  <wp:posOffset>6731861</wp:posOffset>
                </wp:positionV>
                <wp:extent cx="534154" cy="359410"/>
                <wp:effectExtent l="0" t="0" r="0" b="254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154" cy="359410"/>
                        </a:xfrm>
                        <a:prstGeom prst="rect">
                          <a:avLst/>
                        </a:prstGeom>
                        <a:noFill/>
                        <a:ln w="6350">
                          <a:noFill/>
                        </a:ln>
                      </wps:spPr>
                      <wps:txbx>
                        <w:txbxContent>
                          <w:p w14:paraId="73834E53" w14:textId="12021BD3" w:rsidR="00B83D7D" w:rsidRPr="0080669C" w:rsidRDefault="00757D2B"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2,7%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810B3" id="Text Box 29" o:spid="_x0000_s1051" type="#_x0000_t202" style="position:absolute;margin-left:254.2pt;margin-top:530.05pt;width:42.05pt;height:28.3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f/JAIAAEwEAAAOAAAAZHJzL2Uyb0RvYy54bWysVMlu2zAQvRfoPxC815JXNILlwE3gooCR&#10;BHCKnCmKtIRSHJakLblf3yElL0h7KnqhZjj7vEct77tGkaOwrgad0/EopURoDmWt9zn9/rr59JkS&#10;55kumQItcnoSjt6vPn5YtiYTE6hAlcISTKJd1pqcVt6bLEkcr0TD3AiM0GiUYBvmUbX7pLSsxeyN&#10;SiZpukhasKWxwIVzePvYG+kq5pdScP8spROeqJxibz6eNp5FOJPVkmV7y0xV86EN9g9dNKzWWPSS&#10;6pF5Rg62/iNVU3MLDqQfcWgSkLLmIs6A04zTd9PsKmZEnAWX48xlTe7/peVPx515scR3X6BDAOMQ&#10;zmyB/3C4m6Q1Lht8wk5d5tA7DNpJ24QvjkAwEHd7uuxTdJ5wvJxPZ+P5jBKOpun8bjaO+06uwcY6&#10;/1VAQ4KQU4twxQbYcet8KM+ys0uopWFTKxUhU5q0OV1M52kMuFgwQumh777V0LTvio7UZU4n84B4&#10;uCqgPOHcFnpKOMM3NTaxZc6/MIscwImQ1/4ZD6kAi8EgUVKB/fW3++CP0KCVkhY5lVP388CsoER9&#10;0wjadJGmgYS3ir1ViltFH5oHQNqO8QUZHkUMtl6dRWmheUP6r0NVNDHNsXZOi7P44Hum4/PhYr2O&#10;Tkg7w/xW7ww/wx1W/Nq9MWsGHDwC+ARn9rHsHRy9bw/I+uBB1hGr61aH/SNlI4TD8wpv4laPXtef&#10;wOo3AAAA//8DAFBLAwQUAAYACAAAACEAJHPp5+IAAAANAQAADwAAAGRycy9kb3ducmV2LnhtbEyP&#10;wU7DMAyG70i8Q2QkLhNLWtEyStNpIHFBQhNjB45pk7URjVM1Wdu9PeYER/v/9PtzuV1czyYzButR&#10;QrIWwAw2XltsJRw/X+82wEJUqFXv0Ui4mADb6vqqVIX2M36Y6RBbRiUYCiWhi3EoOA9NZ5wKaz8Y&#10;pOzkR6cijWPL9ahmKnc9T4XIuVMW6UKnBvPSmeb7cHYS9mn+ZfF0nPVqqu3q+fKOu7co5e3NsnsC&#10;Fs0S/2D41Sd1qMip9mfUgfUSMrG5J5QCkYsEGCHZY5oBq2mVJPkD8Krk/7+ofgAAAP//AwBQSwEC&#10;LQAUAAYACAAAACEAtoM4kv4AAADhAQAAEwAAAAAAAAAAAAAAAAAAAAAAW0NvbnRlbnRfVHlwZXNd&#10;LnhtbFBLAQItABQABgAIAAAAIQA4/SH/1gAAAJQBAAALAAAAAAAAAAAAAAAAAC8BAABfcmVscy8u&#10;cmVsc1BLAQItABQABgAIAAAAIQBZlBf/JAIAAEwEAAAOAAAAAAAAAAAAAAAAAC4CAABkcnMvZTJv&#10;RG9jLnhtbFBLAQItABQABgAIAAAAIQAkc+nn4gAAAA0BAAAPAAAAAAAAAAAAAAAAAH4EAABkcnMv&#10;ZG93bnJldi54bWxQSwUGAAAAAAQABADzAAAAjQUAAAAA&#10;" filled="f" stroked="f" strokeweight=".5pt">
                <v:textbox inset="1mm,1mm,1mm,1mm">
                  <w:txbxContent>
                    <w:p w14:paraId="73834E53" w14:textId="12021BD3" w:rsidR="00B83D7D" w:rsidRPr="0080669C" w:rsidRDefault="00757D2B"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2,7%</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25" behindDoc="0" locked="0" layoutInCell="1" allowOverlap="1" wp14:anchorId="2B639FCB" wp14:editId="27F5EDFD">
                <wp:simplePos x="0" y="0"/>
                <wp:positionH relativeFrom="column">
                  <wp:posOffset>5248275</wp:posOffset>
                </wp:positionH>
                <wp:positionV relativeFrom="paragraph">
                  <wp:posOffset>5229143</wp:posOffset>
                </wp:positionV>
                <wp:extent cx="364877" cy="334978"/>
                <wp:effectExtent l="0" t="0" r="0" b="825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77" cy="334978"/>
                        </a:xfrm>
                        <a:prstGeom prst="rect">
                          <a:avLst/>
                        </a:prstGeom>
                        <a:noFill/>
                        <a:ln w="6350">
                          <a:noFill/>
                        </a:ln>
                      </wps:spPr>
                      <wps:txbx>
                        <w:txbxContent>
                          <w:p w14:paraId="0FA63739" w14:textId="3D9CFBAA" w:rsidR="00B83D7D" w:rsidRDefault="004902A0" w:rsidP="00C075DC">
                            <w:pPr>
                              <w:tabs>
                                <w:tab w:val="left" w:pos="1190"/>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N79</w:t>
                            </w:r>
                          </w:p>
                          <w:p w14:paraId="31BB8739" w14:textId="3D02A2D1" w:rsidR="00B83D7D" w:rsidRPr="0080669C" w:rsidRDefault="004902A0" w:rsidP="00C075DC">
                            <w:pPr>
                              <w:tabs>
                                <w:tab w:val="left" w:pos="1190"/>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39FCB" id="Text Box 31" o:spid="_x0000_s1052" type="#_x0000_t202" style="position:absolute;margin-left:413.25pt;margin-top:411.75pt;width:28.75pt;height:26.4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WQ0JgIAAEwEAAAOAAAAZHJzL2Uyb0RvYy54bWysVF1v2yAUfZ+0/4B4X+wkXZJacaqsVaZJ&#10;UVspnfpMMMTWMJcBiZ39+l2w86GuT9VeMJd7uR/nHDy/a2tFDsK6CnROh4OUEqE5FJXe5fTny+rL&#10;jBLnmS6YAi1yehSO3i0+f5o3JhMjKEEVwhJMol3WmJyW3pssSRwvRc3cAIzQ6JRga+bRtLuksKzB&#10;7LVKRmk6SRqwhbHAhXN4+tA56SLml1Jw/ySlE56onGJvPq42rtuwJos5y3aWmbLifRvsA13UrNJY&#10;9JzqgXlG9rb6J1VdcQsOpB9wqBOQsuIizoDTDNM302xKZkScBcFx5gyT+39p+eNhY54t8e03aJHA&#10;OIQza+C/HGKTNMZlfUzA1GUOo8OgrbR1+OIIBC8itscznqL1hOPheHIzm04p4egaj29up7OAd3K5&#10;bKzz3wXUJGxyapGu2AA7rJ3vQk8hoZaGVaVUpExp0uR0Mv6axgtnDyZXuu+7azU07dttS6oip6NJ&#10;6CAcbaE44twWOkk4w1cVNrFmzj8zixrAiVDX/gkXqQCLQb+jpAT7573zEI/UoJeSBjWVU/d7z6yg&#10;RP3QSNp4kqZBhNeGvTa214be1/eAsh3iCzI8bvGy9eq0lRbqV5T/MlRFF9Mca+d0e9re+07p+Hy4&#10;WC5jEMrOML/WG8NPdAeIX9pXZk3Pg0cCH+GkPpa9oaOL7QhZ7j3IKnJ1QbXHHyUb2e6fV3gT13aM&#10;uvwEFn8BAAD//wMAUEsDBBQABgAIAAAAIQBEj3ia4AAAAAsBAAAPAAAAZHJzL2Rvd25yZXYueG1s&#10;TI9BS8NAEIXvgv9hGcFLsRtTTUPMplTBiyDF2kOPm+w0CWZnQ3abpP/e6Ulv7zGPN9/LN7PtxIiD&#10;bx0peFxGIJAqZ1qqFRy+3x9SED5oMrpzhAou6GFT3N7kOjNuoi8c96EWXEI+0wqaEPpMSl81aLVf&#10;uh6Jbyc3WB3YDrU0g5643HYyjqJEWt0Sf2h0j28NVj/7s1Wwi5NjS6fDZBZj2S5eL5+0/QhK3d/N&#10;2xcQAefwF4YrPqNDwUylO5PxolOQxskzR69ixYITafrE60oW62QFssjl/w3FLwAAAP//AwBQSwEC&#10;LQAUAAYACAAAACEAtoM4kv4AAADhAQAAEwAAAAAAAAAAAAAAAAAAAAAAW0NvbnRlbnRfVHlwZXNd&#10;LnhtbFBLAQItABQABgAIAAAAIQA4/SH/1gAAAJQBAAALAAAAAAAAAAAAAAAAAC8BAABfcmVscy8u&#10;cmVsc1BLAQItABQABgAIAAAAIQAoSWQ0JgIAAEwEAAAOAAAAAAAAAAAAAAAAAC4CAABkcnMvZTJv&#10;RG9jLnhtbFBLAQItABQABgAIAAAAIQBEj3ia4AAAAAsBAAAPAAAAAAAAAAAAAAAAAIAEAABkcnMv&#10;ZG93bnJldi54bWxQSwUGAAAAAAQABADzAAAAjQUAAAAA&#10;" filled="f" stroked="f" strokeweight=".5pt">
                <v:textbox inset="1mm,1mm,1mm,1mm">
                  <w:txbxContent>
                    <w:p w14:paraId="0FA63739" w14:textId="3D9CFBAA" w:rsidR="00B83D7D" w:rsidRDefault="004902A0" w:rsidP="00C075DC">
                      <w:pPr>
                        <w:tabs>
                          <w:tab w:val="left" w:pos="1190"/>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N79</w:t>
                      </w:r>
                    </w:p>
                    <w:p w14:paraId="31BB8739" w14:textId="3D02A2D1" w:rsidR="00B83D7D" w:rsidRPr="0080669C" w:rsidRDefault="004902A0" w:rsidP="00C075DC">
                      <w:pPr>
                        <w:tabs>
                          <w:tab w:val="left" w:pos="1190"/>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12" behindDoc="0" locked="0" layoutInCell="1" allowOverlap="1" wp14:anchorId="20B7C214" wp14:editId="449D3176">
                <wp:simplePos x="0" y="0"/>
                <wp:positionH relativeFrom="column">
                  <wp:posOffset>5321300</wp:posOffset>
                </wp:positionH>
                <wp:positionV relativeFrom="paragraph">
                  <wp:posOffset>4854022</wp:posOffset>
                </wp:positionV>
                <wp:extent cx="364877" cy="334978"/>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77" cy="334978"/>
                        </a:xfrm>
                        <a:prstGeom prst="rect">
                          <a:avLst/>
                        </a:prstGeom>
                        <a:noFill/>
                        <a:ln w="6350">
                          <a:noFill/>
                        </a:ln>
                      </wps:spPr>
                      <wps:txbx>
                        <w:txbxContent>
                          <w:p w14:paraId="2491156D" w14:textId="7D0680BE" w:rsidR="00B83D7D" w:rsidRDefault="00486A52" w:rsidP="00C075DC">
                            <w:pPr>
                              <w:tabs>
                                <w:tab w:val="left" w:pos="1190"/>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N77</w:t>
                            </w:r>
                          </w:p>
                          <w:p w14:paraId="1C103EC6" w14:textId="06583372" w:rsidR="00B83D7D" w:rsidRPr="0080669C" w:rsidRDefault="00486A52" w:rsidP="00C075DC">
                            <w:pPr>
                              <w:tabs>
                                <w:tab w:val="left" w:pos="1190"/>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7C214" id="Text Box 61" o:spid="_x0000_s1053" type="#_x0000_t202" style="position:absolute;margin-left:419pt;margin-top:382.2pt;width:28.75pt;height:26.4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hJgIAAEwEAAAOAAAAZHJzL2Uyb0RvYy54bWysVF1v2yAUfZ+0/4B4X+wkXZJacaqsVaZJ&#10;UVspnfpMMMTWMJcBiZ39+l2w86GuT9VeMJd7uR/nHDy/a2tFDsK6CnROh4OUEqE5FJXe5fTny+rL&#10;jBLnmS6YAi1yehSO3i0+f5o3JhMjKEEVwhJMol3WmJyW3pssSRwvRc3cAIzQ6JRga+bRtLuksKzB&#10;7LVKRmk6SRqwhbHAhXN4+tA56SLml1Jw/ySlE56onGJvPq42rtuwJos5y3aWmbLifRvsA13UrNJY&#10;9JzqgXlG9rb6J1VdcQsOpB9wqBOQsuIizoDTDNM302xKZkScBcFx5gyT+39p+eNhY54t8e03aJHA&#10;OIQza+C/HGKTNMZlfUzA1GUOo8OgrbR1+OIIBC8itscznqL1hOPheHIzm04p4egaj29up7OAd3K5&#10;bKzz3wXUJGxyapGu2AA7rJ3vQk8hoZaGVaVUpExp0uR0Mv6axgtnDyZXuu+7azU07dttS6oip6Np&#10;6CAcbaE44twWOkk4w1cVNrFmzj8zixrAiVDX/gkXqQCLQb+jpAT7573zEI/UoJeSBjWVU/d7z6yg&#10;RP3QSNp4kqZBhNeGvTa214be1/eAsh3iCzI8bvGy9eq0lRbqV5T/MlRFF9Mca+d0e9re+07p+Hy4&#10;WC5jEMrOML/WG8NPdAeIX9pXZk3Pg0cCH+GkPpa9oaOL7QhZ7j3IKnJ1QbXHHyUb2e6fV3gT13aM&#10;uvwEFn8BAAD//wMAUEsDBBQABgAIAAAAIQBQxxRG4gAAAAsBAAAPAAAAZHJzL2Rvd25yZXYueG1s&#10;TI9BT4NAEIXvJv6HzZh4aexSbCkiS1NNvJgYY+3B48JOgcjOEnYL9N87nvT2Ju/lzffy3Ww7MeLg&#10;W0cKVssIBFLlTEu1guPny10KwgdNRneOUMEFPeyK66tcZ8ZN9IHjIdSCS8hnWkETQp9J6asGrfZL&#10;1yOxd3KD1YHPoZZm0BOX207GUZRIq1viD43u8bnB6vtwtgre4+SrpdNxMouxbBdPlzfavwalbm/m&#10;/SOIgHP4C8MvPqNDwUylO5PxolOQ3qe8JSjYJus1CE6kD5sNiJLFahuDLHL5f0PxAwAA//8DAFBL&#10;AQItABQABgAIAAAAIQC2gziS/gAAAOEBAAATAAAAAAAAAAAAAAAAAAAAAABbQ29udGVudF9UeXBl&#10;c10ueG1sUEsBAi0AFAAGAAgAAAAhADj9If/WAAAAlAEAAAsAAAAAAAAAAAAAAAAALwEAAF9yZWxz&#10;Ly5yZWxzUEsBAi0AFAAGAAgAAAAhAFf7K+EmAgAATAQAAA4AAAAAAAAAAAAAAAAALgIAAGRycy9l&#10;Mm9Eb2MueG1sUEsBAi0AFAAGAAgAAAAhAFDHFEbiAAAACwEAAA8AAAAAAAAAAAAAAAAAgAQAAGRy&#10;cy9kb3ducmV2LnhtbFBLBQYAAAAABAAEAPMAAACPBQAAAAA=&#10;" filled="f" stroked="f" strokeweight=".5pt">
                <v:textbox inset="1mm,1mm,1mm,1mm">
                  <w:txbxContent>
                    <w:p w14:paraId="2491156D" w14:textId="7D0680BE" w:rsidR="00B83D7D" w:rsidRDefault="00486A52" w:rsidP="00C075DC">
                      <w:pPr>
                        <w:tabs>
                          <w:tab w:val="left" w:pos="1190"/>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N77</w:t>
                      </w:r>
                    </w:p>
                    <w:p w14:paraId="1C103EC6" w14:textId="06583372" w:rsidR="00B83D7D" w:rsidRPr="0080669C" w:rsidRDefault="00486A52" w:rsidP="00C075DC">
                      <w:pPr>
                        <w:tabs>
                          <w:tab w:val="left" w:pos="1190"/>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0,9%</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23" behindDoc="0" locked="0" layoutInCell="1" allowOverlap="1" wp14:anchorId="10954817" wp14:editId="49FB4823">
                <wp:simplePos x="0" y="0"/>
                <wp:positionH relativeFrom="column">
                  <wp:posOffset>4495775</wp:posOffset>
                </wp:positionH>
                <wp:positionV relativeFrom="paragraph">
                  <wp:posOffset>4721992</wp:posOffset>
                </wp:positionV>
                <wp:extent cx="733035" cy="468033"/>
                <wp:effectExtent l="0" t="0" r="0" b="8255"/>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035" cy="468033"/>
                        </a:xfrm>
                        <a:prstGeom prst="rect">
                          <a:avLst/>
                        </a:prstGeom>
                        <a:noFill/>
                        <a:ln w="6350">
                          <a:noFill/>
                        </a:ln>
                      </wps:spPr>
                      <wps:txbx>
                        <w:txbxContent>
                          <w:p w14:paraId="5655F63B" w14:textId="31923879" w:rsidR="00B83D7D" w:rsidRDefault="00A9041D"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Apsardze</w:t>
                            </w:r>
                          </w:p>
                          <w:p w14:paraId="33DAA18B" w14:textId="21165955" w:rsidR="00B83D7D" w:rsidRPr="0080669C" w:rsidRDefault="00A9041D"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54817" id="Text Box 448" o:spid="_x0000_s1054" type="#_x0000_t202" style="position:absolute;margin-left:354pt;margin-top:371.8pt;width:57.7pt;height:36.8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GBJJQIAAEwEAAAOAAAAZHJzL2Uyb0RvYy54bWysVF1v2yAUfZ+0/4B4X+zEaxZZcaqsVaZJ&#10;UVsprfpMMMTWMJcBiZ39+l2w86FuT1VfMJd7uR/nHDy/7RpFDsK6GnRBx6OUEqE5lLXeFfTlefVl&#10;RonzTJdMgRYFPQpHbxefP81bk4sJVKBKYQkm0S5vTUEr702eJI5XomFuBEZodEqwDfNo2l1SWtZi&#10;9kYlkzSdJi3Y0ljgwjk8ve+ddBHzSym4f5TSCU9UQbE3H1cb121Yk8Wc5TvLTFXzoQ32ji4aVmss&#10;ek51zzwje1v/k6qpuQUH0o84NAlIWXMRZ8BpxumbaTYVMyLOguA4c4bJfVxa/nDYmCdLfPcdOiQw&#10;DuHMGvgvh9gkrXH5EBMwdbnD6DBoJ20TvjgCwYuI7fGMp+g84Xj4LcvS7IYSjq6v01maZQHv5HLZ&#10;WOd/CGhI2BTUIl2xAXZYO9+HnkJCLQ2rWqlImdKkLeg0u0njhbMHkys99N23Gpr23bYjdVnQySx0&#10;EI62UB5xbgu9JJzhqxqbWDPnn5hFDeBEqGv/iItUgMVg2FFSgf3zv/MQj9Sgl5IWNVVQ93vPrKBE&#10;/dRIWjZN0yDCa8NeG9trQ++bO0DZjvEFGR63eNl6ddpKC80ryn8ZqqKLaY61C7o9be98r3R8Plws&#10;lzEIZWeYX+uN4Se6A8TP3SuzZuDBI4EPcFIfy9/Q0cf2hCz3HmQdubqgOuCPko1sD88rvIlrO0Zd&#10;fgKLvwAAAP//AwBQSwMEFAAGAAgAAAAhABUKcdHhAAAACwEAAA8AAABkcnMvZG93bnJldi54bWxM&#10;j0FPg0AQhe8m/ofNmHhp7FJoKEGWppp4MTHG2oPHhZ0CkZ0l7Bbov3c86e29zMub7xX7xfZiwtF3&#10;jhRs1hEIpNqZjhoFp8+XhwyED5qM7h2hgit62Je3N4XOjZvpA6djaASXkM+1gjaEIZfS1y1a7ddu&#10;QOLb2Y1WB7ZjI82oZy63vYyjKJVWd8QfWj3gc4v19/FiFbzH6VdH59NsVlPVrZ6ub3R4DUrd3y2H&#10;RxABl/AXhl98RoeSmSp3IeNFr2AXZbwlsNgmKQhOZHGyBVGx2OwSkGUh/28ofwAAAP//AwBQSwEC&#10;LQAUAAYACAAAACEAtoM4kv4AAADhAQAAEwAAAAAAAAAAAAAAAAAAAAAAW0NvbnRlbnRfVHlwZXNd&#10;LnhtbFBLAQItABQABgAIAAAAIQA4/SH/1gAAAJQBAAALAAAAAAAAAAAAAAAAAC8BAABfcmVscy8u&#10;cmVsc1BLAQItABQABgAIAAAAIQA44GBJJQIAAEwEAAAOAAAAAAAAAAAAAAAAAC4CAABkcnMvZTJv&#10;RG9jLnhtbFBLAQItABQABgAIAAAAIQAVCnHR4QAAAAsBAAAPAAAAAAAAAAAAAAAAAH8EAABkcnMv&#10;ZG93bnJldi54bWxQSwUGAAAAAAQABADzAAAAjQUAAAAA&#10;" filled="f" stroked="f" strokeweight=".5pt">
                <v:textbox inset="1mm,1mm,1mm,1mm">
                  <w:txbxContent>
                    <w:p w14:paraId="5655F63B" w14:textId="31923879" w:rsidR="00B83D7D" w:rsidRDefault="00A9041D"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Apsardze</w:t>
                      </w:r>
                    </w:p>
                    <w:p w14:paraId="33DAA18B" w14:textId="21165955" w:rsidR="00B83D7D" w:rsidRPr="0080669C" w:rsidRDefault="00A9041D"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1,8%</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00" behindDoc="0" locked="0" layoutInCell="1" allowOverlap="1" wp14:anchorId="480B3FE1" wp14:editId="729E7A6B">
                <wp:simplePos x="0" y="0"/>
                <wp:positionH relativeFrom="column">
                  <wp:posOffset>1849038</wp:posOffset>
                </wp:positionH>
                <wp:positionV relativeFrom="paragraph">
                  <wp:posOffset>5353685</wp:posOffset>
                </wp:positionV>
                <wp:extent cx="863600" cy="359410"/>
                <wp:effectExtent l="0" t="0" r="0" b="2540"/>
                <wp:wrapNone/>
                <wp:docPr id="44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359410"/>
                        </a:xfrm>
                        <a:prstGeom prst="rect">
                          <a:avLst/>
                        </a:prstGeom>
                        <a:noFill/>
                        <a:ln w="6350">
                          <a:noFill/>
                        </a:ln>
                      </wps:spPr>
                      <wps:txbx>
                        <w:txbxContent>
                          <w:p w14:paraId="731E9053" w14:textId="30A1DF4E" w:rsidR="00B83D7D" w:rsidRPr="0080669C" w:rsidRDefault="00AA3331"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4.8%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B3FE1" id="Text Box 449" o:spid="_x0000_s1055" type="#_x0000_t202" style="position:absolute;margin-left:145.6pt;margin-top:421.55pt;width:68pt;height:28.3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7HoIwIAAEwEAAAOAAAAZHJzL2Uyb0RvYy54bWysVF1v2yAUfZ+0/4B4X+wka9RacaqsVaZJ&#10;UVspnfpMMMTWgMuAxM5+/S7Y+VC3p2kvmMu93I9zDp7fd1qRg3C+AVPS8SinRBgOVWN2Jf3+uvp0&#10;S4kPzFRMgRElPQpP7xcfP8xbW4gJ1KAq4QgmMb5obUnrEGyRZZ7XQjM/AisMOiU4zQKabpdVjrWY&#10;XatskuezrAVXWQdceI+nj72TLlJ+KQUPz1J6EYgqKfYW0urSuo1rtpizYueYrRs+tMH+oQvNGoNF&#10;z6keWWBk75o/UumGO/Agw4iDzkDKhos0A04zzt9Ns6mZFWkWBMfbM0z+/6XlT4eNfXEkdF+gQwLT&#10;EN6ugf/wiE3WWl8MMRFTX3iMjoN20un4xREIXkRsj2c8RRcIx8Pb2XSWo4eja3pz93mc8M4ul63z&#10;4asATeKmpA7pSg2ww9qHWJ4Vp5BYy8CqUSpRpgxpSzqb3uTpwtmDN5QZ+u5bjU2HbtuRpirp5C4y&#10;Ho+2UB1xbge9JLzlqwabWDMfXphDDWDfqOvwjItUgMVg2FFSg/v1t/MYj9Sgl5IWNVVS/3PPnKBE&#10;fTNIWkQjivDacNfG9towe/0AKNsxviDL0xYvu6BOW+lAv6H8l7EqupjhWLuk29P2IfRKx+fDxXKZ&#10;glB2loW12Vh+ojtC/Nq9MWcHHgIS+AQn9bHiHR19bE/Ich9ANomrC6oD/ijZROHwvOKbuLZT1OUn&#10;sPgNAAD//wMAUEsDBBQABgAIAAAAIQDKqTkR4QAAAAsBAAAPAAAAZHJzL2Rvd25yZXYueG1sTI/B&#10;TsMwDIbvSLxDZCQuE0sbpm0tTaeBxAUJTYwdOKZN1kY0TtVkbff2mBMc/fvT78/FbnYdG80QrEcJ&#10;6TIBZrD22mIj4fT5+rAFFqJCrTqPRsLVBNiVtzeFyrWf8MOMx9gwKsGQKwltjH3Oeahb41RY+t4g&#10;7c5+cCrSODRcD2qictdxkSRr7pRFutCq3ry0pv4+XpyEg1h/WTyfJr0YK7t4vr7j/i1KeX8375+A&#10;RTPHPxh+9UkdSnKq/AV1YJ0EkaWCUAnb1WMKjIiV2FBSUZJlG+Blwf//UP4AAAD//wMAUEsBAi0A&#10;FAAGAAgAAAAhALaDOJL+AAAA4QEAABMAAAAAAAAAAAAAAAAAAAAAAFtDb250ZW50X1R5cGVzXS54&#10;bWxQSwECLQAUAAYACAAAACEAOP0h/9YAAACUAQAACwAAAAAAAAAAAAAAAAAvAQAAX3JlbHMvLnJl&#10;bHNQSwECLQAUAAYACAAAACEAj2+x6CMCAABMBAAADgAAAAAAAAAAAAAAAAAuAgAAZHJzL2Uyb0Rv&#10;Yy54bWxQSwECLQAUAAYACAAAACEAyqk5EeEAAAALAQAADwAAAAAAAAAAAAAAAAB9BAAAZHJzL2Rv&#10;d25yZXYueG1sUEsFBgAAAAAEAAQA8wAAAIsFAAAAAA==&#10;" filled="f" stroked="f" strokeweight=".5pt">
                <v:textbox inset="1mm,1mm,1mm,1mm">
                  <w:txbxContent>
                    <w:p w14:paraId="731E9053" w14:textId="30A1DF4E" w:rsidR="00B83D7D" w:rsidRPr="0080669C" w:rsidRDefault="00AA3331"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4.8%</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64" behindDoc="0" locked="0" layoutInCell="1" allowOverlap="1" wp14:anchorId="44CB595A" wp14:editId="482F9C8C">
                <wp:simplePos x="0" y="0"/>
                <wp:positionH relativeFrom="column">
                  <wp:posOffset>1849755</wp:posOffset>
                </wp:positionH>
                <wp:positionV relativeFrom="paragraph">
                  <wp:posOffset>4328078</wp:posOffset>
                </wp:positionV>
                <wp:extent cx="1225550" cy="251460"/>
                <wp:effectExtent l="0" t="0" r="0" b="0"/>
                <wp:wrapNone/>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1460"/>
                        </a:xfrm>
                        <a:prstGeom prst="rect">
                          <a:avLst/>
                        </a:prstGeom>
                        <a:noFill/>
                        <a:ln w="6350">
                          <a:noFill/>
                        </a:ln>
                      </wps:spPr>
                      <wps:txbx>
                        <w:txbxContent>
                          <w:p w14:paraId="2B07B48E" w14:textId="77777777" w:rsidR="00962DFB" w:rsidRDefault="00A54979" w:rsidP="00C075DC">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Izglītība</w:t>
                            </w:r>
                          </w:p>
                          <w:p w14:paraId="4AB5CB27" w14:textId="4528BE9D" w:rsidR="00AF6E02" w:rsidRDefault="00AF6E02" w:rsidP="00C075DC">
                            <w:pPr>
                              <w:tabs>
                                <w:tab w:val="left" w:pos="4820"/>
                              </w:tabs>
                              <w:spacing w:after="0"/>
                              <w:rPr>
                                <w:rFonts w:ascii="Segoe UI Light" w:hAnsi="Segoe UI Light" w:cs="Segoe UI Light"/>
                                <w:b/>
                                <w:bCs/>
                                <w:sz w:val="16"/>
                                <w:szCs w:val="16"/>
                              </w:rPr>
                            </w:pPr>
                          </w:p>
                          <w:p w14:paraId="1C27C1BE" w14:textId="61A67A7C" w:rsidR="00B83D7D" w:rsidRPr="0080669C" w:rsidRDefault="00B83D7D" w:rsidP="00C075DC">
                            <w:pPr>
                              <w:tabs>
                                <w:tab w:val="left" w:pos="4820"/>
                              </w:tabs>
                              <w:spacing w:after="0"/>
                              <w:rPr>
                                <w:rFonts w:ascii="Segoe UI Light" w:hAnsi="Segoe UI Light" w:cs="Segoe UI Light"/>
                                <w:b/>
                                <w:bCs/>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B595A" id="Text Box 500" o:spid="_x0000_s1056" type="#_x0000_t202" style="position:absolute;margin-left:145.65pt;margin-top:340.8pt;width:96.5pt;height:19.8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AoJQIAAE0EAAAOAAAAZHJzL2Uyb0RvYy54bWysVMlu2zAQvRfoPxC81/JSu4EQOXATuChg&#10;JAGcImeaIi2hFIcd0pbcr++QlpemPRW9UBzOcJb3HnV71zWG7RX6GmzBR4MhZ8pKKGu7Lfi3l+WH&#10;G858ELYUBqwq+EF5fjd//+62dbkaQwWmVMgoifV56wpeheDyLPOyUo3wA3DKklMDNiKQidusRNFS&#10;9sZk4+FwlrWApUOQyns6fTg6+Tzl11rJ8KS1V4GZglNvIa2Y1k1cs/mtyLcoXFXLvg3xD100orZU&#10;9JzqQQTBdlj/kaqpJYIHHQYSmgy0rqVKM9A0o+GbadaVcCrNQuB4d4bJ/7+08nG/ds/IQvcZOiIw&#10;DeHdCuR3T9hkrfN5HxMx9bmn6Dhop7GJXxqB0UXC9nDGU3WByZhtPJ5Op+SS5BtPRx9nCfDsctuh&#10;D18UNCxuCo7EV+pA7Fc+xPoiP4XEYhaWtTGJM2NZW/DZhNL/5qEbxvaNH3uNXYdu07G6LPgkdRCP&#10;NlAeaHCEoya8k8uamlgJH54FkgiobxJ2eKJFG6Bi0O84qwB//u08xhM35OWsJVEV3P/YCVScma+W&#10;WPtEko0qTMZklgy8NjbXht0190C6HdETcjJt6TIGc9pqhOaV9L+IVcklrKTaBQ+n7X04Sp3ej1SL&#10;RQoi3TkRVnbt5InvCPFL9yrQ9TwEYvARTvIT+Rs6jrFH2Be7ALpOXF1Q7fEnzSYK+/cVH8W1naIu&#10;f4H5LwAAAP//AwBQSwMEFAAGAAgAAAAhAOKPBTvfAAAACwEAAA8AAABkcnMvZG93bnJldi54bWxM&#10;j0FOwzAQRfdI3MEaJDaIOg4hDSFOhQIcoAWpWzc2SdR4HGynTW/PsILlzDz9eb/aLHZkJ+PD4FCC&#10;WCXADLZOD9hJ+Px4vy+AhahQq9GhkXAxATb19VWlSu3OuDWnXewYhWAolYQ+xqnkPLS9sSqs3GSQ&#10;bl/OWxVp9B3XXp0p3I48TZKcWzUgfejVZJretMfdbCW8Zpe9uJvx7TEPx+k7+Eb4tJHy9mZ5eQYW&#10;zRL/YPjVJ3WoyengZtSBjRLSJ/FAqIS8EDkwIrIio81BwjoVKfC64v871D8AAAD//wMAUEsBAi0A&#10;FAAGAAgAAAAhALaDOJL+AAAA4QEAABMAAAAAAAAAAAAAAAAAAAAAAFtDb250ZW50X1R5cGVzXS54&#10;bWxQSwECLQAUAAYACAAAACEAOP0h/9YAAACUAQAACwAAAAAAAAAAAAAAAAAvAQAAX3JlbHMvLnJl&#10;bHNQSwECLQAUAAYACAAAACEAHMVQKCUCAABNBAAADgAAAAAAAAAAAAAAAAAuAgAAZHJzL2Uyb0Rv&#10;Yy54bWxQSwECLQAUAAYACAAAACEA4o8FO98AAAALAQAADwAAAAAAAAAAAAAAAAB/BAAAZHJzL2Rv&#10;d25yZXYueG1sUEsFBgAAAAAEAAQA8wAAAIsFAAAAAA==&#10;" filled="f" stroked="f" strokeweight=".5pt">
                <v:textbox inset="2mm,1mm,1mm,1mm">
                  <w:txbxContent>
                    <w:p w14:paraId="2B07B48E" w14:textId="77777777" w:rsidR="00962DFB" w:rsidRDefault="00A54979" w:rsidP="00C075DC">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Izglītība</w:t>
                      </w:r>
                    </w:p>
                    <w:p w14:paraId="4AB5CB27" w14:textId="4528BE9D" w:rsidR="00AF6E02" w:rsidRDefault="00AF6E02" w:rsidP="00C075DC">
                      <w:pPr>
                        <w:tabs>
                          <w:tab w:val="left" w:pos="4820"/>
                        </w:tabs>
                        <w:spacing w:after="0"/>
                        <w:rPr>
                          <w:rFonts w:ascii="Segoe UI Light" w:hAnsi="Segoe UI Light" w:cs="Segoe UI Light"/>
                          <w:b/>
                          <w:bCs/>
                          <w:sz w:val="16"/>
                          <w:szCs w:val="16"/>
                        </w:rPr>
                      </w:pPr>
                    </w:p>
                    <w:p w14:paraId="1C27C1BE" w14:textId="61A67A7C" w:rsidR="00B83D7D" w:rsidRPr="0080669C" w:rsidRDefault="00B83D7D" w:rsidP="00C075DC">
                      <w:pPr>
                        <w:tabs>
                          <w:tab w:val="left" w:pos="4820"/>
                        </w:tabs>
                        <w:spacing w:after="0"/>
                        <w:rPr>
                          <w:rFonts w:ascii="Segoe UI Light" w:hAnsi="Segoe UI Light" w:cs="Segoe UI Light"/>
                          <w:b/>
                          <w:bCs/>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67" behindDoc="0" locked="0" layoutInCell="1" allowOverlap="1" wp14:anchorId="6595924E" wp14:editId="361AA64F">
                <wp:simplePos x="0" y="0"/>
                <wp:positionH relativeFrom="column">
                  <wp:posOffset>3223763</wp:posOffset>
                </wp:positionH>
                <wp:positionV relativeFrom="paragraph">
                  <wp:posOffset>5568491</wp:posOffset>
                </wp:positionV>
                <wp:extent cx="683537" cy="251460"/>
                <wp:effectExtent l="0" t="0" r="2540" b="0"/>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537" cy="251460"/>
                        </a:xfrm>
                        <a:prstGeom prst="rect">
                          <a:avLst/>
                        </a:prstGeom>
                        <a:noFill/>
                        <a:ln w="6350">
                          <a:noFill/>
                        </a:ln>
                      </wps:spPr>
                      <wps:txbx>
                        <w:txbxContent>
                          <w:p w14:paraId="09FC4121" w14:textId="77777777" w:rsidR="00962DFB" w:rsidRDefault="00AC7242" w:rsidP="00C075DC">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Enerģētika</w:t>
                            </w:r>
                          </w:p>
                          <w:p w14:paraId="21455E94" w14:textId="77777777" w:rsidR="00AF6E02" w:rsidRDefault="00AF6E02" w:rsidP="00C075DC">
                            <w:pPr>
                              <w:tabs>
                                <w:tab w:val="left" w:pos="4820"/>
                              </w:tabs>
                              <w:spacing w:after="0"/>
                              <w:rPr>
                                <w:rFonts w:ascii="Segoe UI Light" w:hAnsi="Segoe UI Light" w:cs="Segoe UI Light"/>
                                <w:b/>
                                <w:bCs/>
                                <w:sz w:val="16"/>
                                <w:szCs w:val="16"/>
                              </w:rPr>
                            </w:pPr>
                          </w:p>
                          <w:p w14:paraId="08D20ADE" w14:textId="3CB89171" w:rsidR="00B83D7D" w:rsidRPr="0080669C" w:rsidRDefault="00B83D7D" w:rsidP="00C075DC">
                            <w:pPr>
                              <w:tabs>
                                <w:tab w:val="left" w:pos="4820"/>
                              </w:tabs>
                              <w:spacing w:after="0"/>
                              <w:rPr>
                                <w:rFonts w:ascii="Segoe UI Light" w:hAnsi="Segoe UI Light" w:cs="Segoe UI Light"/>
                                <w:b/>
                                <w:bCs/>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5924E" id="Text Box 503" o:spid="_x0000_s1057" type="#_x0000_t202" style="position:absolute;margin-left:253.85pt;margin-top:438.45pt;width:53.8pt;height:19.8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i2JgIAAEwEAAAOAAAAZHJzL2Uyb0RvYy54bWysVMlu2zAQvRfoPxC81/JSO4FgOXATuChg&#10;JAGcImeaIm2hFIcd0pbSr++QkhekPRW9UDOcfd6j5ndtbdhRoa/AFnw0GHKmrISysruCf39Zfbrl&#10;zAdhS2HAqoK/Kc/vFh8/zBuXqzHswZQKGSWxPm9cwfchuDzLvNyrWvgBOGXJqAFrEUjFXVaiaCh7&#10;bbLxcDjLGsDSIUjlPd0+dEa+SPm1VjI8ae1VYKbg1FtIJ6ZzG89sMRf5DoXbV7JvQ/xDF7WoLBU9&#10;p3oQQbADVn+kqiuJ4EGHgYQ6A60rqdIMNM1o+G6azV44lWah5Xh3XpP/f2nl43HjnpGF9gu0BGAa&#10;wrs1yB+edpM1zue9T9ypzz15x0FbjXX80giMAmm3b+d9qjYwSZez28l0csOZJNN4Ovo8S/vOLsEO&#10;ffiqoGZRKDgSXKkBcVz7EMuL/OQSa1lYVcYkyIxlDRWYTIcp4GyhCGP7vrtWY9Oh3basKgs+GUXE&#10;49UWyjeaG6GjhHdyVVETa+HDs0DiAE1EvA5PdGgDVAx6ibM94K+/3Ud/goasnDXEqYL7nweBijPz&#10;zRJoN8TYSMKkTGZJwWtle63YQ30PRNsRvSAnk0jBGMxJ1Aj1K9F/GauSSVhJtQseTuJ96JhOz0eq&#10;5TI5Ee2cCGu7cfIEd1zxS/sq0PU4BALwEU7sE/k7ODrfDpDlIYCuElaXrfb7J8omCPvnFd/EtZ68&#10;Lj+BxW8AAAD//wMAUEsDBBQABgAIAAAAIQC1C8s54AAAAAsBAAAPAAAAZHJzL2Rvd25yZXYueG1s&#10;TI9BTsMwEEX3SNzBGiQ2iDouJGlDnAoFOAAFqVs3niZR43GwnTa9PWZFl6P/9P+bcjObgZ3Q+d6S&#10;BLFIgCE1VvfUSvj++nhcAfNBkVaDJZRwQQ+b6vamVIW2Z/rE0za0LJaQL5SELoSx4Nw3HRrlF3ZE&#10;itnBOqNCPF3LtVPnWG4GvkySjBvVU1zo1Ih1h81xOxkJb8+XnXiY6D3N/HH88a4WbllLeX83v74A&#10;CziHfxj+9KM6VNFpbyfSng0S0iTPIyphlWdrYJHIRPoEbC9hLbIUeFXy6x+qXwAAAP//AwBQSwEC&#10;LQAUAAYACAAAACEAtoM4kv4AAADhAQAAEwAAAAAAAAAAAAAAAAAAAAAAW0NvbnRlbnRfVHlwZXNd&#10;LnhtbFBLAQItABQABgAIAAAAIQA4/SH/1gAAAJQBAAALAAAAAAAAAAAAAAAAAC8BAABfcmVscy8u&#10;cmVsc1BLAQItABQABgAIAAAAIQBT4Gi2JgIAAEwEAAAOAAAAAAAAAAAAAAAAAC4CAABkcnMvZTJv&#10;RG9jLnhtbFBLAQItABQABgAIAAAAIQC1C8s54AAAAAsBAAAPAAAAAAAAAAAAAAAAAIAEAABkcnMv&#10;ZG93bnJldi54bWxQSwUGAAAAAAQABADzAAAAjQUAAAAA&#10;" filled="f" stroked="f" strokeweight=".5pt">
                <v:textbox inset="2mm,1mm,1mm,1mm">
                  <w:txbxContent>
                    <w:p w14:paraId="09FC4121" w14:textId="77777777" w:rsidR="00962DFB" w:rsidRDefault="00AC7242" w:rsidP="00C075DC">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Enerģētika</w:t>
                      </w:r>
                    </w:p>
                    <w:p w14:paraId="21455E94" w14:textId="77777777" w:rsidR="00AF6E02" w:rsidRDefault="00AF6E02" w:rsidP="00C075DC">
                      <w:pPr>
                        <w:tabs>
                          <w:tab w:val="left" w:pos="4820"/>
                        </w:tabs>
                        <w:spacing w:after="0"/>
                        <w:rPr>
                          <w:rFonts w:ascii="Segoe UI Light" w:hAnsi="Segoe UI Light" w:cs="Segoe UI Light"/>
                          <w:b/>
                          <w:bCs/>
                          <w:sz w:val="16"/>
                          <w:szCs w:val="16"/>
                        </w:rPr>
                      </w:pPr>
                    </w:p>
                    <w:p w14:paraId="08D20ADE" w14:textId="3CB89171" w:rsidR="00B83D7D" w:rsidRPr="0080669C" w:rsidRDefault="00B83D7D" w:rsidP="00C075DC">
                      <w:pPr>
                        <w:tabs>
                          <w:tab w:val="left" w:pos="4820"/>
                        </w:tabs>
                        <w:spacing w:after="0"/>
                        <w:rPr>
                          <w:rFonts w:ascii="Segoe UI Light" w:hAnsi="Segoe UI Light" w:cs="Segoe UI Light"/>
                          <w:b/>
                          <w:bCs/>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71" behindDoc="0" locked="0" layoutInCell="1" allowOverlap="1" wp14:anchorId="376AF4B9" wp14:editId="1D3B36C0">
                <wp:simplePos x="0" y="0"/>
                <wp:positionH relativeFrom="column">
                  <wp:posOffset>4493977</wp:posOffset>
                </wp:positionH>
                <wp:positionV relativeFrom="paragraph">
                  <wp:posOffset>4326255</wp:posOffset>
                </wp:positionV>
                <wp:extent cx="1079500" cy="359410"/>
                <wp:effectExtent l="0" t="0" r="6350" b="2540"/>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59410"/>
                        </a:xfrm>
                        <a:prstGeom prst="rect">
                          <a:avLst/>
                        </a:prstGeom>
                        <a:noFill/>
                        <a:ln w="6350">
                          <a:noFill/>
                        </a:ln>
                      </wps:spPr>
                      <wps:txbx>
                        <w:txbxContent>
                          <w:p w14:paraId="1C552394" w14:textId="77777777" w:rsidR="00962DFB" w:rsidRDefault="00682477" w:rsidP="00C075DC">
                            <w:pPr>
                              <w:tabs>
                                <w:tab w:val="left" w:pos="4820"/>
                              </w:tabs>
                              <w:spacing w:after="0"/>
                              <w:rPr>
                                <w:rFonts w:ascii="Segoe UI Light" w:hAnsi="Segoe UI Light" w:cs="Segoe UI Light"/>
                                <w:b/>
                                <w:bCs/>
                                <w:color w:val="FFFFFF" w:themeColor="background1"/>
                                <w:sz w:val="16"/>
                                <w:szCs w:val="16"/>
                              </w:rPr>
                            </w:pPr>
                            <w:r w:rsidRPr="00682477">
                              <w:rPr>
                                <w:rFonts w:ascii="Segoe UI Light" w:hAnsi="Segoe UI Light" w:cs="Segoe UI Light"/>
                                <w:b/>
                                <w:bCs/>
                                <w:color w:val="FFFFFF" w:themeColor="background1"/>
                                <w:sz w:val="16"/>
                                <w:szCs w:val="16"/>
                              </w:rPr>
                              <w:t>Administratīvie un apkalpojošie dienesti</w:t>
                            </w:r>
                          </w:p>
                          <w:p w14:paraId="5AC0553B"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403CE22E" w14:textId="0FB07285"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AF4B9" id="Text Box 506" o:spid="_x0000_s1058" type="#_x0000_t202" style="position:absolute;margin-left:353.85pt;margin-top:340.65pt;width:85pt;height:28.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cqJgIAAE0EAAAOAAAAZHJzL2Uyb0RvYy54bWysVN9v2jAQfp+0/8Hy+0iAQduIULFWTJNQ&#10;W4lOfTaOTaI5Ps82JOyv39lJAHV7mvbi3Pl+3/c5i/u2VuQorKtA53Q8SikRmkNR6X1Ov7+uP91S&#10;4jzTBVOgRU5PwtH75ccPi8ZkYgIlqEJYgkm0yxqT09J7kyWJ46WomRuBERqNEmzNPKp2nxSWNZi9&#10;VskkTedJA7YwFrhwDm8fOyNdxvxSCu6fpXTCE5VT7M3H08ZzF85kuWDZ3jJTVrxvg/1DFzWrNBY9&#10;p3pknpGDrf5IVVfcggPpRxzqBKSsuIgz4DTj9N0025IZEWfB5ThzXpP7f2n503FrXizx7RdoEcA4&#10;hDMb4D8c7iZpjMt6n7BTlzn0DoO20tbhiyMQDMTdns77FK0nPGRLb+5mKZo42qazu8/juPDkEm2s&#10;818F1CQIObWIV+yAHTfOh/osG1xCMQ3rSqmImdKkyel8OktjwNmCEUr3jXe9hq59u2tJVWAXkwB5&#10;uNpBccLBLXSccIavK2xiw5x/YRZJgH0jsf0zHlIBFoNeoqQE++tv98EfsUErJQ2SKqfu54FZQYn6&#10;phG1G6RsYGFUpvOo2Gtld63oQ/0AyNsxPiHDo4jB1qtBlBbqN+T/KlRFE9Mca+fUD+KD76iO74eL&#10;1So6Ie8M8xu9NXzAO6z4tX1j1vQ4eETwCQb6sewdHJ1vB8jq4EFWEavLVvv9I2cjhP37Co/iWo9e&#10;l7/A8jcAAAD//wMAUEsDBBQABgAIAAAAIQA7xlda3gAAAAsBAAAPAAAAZHJzL2Rvd25yZXYueG1s&#10;TI9BTsMwEEX3SNzBGiQ2iDppIU5DnAoFOEALUrduPCRR43GwnTa9Pe4KljP/6c+bcjObgZ3Q+d6S&#10;hHSRAENqrO6plfD1+fGYA/NBkVaDJZRwQQ+b6vamVIW2Z9riaRdaFkvIF0pCF8JYcO6bDo3yCzsi&#10;xezbOqNCHF3LtVPnWG4GvkySjBvVU7zQqRHrDpvjbjIS3p4u+/RhovfnzB/HH+/q1C1rKe/v5tcX&#10;YAHn8AfDVT+qQxWdDnYi7dkgQSRCRFRClqcrYJHIxXVziNFKrIFXJf//Q/ULAAD//wMAUEsBAi0A&#10;FAAGAAgAAAAhALaDOJL+AAAA4QEAABMAAAAAAAAAAAAAAAAAAAAAAFtDb250ZW50X1R5cGVzXS54&#10;bWxQSwECLQAUAAYACAAAACEAOP0h/9YAAACUAQAACwAAAAAAAAAAAAAAAAAvAQAAX3JlbHMvLnJl&#10;bHNQSwECLQAUAAYACAAAACEArpx3KiYCAABNBAAADgAAAAAAAAAAAAAAAAAuAgAAZHJzL2Uyb0Rv&#10;Yy54bWxQSwECLQAUAAYACAAAACEAO8ZXWt4AAAALAQAADwAAAAAAAAAAAAAAAACABAAAZHJzL2Rv&#10;d25yZXYueG1sUEsFBgAAAAAEAAQA8wAAAIsFAAAAAA==&#10;" filled="f" stroked="f" strokeweight=".5pt">
                <v:textbox inset="2mm,1mm,1mm,1mm">
                  <w:txbxContent>
                    <w:p w14:paraId="1C552394" w14:textId="77777777" w:rsidR="00962DFB" w:rsidRDefault="00682477" w:rsidP="00C075DC">
                      <w:pPr>
                        <w:tabs>
                          <w:tab w:val="left" w:pos="4820"/>
                        </w:tabs>
                        <w:spacing w:after="0"/>
                        <w:rPr>
                          <w:rFonts w:ascii="Segoe UI Light" w:hAnsi="Segoe UI Light" w:cs="Segoe UI Light"/>
                          <w:b/>
                          <w:bCs/>
                          <w:color w:val="FFFFFF" w:themeColor="background1"/>
                          <w:sz w:val="16"/>
                          <w:szCs w:val="16"/>
                        </w:rPr>
                      </w:pPr>
                      <w:r w:rsidRPr="00682477">
                        <w:rPr>
                          <w:rFonts w:ascii="Segoe UI Light" w:hAnsi="Segoe UI Light" w:cs="Segoe UI Light"/>
                          <w:b/>
                          <w:bCs/>
                          <w:color w:val="FFFFFF" w:themeColor="background1"/>
                          <w:sz w:val="16"/>
                          <w:szCs w:val="16"/>
                        </w:rPr>
                        <w:t>Administratīvie un apkalpojošie dienesti</w:t>
                      </w:r>
                    </w:p>
                    <w:p w14:paraId="5AC0553B"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403CE22E" w14:textId="0FB07285"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04" behindDoc="0" locked="0" layoutInCell="1" allowOverlap="1" wp14:anchorId="03B0198D" wp14:editId="15D0F9BC">
                <wp:simplePos x="0" y="0"/>
                <wp:positionH relativeFrom="column">
                  <wp:posOffset>4001770</wp:posOffset>
                </wp:positionH>
                <wp:positionV relativeFrom="paragraph">
                  <wp:posOffset>5168347</wp:posOffset>
                </wp:positionV>
                <wp:extent cx="452283" cy="395605"/>
                <wp:effectExtent l="0" t="0" r="5080" b="4445"/>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283" cy="395605"/>
                        </a:xfrm>
                        <a:prstGeom prst="rect">
                          <a:avLst/>
                        </a:prstGeom>
                        <a:noFill/>
                        <a:ln w="6350">
                          <a:noFill/>
                        </a:ln>
                      </wps:spPr>
                      <wps:txbx>
                        <w:txbxContent>
                          <w:p w14:paraId="5E46809F" w14:textId="18D4E0EF" w:rsidR="00B83D7D" w:rsidRDefault="00A9041D"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K66</w:t>
                            </w:r>
                          </w:p>
                          <w:p w14:paraId="775E54F2" w14:textId="49998753" w:rsidR="00B83D7D" w:rsidRPr="0080669C" w:rsidRDefault="00A9041D"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0198D" id="Text Box 450" o:spid="_x0000_s1059" type="#_x0000_t202" style="position:absolute;margin-left:315.1pt;margin-top:406.95pt;width:35.6pt;height:31.1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Z6WJAIAAEwEAAAOAAAAZHJzL2Uyb0RvYy54bWysVF1v2yAUfZ+0/4B4X+wkS9RacaqsVaZJ&#10;UVspnfpMMMRomMuAxO5+/S7Y+VC3p2kvmMu93I9zDl7cdY0mR+G8AlPS8SinRBgOlTL7kn5/WX+6&#10;ocQHZiqmwYiSvglP75YfPyxaW4gJ1KAr4QgmMb5obUnrEGyRZZ7XomF+BFYYdEpwDQtoun1WOdZi&#10;9kZnkzyfZy24yjrgwns8feiddJnySyl4eJLSi0B0SbG3kFaX1l1cs+WCFXvHbK340Ab7hy4apgwW&#10;Pad6YIGRg1N/pGoUd+BBhhGHJgMpFRdpBpxmnL+bZlszK9IsCI63Z5j8/0vLH49b++xI6L5AhwSm&#10;IbzdAP/hEZustb4YYiKmvvAYHQftpGviF0cgeBGxfTvjKbpAOB5+nk0mN1NKOLqmt7N5Pot4Z5fL&#10;1vnwVUBD4qakDulKDbDjxoc+9BQSaxlYK60TZdqQtqTz6SxPF84eTK7N0Hffamw6dLuOqAq7mMYO&#10;4tEOqjec20EvCW/5WmETG+bDM3OoAZwIdR2ecJEasBgMO0pqcL/+dh7jkRr0UtKipkrqfx6YE5To&#10;bwZJm87zPIrw2nDXxu7aMIfmHlC2Y3xBlqctXnZBn7bSQfOK8l/FquhihmPtku5O2/vQKx2fDxer&#10;VQpC2VkWNmZr+YnuCPFL98qcHXgISOAjnNTHind09LE9IatDAKkSVxdUB/xRsont4XnFN3Ftp6jL&#10;T2D5GwAA//8DAFBLAwQUAAYACAAAACEAlPO6eOIAAAALAQAADwAAAGRycy9kb3ducmV2LnhtbEyP&#10;wU7DMAyG70i8Q2QkLhNL2qFuK02ngcQFCSHGDjumjddGNE7VZG339oQTHG1/+v39xW62HRtx8MaR&#10;hGQpgCHVThtqJBy/Xh82wHxQpFXnCCVc0cOuvL0pVK7dRJ84HkLDYgj5XEloQ+hzzn3dolV+6Xqk&#10;eDu7waoQx6HhelBTDLcdT4XIuFWG4odW9fjSYv19uFgJH2l2MnQ+TnoxVmbxfH2n/VuQ8v5u3j8B&#10;CziHPxh+9aM6lNGpchfSnnUSspVIIyphk6y2wCKxFskjsCpu1lkKvCz4/w7lDwAAAP//AwBQSwEC&#10;LQAUAAYACAAAACEAtoM4kv4AAADhAQAAEwAAAAAAAAAAAAAAAAAAAAAAW0NvbnRlbnRfVHlwZXNd&#10;LnhtbFBLAQItABQABgAIAAAAIQA4/SH/1gAAAJQBAAALAAAAAAAAAAAAAAAAAC8BAABfcmVscy8u&#10;cmVsc1BLAQItABQABgAIAAAAIQB0DZ6WJAIAAEwEAAAOAAAAAAAAAAAAAAAAAC4CAABkcnMvZTJv&#10;RG9jLnhtbFBLAQItABQABgAIAAAAIQCU87p44gAAAAsBAAAPAAAAAAAAAAAAAAAAAH4EAABkcnMv&#10;ZG93bnJldi54bWxQSwUGAAAAAAQABADzAAAAjQUAAAAA&#10;" filled="f" stroked="f" strokeweight=".5pt">
                <v:textbox inset="1mm,1mm,1mm,1mm">
                  <w:txbxContent>
                    <w:p w14:paraId="5E46809F" w14:textId="18D4E0EF" w:rsidR="00B83D7D" w:rsidRDefault="00A9041D"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K66</w:t>
                      </w:r>
                    </w:p>
                    <w:p w14:paraId="775E54F2" w14:textId="49998753" w:rsidR="00B83D7D" w:rsidRPr="0080669C" w:rsidRDefault="00A9041D"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0,7%</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10" behindDoc="0" locked="0" layoutInCell="1" allowOverlap="1" wp14:anchorId="0D096E07" wp14:editId="3DCEB605">
                <wp:simplePos x="0" y="0"/>
                <wp:positionH relativeFrom="column">
                  <wp:posOffset>3228893</wp:posOffset>
                </wp:positionH>
                <wp:positionV relativeFrom="paragraph">
                  <wp:posOffset>5097780</wp:posOffset>
                </wp:positionV>
                <wp:extent cx="719455" cy="467995"/>
                <wp:effectExtent l="0" t="0" r="4445" b="8255"/>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467995"/>
                        </a:xfrm>
                        <a:prstGeom prst="rect">
                          <a:avLst/>
                        </a:prstGeom>
                        <a:noFill/>
                        <a:ln w="6350">
                          <a:noFill/>
                        </a:ln>
                      </wps:spPr>
                      <wps:txbx>
                        <w:txbxContent>
                          <w:p w14:paraId="7B38BC07" w14:textId="61451126" w:rsidR="00B83D7D"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Finanšu pakalpojumi</w:t>
                            </w:r>
                          </w:p>
                          <w:p w14:paraId="40B53C4C" w14:textId="47388564" w:rsidR="00B83D7D" w:rsidRPr="0080669C"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96E07" id="Text Box 452" o:spid="_x0000_s1060" type="#_x0000_t202" style="position:absolute;margin-left:254.25pt;margin-top:401.4pt;width:56.65pt;height:36.8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WJgIAAEwEAAAOAAAAZHJzL2Uyb0RvYy54bWysVMlu2zAQvRfoPxC8x5LjJbVgOXATuChg&#10;JAGcImeaIi0hFIclaUvu13dIyQvSnopeKA5nOMt7j5rft7UiB2FdBTqnw0FKidAcikrvcvrjdXXz&#10;hRLnmS6YAi1yehSO3i8+f5o3JhO3UIIqhCWYRLusMTktvTdZkjheipq5ARih0SnB1syjaXdJYVmD&#10;2WuV3KbpNGnAFsYCF87h6WPnpIuYX0rB/bOUTniicoq9+bjauG7DmizmLNtZZsqK922wf+iiZpXG&#10;oudUj8wzsrfVH6nqiltwIP2AQ52AlBUXcQacZph+mGZTMiPiLAiOM2eY3P9Ly58OG/NiiW+/QosE&#10;xiGcWQN/d4hN0hiX9TEBU5c5jA6DttLW4YsjELyI2B7PeIrWE46Hd8PZeDKhhKNrPL2bzSYB7+Ry&#10;2VjnvwmoSdjk1CJdsQF2WDvfhZ5CQi0Nq0qpSJnSpMnpdDRJ44WzB5Mr3ffdtRqa9u22JVWR09E4&#10;dBCOtlAccW4LnSSc4asKm1gz51+YRQ3gRKhr/4yLVIDFoN9RUoL99bfzEI/UoJeSBjWVU/dzz6yg&#10;RH3XSNpomqZBhNeGvTa214be1w+Ash3iCzI8bvGy9eq0lRbqN5T/MlRFF9Mca+d0e9o++E7p+Hy4&#10;WC5jEMrOML/WG8NPdAeIX9s3Zk3Pg0cCn+CkPpZ9oKOL7QhZ7j3IKnJ1QbXHHyUb2e6fV3gT13aM&#10;uvwEFr8BAAD//wMAUEsDBBQABgAIAAAAIQDUekdZ4QAAAAsBAAAPAAAAZHJzL2Rvd25yZXYueG1s&#10;TI/BasMwEETvhf6D2EAvoZFisGtcyyEt9FIopUkOPcqWYotYK2MptvP33Z7a2+7OMPum3C2uZ5MZ&#10;g/UoYbsRwAw2XltsJZyOb485sBAVatV7NBJuJsCuur8rVaH9jF9mOsSWUQiGQknoYhwKzkPTGafC&#10;xg8GSTv70alI69hyPaqZwl3PEyEy7pRF+tCpwbx2prkcrk7CZ5J9WzyfZr2eart+uX3g/j1K+bBa&#10;9s/Aolninxl+8QkdKmKq/RV1YL2EVOQpWSXkIqEO5MiSLQ01XZ6yFHhV8v8dqh8AAAD//wMAUEsB&#10;Ai0AFAAGAAgAAAAhALaDOJL+AAAA4QEAABMAAAAAAAAAAAAAAAAAAAAAAFtDb250ZW50X1R5cGVz&#10;XS54bWxQSwECLQAUAAYACAAAACEAOP0h/9YAAACUAQAACwAAAAAAAAAAAAAAAAAvAQAAX3JlbHMv&#10;LnJlbHNQSwECLQAUAAYACAAAACEAm/cvliYCAABMBAAADgAAAAAAAAAAAAAAAAAuAgAAZHJzL2Uy&#10;b0RvYy54bWxQSwECLQAUAAYACAAAACEA1HpHWeEAAAALAQAADwAAAAAAAAAAAAAAAACABAAAZHJz&#10;L2Rvd25yZXYueG1sUEsFBgAAAAAEAAQA8wAAAI4FAAAAAA==&#10;" filled="f" stroked="f" strokeweight=".5pt">
                <v:textbox inset="1mm,1mm,1mm,1mm">
                  <w:txbxContent>
                    <w:p w14:paraId="7B38BC07" w14:textId="61451126" w:rsidR="00B83D7D"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Finanšu pakalpojumi</w:t>
                      </w:r>
                    </w:p>
                    <w:p w14:paraId="40B53C4C" w14:textId="47388564" w:rsidR="00B83D7D" w:rsidRPr="0080669C"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68" behindDoc="0" locked="0" layoutInCell="1" allowOverlap="1" wp14:anchorId="3E29AF7D" wp14:editId="603E27CC">
                <wp:simplePos x="0" y="0"/>
                <wp:positionH relativeFrom="column">
                  <wp:posOffset>3232816</wp:posOffset>
                </wp:positionH>
                <wp:positionV relativeFrom="paragraph">
                  <wp:posOffset>4328166</wp:posOffset>
                </wp:positionV>
                <wp:extent cx="1034906" cy="467995"/>
                <wp:effectExtent l="0" t="0" r="0" b="8255"/>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4906" cy="467995"/>
                        </a:xfrm>
                        <a:prstGeom prst="rect">
                          <a:avLst/>
                        </a:prstGeom>
                        <a:noFill/>
                        <a:ln w="6350">
                          <a:noFill/>
                        </a:ln>
                      </wps:spPr>
                      <wps:txbx>
                        <w:txbxContent>
                          <w:p w14:paraId="54222330" w14:textId="77777777" w:rsidR="00962DFB" w:rsidRDefault="00A54979" w:rsidP="00C075DC">
                            <w:pPr>
                              <w:tabs>
                                <w:tab w:val="left" w:pos="4820"/>
                              </w:tabs>
                              <w:spacing w:after="0"/>
                              <w:rPr>
                                <w:rFonts w:ascii="Segoe UI Light" w:hAnsi="Segoe UI Light" w:cs="Segoe UI Light"/>
                                <w:b/>
                                <w:bCs/>
                                <w:color w:val="FFFFFF" w:themeColor="background1"/>
                                <w:sz w:val="16"/>
                                <w:szCs w:val="16"/>
                              </w:rPr>
                            </w:pPr>
                            <w:r w:rsidRPr="00A54979">
                              <w:rPr>
                                <w:rFonts w:ascii="Segoe UI Light" w:hAnsi="Segoe UI Light" w:cs="Segoe UI Light"/>
                                <w:b/>
                                <w:bCs/>
                                <w:color w:val="FFFFFF" w:themeColor="background1"/>
                                <w:sz w:val="16"/>
                                <w:szCs w:val="16"/>
                              </w:rPr>
                              <w:t>Finanšu un apdrošināšanas darbības</w:t>
                            </w:r>
                          </w:p>
                          <w:p w14:paraId="4CC25727"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6A77B3BC" w14:textId="7F262351"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9AF7D" id="Text Box 504" o:spid="_x0000_s1061" type="#_x0000_t202" style="position:absolute;margin-left:254.55pt;margin-top:340.8pt;width:81.5pt;height:36.8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uJwIAAE0EAAAOAAAAZHJzL2Uyb0RvYy54bWysVF1v2yAUfZ+0/4B4X+w0bbpYcaqsVaZJ&#10;UVspnfpMMMRomMuAxO5+/S7Y+VC3p2kvmMu93I9zDp7fdY0mB+G8AlPS8SinRBgOlTK7kn5/WX36&#10;TIkPzFRMgxElfROe3i0+fpi3thBXUIOuhCOYxPiitSWtQ7BFlnlei4b5EVhh0CnBNSyg6XZZ5ViL&#10;2RudXeX5NGvBVdYBF97j6UPvpIuUX0rBw5OUXgSiS4q9hbS6tG7jmi3mrNg5ZmvFhzbYP3TRMGWw&#10;6CnVAwuM7J36I1WjuAMPMow4NBlIqbhIM+A04/zdNJuaWZFmQXC8PcHk/19a/njY2GdHQvcFOiQw&#10;DeHtGvgPj9hkrfXFEBMx9YXH6DhoJ10TvzgCwYuI7dsJT9EFwmO2fHI9y6eUcPRdT29ns5sIeHa+&#10;bZ0PXwU0JG5K6pCv1AE7rH3oQ48hsZiBldI6caYNaUs6ndzk6cLJg8m1GRrve41dh27bEVWVdJI6&#10;iEdbqN5wcAe9JrzlK4VNrJkPz8yhCHAkFHZ4wkVqwGIw7Cipwf3623mMR27QS0mLoiqp/7lnTlCi&#10;vxlk7RYlG1WYjMk0Ge7S2F4aZt/cA+p2jE/I8rTFyy7o41Y6aF5R/8tYFV3McKxd0nDc3ode6vh+&#10;uFguUxDqzrKwNhvLj3xHiF+6V+bswENABh/hKD9WvKOjj+0JWe4DSJW4OqM64I+aTWwP7ys+iks7&#10;RZ3/AovfAAAA//8DAFBLAwQUAAYACAAAACEAiQPg2t8AAAALAQAADwAAAGRycy9kb3ducmV2Lnht&#10;bEyPQU7DMBBF90jcwRokNog6DsQtIU6FAhyAgsTWjYckajwOttOmt8esYDkzT3/er7aLHdkRfRgc&#10;KRCrDBhS68xAnYKP99fbDbAQNRk9OkIFZwywrS8vKl0ad6I3PO5ix1IIhVIr6GOcSs5D26PVYeUm&#10;pHT7ct7qmEbfceP1KYXbkedZJrnVA6UPvZ6w6bE97Gar4Pn+/CluZnopZDhM38E3wueNUtdXy9Mj&#10;sIhL/IPhVz+pQ52c9m4mE9iooMgeREIVyI2QwBIh13na7BWsi+IOeF3x/x3qHwAAAP//AwBQSwEC&#10;LQAUAAYACAAAACEAtoM4kv4AAADhAQAAEwAAAAAAAAAAAAAAAAAAAAAAW0NvbnRlbnRfVHlwZXNd&#10;LnhtbFBLAQItABQABgAIAAAAIQA4/SH/1gAAAJQBAAALAAAAAAAAAAAAAAAAAC8BAABfcmVscy8u&#10;cmVsc1BLAQItABQABgAIAAAAIQBC+iTuJwIAAE0EAAAOAAAAAAAAAAAAAAAAAC4CAABkcnMvZTJv&#10;RG9jLnhtbFBLAQItABQABgAIAAAAIQCJA+Da3wAAAAsBAAAPAAAAAAAAAAAAAAAAAIEEAABkcnMv&#10;ZG93bnJldi54bWxQSwUGAAAAAAQABADzAAAAjQUAAAAA&#10;" filled="f" stroked="f" strokeweight=".5pt">
                <v:textbox inset="2mm,1mm,1mm,1mm">
                  <w:txbxContent>
                    <w:p w14:paraId="54222330" w14:textId="77777777" w:rsidR="00962DFB" w:rsidRDefault="00A54979" w:rsidP="00C075DC">
                      <w:pPr>
                        <w:tabs>
                          <w:tab w:val="left" w:pos="4820"/>
                        </w:tabs>
                        <w:spacing w:after="0"/>
                        <w:rPr>
                          <w:rFonts w:ascii="Segoe UI Light" w:hAnsi="Segoe UI Light" w:cs="Segoe UI Light"/>
                          <w:b/>
                          <w:bCs/>
                          <w:color w:val="FFFFFF" w:themeColor="background1"/>
                          <w:sz w:val="16"/>
                          <w:szCs w:val="16"/>
                        </w:rPr>
                      </w:pPr>
                      <w:r w:rsidRPr="00A54979">
                        <w:rPr>
                          <w:rFonts w:ascii="Segoe UI Light" w:hAnsi="Segoe UI Light" w:cs="Segoe UI Light"/>
                          <w:b/>
                          <w:bCs/>
                          <w:color w:val="FFFFFF" w:themeColor="background1"/>
                          <w:sz w:val="16"/>
                          <w:szCs w:val="16"/>
                        </w:rPr>
                        <w:t>Finanšu un apdrošināšanas darbības</w:t>
                      </w:r>
                    </w:p>
                    <w:p w14:paraId="4CC25727"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6A77B3BC" w14:textId="7F262351"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96" behindDoc="0" locked="0" layoutInCell="1" allowOverlap="1" wp14:anchorId="4B89B1B3" wp14:editId="7C72EBC7">
                <wp:simplePos x="0" y="0"/>
                <wp:positionH relativeFrom="column">
                  <wp:posOffset>4511040</wp:posOffset>
                </wp:positionH>
                <wp:positionV relativeFrom="paragraph">
                  <wp:posOffset>3965493</wp:posOffset>
                </wp:positionV>
                <wp:extent cx="1223645" cy="359410"/>
                <wp:effectExtent l="0" t="0" r="0" b="2540"/>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645" cy="359410"/>
                        </a:xfrm>
                        <a:prstGeom prst="rect">
                          <a:avLst/>
                        </a:prstGeom>
                        <a:noFill/>
                        <a:ln w="6350">
                          <a:noFill/>
                        </a:ln>
                      </wps:spPr>
                      <wps:txbx>
                        <w:txbxContent>
                          <w:p w14:paraId="199FE899" w14:textId="065952A5" w:rsidR="00B83D7D" w:rsidRDefault="002C304B" w:rsidP="00C075DC">
                            <w:pPr>
                              <w:tabs>
                                <w:tab w:val="left" w:pos="851"/>
                                <w:tab w:val="left" w:pos="1418"/>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M71</w:t>
                            </w:r>
                            <w:r w:rsidR="00C45AD2">
                              <w:rPr>
                                <w:rFonts w:ascii="Segoe UI Light" w:hAnsi="Segoe UI Light" w:cs="Segoe UI Light"/>
                                <w:color w:val="FFFFFF" w:themeColor="background1"/>
                                <w:sz w:val="16"/>
                                <w:szCs w:val="16"/>
                              </w:rPr>
                              <w:tab/>
                              <w:t>M74</w:t>
                            </w:r>
                            <w:r w:rsidR="00C45AD2">
                              <w:rPr>
                                <w:rFonts w:ascii="Segoe UI Light" w:hAnsi="Segoe UI Light" w:cs="Segoe UI Light"/>
                                <w:color w:val="FFFFFF" w:themeColor="background1"/>
                                <w:sz w:val="16"/>
                                <w:szCs w:val="16"/>
                              </w:rPr>
                              <w:tab/>
                              <w:t>M72</w:t>
                            </w:r>
                          </w:p>
                          <w:p w14:paraId="54598932" w14:textId="61C2A0D7" w:rsidR="00B83D7D" w:rsidRPr="0080669C" w:rsidRDefault="002C304B" w:rsidP="00C075DC">
                            <w:pPr>
                              <w:tabs>
                                <w:tab w:val="left" w:pos="851"/>
                                <w:tab w:val="left" w:pos="1418"/>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0,9</w:t>
                            </w:r>
                            <w:r w:rsidR="00C45AD2">
                              <w:rPr>
                                <w:rFonts w:ascii="Segoe UI Light" w:hAnsi="Segoe UI Light" w:cs="Segoe UI Light"/>
                                <w:color w:val="FFFFFF" w:themeColor="background1"/>
                                <w:sz w:val="16"/>
                                <w:szCs w:val="16"/>
                              </w:rPr>
                              <w:t>%</w:t>
                            </w:r>
                            <w:r w:rsidR="00C45AD2">
                              <w:rPr>
                                <w:rFonts w:ascii="Segoe UI Light" w:hAnsi="Segoe UI Light" w:cs="Segoe UI Light"/>
                                <w:color w:val="FFFFFF" w:themeColor="background1"/>
                                <w:sz w:val="16"/>
                                <w:szCs w:val="16"/>
                              </w:rPr>
                              <w:tab/>
                              <w:t>0,6%</w:t>
                            </w:r>
                            <w:r w:rsidR="00C45AD2">
                              <w:rPr>
                                <w:rFonts w:ascii="Segoe UI Light" w:hAnsi="Segoe UI Light" w:cs="Segoe UI Light"/>
                                <w:color w:val="FFFFFF" w:themeColor="background1"/>
                                <w:sz w:val="16"/>
                                <w:szCs w:val="16"/>
                              </w:rPr>
                              <w:tab/>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9B1B3" id="Text Box 453" o:spid="_x0000_s1062" type="#_x0000_t202" style="position:absolute;margin-left:355.2pt;margin-top:312.25pt;width:96.35pt;height:28.3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lGJAIAAE0EAAAOAAAAZHJzL2Uyb0RvYy54bWysVFtv2yAUfp+0/4B4X+wkTbRacaqsVaZJ&#10;UVspnfpMMMTWgMOAxO5+/Q7Yuajb07QXfA7nfr4PL+46rchRON+AKel4lFMiDIeqMfuSfn9Zf/pM&#10;iQ/MVEyBESV9E57eLT9+WLS2EBOoQVXCEUxifNHaktYh2CLLPK+FZn4EVhg0SnCaBVTdPqscazG7&#10;Vtkkz+dZC66yDrjwHm8feiNdpvxSCh6epPQiEFVS7C2k06VzF89suWDF3jFbN3xog/1DF5o1Boue&#10;Uz2wwMjBNX+k0g134EGGEQedgZQNF2kGnGacv5tmWzMr0iy4HG/Pa/L/Ly1/PG7tsyOh+wIdApiG&#10;8HYD/IfH3WSt9cXgE3fqC4/ecdBOOh2/OALBQNzt23mfoguEx2yTyXR+M6OEo206u70Zp4Vnl2jr&#10;fPgqQJMolNQhXqkDdtz4EOuz4uQSixlYN0olzJQhbUnn01meAs4WjFBmaLzvNXYdul1Hmgq7mEfI&#10;49UOqjcc3EHPCW/5usEmNsyHZ+aQBDgSEjs84SEVYDEYJEpqcL/+dh/9ERu0UtIiqUrqfx6YE5So&#10;bwZRm87zPLLwWnHXyu5aMQd9D8jbMT4hy5OIwS6okygd6Ffk/ypWRRMzHGuXdHcS70NPdXw/XKxW&#10;yQl5Z1nYmK3lJ7zjil+6V+bsgENABB/hRD9WvIOj9+0BWR0CyCZhddnqsH/kbIJweF/xUVzryevy&#10;F1j+BgAA//8DAFBLAwQUAAYACAAAACEANvzOWuIAAAALAQAADwAAAGRycy9kb3ducmV2LnhtbEyP&#10;wU7DMAyG70i8Q2QkLhNLWkY3StNpIHFBQoixw45pk7URjVM1Wdu9PeYER9uffn9/sZ1dx0YzBOtR&#10;QrIUwAzWXltsJBy+Xu82wEJUqFXn0Ui4mADb8vqqULn2E36acR8bRiEYciWhjbHPOQ91a5wKS98b&#10;pNvJD05FGoeG60FNFO46ngqRcacs0odW9ealNfX3/uwkfKTZ0eLpMOnFWNnF8+Udd29RytubefcE&#10;LJo5/sHwq0/qUJJT5c+oA+skrBOxIlRClq4egBHxKO4TYBVtNkkCvCz4/w7lDwAAAP//AwBQSwEC&#10;LQAUAAYACAAAACEAtoM4kv4AAADhAQAAEwAAAAAAAAAAAAAAAAAAAAAAW0NvbnRlbnRfVHlwZXNd&#10;LnhtbFBLAQItABQABgAIAAAAIQA4/SH/1gAAAJQBAAALAAAAAAAAAAAAAAAAAC8BAABfcmVscy8u&#10;cmVsc1BLAQItABQABgAIAAAAIQBnyslGJAIAAE0EAAAOAAAAAAAAAAAAAAAAAC4CAABkcnMvZTJv&#10;RG9jLnhtbFBLAQItABQABgAIAAAAIQA2/M5a4gAAAAsBAAAPAAAAAAAAAAAAAAAAAH4EAABkcnMv&#10;ZG93bnJldi54bWxQSwUGAAAAAAQABADzAAAAjQUAAAAA&#10;" filled="f" stroked="f" strokeweight=".5pt">
                <v:textbox inset="1mm,1mm,1mm,1mm">
                  <w:txbxContent>
                    <w:p w14:paraId="199FE899" w14:textId="065952A5" w:rsidR="00B83D7D" w:rsidRDefault="002C304B" w:rsidP="00C075DC">
                      <w:pPr>
                        <w:tabs>
                          <w:tab w:val="left" w:pos="851"/>
                          <w:tab w:val="left" w:pos="1418"/>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M71</w:t>
                      </w:r>
                      <w:r w:rsidR="00C45AD2">
                        <w:rPr>
                          <w:rFonts w:ascii="Segoe UI Light" w:hAnsi="Segoe UI Light" w:cs="Segoe UI Light"/>
                          <w:color w:val="FFFFFF" w:themeColor="background1"/>
                          <w:sz w:val="16"/>
                          <w:szCs w:val="16"/>
                        </w:rPr>
                        <w:tab/>
                        <w:t>M74</w:t>
                      </w:r>
                      <w:r w:rsidR="00C45AD2">
                        <w:rPr>
                          <w:rFonts w:ascii="Segoe UI Light" w:hAnsi="Segoe UI Light" w:cs="Segoe UI Light"/>
                          <w:color w:val="FFFFFF" w:themeColor="background1"/>
                          <w:sz w:val="16"/>
                          <w:szCs w:val="16"/>
                        </w:rPr>
                        <w:tab/>
                        <w:t>M72</w:t>
                      </w:r>
                    </w:p>
                    <w:p w14:paraId="54598932" w14:textId="61C2A0D7" w:rsidR="00B83D7D" w:rsidRPr="0080669C" w:rsidRDefault="002C304B" w:rsidP="00C075DC">
                      <w:pPr>
                        <w:tabs>
                          <w:tab w:val="left" w:pos="851"/>
                          <w:tab w:val="left" w:pos="1418"/>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0,9</w:t>
                      </w:r>
                      <w:r w:rsidR="00C45AD2">
                        <w:rPr>
                          <w:rFonts w:ascii="Segoe UI Light" w:hAnsi="Segoe UI Light" w:cs="Segoe UI Light"/>
                          <w:color w:val="FFFFFF" w:themeColor="background1"/>
                          <w:sz w:val="16"/>
                          <w:szCs w:val="16"/>
                        </w:rPr>
                        <w:t>%</w:t>
                      </w:r>
                      <w:r w:rsidR="00C45AD2">
                        <w:rPr>
                          <w:rFonts w:ascii="Segoe UI Light" w:hAnsi="Segoe UI Light" w:cs="Segoe UI Light"/>
                          <w:color w:val="FFFFFF" w:themeColor="background1"/>
                          <w:sz w:val="16"/>
                          <w:szCs w:val="16"/>
                        </w:rPr>
                        <w:tab/>
                        <w:t>0,6%</w:t>
                      </w:r>
                      <w:r w:rsidR="00C45AD2">
                        <w:rPr>
                          <w:rFonts w:ascii="Segoe UI Light" w:hAnsi="Segoe UI Light" w:cs="Segoe UI Light"/>
                          <w:color w:val="FFFFFF" w:themeColor="background1"/>
                          <w:sz w:val="16"/>
                          <w:szCs w:val="16"/>
                        </w:rPr>
                        <w:tab/>
                        <w:t>0,5%</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99" behindDoc="0" locked="0" layoutInCell="1" allowOverlap="1" wp14:anchorId="11AFCD87" wp14:editId="206C60A1">
                <wp:simplePos x="0" y="0"/>
                <wp:positionH relativeFrom="column">
                  <wp:posOffset>1846580</wp:posOffset>
                </wp:positionH>
                <wp:positionV relativeFrom="paragraph">
                  <wp:posOffset>3857707</wp:posOffset>
                </wp:positionV>
                <wp:extent cx="935990" cy="467995"/>
                <wp:effectExtent l="0" t="0" r="0" b="8255"/>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467995"/>
                        </a:xfrm>
                        <a:prstGeom prst="rect">
                          <a:avLst/>
                        </a:prstGeom>
                        <a:noFill/>
                        <a:ln w="6350">
                          <a:noFill/>
                        </a:ln>
                      </wps:spPr>
                      <wps:txbx>
                        <w:txbxContent>
                          <w:p w14:paraId="7EAF78C0" w14:textId="6B482869" w:rsidR="00B83D7D"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Inženierbūvniecība</w:t>
                            </w:r>
                          </w:p>
                          <w:p w14:paraId="0D690CB5" w14:textId="41C029F2" w:rsidR="00B83D7D" w:rsidRPr="0080669C"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FCD87" id="Text Box 456" o:spid="_x0000_s1063" type="#_x0000_t202" style="position:absolute;margin-left:145.4pt;margin-top:303.75pt;width:73.7pt;height:36.8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xBJQIAAEwEAAAOAAAAZHJzL2Uyb0RvYy54bWysVF1v2yAUfZ+0/4B4X+w0S1pbcaqsVaZJ&#10;UVspnfpMMMTWMJcBiZ39+l2w86FuT9NeMJd7uR/nHDy/7xpFDsK6GnRBx6OUEqE5lLXeFfT76+rT&#10;HSXOM10yBVoU9CgcvV98/DBvTS5uoAJVCkswiXZ5awpaeW/yJHG8Eg1zIzBCo1OCbZhH0+6S0rIW&#10;szcquUnTWdKCLY0FLpzD08feSRcxv5SC+2cpnfBEFRR783G1cd2GNVnMWb6zzFQ1H9pg/9BFw2qN&#10;Rc+pHplnZG/rP1I1NbfgQPoRhyYBKWsu4gw4zTh9N82mYkbEWRAcZ84wuf+Xlj8dNubFEt99gQ4J&#10;jEM4swb+wyE2SWtcPsQETF3uMDoM2knbhC+OQPAiYns84yk6TzgeZpNplqGHo+vz7DbLpgHv5HLZ&#10;WOe/CmhI2BTUIl2xAXZYO9+HnkJCLQ2rWqlImdKkLehsMk3jhbMHkys99N23Gpr23bYjdVnQyW3o&#10;IBxtoTzi3BZ6STjDVzU2sWbOvzCLGsC+Udf+GRepAIvBsKOkAvvrb+chHqlBLyUtaqqg7ueeWUGJ&#10;+qaRtMksTYMIrw17bWyvDb1vHgBlO8YXZHjc4mXr1WkrLTRvKP9lqIoupjnWLuj2tH3wvdLx+XCx&#10;XMYglJ1hfq03hp/oDhC/dm/MmoEHjwQ+wUl9LH9HRx/bE7Lce5B15OqC6oA/SjayPTyv8Cau7Rh1&#10;+QksfgMAAP//AwBQSwMEFAAGAAgAAAAhAGytIqPiAAAACwEAAA8AAABkcnMvZG93bnJldi54bWxM&#10;j8FOwzAQRO9I/IO1SFwqajdAGkKcqiBxQaoQbQ8cnXibWMTrKHaT9O8xJzju7GjmTbGZbcdGHLxx&#10;JGG1FMCQaqcNNRKOh7e7DJgPirTqHKGEC3rYlNdXhcq1m+gTx31oWAwhnysJbQh9zrmvW7TKL12P&#10;FH8nN1gV4jk0XA9qiuG244kQKbfKUGxoVY+vLdbf+7OV8JGkX4ZOx0kvxsosXi472r4HKW9v5u0z&#10;sIBz+DPDL35EhzIyVe5M2rNOQvIkInqQkIr1I7DoeLjPEmBVVLJVArws+P8N5Q8AAAD//wMAUEsB&#10;Ai0AFAAGAAgAAAAhALaDOJL+AAAA4QEAABMAAAAAAAAAAAAAAAAAAAAAAFtDb250ZW50X1R5cGVz&#10;XS54bWxQSwECLQAUAAYACAAAACEAOP0h/9YAAACUAQAACwAAAAAAAAAAAAAAAAAvAQAAX3JlbHMv&#10;LnJlbHNQSwECLQAUAAYACAAAACEAwjU8QSUCAABMBAAADgAAAAAAAAAAAAAAAAAuAgAAZHJzL2Uy&#10;b0RvYy54bWxQSwECLQAUAAYACAAAACEAbK0io+IAAAALAQAADwAAAAAAAAAAAAAAAAB/BAAAZHJz&#10;L2Rvd25yZXYueG1sUEsFBgAAAAAEAAQA8wAAAI4FAAAAAA==&#10;" filled="f" stroked="f" strokeweight=".5pt">
                <v:textbox inset="1mm,1mm,1mm,1mm">
                  <w:txbxContent>
                    <w:p w14:paraId="7EAF78C0" w14:textId="6B482869" w:rsidR="00B83D7D"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Inženierbūvniecība</w:t>
                      </w:r>
                    </w:p>
                    <w:p w14:paraId="0D690CB5" w14:textId="41C029F2" w:rsidR="00B83D7D" w:rsidRPr="0080669C"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1,7%</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98" behindDoc="0" locked="0" layoutInCell="1" allowOverlap="1" wp14:anchorId="78C3B6E2" wp14:editId="074BF75D">
                <wp:simplePos x="0" y="0"/>
                <wp:positionH relativeFrom="column">
                  <wp:posOffset>2611837</wp:posOffset>
                </wp:positionH>
                <wp:positionV relativeFrom="paragraph">
                  <wp:posOffset>3363595</wp:posOffset>
                </wp:positionV>
                <wp:extent cx="628021" cy="467995"/>
                <wp:effectExtent l="0" t="0" r="635" b="8255"/>
                <wp:wrapNone/>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21" cy="467995"/>
                        </a:xfrm>
                        <a:prstGeom prst="rect">
                          <a:avLst/>
                        </a:prstGeom>
                        <a:noFill/>
                        <a:ln w="6350">
                          <a:noFill/>
                        </a:ln>
                      </wps:spPr>
                      <wps:txbx>
                        <w:txbxContent>
                          <w:p w14:paraId="34B4B0F3" w14:textId="5647CEE2" w:rsidR="00B83D7D"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Specializētie būvdarbi</w:t>
                            </w:r>
                          </w:p>
                          <w:p w14:paraId="61E918C2" w14:textId="227C43C9" w:rsidR="00B83D7D" w:rsidRPr="0080669C"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3B6E2" id="Text Box 457" o:spid="_x0000_s1064" type="#_x0000_t202" style="position:absolute;margin-left:205.65pt;margin-top:264.85pt;width:49.45pt;height:36.8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iC6JAIAAEwEAAAOAAAAZHJzL2Uyb0RvYy54bWysVF1v2yAUfZ+0/4B4X+wka5ZacaqsVaZJ&#10;UVsprfqMMcTWMJcBiZ39+l2w86FuT9NeMJd7uR/nHLy46xpFDsK6GnROx6OUEqE5lLXe5fT1Zf1p&#10;TonzTJdMgRY5PQpH75YfPyxak4kJVKBKYQkm0S5rTU4r702WJI5XomFuBEZodEqwDfNo2l1SWtZi&#10;9kYlkzSdJS3Y0ljgwjk8feiddBnzSym4f5LSCU9UTrE3H1cb1yKsyXLBsp1lpqr50Ab7hy4aVmss&#10;ek71wDwje1v/kaqpuQUH0o84NAlIWXMRZ8Bpxum7abYVMyLOguA4c4bJ/b+0/PGwNc+W+O4rdEhg&#10;HMKZDfAfDrFJWuOyISZg6jKH0WHQTtomfHEEghcR2+MZT9F5wvFwNpmnkzElHF2fZ19ub28C3snl&#10;srHOfxPQkLDJqUW6YgPssHG+Dz2FhFoa1rVSkTKlSYsFpjdpvHD2YHKlh777VkPTvis6Upc5nc5D&#10;B+GogPKIc1voJeEMX9fYxIY5/8wsagAnQl37J1ykAiwGw46SCuyvv52HeKQGvZS0qKmcup97ZgUl&#10;6rtG0qazNA0ivDbstVFcG3rf3APKFgHE7uIWL1uvTltpoXlD+a9CVXQxzbF2TovT9t73Ssfnw8Vq&#10;FYNQdob5jd4afqI7QPzSvTFrBh48EvgIJ/Wx7B0dfWxPyGrvQdaRqwuqA/4o2cj28LzCm7i2Y9Tl&#10;J7D8DQAA//8DAFBLAwQUAAYACAAAACEAmL73SuIAAAALAQAADwAAAGRycy9kb3ducmV2LnhtbEyP&#10;wU7DMBBE70j8g7VIXCpqJ20DhGyqgsQFqUKUHjg6sZtYxOsodpP07zEnOK7maeZtsZ1tx0Y9eOMI&#10;IVkKYJpqpww1CMfP17sHYD5IUrJzpBEu2sO2vL4qZK7cRB96PISGxRLyuURoQ+hzzn3daiv90vWa&#10;YnZyg5UhnkPD1SCnWG47ngqRcSsNxYVW9vql1fX34WwR3tPsy9DpOKnFWJnF82VPu7eAeHsz756A&#10;BT2HPxh+9aM6lNGpcmdSnnUI6yRZRRRhkz7eA4vEJhEpsAohE6s18LLg/38ofwAAAP//AwBQSwEC&#10;LQAUAAYACAAAACEAtoM4kv4AAADhAQAAEwAAAAAAAAAAAAAAAAAAAAAAW0NvbnRlbnRfVHlwZXNd&#10;LnhtbFBLAQItABQABgAIAAAAIQA4/SH/1gAAAJQBAAALAAAAAAAAAAAAAAAAAC8BAABfcmVscy8u&#10;cmVsc1BLAQItABQABgAIAAAAIQC7ziC6JAIAAEwEAAAOAAAAAAAAAAAAAAAAAC4CAABkcnMvZTJv&#10;RG9jLnhtbFBLAQItABQABgAIAAAAIQCYvvdK4gAAAAsBAAAPAAAAAAAAAAAAAAAAAH4EAABkcnMv&#10;ZG93bnJldi54bWxQSwUGAAAAAAQABADzAAAAjQUAAAAA&#10;" filled="f" stroked="f" strokeweight=".5pt">
                <v:textbox inset="1mm,1mm,1mm,1mm">
                  <w:txbxContent>
                    <w:p w14:paraId="34B4B0F3" w14:textId="5647CEE2" w:rsidR="00B83D7D"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Specializētie būvdarbi</w:t>
                      </w:r>
                    </w:p>
                    <w:p w14:paraId="61E918C2" w14:textId="227C43C9" w:rsidR="00B83D7D" w:rsidRPr="0080669C"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1,9%</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97" behindDoc="0" locked="0" layoutInCell="1" allowOverlap="1" wp14:anchorId="085D569F" wp14:editId="7FD0CF33">
                <wp:simplePos x="0" y="0"/>
                <wp:positionH relativeFrom="column">
                  <wp:posOffset>1847850</wp:posOffset>
                </wp:positionH>
                <wp:positionV relativeFrom="paragraph">
                  <wp:posOffset>3366217</wp:posOffset>
                </wp:positionV>
                <wp:extent cx="575945" cy="467995"/>
                <wp:effectExtent l="0" t="0" r="0" b="8255"/>
                <wp:wrapNone/>
                <wp:docPr id="458"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467995"/>
                        </a:xfrm>
                        <a:prstGeom prst="rect">
                          <a:avLst/>
                        </a:prstGeom>
                        <a:noFill/>
                        <a:ln w="6350">
                          <a:noFill/>
                        </a:ln>
                      </wps:spPr>
                      <wps:txbx>
                        <w:txbxContent>
                          <w:p w14:paraId="5F8A865C" w14:textId="08EFEDB2" w:rsidR="00B83D7D" w:rsidRDefault="005F5D0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Ēku būvniecība</w:t>
                            </w:r>
                          </w:p>
                          <w:p w14:paraId="4814619B" w14:textId="638A84AC" w:rsidR="00B83D7D" w:rsidRPr="0080669C" w:rsidRDefault="005F5D0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D569F" id="Text Box 458" o:spid="_x0000_s1065" type="#_x0000_t202" style="position:absolute;margin-left:145.5pt;margin-top:265.05pt;width:45.35pt;height:36.8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ezJgIAAEwEAAAOAAAAZHJzL2Uyb0RvYy54bWysVF1v2yAUfZ+0/4B4X+w0TbpYcaqsVaZJ&#10;UVspnfqMMcTWMJcBiZ39+l2w86FuT9NeMJd7uR/nHLy47xpFDsK6GnROx6OUEqE5lLXe5fT76/rT&#10;Z0qcZ7pkCrTI6VE4er/8+GHRmkzcQAWqFJZgEu2y1uS08t5kSeJ4JRrmRmCERqcE2zCPpt0lpWUt&#10;Zm9UcpOms6QFWxoLXDiHp4+9ky5jfikF989SOuGJyin25uNq41qENVkuWLazzFQ1H9pg/9BFw2qN&#10;Rc+pHplnZG/rP1I1NbfgQPoRhyYBKWsu4gw4zTh9N822YkbEWRAcZ84wuf+Xlj8dtubFEt99gQ4J&#10;jEM4swH+wyE2SWtcNsQETF3mMDoM2knbhC+OQPAiYns84yk6TzgeTu+m89spJRxdt7O7+Xwa8E4u&#10;l411/quAhoRNTi3SFRtgh43zfegpJNTSsK6VipQpTdqczibTNF44ezC50kPffauhad8VHanLnE7m&#10;oYNwVEB5xLkt9JJwhq9rbGLDnH9hFjWAE6Gu/TMuUgEWg2FHSQX219/OQzxSg15KWtRUTt3PPbOC&#10;EvVNI2mTWZoGEV4b9toorg29bx4AZTvGF2R43OJl69VpKy00byj/VaiKLqY51s5pcdo++F7p+Hy4&#10;WK1iEMrOML/RW8NPdAeIX7s3Zs3Ag0cCn+CkPpa9o6OP7QlZ7T3IOnJ1QXXAHyUb2R6eV3gT13aM&#10;uvwElr8BAAD//wMAUEsDBBQABgAIAAAAIQC8oSkP4gAAAAsBAAAPAAAAZHJzL2Rvd25yZXYueG1s&#10;TI/NTsMwEITvSLyDtUhcKur8iJCGbKqCxAUJVZQeenRiN7GI11HsJunbY05wHM1o5ptyu5ieTWp0&#10;2hJCvI6AKWqs1NQiHL/eHnJgzguSorekEK7Kwba6vSlFIe1Mn2o6+JaFEnKFQOi8HwrOXdMpI9za&#10;DoqCd7ajET7IseVyFHMoNz1PoijjRmgKC50Y1Gunmu/DxSDsk+yk6Xyc5Wqq9erl+kG7d494f7fs&#10;noF5tfi/MPziB3SoAlNtLyQd6xGSTRy+eITHNIqBhUSax0/AaoQsSnPgVcn/f6h+AAAA//8DAFBL&#10;AQItABQABgAIAAAAIQC2gziS/gAAAOEBAAATAAAAAAAAAAAAAAAAAAAAAABbQ29udGVudF9UeXBl&#10;c10ueG1sUEsBAi0AFAAGAAgAAAAhADj9If/WAAAAlAEAAAsAAAAAAAAAAAAAAAAALwEAAF9yZWxz&#10;Ly5yZWxzUEsBAi0AFAAGAAgAAAAhAIIsh7MmAgAATAQAAA4AAAAAAAAAAAAAAAAALgIAAGRycy9l&#10;Mm9Eb2MueG1sUEsBAi0AFAAGAAgAAAAhALyhKQ/iAAAACwEAAA8AAAAAAAAAAAAAAAAAgAQAAGRy&#10;cy9kb3ducmV2LnhtbFBLBQYAAAAABAAEAPMAAACPBQAAAAA=&#10;" filled="f" stroked="f" strokeweight=".5pt">
                <v:textbox inset="1mm,1mm,1mm,1mm">
                  <w:txbxContent>
                    <w:p w14:paraId="5F8A865C" w14:textId="08EFEDB2" w:rsidR="00B83D7D" w:rsidRDefault="005F5D0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Ēku būvniecība</w:t>
                      </w:r>
                    </w:p>
                    <w:p w14:paraId="4814619B" w14:textId="638A84AC" w:rsidR="00B83D7D" w:rsidRPr="0080669C" w:rsidRDefault="005F5D0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2,3%</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63" behindDoc="0" locked="0" layoutInCell="1" allowOverlap="1" wp14:anchorId="134848A2" wp14:editId="57172E9D">
                <wp:simplePos x="0" y="0"/>
                <wp:positionH relativeFrom="column">
                  <wp:posOffset>1850308</wp:posOffset>
                </wp:positionH>
                <wp:positionV relativeFrom="paragraph">
                  <wp:posOffset>2655570</wp:posOffset>
                </wp:positionV>
                <wp:extent cx="1225550" cy="251460"/>
                <wp:effectExtent l="0" t="0" r="0" b="0"/>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1460"/>
                        </a:xfrm>
                        <a:prstGeom prst="rect">
                          <a:avLst/>
                        </a:prstGeom>
                        <a:noFill/>
                        <a:ln w="6350">
                          <a:noFill/>
                        </a:ln>
                      </wps:spPr>
                      <wps:txbx>
                        <w:txbxContent>
                          <w:p w14:paraId="461303C6" w14:textId="77777777" w:rsidR="00962DFB" w:rsidRDefault="00CC0E00" w:rsidP="00C075DC">
                            <w:pPr>
                              <w:tabs>
                                <w:tab w:val="left" w:pos="4820"/>
                              </w:tabs>
                              <w:spacing w:after="0"/>
                              <w:rPr>
                                <w:rFonts w:ascii="Segoe UI Light" w:hAnsi="Segoe UI Light" w:cs="Segoe UI Light"/>
                                <w:b/>
                                <w:bCs/>
                                <w:color w:val="FFFFFF" w:themeColor="background1"/>
                                <w:sz w:val="16"/>
                                <w:szCs w:val="16"/>
                              </w:rPr>
                            </w:pPr>
                            <w:r w:rsidRPr="00CC0E00">
                              <w:rPr>
                                <w:rFonts w:ascii="Segoe UI Light" w:hAnsi="Segoe UI Light" w:cs="Segoe UI Light"/>
                                <w:b/>
                                <w:bCs/>
                                <w:color w:val="FFFFFF" w:themeColor="background1"/>
                                <w:sz w:val="16"/>
                                <w:szCs w:val="16"/>
                              </w:rPr>
                              <w:t>Būvniecība</w:t>
                            </w:r>
                          </w:p>
                          <w:p w14:paraId="148A82B9"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253C9DCD" w14:textId="473B8FEE"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848A2" id="Text Box 494" o:spid="_x0000_s1066" type="#_x0000_t202" style="position:absolute;margin-left:145.7pt;margin-top:209.1pt;width:96.5pt;height:19.8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4EJQIAAE0EAAAOAAAAZHJzL2Uyb0RvYy54bWysVE2P2jAQvVfqf7B8LwF2oVVEWNFdUVVC&#10;uyux1Z6NY0NUx+OODQn99R074aPbnqpeHI9nPB/vPWd219aGHRT6CmzBR4MhZ8pKKCu7Lfi3l+WH&#10;T5z5IGwpDFhV8KPy/G7+/t2scbkaww5MqZBREuvzxhV8F4LLs8zLnaqFH4BTlpwasBaBTNxmJYqG&#10;stcmGw+H06wBLB2CVN7T6UPn5POUX2slw5PWXgVmCk69hbRiWjdxzeYzkW9RuF0l+zbEP3RRi8pS&#10;0XOqBxEE22P1R6q6kggedBhIqDPQupIqzUDTjIZvplnvhFNpFgLHuzNM/v+llY+HtXtGFtrP0BKB&#10;aQjvViC/e8Ima5zP+5iIqc89RcdBW411/NIIjC4StscznqoNTMZs4/FkMiGXJN94MrqdJsCzy22H&#10;PnxRULO4KTgSX6kDcVj5EOuL/BQSi1lYVsYkzoxlTcGnN5T+Nw/dMLZvvOs1dh3aTcuqsuC3qYN4&#10;tIHySIMjdJrwTi4ramIlfHgWSCKgvknY4YkWbYCKQb/jbAf482/nMZ64IS9nDYmq4P7HXqDizHy1&#10;xNpHkmxUYTJupsnAa2Nzbdh9fQ+k2xE9ISfTli5jMKetRqhfSf+LWJVcwkqqXfBw2t6HTur0fqRa&#10;LFIQ6c6JsLJrJ098R4hf2leBruchEIOPcJKfyN/Q0cV2sC/2AXSVuLqg2uNPmk0U9u8rPoprO0Vd&#10;/gLzXwAAAP//AwBQSwMEFAAGAAgAAAAhAJY6uLTeAAAACwEAAA8AAABkcnMvZG93bnJldi54bWxM&#10;j01OwzAQRvdI3MEaJDaIOo7cEkKcCgU4AAWJrRubJGo8DrbTprdnWNHd/Dx986baLm5kRxvi4FGB&#10;WGXALLbeDNgp+Px4uy+AxaTR6NGjVXC2Ebb19VWlS+NP+G6Pu9QxCsFYagV9SlPJeWx763Rc+cki&#10;7b59cDpRGzpugj5RuBt5nmUb7vSAdKHXk2162x52s1PwIs9f4m7G1/UmHqafGBoR8kap25vl+QlY&#10;skv6h+FPn9ShJqe9n9FENirIH4UkVIEURQ6MCFlImuypWD8UwOuKX/5Q/wIAAP//AwBQSwECLQAU&#10;AAYACAAAACEAtoM4kv4AAADhAQAAEwAAAAAAAAAAAAAAAAAAAAAAW0NvbnRlbnRfVHlwZXNdLnht&#10;bFBLAQItABQABgAIAAAAIQA4/SH/1gAAAJQBAAALAAAAAAAAAAAAAAAAAC8BAABfcmVscy8ucmVs&#10;c1BLAQItABQABgAIAAAAIQCCJs4EJQIAAE0EAAAOAAAAAAAAAAAAAAAAAC4CAABkcnMvZTJvRG9j&#10;LnhtbFBLAQItABQABgAIAAAAIQCWOri03gAAAAsBAAAPAAAAAAAAAAAAAAAAAH8EAABkcnMvZG93&#10;bnJldi54bWxQSwUGAAAAAAQABADzAAAAigUAAAAA&#10;" filled="f" stroked="f" strokeweight=".5pt">
                <v:textbox inset="2mm,1mm,1mm,1mm">
                  <w:txbxContent>
                    <w:p w14:paraId="461303C6" w14:textId="77777777" w:rsidR="00962DFB" w:rsidRDefault="00CC0E00" w:rsidP="00C075DC">
                      <w:pPr>
                        <w:tabs>
                          <w:tab w:val="left" w:pos="4820"/>
                        </w:tabs>
                        <w:spacing w:after="0"/>
                        <w:rPr>
                          <w:rFonts w:ascii="Segoe UI Light" w:hAnsi="Segoe UI Light" w:cs="Segoe UI Light"/>
                          <w:b/>
                          <w:bCs/>
                          <w:color w:val="FFFFFF" w:themeColor="background1"/>
                          <w:sz w:val="16"/>
                          <w:szCs w:val="16"/>
                        </w:rPr>
                      </w:pPr>
                      <w:r w:rsidRPr="00CC0E00">
                        <w:rPr>
                          <w:rFonts w:ascii="Segoe UI Light" w:hAnsi="Segoe UI Light" w:cs="Segoe UI Light"/>
                          <w:b/>
                          <w:bCs/>
                          <w:color w:val="FFFFFF" w:themeColor="background1"/>
                          <w:sz w:val="16"/>
                          <w:szCs w:val="16"/>
                        </w:rPr>
                        <w:t>Būvniecība</w:t>
                      </w:r>
                    </w:p>
                    <w:p w14:paraId="148A82B9"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253C9DCD" w14:textId="473B8FEE"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91" behindDoc="0" locked="0" layoutInCell="1" allowOverlap="1" wp14:anchorId="2F642CFB" wp14:editId="311E5AE6">
                <wp:simplePos x="0" y="0"/>
                <wp:positionH relativeFrom="column">
                  <wp:posOffset>2531173</wp:posOffset>
                </wp:positionH>
                <wp:positionV relativeFrom="paragraph">
                  <wp:posOffset>6502796</wp:posOffset>
                </wp:positionV>
                <wp:extent cx="665430" cy="461727"/>
                <wp:effectExtent l="0" t="0" r="1905"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430" cy="461727"/>
                        </a:xfrm>
                        <a:prstGeom prst="rect">
                          <a:avLst/>
                        </a:prstGeom>
                        <a:noFill/>
                        <a:ln w="6350">
                          <a:noFill/>
                        </a:ln>
                      </wps:spPr>
                      <wps:txbx>
                        <w:txbxContent>
                          <w:p w14:paraId="42EEA0D5" w14:textId="77777777" w:rsidR="00757D2B" w:rsidRDefault="00757D2B" w:rsidP="00757D2B">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Augkopība</w:t>
                            </w:r>
                          </w:p>
                          <w:p w14:paraId="0D8FA67A" w14:textId="25E0D54A" w:rsidR="00B83D7D" w:rsidRPr="0080669C"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42CFB" id="Text Box 84" o:spid="_x0000_s1067" type="#_x0000_t202" style="position:absolute;margin-left:199.3pt;margin-top:512.05pt;width:52.4pt;height:36.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XAJAIAAEwEAAAOAAAAZHJzL2Uyb0RvYy54bWysVE1v2zAMvQ/YfxB0X+wkbToYcYqsRYYB&#10;QVsgHXpWZCk2JomapMTOfv0o2flAt9OwiyyKFPnI9+T5facVOQjnGzAlHY9ySoThUDVmV9Lvr6tP&#10;nynxgZmKKTCipEfh6f3i44d5awsxgRpUJRzBJMYXrS1pHYItsszzWmjmR2CFQacEp1lA0+2yyrEW&#10;s2uVTfJ8lrXgKuuAC+/x9LF30kXKL6Xg4VlKLwJRJUVsIa0urdu4Zos5K3aO2brhAwz2Dyg0awwW&#10;Pad6ZIGRvWv+SKUb7sCDDCMOOgMpGy5SD9jNOH/XzaZmVqRecDjensfk/19a/nTY2BdHQvcFOiQw&#10;NeHtGvgPj7PJWuuLISbO1Bceo2OjnXQ6frEFghdxtsfzPEUXCMfD2ez2Zooejq6b2fhuchfnnV0u&#10;W+fDVwGaxE1JHdKVALDD2oc+9BQSaxlYNUolypQhLRaY3ubpwtmDyZUZcPdQI+jQbTvSVIhiHBHE&#10;oy1UR+zbQS8Jb/mqQRBr5sMLc6gBxI26Ds+4SAVYDIYdJTW4X387j/FIDXopaVFTJfU/98wJStQ3&#10;g6RNZ3keRXhtuGtje22YvX4AlO0YX5DlaYuXXVCnrXSg31D+y1gVXcxwrF3S7Wn7EHql4/PhYrlM&#10;QSg7y8LabCw/0R1H/Nq9MWcHHgIS+AQn9bHiHR19bE/Ich9ANomry1SH+aNkE9vD84pv4tpOUZef&#10;wOI3AAAA//8DAFBLAwQUAAYACAAAACEA/U4uVeIAAAANAQAADwAAAGRycy9kb3ducmV2LnhtbEyP&#10;wU7DMAyG70i8Q2QkLhNL1o2qK02ngcQFCSHGDhzTxmsjGqdqsrZ7e7ITHO3/0+/PxW62HRtx8MaR&#10;hNVSAEOqnTbUSDh+vT5kwHxQpFXnCCVc0MOuvL0pVK7dRJ84HkLDYgn5XEloQ+hzzn3dolV+6Xqk&#10;mJ3cYFWI49BwPagpltuOJ0Kk3CpD8UKrenxpsf45nK2EjyT9NnQ6TnoxVmbxfHmn/VuQ8v5u3j8B&#10;CziHPxiu+lEdyuhUuTNpzzoJ622WRjQGItmsgEXkUaw3wKrraptmwMuC//+i/AUAAP//AwBQSwEC&#10;LQAUAAYACAAAACEAtoM4kv4AAADhAQAAEwAAAAAAAAAAAAAAAAAAAAAAW0NvbnRlbnRfVHlwZXNd&#10;LnhtbFBLAQItABQABgAIAAAAIQA4/SH/1gAAAJQBAAALAAAAAAAAAAAAAAAAAC8BAABfcmVscy8u&#10;cmVsc1BLAQItABQABgAIAAAAIQCAazXAJAIAAEwEAAAOAAAAAAAAAAAAAAAAAC4CAABkcnMvZTJv&#10;RG9jLnhtbFBLAQItABQABgAIAAAAIQD9Ti5V4gAAAA0BAAAPAAAAAAAAAAAAAAAAAH4EAABkcnMv&#10;ZG93bnJldi54bWxQSwUGAAAAAAQABADzAAAAjQUAAAAA&#10;" filled="f" stroked="f" strokeweight=".5pt">
                <v:textbox inset="1mm,1mm,1mm,1mm">
                  <w:txbxContent>
                    <w:p w14:paraId="42EEA0D5" w14:textId="77777777" w:rsidR="00757D2B" w:rsidRDefault="00757D2B" w:rsidP="00757D2B">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Augkopība</w:t>
                      </w:r>
                    </w:p>
                    <w:p w14:paraId="0D8FA67A" w14:textId="25E0D54A" w:rsidR="00B83D7D" w:rsidRPr="0080669C"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2,2%</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61" behindDoc="0" locked="0" layoutInCell="1" allowOverlap="1" wp14:anchorId="7491E87E" wp14:editId="1C9119CB">
                <wp:simplePos x="0" y="0"/>
                <wp:positionH relativeFrom="column">
                  <wp:posOffset>1847215</wp:posOffset>
                </wp:positionH>
                <wp:positionV relativeFrom="paragraph">
                  <wp:posOffset>5716823</wp:posOffset>
                </wp:positionV>
                <wp:extent cx="1079500" cy="467995"/>
                <wp:effectExtent l="0" t="0" r="6350" b="8255"/>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467995"/>
                        </a:xfrm>
                        <a:prstGeom prst="rect">
                          <a:avLst/>
                        </a:prstGeom>
                        <a:noFill/>
                        <a:ln w="6350">
                          <a:noFill/>
                        </a:ln>
                      </wps:spPr>
                      <wps:txbx>
                        <w:txbxContent>
                          <w:p w14:paraId="5F561FC5" w14:textId="496C4591" w:rsidR="00AF6E02" w:rsidRDefault="00682477" w:rsidP="00C075DC">
                            <w:pPr>
                              <w:tabs>
                                <w:tab w:val="left" w:pos="4820"/>
                              </w:tabs>
                              <w:spacing w:after="0"/>
                              <w:rPr>
                                <w:rFonts w:ascii="Segoe UI Light" w:hAnsi="Segoe UI Light" w:cs="Segoe UI Light"/>
                                <w:b/>
                                <w:bCs/>
                                <w:color w:val="FFFFFF" w:themeColor="background1"/>
                                <w:sz w:val="16"/>
                                <w:szCs w:val="16"/>
                              </w:rPr>
                            </w:pPr>
                            <w:r w:rsidRPr="00682477">
                              <w:rPr>
                                <w:rFonts w:ascii="Segoe UI Light" w:hAnsi="Segoe UI Light" w:cs="Segoe UI Light"/>
                                <w:b/>
                                <w:bCs/>
                                <w:color w:val="FFFFFF" w:themeColor="background1"/>
                                <w:sz w:val="16"/>
                                <w:szCs w:val="16"/>
                              </w:rPr>
                              <w:t>Lauksaimniecība, mežsaimniecība</w:t>
                            </w:r>
                          </w:p>
                          <w:p w14:paraId="1B06144B" w14:textId="4EEC6E73"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1E87E" id="Text Box 483" o:spid="_x0000_s1068" type="#_x0000_t202" style="position:absolute;margin-left:145.45pt;margin-top:450.15pt;width:85pt;height:36.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b/JwIAAE0EAAAOAAAAZHJzL2Uyb0RvYy54bWysVE1v2zAMvQ/YfxB0X+ykS9IYcYqsRYYB&#10;QVsgHXpWZCk2JouapMTOfv0o2flA11OxiyyKFPnI9+T5XVsrchDWVaBzOhyklAjNoaj0Lqc/X1Zf&#10;bilxnumCKdAip0fh6N3i86d5YzIxghJUISzBJNpljclp6b3JksTxUtTMDcAIjU4JtmYeTbtLCssa&#10;zF6rZJSmk6QBWxgLXDiHpw+dky5ifikF909SOuGJyili83G1cd2GNVnMWbazzJQV72GwD6CoWaWx&#10;6DnVA/OM7G31T6q64hYcSD/gUCcgZcVF7AG7GaZvutmUzIjYCw7HmfOY3P9Lyx8PG/NsiW+/QYsE&#10;xiacWQP/5XA2SWNc1seEmbrMYXRotJW2Dl9sgeBFnO3xPE/ResJDtnQ6G6fo4uj7OpnOZuMw8ORy&#10;21jnvwuoSdjk1CJfEQE7rJ3vQk8hoZiGVaVU5Exp0uR0cjNO44WzB5Mr3QPvsAbUvt22pCoQxSgg&#10;CEdbKI7YuIVOE87wVYUg1sz5Z2ZRBIgbhe2fcJEKsBj0O0pKsH/eOw/xyA16KWlQVDl1v/fMCkrU&#10;D42sTVGyQYXRuJlEw14b22tD7+t7QN0O8QkZHrd42Xp12koL9SvqfxmqootpjrVz6k/be99JHd8P&#10;F8tlDELdGebXemP4ie8w4pf2lVnT8+CRwUc4yY9lb+joYjtClnsPsopcXabazx81G9nu31d4FNd2&#10;jLr8BRZ/AQAA//8DAFBLAwQUAAYACAAAACEAo/PO7t4AAAALAQAADwAAAGRycy9kb3ducmV2Lnht&#10;bEyPQU7DMBBF90jcwRokNqi1E0IgIU6FAhyAgtStG5skajwOttOmt2e6guX8efrzptosdmRH48Pg&#10;UEKyFsAMtk4P2En4+nxfPQELUaFWo0Mj4WwCbOrrq0qV2p3wwxy3sWNUgqFUEvoYp5Lz0PbGqrB2&#10;k0HafTtvVaTRd1x7daJyO/JUiJxbNSBd6NVkmt60h+1sJbxm511yN+PbQx4O00/wTeLTRsrbm+Xl&#10;GVg0S/yD4aJP6lCT097NqAMbJaSFKAiVUAhxD4yILL8ke0oeMwG8rvj/H+pfAAAA//8DAFBLAQIt&#10;ABQABgAIAAAAIQC2gziS/gAAAOEBAAATAAAAAAAAAAAAAAAAAAAAAABbQ29udGVudF9UeXBlc10u&#10;eG1sUEsBAi0AFAAGAAgAAAAhADj9If/WAAAAlAEAAAsAAAAAAAAAAAAAAAAALwEAAF9yZWxzLy5y&#10;ZWxzUEsBAi0AFAAGAAgAAAAhAAyEJv8nAgAATQQAAA4AAAAAAAAAAAAAAAAALgIAAGRycy9lMm9E&#10;b2MueG1sUEsBAi0AFAAGAAgAAAAhAKPzzu7eAAAACwEAAA8AAAAAAAAAAAAAAAAAgQQAAGRycy9k&#10;b3ducmV2LnhtbFBLBQYAAAAABAAEAPMAAACMBQAAAAA=&#10;" filled="f" stroked="f" strokeweight=".5pt">
                <v:textbox inset="2mm,1mm,1mm,1mm">
                  <w:txbxContent>
                    <w:p w14:paraId="5F561FC5" w14:textId="496C4591" w:rsidR="00AF6E02" w:rsidRDefault="00682477" w:rsidP="00C075DC">
                      <w:pPr>
                        <w:tabs>
                          <w:tab w:val="left" w:pos="4820"/>
                        </w:tabs>
                        <w:spacing w:after="0"/>
                        <w:rPr>
                          <w:rFonts w:ascii="Segoe UI Light" w:hAnsi="Segoe UI Light" w:cs="Segoe UI Light"/>
                          <w:b/>
                          <w:bCs/>
                          <w:color w:val="FFFFFF" w:themeColor="background1"/>
                          <w:sz w:val="16"/>
                          <w:szCs w:val="16"/>
                        </w:rPr>
                      </w:pPr>
                      <w:r w:rsidRPr="00682477">
                        <w:rPr>
                          <w:rFonts w:ascii="Segoe UI Light" w:hAnsi="Segoe UI Light" w:cs="Segoe UI Light"/>
                          <w:b/>
                          <w:bCs/>
                          <w:color w:val="FFFFFF" w:themeColor="background1"/>
                          <w:sz w:val="16"/>
                          <w:szCs w:val="16"/>
                        </w:rPr>
                        <w:t>Lauksaimniecība, mežsaimniecība</w:t>
                      </w:r>
                    </w:p>
                    <w:p w14:paraId="1B06144B" w14:textId="4EEC6E73"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87" behindDoc="0" locked="0" layoutInCell="1" allowOverlap="1" wp14:anchorId="05974981" wp14:editId="17EB9BA7">
                <wp:simplePos x="0" y="0"/>
                <wp:positionH relativeFrom="column">
                  <wp:posOffset>1566979</wp:posOffset>
                </wp:positionH>
                <wp:positionV relativeFrom="paragraph">
                  <wp:posOffset>6641327</wp:posOffset>
                </wp:positionV>
                <wp:extent cx="287655" cy="338121"/>
                <wp:effectExtent l="0" t="0" r="0" b="5080"/>
                <wp:wrapNone/>
                <wp:docPr id="46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338121"/>
                        </a:xfrm>
                        <a:prstGeom prst="rect">
                          <a:avLst/>
                        </a:prstGeom>
                        <a:noFill/>
                        <a:ln w="6350">
                          <a:noFill/>
                        </a:ln>
                      </wps:spPr>
                      <wps:txbx>
                        <w:txbxContent>
                          <w:p w14:paraId="242C2A8A" w14:textId="2393258E" w:rsidR="00B83D7D" w:rsidRDefault="00F8377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H53</w:t>
                            </w:r>
                          </w:p>
                          <w:p w14:paraId="24AF30BF" w14:textId="0674E071" w:rsidR="00B83D7D" w:rsidRPr="0080669C" w:rsidRDefault="00F8377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74981" id="Text Box 460" o:spid="_x0000_s1069" type="#_x0000_t202" style="position:absolute;margin-left:123.4pt;margin-top:522.95pt;width:22.65pt;height:26.6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hJQIAAEwEAAAOAAAAZHJzL2Uyb0RvYy54bWysVE2P2yAQvVfqf0DcGztJk0ZWnFW6q1SV&#10;ot2Vsqs9YwyxVcxQILHTX98BOx/a9lT1ghlmmI/3Hl7edY0iR2FdDTqn41FKidAcylrvc/r6svm0&#10;oMR5pkumQIucnoSjd6uPH5atycQEKlClsASTaJe1JqeV9yZLEscr0TA3AiM0OiXYhnk07T4pLWsx&#10;e6OSSZrOkxZsaSxw4RyePvROuor5pRTcP0nphCcqp9ibj6uNaxHWZLVk2d4yU9V8aIP9QxcNqzUW&#10;vaR6YJ6Rg63/SNXU3IID6UccmgSkrLmIM+A04/TdNLuKGRFnQXCcucDk/l9a/njcmWdLfPcVOiQw&#10;DuHMFvgPh9gkrXHZEBMwdZnD6DBoJ20TvjgCwYuI7emCp+g84Xg4WXyZz2aUcHRNp4vxZBzwTq6X&#10;jXX+m4CGhE1OLdIVG2DHrfN96Dkk1NKwqZWKlClN2pzOp7M0Xrh4MLnSQ999q6Fp3xUdqcucfp6G&#10;DsJRAeUJ57bQS8IZvqmxiS1z/plZ1ABOhLr2T7hIBVgMhh0lFdhffzsP8UgNeilpUVM5dT8PzApK&#10;1HeNpE3naRpEeGvYW6O4NfShuQeU7RhfkOFxi5etV+ettNC8ofzXoSq6mOZYO6fFeXvve6Xj8+Fi&#10;vY5BKDvD/FbvDD/THSB+6d6YNQMPHgl8hLP6WPaOjj62J2R98CDryNUV1QF/lGxke3he4U3c2jHq&#10;+hNY/QYAAP//AwBQSwMEFAAGAAgAAAAhAOsDXtTiAAAADQEAAA8AAABkcnMvZG93bnJldi54bWxM&#10;j8FOwzAQRO9I/IO1SFwq6sQqEQlxqoLEBQkhSg8cndhNLOJ1FLtJ+vdsT/Q4O6OZt+V2cT2bzBis&#10;RwnpOgFmsPHaYivh8P328AQsRIVa9R6NhLMJsK1ub0pVaD/jl5n2sWVUgqFQEroYh4Lz0HTGqbD2&#10;g0Hyjn50KpIcW65HNVO567lIkow7ZZEWOjWY1840v/uTk/Apsh+Lx8OsV1NtVy/nD9y9Rynv75bd&#10;M7Bolvgfhgs+oUNFTLU/oQ6slyA2GaFHMpLNYw6MIiIXKbD6csrzFHhV8usvqj8AAAD//wMAUEsB&#10;Ai0AFAAGAAgAAAAhALaDOJL+AAAA4QEAABMAAAAAAAAAAAAAAAAAAAAAAFtDb250ZW50X1R5cGVz&#10;XS54bWxQSwECLQAUAAYACAAAACEAOP0h/9YAAACUAQAACwAAAAAAAAAAAAAAAAAvAQAAX3JlbHMv&#10;LnJlbHNQSwECLQAUAAYACAAAACEAlvqJYSUCAABMBAAADgAAAAAAAAAAAAAAAAAuAgAAZHJzL2Uy&#10;b0RvYy54bWxQSwECLQAUAAYACAAAACEA6wNe1OIAAAANAQAADwAAAAAAAAAAAAAAAAB/BAAAZHJz&#10;L2Rvd25yZXYueG1sUEsFBgAAAAAEAAQA8wAAAI4FAAAAAA==&#10;" filled="f" stroked="f" strokeweight=".5pt">
                <v:textbox inset="1mm,1mm,1mm,1mm">
                  <w:txbxContent>
                    <w:p w14:paraId="242C2A8A" w14:textId="2393258E" w:rsidR="00B83D7D" w:rsidRDefault="00F8377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H53</w:t>
                      </w:r>
                    </w:p>
                    <w:p w14:paraId="24AF30BF" w14:textId="0674E071" w:rsidR="00B83D7D" w:rsidRPr="0080669C" w:rsidRDefault="00F8377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0,2%</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86" behindDoc="0" locked="0" layoutInCell="1" allowOverlap="1" wp14:anchorId="44BF1B93" wp14:editId="7291C24C">
                <wp:simplePos x="0" y="0"/>
                <wp:positionH relativeFrom="column">
                  <wp:posOffset>1143635</wp:posOffset>
                </wp:positionH>
                <wp:positionV relativeFrom="paragraph">
                  <wp:posOffset>6762832</wp:posOffset>
                </wp:positionV>
                <wp:extent cx="359410" cy="327667"/>
                <wp:effectExtent l="0" t="0" r="254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327667"/>
                        </a:xfrm>
                        <a:prstGeom prst="rect">
                          <a:avLst/>
                        </a:prstGeom>
                        <a:noFill/>
                        <a:ln w="6350">
                          <a:noFill/>
                        </a:ln>
                      </wps:spPr>
                      <wps:txbx>
                        <w:txbxContent>
                          <w:p w14:paraId="564C2A65" w14:textId="77777777" w:rsidR="004F2850" w:rsidRDefault="0078653A"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H51</w:t>
                            </w:r>
                          </w:p>
                          <w:p w14:paraId="70D5BE4E" w14:textId="1855090B" w:rsidR="00AF6E02" w:rsidRDefault="004902A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p w14:paraId="46F6D431" w14:textId="5D08190E" w:rsidR="00B83D7D" w:rsidRDefault="00B83D7D" w:rsidP="00C075DC">
                            <w:pPr>
                              <w:tabs>
                                <w:tab w:val="left" w:pos="4820"/>
                              </w:tabs>
                              <w:spacing w:after="0"/>
                              <w:rPr>
                                <w:rFonts w:ascii="Segoe UI Light" w:hAnsi="Segoe UI Light" w:cs="Segoe UI Light"/>
                                <w:color w:val="FFFFFF" w:themeColor="background1"/>
                                <w:sz w:val="16"/>
                                <w:szCs w:val="16"/>
                              </w:rPr>
                            </w:pPr>
                          </w:p>
                          <w:p w14:paraId="420028CD" w14:textId="77777777" w:rsidR="005C588B" w:rsidRDefault="0078653A"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p w14:paraId="128AA6EE" w14:textId="4636A345" w:rsidR="003F6BA0" w:rsidRDefault="003F6BA0" w:rsidP="00C075DC">
                            <w:pPr>
                              <w:tabs>
                                <w:tab w:val="left" w:pos="4820"/>
                              </w:tabs>
                              <w:spacing w:after="0"/>
                              <w:rPr>
                                <w:rFonts w:ascii="Segoe UI Light" w:hAnsi="Segoe UI Light" w:cs="Segoe UI Light"/>
                                <w:color w:val="FFFFFF" w:themeColor="background1"/>
                                <w:sz w:val="16"/>
                                <w:szCs w:val="16"/>
                              </w:rPr>
                            </w:pPr>
                          </w:p>
                          <w:p w14:paraId="4427E475" w14:textId="43034E0A" w:rsidR="00B83D7D" w:rsidRPr="0080669C" w:rsidRDefault="00B83D7D" w:rsidP="00C075DC">
                            <w:pPr>
                              <w:tabs>
                                <w:tab w:val="left" w:pos="4820"/>
                              </w:tabs>
                              <w:spacing w:after="0"/>
                              <w:rPr>
                                <w:rFonts w:ascii="Segoe UI Light" w:hAnsi="Segoe UI Light" w:cs="Segoe UI Light"/>
                                <w:color w:val="FFFFFF" w:themeColor="background1"/>
                                <w:sz w:val="16"/>
                                <w:szCs w:val="16"/>
                              </w:rPr>
                            </w:pP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F1B93" id="Text Box 77" o:spid="_x0000_s1070" type="#_x0000_t202" style="position:absolute;margin-left:90.05pt;margin-top:532.5pt;width:28.3pt;height:25.8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iBJQIAAEwEAAAOAAAAZHJzL2Uyb0RvYy54bWysVF1v2yAUfZ+0/4B4X+x8NO2sOFXWKtOk&#10;qK2UTn0mGGJrmMuAxM5+/S7YTqJuT9NeMJd7uR/nHLy4b2tFjsK6CnROx6OUEqE5FJXe5/T76/rT&#10;HSXOM10wBVrk9CQcvV9+/LBoTCYmUIIqhCWYRLusMTktvTdZkjheipq5ERih0SnB1syjafdJYVmD&#10;2WuVTNJ0njRgC2OBC+fw9LFz0mXML6Xg/llKJzxROcXefFxtXHdhTZYLlu0tM2XF+zbYP3RRs0pj&#10;0XOqR+YZOdjqj1R1xS04kH7EoU5AyoqLOANOM07fTbMtmRFxFgTHmTNM7v+l5U/HrXmxxLdfoEUC&#10;4xDObID/cIhN0hiX9TEBU5c5jA6DttLW4YsjELyI2J7OeIrWE46H05vPszF6OLqmk9v5/DbgnVwu&#10;G+v8VwE1CZucWqQrNsCOG+e70CEk1NKwrpSKlClNmpzOpzdpvHD2YHKl+767VkPTvt21pCpyOpuF&#10;DsLRDooTzm2hk4QzfF1hExvm/AuzqAHsG3Xtn3GRCrAY9DtKSrC//nYe4pEa9FLSoKZy6n4emBWU&#10;qG8aSZvO0zSI8Nqw18bu2tCH+gFQtmN8QYbHLV62Xg1baaF+Q/mvQlV0Mc2xdk53w/bBd0rH58PF&#10;ahWDUHaG+Y3eGj7QHSB+bd+YNT0PHgl8gkF9LHtHRxfbEbI6eJBV5OqCao8/Sjay3T+v8Cau7Rh1&#10;+QksfwMAAP//AwBQSwMEFAAGAAgAAAAhAHe8kPnhAAAADQEAAA8AAABkcnMvZG93bnJldi54bWxM&#10;j8FOwzAQRO9I/IO1SFwqaicIU4U4VUHigoQQpQeOTuwmFvE6it0k/XuWE73t7I5m35TbxfdssmN0&#10;ARVkawHMYhOMw1bB4ev1bgMsJo1G9wGtgrONsK2ur0pdmDDjp532qWUUgrHQCrqUhoLz2HTW67gO&#10;g0W6HcPodSI5ttyMeqZw3/NcCMm9dkgfOj3Yl842P/uTV/CRy2+Hx8NsVlPtVs/nd9y9JaVub5bd&#10;E7Bkl/Rvhj98QoeKmOpwQhNZT3ojMrLSIOQDtSJLfi8fgdW0yjIpgVclv2xR/QIAAP//AwBQSwEC&#10;LQAUAAYACAAAACEAtoM4kv4AAADhAQAAEwAAAAAAAAAAAAAAAAAAAAAAW0NvbnRlbnRfVHlwZXNd&#10;LnhtbFBLAQItABQABgAIAAAAIQA4/SH/1gAAAJQBAAALAAAAAAAAAAAAAAAAAC8BAABfcmVscy8u&#10;cmVsc1BLAQItABQABgAIAAAAIQCBOQiBJQIAAEwEAAAOAAAAAAAAAAAAAAAAAC4CAABkcnMvZTJv&#10;RG9jLnhtbFBLAQItABQABgAIAAAAIQB3vJD54QAAAA0BAAAPAAAAAAAAAAAAAAAAAH8EAABkcnMv&#10;ZG93bnJldi54bWxQSwUGAAAAAAQABADzAAAAjQUAAAAA&#10;" filled="f" stroked="f" strokeweight=".5pt">
                <v:textbox inset="1mm,1mm,1mm,1mm">
                  <w:txbxContent>
                    <w:p w14:paraId="564C2A65" w14:textId="77777777" w:rsidR="004F2850" w:rsidRDefault="0078653A"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H51</w:t>
                      </w:r>
                    </w:p>
                    <w:p w14:paraId="70D5BE4E" w14:textId="1855090B" w:rsidR="00AF6E02" w:rsidRDefault="004902A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p w14:paraId="46F6D431" w14:textId="5D08190E" w:rsidR="00B83D7D" w:rsidRDefault="00B83D7D" w:rsidP="00C075DC">
                      <w:pPr>
                        <w:tabs>
                          <w:tab w:val="left" w:pos="4820"/>
                        </w:tabs>
                        <w:spacing w:after="0"/>
                        <w:rPr>
                          <w:rFonts w:ascii="Segoe UI Light" w:hAnsi="Segoe UI Light" w:cs="Segoe UI Light"/>
                          <w:color w:val="FFFFFF" w:themeColor="background1"/>
                          <w:sz w:val="16"/>
                          <w:szCs w:val="16"/>
                        </w:rPr>
                      </w:pPr>
                    </w:p>
                    <w:p w14:paraId="420028CD" w14:textId="77777777" w:rsidR="005C588B" w:rsidRDefault="0078653A"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p w14:paraId="128AA6EE" w14:textId="4636A345" w:rsidR="003F6BA0" w:rsidRDefault="003F6BA0" w:rsidP="00C075DC">
                      <w:pPr>
                        <w:tabs>
                          <w:tab w:val="left" w:pos="4820"/>
                        </w:tabs>
                        <w:spacing w:after="0"/>
                        <w:rPr>
                          <w:rFonts w:ascii="Segoe UI Light" w:hAnsi="Segoe UI Light" w:cs="Segoe UI Light"/>
                          <w:color w:val="FFFFFF" w:themeColor="background1"/>
                          <w:sz w:val="16"/>
                          <w:szCs w:val="16"/>
                        </w:rPr>
                      </w:pPr>
                    </w:p>
                    <w:p w14:paraId="4427E475" w14:textId="43034E0A" w:rsidR="00B83D7D" w:rsidRPr="0080669C" w:rsidRDefault="00B83D7D" w:rsidP="00C075DC">
                      <w:pPr>
                        <w:tabs>
                          <w:tab w:val="left" w:pos="4820"/>
                        </w:tabs>
                        <w:spacing w:after="0"/>
                        <w:rPr>
                          <w:rFonts w:ascii="Segoe UI Light" w:hAnsi="Segoe UI Light" w:cs="Segoe UI Light"/>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85" behindDoc="0" locked="0" layoutInCell="1" allowOverlap="1" wp14:anchorId="5CD7CD07" wp14:editId="5DE16347">
                <wp:simplePos x="0" y="0"/>
                <wp:positionH relativeFrom="column">
                  <wp:posOffset>1142447</wp:posOffset>
                </wp:positionH>
                <wp:positionV relativeFrom="paragraph">
                  <wp:posOffset>6171565</wp:posOffset>
                </wp:positionV>
                <wp:extent cx="719455" cy="467995"/>
                <wp:effectExtent l="0" t="0" r="4445" b="8255"/>
                <wp:wrapNone/>
                <wp:docPr id="461"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467995"/>
                        </a:xfrm>
                        <a:prstGeom prst="rect">
                          <a:avLst/>
                        </a:prstGeom>
                        <a:noFill/>
                        <a:ln w="6350">
                          <a:noFill/>
                        </a:ln>
                      </wps:spPr>
                      <wps:txbx>
                        <w:txbxContent>
                          <w:p w14:paraId="5531391C" w14:textId="77777777" w:rsidR="004F2850" w:rsidRDefault="0078653A"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 xml:space="preserve">Transporta palīgdarbības </w:t>
                            </w:r>
                          </w:p>
                          <w:p w14:paraId="3C620380" w14:textId="3801F864" w:rsidR="00AF6E02" w:rsidRDefault="004902A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3,8%</w:t>
                            </w:r>
                          </w:p>
                          <w:p w14:paraId="0E2310FD" w14:textId="52F2AD06" w:rsidR="00B83D7D" w:rsidRDefault="00B83D7D" w:rsidP="00C075DC">
                            <w:pPr>
                              <w:tabs>
                                <w:tab w:val="left" w:pos="4820"/>
                              </w:tabs>
                              <w:spacing w:after="0"/>
                              <w:rPr>
                                <w:rFonts w:ascii="Segoe UI Light" w:hAnsi="Segoe UI Light" w:cs="Segoe UI Light"/>
                                <w:color w:val="FFFFFF" w:themeColor="background1"/>
                                <w:sz w:val="16"/>
                                <w:szCs w:val="16"/>
                              </w:rPr>
                            </w:pPr>
                          </w:p>
                          <w:p w14:paraId="31016490" w14:textId="5C68D28B" w:rsidR="00B83D7D" w:rsidRPr="0080669C" w:rsidRDefault="0078653A"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7CD07" id="Text Box 461" o:spid="_x0000_s1071" type="#_x0000_t202" style="position:absolute;margin-left:89.95pt;margin-top:485.95pt;width:56.65pt;height:36.8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v5vJAIAAEwEAAAOAAAAZHJzL2Uyb0RvYy54bWysVF1v2yAUfZ+0/4B4X+y0TbpYcaqsVaZJ&#10;UVspnfpMMMRomMuAxO5+/S7Y+VC3p2kvmMu93I9zDp7fdY0mB+G8AlPS8SinRBgOlTK7kn5/WX36&#10;TIkPzFRMgxElfROe3i0+fpi3thBXUIOuhCOYxPiitSWtQ7BFlnlei4b5EVhh0CnBNSyg6XZZ5ViL&#10;2RudXeX5NGvBVdYBF97j6UPvpIuUX0rBw5OUXgSiS4q9hbS6tG7jmi3mrNg5ZmvFhzbYP3TRMGWw&#10;6CnVAwuM7J36I1WjuAMPMow4NBlIqbhIM+A04/zdNJuaWZFmQXC8PcHk/19a/njY2GdHQvcFOiQw&#10;DeHtGvgPj9hkrfXFEBMx9YXH6DhoJ10TvzgCwYuI7dsJT9EFwvHwdjy7mUwo4ei6md7OZpOId3a+&#10;bJ0PXwU0JG5K6pCu1AA7rH3oQ48hsZaBldI6UaYNaUs6vZ7k6cLJg8m1GfruW41Nh27bEVVhF6mD&#10;eLSF6g3ndtBLwlu+UtjEmvnwzBxqACdCXYcnXKQGLAbDjpIa3K+/ncd4pAa9lLSoqZL6n3vmBCX6&#10;m0HSrqd5HkV4abhLY3tpmH1zDyjbMb4gy9MWL7ugj1vpoHlF+S9jVXQxw7F2SbfH7X3olY7Ph4vl&#10;MgWh7CwLa7Ox/Eh3hPile2XODjwEJPARjupjxTs6+tiekOU+gFSJqzOqA/4o2cT28Lzim7i0U9T5&#10;J7D4DQAA//8DAFBLAwQUAAYACAAAACEAclQ2juEAAAAMAQAADwAAAGRycy9kb3ducmV2LnhtbEyP&#10;QU+DQBCF7yb+h82YeGnsUlRakKWpJl5MjLH20OPCToHIzhJ2C/TfO570Ni/vy5v38u1sOzHi4FtH&#10;ClbLCARS5UxLtYLD1+vdBoQPmozuHKGCC3rYFtdXuc6Mm+gTx32oBYeQz7SCJoQ+k9JXDVrtl65H&#10;Yu/kBqsDy6GWZtATh9tOxlGUSKtb4g+N7vGlwep7f7YKPuLk2NLpMJnFWLaL58s77d6CUrc38+4J&#10;RMA5/MHwW5+rQ8GdSncm40XHep2mjCpI1ys+mIjT+xhEyVb08JiALHL5f0TxAwAA//8DAFBLAQIt&#10;ABQABgAIAAAAIQC2gziS/gAAAOEBAAATAAAAAAAAAAAAAAAAAAAAAABbQ29udGVudF9UeXBlc10u&#10;eG1sUEsBAi0AFAAGAAgAAAAhADj9If/WAAAAlAEAAAsAAAAAAAAAAAAAAAAALwEAAF9yZWxzLy5y&#10;ZWxzUEsBAi0AFAAGAAgAAAAhAHqm/m8kAgAATAQAAA4AAAAAAAAAAAAAAAAALgIAAGRycy9lMm9E&#10;b2MueG1sUEsBAi0AFAAGAAgAAAAhAHJUNo7hAAAADAEAAA8AAAAAAAAAAAAAAAAAfgQAAGRycy9k&#10;b3ducmV2LnhtbFBLBQYAAAAABAAEAPMAAACMBQAAAAA=&#10;" filled="f" stroked="f" strokeweight=".5pt">
                <v:textbox inset="1mm,1mm,1mm,1mm">
                  <w:txbxContent>
                    <w:p w14:paraId="5531391C" w14:textId="77777777" w:rsidR="004F2850" w:rsidRDefault="0078653A"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 xml:space="preserve">Transporta palīgdarbības </w:t>
                      </w:r>
                    </w:p>
                    <w:p w14:paraId="3C620380" w14:textId="3801F864" w:rsidR="00AF6E02" w:rsidRDefault="004902A0"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3,8%</w:t>
                      </w:r>
                    </w:p>
                    <w:p w14:paraId="0E2310FD" w14:textId="52F2AD06" w:rsidR="00B83D7D" w:rsidRDefault="00B83D7D" w:rsidP="00C075DC">
                      <w:pPr>
                        <w:tabs>
                          <w:tab w:val="left" w:pos="4820"/>
                        </w:tabs>
                        <w:spacing w:after="0"/>
                        <w:rPr>
                          <w:rFonts w:ascii="Segoe UI Light" w:hAnsi="Segoe UI Light" w:cs="Segoe UI Light"/>
                          <w:color w:val="FFFFFF" w:themeColor="background1"/>
                          <w:sz w:val="16"/>
                          <w:szCs w:val="16"/>
                        </w:rPr>
                      </w:pPr>
                    </w:p>
                    <w:p w14:paraId="31016490" w14:textId="5C68D28B" w:rsidR="00B83D7D" w:rsidRPr="0080669C" w:rsidRDefault="0078653A"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1,6%</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59" behindDoc="0" locked="0" layoutInCell="1" allowOverlap="1" wp14:anchorId="2AAA7D8D" wp14:editId="699F4D22">
                <wp:simplePos x="0" y="0"/>
                <wp:positionH relativeFrom="column">
                  <wp:posOffset>7538</wp:posOffset>
                </wp:positionH>
                <wp:positionV relativeFrom="paragraph">
                  <wp:posOffset>5748655</wp:posOffset>
                </wp:positionV>
                <wp:extent cx="1439545" cy="251460"/>
                <wp:effectExtent l="0" t="0" r="8255"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9545" cy="251460"/>
                        </a:xfrm>
                        <a:prstGeom prst="rect">
                          <a:avLst/>
                        </a:prstGeom>
                        <a:noFill/>
                        <a:ln w="6350">
                          <a:noFill/>
                        </a:ln>
                      </wps:spPr>
                      <wps:txbx>
                        <w:txbxContent>
                          <w:p w14:paraId="76F647FF" w14:textId="77777777" w:rsidR="00962DFB" w:rsidRDefault="00682477" w:rsidP="00C075DC">
                            <w:pPr>
                              <w:tabs>
                                <w:tab w:val="left" w:pos="4820"/>
                              </w:tabs>
                              <w:spacing w:after="0"/>
                              <w:rPr>
                                <w:rFonts w:ascii="Segoe UI Light" w:hAnsi="Segoe UI Light" w:cs="Segoe UI Light"/>
                                <w:b/>
                                <w:bCs/>
                                <w:color w:val="FFFFFF" w:themeColor="background1"/>
                                <w:sz w:val="16"/>
                                <w:szCs w:val="16"/>
                              </w:rPr>
                            </w:pPr>
                            <w:r w:rsidRPr="00682477">
                              <w:rPr>
                                <w:rFonts w:ascii="Segoe UI Light" w:hAnsi="Segoe UI Light" w:cs="Segoe UI Light"/>
                                <w:b/>
                                <w:bCs/>
                                <w:color w:val="FFFFFF" w:themeColor="background1"/>
                                <w:sz w:val="16"/>
                                <w:szCs w:val="16"/>
                              </w:rPr>
                              <w:t>Transports un uzglabāšana</w:t>
                            </w:r>
                          </w:p>
                          <w:p w14:paraId="4932AB40"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6B9766F9" w14:textId="060DBB49"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A7D8D" id="Text Box 475" o:spid="_x0000_s1072" type="#_x0000_t202" style="position:absolute;margin-left:.6pt;margin-top:452.65pt;width:113.35pt;height:19.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53JQIAAE0EAAAOAAAAZHJzL2Uyb0RvYy54bWysVEuP2yAQvlfqf0DcG+fd1oqzSneVqlK0&#10;u1K22jPBEKNihgKJnf76Dth5aNtT1QueYd7zfXhx19aaHIXzCkxBR4MhJcJwKJXZF/T7y/rDJ0p8&#10;YKZkGowo6El4erd8/27R2FyMoQJdCkcwifF5YwtahWDzLPO8EjXzA7DCoFGCq1lA1e2z0rEGs9c6&#10;Gw+H86wBV1oHXHiPtw+dkS5TfikFD09SehGILij2FtLp0rmLZ7ZcsHzvmK0U79tg/9BFzZTBopdU&#10;DywwcnDqj1S14g48yDDgUGcgpeIizYDTjIZvptlWzIo0Cy7H28ua/P9Lyx+PW/vsSGi/QIsApiG8&#10;3QD/4XE3WWN93vvEnfrco3cctJWujl8cgWAg7vZ02adoA+Ex23TyeTadUcLRNp6NpvO08OwabZ0P&#10;XwXUJAoFdYhX6oAdNz7E+iw/u8RiBtZK64SZNqQp6HwyG6aAiwUjtOkb73qNXYd21xJVFnQ6j5DH&#10;qx2UJxzcQccJb/laYRMb5sMzc0gCHAmJHZ7wkBqwGPQSJRW4X3+7j/6IDVopaZBUBfU/D8wJSvQ3&#10;g6h9RMpGFiZlMk+Ku1V2t4o51PeAvB3hE7I8iRjsgj6L0kH9ivxfxapoYoZj7YKGs3gfOqrj++Fi&#10;tUpOyDvLwsZsLT/jHVf80r4yZ3scAiL4CGf6sfwNHJ1vB8jqEECqhNV1q/3+kbMJwv59xUdxqyev&#10;619g+RsAAP//AwBQSwMEFAAGAAgAAAAhABCvl0PdAAAACQEAAA8AAABkcnMvZG93bnJldi54bWxM&#10;j8FOwzAQRO9I/IO1SFwQdRLSQkKcCgX4AAoSVzdekqjxOthOm/49ywmOszOafVNtFzuKI/owOFKQ&#10;rhIQSK0zA3UKPt5fbx9AhKjJ6NERKjhjgG19eVHp0rgTveFxFzvBJRRKraCPcSqlDG2PVoeVm5DY&#10;+3Le6sjSd9J4feJyO8osSTbS6oH4Q68nbHpsD7vZKnjOz5/pzUwv6004TN/BN6nPGqWur5anRxAR&#10;l/gXhl98RoeamfZuJhPEyDrjoIIiWd+BYD/L7gsQe77keQGyruT/BfUPAAAA//8DAFBLAQItABQA&#10;BgAIAAAAIQC2gziS/gAAAOEBAAATAAAAAAAAAAAAAAAAAAAAAABbQ29udGVudF9UeXBlc10ueG1s&#10;UEsBAi0AFAAGAAgAAAAhADj9If/WAAAAlAEAAAsAAAAAAAAAAAAAAAAALwEAAF9yZWxzLy5yZWxz&#10;UEsBAi0AFAAGAAgAAAAhADtn7nclAgAATQQAAA4AAAAAAAAAAAAAAAAALgIAAGRycy9lMm9Eb2Mu&#10;eG1sUEsBAi0AFAAGAAgAAAAhABCvl0PdAAAACQEAAA8AAAAAAAAAAAAAAAAAfwQAAGRycy9kb3du&#10;cmV2LnhtbFBLBQYAAAAABAAEAPMAAACJBQAAAAA=&#10;" filled="f" stroked="f" strokeweight=".5pt">
                <v:textbox inset="2mm,1mm,1mm,1mm">
                  <w:txbxContent>
                    <w:p w14:paraId="76F647FF" w14:textId="77777777" w:rsidR="00962DFB" w:rsidRDefault="00682477" w:rsidP="00C075DC">
                      <w:pPr>
                        <w:tabs>
                          <w:tab w:val="left" w:pos="4820"/>
                        </w:tabs>
                        <w:spacing w:after="0"/>
                        <w:rPr>
                          <w:rFonts w:ascii="Segoe UI Light" w:hAnsi="Segoe UI Light" w:cs="Segoe UI Light"/>
                          <w:b/>
                          <w:bCs/>
                          <w:color w:val="FFFFFF" w:themeColor="background1"/>
                          <w:sz w:val="16"/>
                          <w:szCs w:val="16"/>
                        </w:rPr>
                      </w:pPr>
                      <w:r w:rsidRPr="00682477">
                        <w:rPr>
                          <w:rFonts w:ascii="Segoe UI Light" w:hAnsi="Segoe UI Light" w:cs="Segoe UI Light"/>
                          <w:b/>
                          <w:bCs/>
                          <w:color w:val="FFFFFF" w:themeColor="background1"/>
                          <w:sz w:val="16"/>
                          <w:szCs w:val="16"/>
                        </w:rPr>
                        <w:t>Transports un uzglabāšana</w:t>
                      </w:r>
                    </w:p>
                    <w:p w14:paraId="4932AB40"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6B9766F9" w14:textId="060DBB49"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84" behindDoc="0" locked="0" layoutInCell="1" allowOverlap="1" wp14:anchorId="1F5EF30F" wp14:editId="189F5AE5">
                <wp:simplePos x="0" y="0"/>
                <wp:positionH relativeFrom="column">
                  <wp:posOffset>7538</wp:posOffset>
                </wp:positionH>
                <wp:positionV relativeFrom="paragraph">
                  <wp:posOffset>6730365</wp:posOffset>
                </wp:positionV>
                <wp:extent cx="1079500" cy="359410"/>
                <wp:effectExtent l="0" t="0" r="6350" b="2540"/>
                <wp:wrapNone/>
                <wp:docPr id="46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59410"/>
                        </a:xfrm>
                        <a:prstGeom prst="rect">
                          <a:avLst/>
                        </a:prstGeom>
                        <a:noFill/>
                        <a:ln w="6350">
                          <a:noFill/>
                        </a:ln>
                      </wps:spPr>
                      <wps:txbx>
                        <w:txbxContent>
                          <w:p w14:paraId="079F5592" w14:textId="75A17FDD" w:rsidR="00E12DEE"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 xml:space="preserve">Sauszemes transports </w:t>
                            </w:r>
                          </w:p>
                          <w:p w14:paraId="383DA81B" w14:textId="77777777" w:rsidR="004F2850"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3,8</w:t>
                            </w:r>
                            <w:r w:rsidR="0078653A">
                              <w:rPr>
                                <w:rFonts w:ascii="Segoe UI Light" w:hAnsi="Segoe UI Light" w:cs="Segoe UI Light"/>
                                <w:color w:val="FFFFFF" w:themeColor="background1"/>
                                <w:sz w:val="16"/>
                                <w:szCs w:val="16"/>
                              </w:rPr>
                              <w:t>%</w:t>
                            </w:r>
                          </w:p>
                          <w:p w14:paraId="447B9C60" w14:textId="1E9F6790" w:rsidR="00AF6E02" w:rsidRDefault="00AF6E02" w:rsidP="00C075DC">
                            <w:pPr>
                              <w:tabs>
                                <w:tab w:val="left" w:pos="4820"/>
                              </w:tabs>
                              <w:spacing w:after="0"/>
                              <w:rPr>
                                <w:rFonts w:ascii="Segoe UI Light" w:hAnsi="Segoe UI Light" w:cs="Segoe UI Light"/>
                                <w:color w:val="FFFFFF" w:themeColor="background1"/>
                                <w:sz w:val="16"/>
                                <w:szCs w:val="16"/>
                              </w:rPr>
                            </w:pPr>
                          </w:p>
                          <w:p w14:paraId="4A303C8B" w14:textId="3066F37E" w:rsidR="00B83D7D" w:rsidRPr="0080669C" w:rsidRDefault="00B83D7D" w:rsidP="00C075DC">
                            <w:pPr>
                              <w:tabs>
                                <w:tab w:val="left" w:pos="4820"/>
                              </w:tabs>
                              <w:spacing w:after="0"/>
                              <w:rPr>
                                <w:rFonts w:ascii="Segoe UI Light" w:hAnsi="Segoe UI Light" w:cs="Segoe UI Light"/>
                                <w:color w:val="FFFFFF" w:themeColor="background1"/>
                                <w:sz w:val="16"/>
                                <w:szCs w:val="16"/>
                              </w:rPr>
                            </w:pP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EF30F" id="Text Box 462" o:spid="_x0000_s1073" type="#_x0000_t202" style="position:absolute;margin-left:.6pt;margin-top:529.95pt;width:85pt;height:28.3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FPJAIAAE0EAAAOAAAAZHJzL2Uyb0RvYy54bWysVFtv2yAUfp+0/4B4X+w0TbpacaqsVaZJ&#10;UVspnfpMMMRomMOAxO5+/Q7Yuajb07QXfA7n/n0Hz++6RpODcF6BKel4lFMiDIdKmV1Jv7+sPn2m&#10;xAdmKqbBiJK+CU/vFh8/zFtbiCuoQVfCEUxifNHaktYh2CLLPK9Fw/wIrDBolOAaFlB1u6xyrMXs&#10;jc6u8nyWteAq64AL7/H2oTfSRcovpeDhSUovAtElxd5COl06t/HMFnNW7ByzteJDG+wfumiYMlj0&#10;lOqBBUb2Tv2RqlHcgQcZRhyaDKRUXKQZcJpx/m6aTc2sSLMgON6eYPL/Ly1/PGzssyOh+wIdEpiG&#10;8HYN/IdHbLLW+mLwiZj6wqN3HLSTrolfHIFgIGL7dsJTdIHwmC2/uZ3maOJom0xvr8cJ8OwcbZ0P&#10;XwU0JAoldchX6oAd1j7E+qw4usRiBlZK68SZNqQt6WwyzVPAyYIR2gyN973GrkO37YiqSnp9EymP&#10;V1uo3nBwB/1OeMtXCptYMx+emcMlwL5xscMTHlIDFoNBoqQG9+tv99EfuUErJS0uVUn9zz1zghL9&#10;zSBrk1ke4QiXirtUtpeK2Tf3gHs7xidkeRIx2AV9FKWD5hX3fxmrookZjrVLuj2K96FfdXw/XCyX&#10;yQn3zrKwNhvLj3xHiF+6V+bswENABh/huH6seEdH79sTstwHkCpxdUZ1wB93NlE4vK/4KC715HX+&#10;Cyx+AwAA//8DAFBLAwQUAAYACAAAACEAdOVFpt8AAAALAQAADwAAAGRycy9kb3ducmV2LnhtbEyP&#10;QU/DMAyF70j8h8hIXCaWttIKK02ngcQFCaGNHTimjddWNE7VZG3373FPcLKf/fT8Od/NthMjDr51&#10;pCBeRyCQKmdaqhWcvt4enkD4oMnozhEquKKHXXF7k+vMuIkOOB5DLTiEfKYVNCH0mZS+atBqv3Y9&#10;Eu/ObrA6sBxqaQY9cbjtZBJFqbS6Jb7Q6B5fG6x+jher4DNJv1s6nyazGst29XL9oP17UOr+bt4/&#10;gwg4hz8zLPiMDgUzle5CxouOdcJGLtFmuwWxGB6XUclNHKcbkEUu//9Q/AIAAP//AwBQSwECLQAU&#10;AAYACAAAACEAtoM4kv4AAADhAQAAEwAAAAAAAAAAAAAAAAAAAAAAW0NvbnRlbnRfVHlwZXNdLnht&#10;bFBLAQItABQABgAIAAAAIQA4/SH/1gAAAJQBAAALAAAAAAAAAAAAAAAAAC8BAABfcmVscy8ucmVs&#10;c1BLAQItABQABgAIAAAAIQAoGoFPJAIAAE0EAAAOAAAAAAAAAAAAAAAAAC4CAABkcnMvZTJvRG9j&#10;LnhtbFBLAQItABQABgAIAAAAIQB05UWm3wAAAAsBAAAPAAAAAAAAAAAAAAAAAH4EAABkcnMvZG93&#10;bnJldi54bWxQSwUGAAAAAAQABADzAAAAigUAAAAA&#10;" filled="f" stroked="f" strokeweight=".5pt">
                <v:textbox inset="1mm,1mm,1mm,1mm">
                  <w:txbxContent>
                    <w:p w14:paraId="079F5592" w14:textId="75A17FDD" w:rsidR="00E12DEE"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 xml:space="preserve">Sauszemes transports </w:t>
                      </w:r>
                    </w:p>
                    <w:p w14:paraId="383DA81B" w14:textId="77777777" w:rsidR="004F2850" w:rsidRDefault="00757D2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3,8</w:t>
                      </w:r>
                      <w:r w:rsidR="0078653A">
                        <w:rPr>
                          <w:rFonts w:ascii="Segoe UI Light" w:hAnsi="Segoe UI Light" w:cs="Segoe UI Light"/>
                          <w:color w:val="FFFFFF" w:themeColor="background1"/>
                          <w:sz w:val="16"/>
                          <w:szCs w:val="16"/>
                        </w:rPr>
                        <w:t>%</w:t>
                      </w:r>
                    </w:p>
                    <w:p w14:paraId="447B9C60" w14:textId="1E9F6790" w:rsidR="00AF6E02" w:rsidRDefault="00AF6E02" w:rsidP="00C075DC">
                      <w:pPr>
                        <w:tabs>
                          <w:tab w:val="left" w:pos="4820"/>
                        </w:tabs>
                        <w:spacing w:after="0"/>
                        <w:rPr>
                          <w:rFonts w:ascii="Segoe UI Light" w:hAnsi="Segoe UI Light" w:cs="Segoe UI Light"/>
                          <w:color w:val="FFFFFF" w:themeColor="background1"/>
                          <w:sz w:val="16"/>
                          <w:szCs w:val="16"/>
                        </w:rPr>
                      </w:pPr>
                    </w:p>
                    <w:p w14:paraId="4A303C8B" w14:textId="3066F37E" w:rsidR="00B83D7D" w:rsidRPr="0080669C" w:rsidRDefault="00B83D7D" w:rsidP="00C075DC">
                      <w:pPr>
                        <w:tabs>
                          <w:tab w:val="left" w:pos="4820"/>
                        </w:tabs>
                        <w:spacing w:after="0"/>
                        <w:rPr>
                          <w:rFonts w:ascii="Segoe UI Light" w:hAnsi="Segoe UI Light" w:cs="Segoe UI Light"/>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02" behindDoc="0" locked="0" layoutInCell="1" allowOverlap="1" wp14:anchorId="3C0B5E72" wp14:editId="1B331E8C">
                <wp:simplePos x="0" y="0"/>
                <wp:positionH relativeFrom="column">
                  <wp:posOffset>3259455</wp:posOffset>
                </wp:positionH>
                <wp:positionV relativeFrom="paragraph">
                  <wp:posOffset>3736258</wp:posOffset>
                </wp:positionV>
                <wp:extent cx="1007745" cy="339448"/>
                <wp:effectExtent l="0" t="0" r="1905" b="3810"/>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339448"/>
                        </a:xfrm>
                        <a:prstGeom prst="rect">
                          <a:avLst/>
                        </a:prstGeom>
                        <a:noFill/>
                        <a:ln w="6350">
                          <a:noFill/>
                        </a:ln>
                      </wps:spPr>
                      <wps:txbx>
                        <w:txbxContent>
                          <w:p w14:paraId="3ABCB492" w14:textId="364EF4B0" w:rsidR="00B83D7D"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Veselības aizsardzība</w:t>
                            </w:r>
                          </w:p>
                          <w:p w14:paraId="46523DD5" w14:textId="6A0EFE49" w:rsidR="00B83D7D" w:rsidRPr="0080669C"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B5E72" id="Text Box 464" o:spid="_x0000_s1074" type="#_x0000_t202" style="position:absolute;margin-left:256.65pt;margin-top:294.2pt;width:79.35pt;height:26.7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JAIAAE0EAAAOAAAAZHJzL2Uyb0RvYy54bWysVF1v2yAUfZ+0/4B4X+w0adpZcaqsVaZJ&#10;UVspnfpMMMRomMuAxO5+/S7Y+VC3p2kvmMu93I9zDp7fdY0mB+G8AlPS8SinRBgOlTK7kn5/WX26&#10;pcQHZiqmwYiSvglP7xYfP8xbW4grqEFXwhFMYnzR2pLWIdgiyzyvRcP8CKww6JTgGhbQdLuscqzF&#10;7I3OrvJ8lrXgKuuAC+/x9KF30kXKL6Xg4UlKLwLRJcXeQlpdWrdxzRZzVuwcs7XiQxvsH7pomDJY&#10;9JTqgQVG9k79kapR3IEHGUYcmgykVFykGXCacf5umk3NrEizIDjenmDy/y8tfzxs7LMjofsCHRKY&#10;hvB2DfyHR2yy1vpiiImY+sJjdBy0k66JXxyB4EXE9u2Ep+gC4TFbnt/cTK8p4eibTD5Pp7cR8Ox8&#10;2zofvgpoSNyU1CFfqQN2WPvQhx5DYjEDK6V14kwb0pZ0NrnO04WTB5NrMzTe9xq7Dt22I6oqad9B&#10;PNpC9YaDO+g14S1fKWxizXx4Zg5FgCOhsMMTLlIDFoNhR0kN7tffzmM8coNeSloUVUn9zz1zghL9&#10;zSBrk1meRxVeGu7S2F4aZt/cA+p2jE/I8rTFyy7o41Y6aF5R/8tYFV3McKxd0u1xex96qeP74WK5&#10;TEGoO8vC2mwsP/IdIX7pXpmzAw8BGXyEo/xY8Y6OPrYnZLkPIFXi6ozqgD9qNrE9vK/4KC7tFHX+&#10;Cyx+AwAA//8DAFBLAwQUAAYACAAAACEAI9xv9OEAAAALAQAADwAAAGRycy9kb3ducmV2LnhtbEyP&#10;wU7DMBBE70j8g7VIXCrqJC1pCHGqgsQFqUK0PXB0YjexiNdR7Cbp37Oc4DajfZqdKbaz7dioB28c&#10;CoiXETCNtVMGGwGn49tDBswHiUp2DrWAq/awLW9vCpkrN+GnHg+hYRSCPpcC2hD6nHNft9pKv3S9&#10;Rrqd3WBlIDs0XA1yonDb8SSKUm6lQfrQyl6/trr+PlysgI8k/TJ4Pk1qMVZm8XLd4+49CHF/N++e&#10;gQU9hz8YfutTdSipU+UuqDzrBDzGqxWhJLJsDYyIdJPQuorEOn4CXhb8/4byBwAA//8DAFBLAQIt&#10;ABQABgAIAAAAIQC2gziS/gAAAOEBAAATAAAAAAAAAAAAAAAAAAAAAABbQ29udGVudF9UeXBlc10u&#10;eG1sUEsBAi0AFAAGAAgAAAAhADj9If/WAAAAlAEAAAsAAAAAAAAAAAAAAAAALwEAAF9yZWxzLy5y&#10;ZWxzUEsBAi0AFAAGAAgAAAAhAD5kND4kAgAATQQAAA4AAAAAAAAAAAAAAAAALgIAAGRycy9lMm9E&#10;b2MueG1sUEsBAi0AFAAGAAgAAAAhACPcb/ThAAAACwEAAA8AAAAAAAAAAAAAAAAAfgQAAGRycy9k&#10;b3ducmV2LnhtbFBLBQYAAAAABAAEAPMAAACMBQAAAAA=&#10;" filled="f" stroked="f" strokeweight=".5pt">
                <v:textbox inset="1mm,1mm,1mm,1mm">
                  <w:txbxContent>
                    <w:p w14:paraId="3ABCB492" w14:textId="364EF4B0" w:rsidR="00B83D7D"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Veselības aizsardzība</w:t>
                      </w:r>
                    </w:p>
                    <w:p w14:paraId="46523DD5" w14:textId="6A0EFE49" w:rsidR="00B83D7D" w:rsidRPr="0080669C" w:rsidRDefault="00772BB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66" behindDoc="0" locked="0" layoutInCell="1" allowOverlap="1" wp14:anchorId="1327A040" wp14:editId="723B8459">
                <wp:simplePos x="0" y="0"/>
                <wp:positionH relativeFrom="column">
                  <wp:posOffset>3259373</wp:posOffset>
                </wp:positionH>
                <wp:positionV relativeFrom="paragraph">
                  <wp:posOffset>2653030</wp:posOffset>
                </wp:positionV>
                <wp:extent cx="1079500" cy="359410"/>
                <wp:effectExtent l="0" t="0" r="6350" b="2540"/>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59410"/>
                        </a:xfrm>
                        <a:prstGeom prst="rect">
                          <a:avLst/>
                        </a:prstGeom>
                        <a:noFill/>
                        <a:ln w="6350">
                          <a:noFill/>
                        </a:ln>
                      </wps:spPr>
                      <wps:txbx>
                        <w:txbxContent>
                          <w:p w14:paraId="3BFEFFCC" w14:textId="77777777" w:rsidR="00962DFB" w:rsidRDefault="0093490F" w:rsidP="00C075DC">
                            <w:pPr>
                              <w:tabs>
                                <w:tab w:val="left" w:pos="4820"/>
                              </w:tabs>
                              <w:spacing w:after="0"/>
                              <w:rPr>
                                <w:rFonts w:ascii="Segoe UI Light" w:hAnsi="Segoe UI Light" w:cs="Segoe UI Light"/>
                                <w:b/>
                                <w:bCs/>
                                <w:color w:val="FFFFFF" w:themeColor="background1"/>
                                <w:sz w:val="16"/>
                                <w:szCs w:val="16"/>
                              </w:rPr>
                            </w:pPr>
                            <w:r w:rsidRPr="0093490F">
                              <w:rPr>
                                <w:rFonts w:ascii="Segoe UI Light" w:hAnsi="Segoe UI Light" w:cs="Segoe UI Light"/>
                                <w:b/>
                                <w:bCs/>
                                <w:color w:val="FFFFFF" w:themeColor="background1"/>
                                <w:sz w:val="16"/>
                                <w:szCs w:val="16"/>
                              </w:rPr>
                              <w:t>Veselība un sociālā aprūpe</w:t>
                            </w:r>
                          </w:p>
                          <w:p w14:paraId="08F6819A"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596CCFCC" w14:textId="57D69684"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7A040" id="Text Box 502" o:spid="_x0000_s1075" type="#_x0000_t202" style="position:absolute;margin-left:256.65pt;margin-top:208.9pt;width:85pt;height:28.3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C+JgIAAE0EAAAOAAAAZHJzL2Uyb0RvYy54bWysVN9v2jAQfp+0/8Hy+0gohY6IULFWTJNQ&#10;W4lOfTaOTaI5Ps82JOyv39lJAHV7mvbi3Pl+3/c5i/u2VuQorKtA53Q8SikRmkNR6X1Ov7+uP32m&#10;xHmmC6ZAi5yehKP3y48fFo3JxA2UoAphCSbRLmtMTkvvTZYkjpeiZm4ERmg0SrA186jafVJY1mD2&#10;WiU3aTpLGrCFscCFc3j72BnpMuaXUnD/LKUTnqicYm8+njaeu3AmywXL9paZsuJ9G+wfuqhZpbHo&#10;OdUj84wcbPVHqrriFhxIP+JQJyBlxUWcAacZp++m2ZbMiDgLLseZ85rc/0vLn45b82KJb79AiwDG&#10;IZzZAP/hcDdJY1zW+4Sdusyhdxi0lbYOXxyBYCDu9nTep2g94SFbejefpmjiaJtM57fjuPDkEm2s&#10;818F1CQIObWIV+yAHTfOh/osG1xCMQ3rSqmImdKkyelsMk1jwNmCEUr3jXe9hq59u2tJVeT0dh4g&#10;D1c7KE44uIWOE87wdYVNbJjzL8wiCbBvJLZ/xkMqwGLQS5SUYH/97T74IzZopaRBUuXU/TwwKyhR&#10;3zSidoeUDSyMymQWFXut7K4VfagfAHk7xidkeBQx2Ho1iNJC/Yb8X4WqaGKaY+2c+kF88B3V8f1w&#10;sVpFJ+SdYX6jt4YPeIcVv7ZvzJoeB48IPsFAP5a9g6Pz7QBZHTzIKmJ12Wq/f+RshLB/X+FRXOvR&#10;6/IXWP4GAAD//wMAUEsDBBQABgAIAAAAIQCZvNkJ3gAAAAsBAAAPAAAAZHJzL2Rvd25yZXYueG1s&#10;TI9NTsMwEIX3SNzBGiQ2iDpp07QKcSoU4AAUJLZuPCRR43GwnTa9PdMVLOfNp/dT7mY7iBP60DtS&#10;kC4SEEiNMz21Cj4/3h63IELUZPTgCBVcMMCuur0pdWHcmd7xtI+tYBMKhVbQxTgWUoamQ6vDwo1I&#10;/Pt23urIp2+l8frM5naQyyTJpdU9cUKnR6w7bI77ySp4yS5f6cNEr+s8HMef4OvUL2ul7u/m5ycQ&#10;Eef4B8O1PleHijsd3EQmiEHBOl2tGFWQpRvewES+vSoHVjZZBrIq5f8N1S8AAAD//wMAUEsBAi0A&#10;FAAGAAgAAAAhALaDOJL+AAAA4QEAABMAAAAAAAAAAAAAAAAAAAAAAFtDb250ZW50X1R5cGVzXS54&#10;bWxQSwECLQAUAAYACAAAACEAOP0h/9YAAACUAQAACwAAAAAAAAAAAAAAAAAvAQAAX3JlbHMvLnJl&#10;bHNQSwECLQAUAAYACAAAACEATSOAviYCAABNBAAADgAAAAAAAAAAAAAAAAAuAgAAZHJzL2Uyb0Rv&#10;Yy54bWxQSwECLQAUAAYACAAAACEAmbzZCd4AAAALAQAADwAAAAAAAAAAAAAAAACABAAAZHJzL2Rv&#10;d25yZXYueG1sUEsFBgAAAAAEAAQA8wAAAIsFAAAAAA==&#10;" filled="f" stroked="f" strokeweight=".5pt">
                <v:textbox inset="2mm,1mm,1mm,1mm">
                  <w:txbxContent>
                    <w:p w14:paraId="3BFEFFCC" w14:textId="77777777" w:rsidR="00962DFB" w:rsidRDefault="0093490F" w:rsidP="00C075DC">
                      <w:pPr>
                        <w:tabs>
                          <w:tab w:val="left" w:pos="4820"/>
                        </w:tabs>
                        <w:spacing w:after="0"/>
                        <w:rPr>
                          <w:rFonts w:ascii="Segoe UI Light" w:hAnsi="Segoe UI Light" w:cs="Segoe UI Light"/>
                          <w:b/>
                          <w:bCs/>
                          <w:color w:val="FFFFFF" w:themeColor="background1"/>
                          <w:sz w:val="16"/>
                          <w:szCs w:val="16"/>
                        </w:rPr>
                      </w:pPr>
                      <w:r w:rsidRPr="0093490F">
                        <w:rPr>
                          <w:rFonts w:ascii="Segoe UI Light" w:hAnsi="Segoe UI Light" w:cs="Segoe UI Light"/>
                          <w:b/>
                          <w:bCs/>
                          <w:color w:val="FFFFFF" w:themeColor="background1"/>
                          <w:sz w:val="16"/>
                          <w:szCs w:val="16"/>
                        </w:rPr>
                        <w:t>Veselība un sociālā aprūpe</w:t>
                      </w:r>
                    </w:p>
                    <w:p w14:paraId="08F6819A"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596CCFCC" w14:textId="57D69684"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89" behindDoc="0" locked="0" layoutInCell="1" allowOverlap="1" wp14:anchorId="70514703" wp14:editId="791E2184">
                <wp:simplePos x="0" y="0"/>
                <wp:positionH relativeFrom="column">
                  <wp:posOffset>1204840</wp:posOffset>
                </wp:positionH>
                <wp:positionV relativeFrom="paragraph">
                  <wp:posOffset>4880428</wp:posOffset>
                </wp:positionV>
                <wp:extent cx="611084" cy="486158"/>
                <wp:effectExtent l="0" t="0" r="0" b="9525"/>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084" cy="486158"/>
                        </a:xfrm>
                        <a:prstGeom prst="rect">
                          <a:avLst/>
                        </a:prstGeom>
                        <a:noFill/>
                        <a:ln w="6350">
                          <a:noFill/>
                        </a:ln>
                      </wps:spPr>
                      <wps:txbx>
                        <w:txbxContent>
                          <w:p w14:paraId="69E68D41" w14:textId="28762ED3" w:rsidR="00B83D7D"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Telekomu-nikācija</w:t>
                            </w:r>
                          </w:p>
                          <w:p w14:paraId="7835591B" w14:textId="4FCDE279" w:rsidR="00B83D7D" w:rsidRPr="0080669C"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14703" id="Text Box 465" o:spid="_x0000_s1076" type="#_x0000_t202" style="position:absolute;margin-left:94.85pt;margin-top:384.3pt;width:48.1pt;height:38.3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zd3IgIAAEwEAAAOAAAAZHJzL2Uyb0RvYy54bWysVMlu2zAQvRfoPxC815KyGIZgOXATuChg&#10;JAGcIGeaIi2iFIclaUvp13dIyQvSnopeqBnOPu9R87u+1eQgnFdgKlpMckqE4VArs6vo68vqy4wS&#10;H5ipmQYjKvouPL1bfP4072wprqABXQtHMInxZWcr2oRgyyzzvBEt8xOwwqBRgmtZQNXtstqxDrO3&#10;OrvK82nWgautAy68x9uHwUgXKb+UgocnKb0IRFcUewvpdOncxjNbzFm5c8w2io9tsH/oomXKYNFT&#10;qgcWGNk79UeqVnEHHmSYcGgzkFJxkWbAaYr8wzSbhlmRZsHleHtak/9/afnjYWOfHQn9V+gRwDSE&#10;t2vgPzzuJuusL0efuFNfevSOg/bStfGLIxAMxN2+n/Yp+kA4Xk6LIp/dUMLRdDObFrezuO/sHGyd&#10;D98EtCQKFXUIV2qAHdY+DK5Hl1jLwEppnSDThnRY4Po2TwEnCybXZux7aDU2HfptT1RdUXTH8Hi1&#10;hfod53YwUMJbvlLYxJr58MwccgAnQl6HJzykBiwGo0RJA+7X3+6jP0KDVko65FRF/c89c4IS/d0g&#10;aNfTPI8kvFTcpbK9VMy+vQekbYEvyPIkYrAL+ihKB+0b0n8Zq6KJGY61K7o9ivdhYDo+Hy6Wy+SE&#10;tLMsrM3G8iPcccUv/RtzdsQhIICPcGQfKz/AMfgOgCz3AaRKWJ23Ou4fKZvQHp9XfBOXevI6/wQW&#10;vwEAAP//AwBQSwMEFAAGAAgAAAAhAPCptvnhAAAACwEAAA8AAABkcnMvZG93bnJldi54bWxMj8FO&#10;wzAQRO9I/IO1SFwq6hDR1E3jVAWJCxJClB56dOJtYhGvo9hN0r/HnOA42qeZt8Vuth0bcfDGkYTH&#10;ZQIMqXbaUCPh+PX6IID5oEirzhFKuKKHXXl7U6hcu4k+cTyEhsUS8rmS0IbQ55z7ukWr/NL1SPF2&#10;doNVIcah4XpQUyy3HU+TJONWGYoLrerxpcX6+3CxEj7S7GTofJz0YqzM4vn6Tvu3IOX93bzfAgs4&#10;hz8YfvWjOpTRqXIX0p51MYvNOqIS1pnIgEUiFasNsEqCeFqlwMuC//+h/AEAAP//AwBQSwECLQAU&#10;AAYACAAAACEAtoM4kv4AAADhAQAAEwAAAAAAAAAAAAAAAAAAAAAAW0NvbnRlbnRfVHlwZXNdLnht&#10;bFBLAQItABQABgAIAAAAIQA4/SH/1gAAAJQBAAALAAAAAAAAAAAAAAAAAC8BAABfcmVscy8ucmVs&#10;c1BLAQItABQABgAIAAAAIQB7Hzd3IgIAAEwEAAAOAAAAAAAAAAAAAAAAAC4CAABkcnMvZTJvRG9j&#10;LnhtbFBLAQItABQABgAIAAAAIQDwqbb54QAAAAsBAAAPAAAAAAAAAAAAAAAAAHwEAABkcnMvZG93&#10;bnJldi54bWxQSwUGAAAAAAQABADzAAAAigUAAAAA&#10;" filled="f" stroked="f" strokeweight=".5pt">
                <v:textbox inset="1mm,1mm,1mm,1mm">
                  <w:txbxContent>
                    <w:p w14:paraId="69E68D41" w14:textId="28762ED3" w:rsidR="00B83D7D"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Telekomu-nikācija</w:t>
                      </w:r>
                    </w:p>
                    <w:p w14:paraId="7835591B" w14:textId="4FCDE279" w:rsidR="00B83D7D" w:rsidRPr="0080669C"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1,8%</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90" behindDoc="0" locked="0" layoutInCell="1" allowOverlap="1" wp14:anchorId="13F8C6A8" wp14:editId="49E9DEB1">
                <wp:simplePos x="0" y="0"/>
                <wp:positionH relativeFrom="column">
                  <wp:posOffset>1205230</wp:posOffset>
                </wp:positionH>
                <wp:positionV relativeFrom="paragraph">
                  <wp:posOffset>5387893</wp:posOffset>
                </wp:positionV>
                <wp:extent cx="395605" cy="359410"/>
                <wp:effectExtent l="0" t="0" r="4445" b="2540"/>
                <wp:wrapNone/>
                <wp:docPr id="466"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 cy="359410"/>
                        </a:xfrm>
                        <a:prstGeom prst="rect">
                          <a:avLst/>
                        </a:prstGeom>
                        <a:noFill/>
                        <a:ln w="6350">
                          <a:noFill/>
                        </a:ln>
                      </wps:spPr>
                      <wps:txbx>
                        <w:txbxContent>
                          <w:p w14:paraId="62360C2C" w14:textId="77777777" w:rsidR="00AA3331"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J58-60</w:t>
                            </w:r>
                          </w:p>
                          <w:p w14:paraId="60754ECA" w14:textId="166600B6" w:rsidR="00B83D7D" w:rsidRPr="0080669C"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8C6A8" id="Text Box 466" o:spid="_x0000_s1077" type="#_x0000_t202" style="position:absolute;margin-left:94.9pt;margin-top:424.25pt;width:31.15pt;height:28.3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rJAIAAEwEAAAOAAAAZHJzL2Uyb0RvYy54bWysVFtv2yAUfp+0/4B4X+w0S7RacaqsVaZJ&#10;UVsprfpMMMRomMOAxM5+/Q7Yuajb07QXfA7nfr4Pz++6RpODcF6BKel4lFMiDIdKmV1JX19Wn75Q&#10;4gMzFdNgREmPwtO7xccP89YW4gZq0JVwBJMYX7S2pHUItsgyz2vRMD8CKwwaJbiGBVTdLqscazF7&#10;o7ObPJ9lLbjKOuDCe7x96I10kfJLKXh4ktKLQHRJsbeQTpfObTyzxZwVO8dsrfjQBvuHLhqmDBY9&#10;p3pggZG9U3+kahR34EGGEYcmAykVF2kGnGacv5tmUzMr0iy4HG/Pa/L/Ly1/PGzssyOh+wodApiG&#10;8HYN/IfH3WSt9cXgE3fqC4/ecdBOuiZ+cQSCgbjb43mfoguE4+XkdjrLp5RwNE2mt5/Had/ZJdg6&#10;H74JaEgUSuoQrtQAO6x9iOVZcXKJtQyslNYJMm1IW9LZZJqngLMFI7QZ+u5bjU2HbtsRVZV0Oo6I&#10;x6stVEec20FPCW/5SmETa+bDM3PIAZwIeR2e8JAasBgMEiU1uF9/u4/+CA1aKWmRUyX1P/fMCUr0&#10;d4OgTWZ5Hkl4rbhrZXutmH1zD0jbMb4gy5OIwS7okygdNG9I/2WsiiZmONYu6fYk3oee6fh8uFgu&#10;kxPSzrKwNhvLT3DHFb90b8zZAYeAAD7CiX2seAdH79sDstwHkCphddnqsH+kbIJweF7xTVzryevy&#10;E1j8BgAA//8DAFBLAwQUAAYACAAAACEAZpHz/uEAAAALAQAADwAAAGRycy9kb3ducmV2LnhtbEyP&#10;QUvDQBSE74L/YXmCl2I3CaakMZtSBS+CiLUHj5vsaxLMvg3ZbZL+e58nexxmmPmm2C22FxOOvnOk&#10;IF5HIJBqZzpqFBy/Xh8yED5oMrp3hAou6GFX3t4UOjdupk+cDqERXEI+1wraEIZcSl+3aLVfuwGJ&#10;vZMbrQ4sx0aaUc9cbnuZRNFGWt0RL7R6wJcW65/D2Sr4SDbfHZ2Os1lNVbd6vrzT/i0odX+37J9A&#10;BFzCfxj+8BkdSmaq3JmMFz3rbMvoQUH2mKUgOJGkSQyiUrCN0hhkWcjrD+UvAAAA//8DAFBLAQIt&#10;ABQABgAIAAAAIQC2gziS/gAAAOEBAAATAAAAAAAAAAAAAAAAAAAAAABbQ29udGVudF9UeXBlc10u&#10;eG1sUEsBAi0AFAAGAAgAAAAhADj9If/WAAAAlAEAAAsAAAAAAAAAAAAAAAAALwEAAF9yZWxzLy5y&#10;ZWxzUEsBAi0AFAAGAAgAAAAhAKRU7+skAgAATAQAAA4AAAAAAAAAAAAAAAAALgIAAGRycy9lMm9E&#10;b2MueG1sUEsBAi0AFAAGAAgAAAAhAGaR8/7hAAAACwEAAA8AAAAAAAAAAAAAAAAAfgQAAGRycy9k&#10;b3ducmV2LnhtbFBLBQYAAAAABAAEAPMAAACMBQAAAAA=&#10;" filled="f" stroked="f" strokeweight=".5pt">
                <v:textbox inset="1mm,1mm,1mm,1mm">
                  <w:txbxContent>
                    <w:p w14:paraId="62360C2C" w14:textId="77777777" w:rsidR="00AA3331" w:rsidRDefault="00AA3331"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J58-60</w:t>
                      </w:r>
                    </w:p>
                    <w:p w14:paraId="60754ECA" w14:textId="166600B6" w:rsidR="00B83D7D" w:rsidRPr="0080669C"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0,6%</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88" behindDoc="0" locked="0" layoutInCell="1" allowOverlap="1" wp14:anchorId="2C1106F7" wp14:editId="24450354">
                <wp:simplePos x="0" y="0"/>
                <wp:positionH relativeFrom="column">
                  <wp:posOffset>10795</wp:posOffset>
                </wp:positionH>
                <wp:positionV relativeFrom="paragraph">
                  <wp:posOffset>5386787</wp:posOffset>
                </wp:positionV>
                <wp:extent cx="1079500" cy="359410"/>
                <wp:effectExtent l="0" t="0" r="6350" b="2540"/>
                <wp:wrapNone/>
                <wp:docPr id="467"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59410"/>
                        </a:xfrm>
                        <a:prstGeom prst="rect">
                          <a:avLst/>
                        </a:prstGeom>
                        <a:noFill/>
                        <a:ln w="6350">
                          <a:noFill/>
                        </a:ln>
                      </wps:spPr>
                      <wps:txbx>
                        <w:txbxContent>
                          <w:p w14:paraId="68B960FF" w14:textId="25146B72" w:rsidR="00B83D7D"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Datorprogrammēšana</w:t>
                            </w:r>
                          </w:p>
                          <w:p w14:paraId="6B6905EE" w14:textId="75E354A5" w:rsidR="00B83D7D" w:rsidRPr="0080669C"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106F7" id="Text Box 467" o:spid="_x0000_s1078" type="#_x0000_t202" style="position:absolute;margin-left:.85pt;margin-top:424.15pt;width:85pt;height:28.3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25JAIAAE0EAAAOAAAAZHJzL2Uyb0RvYy54bWysVEuP2yAQvlfqf0DcGztJk3atOKt0V6kq&#10;RbsrZas9EwwxKmYokNjbX98BOw9te6p6wTPM+/sGL267RpOjcF6BKel4lFMiDIdKmX1Jvz+vP3ym&#10;xAdmKqbBiJK+Ck9vl+/fLVpbiAnUoCvhCCYxvmhtSesQbJFlnteiYX4EVhg0SnANC6i6fVY51mL2&#10;RmeTPJ9nLbjKOuDCe7y97410mfJLKXh4lNKLQHRJsbeQTpfOXTyz5YIVe8dsrfjQBvuHLhqmDBY9&#10;p7pngZGDU3+kahR34EGGEYcmAykVF2kGnGacv5lmWzMr0iwIjrdnmPz/S8sfjlv75EjovkCHBKYh&#10;vN0A/+ERm6y1vhh8Iqa+8OgdB+2ka+IXRyAYiNi+nvEUXSA8Zss/3cxyNHG0TWc3H8cJ8OwSbZ0P&#10;XwU0JAoldchX6oAdNz7E+qw4ucRiBtZK68SZNqQt6Xw6y1PA2YIR2gyN973GrkO364iqSjqbRMrj&#10;1Q6qVxzcQb8T3vK1wiY2zIcn5nAJsG9c7PCIh9SAxWCQKKnB/frbffRHbtBKSYtLVVL/88CcoER/&#10;M8jadJ5HOMK14q6V3bViDs0d4N6O8QlZnkQMdkGfROmgecH9X8WqaGKGY+2S7k7iXehXHd8PF6tV&#10;csK9syxszNbyE98R4ufuhTk78BCQwQc4rR8r3tDR+/aErA4BpEpcXVAd8MedTRQO7ys+ims9eV3+&#10;AsvfAAAA//8DAFBLAwQUAAYACAAAACEAHnhB9d8AAAAJAQAADwAAAGRycy9kb3ducmV2LnhtbEyP&#10;zW7CMBCE75X6DtZW6gUVB4oghDgIKvVSqUL8HHp04iWxiNdRbJLw9nVO7XF2RrPfpNvB1KzD1mlL&#10;AmbTCBhSYZWmUsDl/PkWA3NekpK1JRTwQAfb7PkplYmyPR2xO/mShRJyiRRQed8knLuiQiPd1DZI&#10;wbva1kgfZFty1co+lJuaz6NoyY3UFD5UssGPCovb6W4EHObLH03XS68mXa4n+8c37b68EK8vw24D&#10;zOPg/8Iw4gd0yAJTbu+kHKuDXoWggHgRvwMb/dV4yQWso8UaeJby/wuyXwAAAP//AwBQSwECLQAU&#10;AAYACAAAACEAtoM4kv4AAADhAQAAEwAAAAAAAAAAAAAAAAAAAAAAW0NvbnRlbnRfVHlwZXNdLnht&#10;bFBLAQItABQABgAIAAAAIQA4/SH/1gAAAJQBAAALAAAAAAAAAAAAAAAAAC8BAABfcmVscy8ucmVs&#10;c1BLAQItABQABgAIAAAAIQA2Tn25JAIAAE0EAAAOAAAAAAAAAAAAAAAAAC4CAABkcnMvZTJvRG9j&#10;LnhtbFBLAQItABQABgAIAAAAIQAeeEH13wAAAAkBAAAPAAAAAAAAAAAAAAAAAH4EAABkcnMvZG93&#10;bnJldi54bWxQSwUGAAAAAAQABADzAAAAigUAAAAA&#10;" filled="f" stroked="f" strokeweight=".5pt">
                <v:textbox inset="1mm,1mm,1mm,1mm">
                  <w:txbxContent>
                    <w:p w14:paraId="68B960FF" w14:textId="25146B72" w:rsidR="00B83D7D"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Datorprogrammēšana</w:t>
                      </w:r>
                    </w:p>
                    <w:p w14:paraId="6B6905EE" w14:textId="75E354A5" w:rsidR="00B83D7D" w:rsidRPr="0080669C" w:rsidRDefault="00075457"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4,5%</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60" behindDoc="0" locked="0" layoutInCell="1" allowOverlap="1" wp14:anchorId="069D7FF1" wp14:editId="6341EC88">
                <wp:simplePos x="0" y="0"/>
                <wp:positionH relativeFrom="column">
                  <wp:posOffset>4998</wp:posOffset>
                </wp:positionH>
                <wp:positionV relativeFrom="paragraph">
                  <wp:posOffset>4245610</wp:posOffset>
                </wp:positionV>
                <wp:extent cx="1439545" cy="359410"/>
                <wp:effectExtent l="0" t="0" r="8255" b="2540"/>
                <wp:wrapNone/>
                <wp:docPr id="481"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9545" cy="359410"/>
                        </a:xfrm>
                        <a:prstGeom prst="rect">
                          <a:avLst/>
                        </a:prstGeom>
                        <a:noFill/>
                        <a:ln w="6350">
                          <a:noFill/>
                        </a:ln>
                      </wps:spPr>
                      <wps:txbx>
                        <w:txbxContent>
                          <w:p w14:paraId="0C5A75D1" w14:textId="77777777" w:rsidR="00962DFB" w:rsidRDefault="00E5255C"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Informācijas un komunikācijas pakalpojumi</w:t>
                            </w:r>
                          </w:p>
                          <w:p w14:paraId="47C38029"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4C324809" w14:textId="5E592C3B"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D7FF1" id="Text Box 481" o:spid="_x0000_s1079" type="#_x0000_t202" style="position:absolute;margin-left:.4pt;margin-top:334.3pt;width:113.35pt;height:28.3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6vUJwIAAE0EAAAOAAAAZHJzL2Uyb0RvYy54bWysVMlu2zAQvRfoPxC817LjpYlgOXATuChg&#10;JAGcImeaIi2hJIclaUvu13dIyQvSnopeqBnOPu9R8/tWK3IQztdgCjoaDCkRhkNZm11Bv7+uPt1S&#10;4gMzJVNgREGPwtP7xccP88bm4gYqUKVwBJMYnze2oFUINs8yzyuhmR+AFQaNEpxmAVW3y0rHGsyu&#10;VXYzHM6yBlxpHXDhPd4+dka6SPmlFDw8S+lFIKqg2FtIp0vnNp7ZYs7ynWO2qnnfBvuHLjSrDRY9&#10;p3pkgZG9q/9IpWvuwIMMAw46AylrLtIMOM1o+G6aTcWsSLPgcrw9r8n/v7T86bCxL46E9gu0CGAa&#10;wts18B8ed5M11ue9T9ypzz16x0Fb6XT84ggEA3G3x/M+RRsIj9km47vpZEoJR9t4ejcZpYVnl2jr&#10;fPgqQJMoFNQhXqkDdlj7EOuz/OQSixlY1UolzJQhTUFn4+kwBZwtGKFM33jXa+w6tNuW1GVBp+MI&#10;ebzaQnnEwR10nPCWr2psYs18eGEOSYAjIbHDMx5SARaDXqKkAvfrb/fRH7FBKyUNkqqg/ueeOUGJ&#10;+mYQtc9I2cjCpIxnSXHXyvZaMXv9AMjbET4hy5OIwS6okygd6Dfk/zJWRRMzHGsXNJzEh9BRHd8P&#10;F8tlckLeWRbWZmP5Ce+44tf2jTnb4xAQwSc40Y/l7+DofDtAlvsAsk5YXbba7x85myDs31d8FNd6&#10;8rr8BRa/AQAA//8DAFBLAwQUAAYACAAAACEANyBwaNwAAAAIAQAADwAAAGRycy9kb3ducmV2Lnht&#10;bEyPwU7DMBBE70j8g7VIXBB1YhG3SuNUKMAHUJC4uvE2iRqvg+206d9jTnAczWjmTbVb7MjO6MPg&#10;SEG+yoAhtc4M1Cn4/Hh73AALUZPRoyNUcMUAu/r2ptKlcRd6x/M+diyVUCi1gj7GqeQ8tD1aHVZu&#10;Qkre0XmrY5K+48brSyq3IxdZJrnVA6WFXk/Y9Nie9rNV8PJ0/cofZnotZDhN38E3uReNUvd3y/MW&#10;WMQl/oXhFz+hQ52YDm4mE9ioIHFHBVJuJLBkC7EugB0UrEUhgNcV/3+g/gEAAP//AwBQSwECLQAU&#10;AAYACAAAACEAtoM4kv4AAADhAQAAEwAAAAAAAAAAAAAAAAAAAAAAW0NvbnRlbnRfVHlwZXNdLnht&#10;bFBLAQItABQABgAIAAAAIQA4/SH/1gAAAJQBAAALAAAAAAAAAAAAAAAAAC8BAABfcmVscy8ucmVs&#10;c1BLAQItABQABgAIAAAAIQB7T6vUJwIAAE0EAAAOAAAAAAAAAAAAAAAAAC4CAABkcnMvZTJvRG9j&#10;LnhtbFBLAQItABQABgAIAAAAIQA3IHBo3AAAAAgBAAAPAAAAAAAAAAAAAAAAAIEEAABkcnMvZG93&#10;bnJldi54bWxQSwUGAAAAAAQABADzAAAAigUAAAAA&#10;" filled="f" stroked="f" strokeweight=".5pt">
                <v:textbox inset="2mm,1mm,1mm,1mm">
                  <w:txbxContent>
                    <w:p w14:paraId="0C5A75D1" w14:textId="77777777" w:rsidR="00962DFB" w:rsidRDefault="00E5255C"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Informācijas un komunikācijas pakalpojumi</w:t>
                      </w:r>
                    </w:p>
                    <w:p w14:paraId="47C38029"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4C324809" w14:textId="5E592C3B"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82" behindDoc="0" locked="0" layoutInCell="1" allowOverlap="1" wp14:anchorId="79122388" wp14:editId="47EA1862">
                <wp:simplePos x="0" y="0"/>
                <wp:positionH relativeFrom="column">
                  <wp:posOffset>4001852</wp:posOffset>
                </wp:positionH>
                <wp:positionV relativeFrom="paragraph">
                  <wp:posOffset>1321435</wp:posOffset>
                </wp:positionV>
                <wp:extent cx="1007745" cy="359410"/>
                <wp:effectExtent l="0" t="0" r="1905" b="2540"/>
                <wp:wrapNone/>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359410"/>
                        </a:xfrm>
                        <a:prstGeom prst="rect">
                          <a:avLst/>
                        </a:prstGeom>
                        <a:noFill/>
                        <a:ln w="6350">
                          <a:noFill/>
                        </a:ln>
                      </wps:spPr>
                      <wps:txbx>
                        <w:txbxContent>
                          <w:p w14:paraId="2C7B783C" w14:textId="016A4705" w:rsidR="00B83D7D" w:rsidRDefault="00B312A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Nosacīta īre</w:t>
                            </w:r>
                          </w:p>
                          <w:p w14:paraId="775192CA" w14:textId="2421ADF7" w:rsidR="00B83D7D" w:rsidRPr="0080669C" w:rsidRDefault="00B312A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6,9%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22388" id="Text Box 469" o:spid="_x0000_s1080" type="#_x0000_t202" style="position:absolute;margin-left:315.1pt;margin-top:104.05pt;width:79.35pt;height:28.3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4b2JQIAAE0EAAAOAAAAZHJzL2Uyb0RvYy54bWysVMlu2zAQvRfoPxC815LjJalgOXATuChg&#10;JAGcImeaIi2hFIclaUvu13dISbaR9lT0Qs1w9nmPWty3tSJHYV0FOqfjUUqJ0ByKSu9z+v11/emO&#10;EueZLpgCLXJ6Eo7eLz9+WDQmEzdQgiqEJZhEu6wxOS29N1mSOF6KmrkRGKHRKMHWzKNq90lhWYPZ&#10;a5XcpOk8acAWxgIXzuHtY2eky5hfSsH9s5ROeKJyir35eNp47sKZLBcs21tmyor3bbB/6KJmlcai&#10;51SPzDNysNUfqeqKW3Ag/YhDnYCUFRdxBpxmnL6bZlsyI+IsuBxnzmty/y8tfzpuzYslvv0CLQIY&#10;h3BmA/yHw90kjXFZ7xN26jKH3mHQVto6fHEEgoG429N5n6L1hIdsaXp7O51RwtE2mX2ejuPCk0u0&#10;sc5/FVCTIOTUIl6xA3bcOB/qs2xwCcU0rCulImZKkyan88ksjQFnC0Yo3Tfe9Rq69u2uJVWR09k0&#10;QB6udlCccHALHSec4esKm9gw51+YRRLgSEhs/4yHVIDFoJcoKcH++tt98Eds0EpJg6TKqft5YFZQ&#10;or5pRG0yT9PAwmvFXiu7a0Uf6gdA3o7xCRkeRQy2Xg2itFC/If9XoSqamOZYO6e7QXzwHdXx/XCx&#10;WkUn5J1hfqO3hg94hxW/tm/Mmh4Hjwg+wUA/lr2Do/PtAFkdPMgqYnXZar9/5GyEsH9f4VFc69Hr&#10;8hdY/gYAAP//AwBQSwMEFAAGAAgAAAAhAKx4euzhAAAACwEAAA8AAABkcnMvZG93bnJldi54bWxM&#10;j8FOwzAMhu9IvENkJC4TS1ZQ13VNp4HEBQlNjB04pk3WRjRO1WRt9/aYExxtf/r9/cVudh0bzRCs&#10;RwmrpQBmsPbaYiPh9Pn6kAELUaFWnUcj4WoC7Mrbm0Ll2k/4YcZjbBiFYMiVhDbGPuc81K1xKix9&#10;b5BuZz84FWkcGq4HNVG463giRMqdskgfWtWbl9bU38eLk3BI0i+L59OkF2NlF8/Xd9y/RSnv7+b9&#10;Flg0c/yD4Vef1KEkp8pfUAfWSUgfRUKohERkK2BErLNsA6yiTfq0Bl4W/H+H8gcAAP//AwBQSwEC&#10;LQAUAAYACAAAACEAtoM4kv4AAADhAQAAEwAAAAAAAAAAAAAAAAAAAAAAW0NvbnRlbnRfVHlwZXNd&#10;LnhtbFBLAQItABQABgAIAAAAIQA4/SH/1gAAAJQBAAALAAAAAAAAAAAAAAAAAC8BAABfcmVscy8u&#10;cmVsc1BLAQItABQABgAIAAAAIQAah4b2JQIAAE0EAAAOAAAAAAAAAAAAAAAAAC4CAABkcnMvZTJv&#10;RG9jLnhtbFBLAQItABQABgAIAAAAIQCseHrs4QAAAAsBAAAPAAAAAAAAAAAAAAAAAH8EAABkcnMv&#10;ZG93bnJldi54bWxQSwUGAAAAAAQABADzAAAAjQUAAAAA&#10;" filled="f" stroked="f" strokeweight=".5pt">
                <v:textbox inset="1mm,1mm,1mm,1mm">
                  <w:txbxContent>
                    <w:p w14:paraId="2C7B783C" w14:textId="016A4705" w:rsidR="00B83D7D" w:rsidRDefault="00B312A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Nosacīta īre</w:t>
                      </w:r>
                    </w:p>
                    <w:p w14:paraId="775192CA" w14:textId="2421ADF7" w:rsidR="00B83D7D" w:rsidRPr="0080669C" w:rsidRDefault="00B312A9"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6,9%</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58" behindDoc="0" locked="0" layoutInCell="1" allowOverlap="1" wp14:anchorId="7AB64ABA" wp14:editId="3E5DCDB0">
                <wp:simplePos x="0" y="0"/>
                <wp:positionH relativeFrom="column">
                  <wp:posOffset>4000500</wp:posOffset>
                </wp:positionH>
                <wp:positionV relativeFrom="paragraph">
                  <wp:posOffset>78822</wp:posOffset>
                </wp:positionV>
                <wp:extent cx="1225550" cy="359410"/>
                <wp:effectExtent l="0" t="0" r="0" b="2540"/>
                <wp:wrapNone/>
                <wp:docPr id="470"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359410"/>
                        </a:xfrm>
                        <a:prstGeom prst="rect">
                          <a:avLst/>
                        </a:prstGeom>
                        <a:noFill/>
                        <a:ln w="6350">
                          <a:noFill/>
                        </a:ln>
                      </wps:spPr>
                      <wps:txbx>
                        <w:txbxContent>
                          <w:p w14:paraId="71B9F8D8" w14:textId="77777777" w:rsidR="00962DFB" w:rsidRDefault="002A0CEB"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Operācijas ar nekustamo īpašumu</w:t>
                            </w:r>
                          </w:p>
                          <w:p w14:paraId="544186C9"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4D060C32" w14:textId="1E02AAF4"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64ABA" id="Text Box 470" o:spid="_x0000_s1081" type="#_x0000_t202" style="position:absolute;margin-left:315pt;margin-top:6.2pt;width:96.5pt;height:28.3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unJgIAAE0EAAAOAAAAZHJzL2Uyb0RvYy54bWysVNuO2yAQfa/Uf0C8N86lTlsrzirdVapK&#10;0e5K2WqfCYYYFTMUSOzt13fAzqXbPlV9wQwzzOWcgxc3XaPJUTivwJR0MhpTIgyHSpl9Sb89rd99&#10;pMQHZiqmwYiSvghPb5Zv3yxaW4gp1KAr4QgmMb5obUnrEGyRZZ7XomF+BFYYdEpwDQtoun1WOdZi&#10;9kZn0/F4nrXgKuuAC+/x9K530mXKL6Xg4UFKLwLRJcXeQlpdWndxzZYLVuwds7XiQxvsH7pomDJY&#10;9JzqjgVGDk79kapR3IEHGUYcmgykVFykGXCayfjVNNuaWZFmQXC8PcPk/19afn/c2kdHQvcZOiQw&#10;DeHtBvh3j9hkrfXFEBMx9YXH6DhoJ10TvzgCwYuI7csZT9EFwmO26TTPc3Rx9M3yT+8nCfDscts6&#10;H74IaEjclNQhX6kDdtz4EOuz4hQSixlYK60TZ9qQtqTzGab/zYM3tBka73uNXYdu1xFVlTTPI+Xx&#10;aAfVCw7uoNeEt3ytsIkN8+GRORQB9o3CDg+4SA1YDIYdJTW4n387j/HIDXopaVFUJfU/DswJSvRX&#10;g6x9QMlGFSZjNk+GuzZ214Y5NLeAup3gE7I8bfGyC/q0lQ6aZ9T/KlZFFzMca5c0nLa3oZc6vh8u&#10;VqsUhLqzLGzM1vIT3xHip+6ZOTvwEJDBezjJjxWv6Ohje9hXhwBSJa4uqA74o2YThcP7io/i2k5R&#10;l7/A8hcAAAD//wMAUEsDBBQABgAIAAAAIQCn8l4Z3AAAAAkBAAAPAAAAZHJzL2Rvd25yZXYueG1s&#10;TI/BTsMwEETvSPyDtUhcUOskLVEb4lQowAdQkLi68ZJEjdfBdtr071lO9LjzRrMz5W62gzihD70j&#10;BekyAYHUONNTq+Dz422xARGiJqMHR6jgggF21e1NqQvjzvSOp31sBYdQKLSCLsaxkDI0HVodlm5E&#10;YvbtvNWRT99K4/WZw+0gsyTJpdU98YdOj1h32Bz3k1Xwsr58pQ8TvT7m4Tj+BF+nPquVur+bn59A&#10;RJzjvxn+6nN1qLjTwU1kghgU5KuEt0QG2RoEGzbZioUDk20Csirl9YLqFwAA//8DAFBLAQItABQA&#10;BgAIAAAAIQC2gziS/gAAAOEBAAATAAAAAAAAAAAAAAAAAAAAAABbQ29udGVudF9UeXBlc10ueG1s&#10;UEsBAi0AFAAGAAgAAAAhADj9If/WAAAAlAEAAAsAAAAAAAAAAAAAAAAALwEAAF9yZWxzLy5yZWxz&#10;UEsBAi0AFAAGAAgAAAAhAMIOi6cmAgAATQQAAA4AAAAAAAAAAAAAAAAALgIAAGRycy9lMm9Eb2Mu&#10;eG1sUEsBAi0AFAAGAAgAAAAhAKfyXhncAAAACQEAAA8AAAAAAAAAAAAAAAAAgAQAAGRycy9kb3du&#10;cmV2LnhtbFBLBQYAAAAABAAEAPMAAACJBQAAAAA=&#10;" filled="f" stroked="f" strokeweight=".5pt">
                <v:textbox inset="2mm,1mm,1mm,1mm">
                  <w:txbxContent>
                    <w:p w14:paraId="71B9F8D8" w14:textId="77777777" w:rsidR="00962DFB" w:rsidRDefault="002A0CEB"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Operācijas ar nekustamo īpašumu</w:t>
                      </w:r>
                    </w:p>
                    <w:p w14:paraId="544186C9"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4D060C32" w14:textId="1E02AAF4"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93" behindDoc="0" locked="0" layoutInCell="1" allowOverlap="1" wp14:anchorId="2FA8A631" wp14:editId="73FC63B0">
                <wp:simplePos x="0" y="0"/>
                <wp:positionH relativeFrom="column">
                  <wp:posOffset>19050</wp:posOffset>
                </wp:positionH>
                <wp:positionV relativeFrom="paragraph">
                  <wp:posOffset>3888023</wp:posOffset>
                </wp:positionV>
                <wp:extent cx="863600" cy="359410"/>
                <wp:effectExtent l="0" t="0" r="0" b="2540"/>
                <wp:wrapNone/>
                <wp:docPr id="471"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359410"/>
                        </a:xfrm>
                        <a:prstGeom prst="rect">
                          <a:avLst/>
                        </a:prstGeom>
                        <a:noFill/>
                        <a:ln w="6350">
                          <a:noFill/>
                        </a:ln>
                      </wps:spPr>
                      <wps:txbx>
                        <w:txbxContent>
                          <w:p w14:paraId="5C9D8AB4" w14:textId="6B7495C9" w:rsidR="00B83D7D" w:rsidRPr="0080669C" w:rsidRDefault="005F5D00"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7,3%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8A631" id="Text Box 471" o:spid="_x0000_s1082" type="#_x0000_t202" style="position:absolute;margin-left:1.5pt;margin-top:306.15pt;width:68pt;height:28.3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qfIwIAAEwEAAAOAAAAZHJzL2Uyb0RvYy54bWysVF1v2yAUfZ+0/4B4X+w0S9RacaqsVaZJ&#10;UVspnfpMMMTWgMuAxM5+/S7Y+VC3p2kvmMu93I9zDp7fd1qRg3C+AVPS8SinRBgOVWN2Jf3+uvp0&#10;S4kPzFRMgRElPQpP7xcfP8xbW4gbqEFVwhFMYnzR2pLWIdgiyzyvhWZ+BFYYdEpwmgU03S6rHGsx&#10;u1bZTZ7PshZcZR1w4T2ePvZOukj5pRQ8PEvpRSCqpNhbSKtL6zau2WLOip1jtm740Ab7hy40awwW&#10;Pad6ZIGRvWv+SKUb7sCDDCMOOgMpGy7SDDjNOH83zaZmVqRZEBxvzzD5/5eWPx029sWR0H2BDglM&#10;Q3i7Bv7DIzZZa30xxERMfeExOg7aSafjF0cgeBGxPZ7xFF0gHA9vZ5NZjh6Orsn07vM44Z1dLlvn&#10;w1cBmsRNSR3SlRpgh7UPsTwrTiGxloFVo1SiTBnSlnQ2mebpwtmDN5QZ+u5bjU2HbtuRpirpdBYZ&#10;j0dbqI44t4NeEt7yVYNNrJkPL8yhBrBv1HV4xkUqwGIw7Cipwf3623mMR2rQS0mLmiqp/7lnTlCi&#10;vhkkLaIRRXhtuGtje22YvX4AlO0YX5DlaYuXXVCnrXSg31D+y1gVXcxwrF3S7Wn7EHql4/PhYrlM&#10;QSg7y8LabCw/0R0hfu3emLMDDwEJfIKT+ljxjo4+tidkuQ8gm8TVBdUBf5RsonB4XvFNXNsp6vIT&#10;WPwGAAD//wMAUEsDBBQABgAIAAAAIQBg9K7W3wAAAAkBAAAPAAAAZHJzL2Rvd25yZXYueG1sTI9B&#10;a4NAEIXvhf6HZQq9hGaNgiTGNaSFXgqlNMmhx9WdqMSdFXej5t93cmqP897jzffy3Ww7MeLgW0cK&#10;VssIBFLlTEu1gtPx/WUNwgdNRneOUMENPeyKx4dcZ8ZN9I3jIdSCS8hnWkETQp9J6asGrfZL1yOx&#10;d3aD1YHPoZZm0BOX207GUZRKq1viD43u8a3B6nK4WgVfcfrT0vk0mcVYtovX2yftP4JSz0/zfgsi&#10;4Bz+wnDHZ3QomKl0VzJedAoSXhIUpKs4AXH3kw0rJSvpegOyyOX/BcUvAAAA//8DAFBLAQItABQA&#10;BgAIAAAAIQC2gziS/gAAAOEBAAATAAAAAAAAAAAAAAAAAAAAAABbQ29udGVudF9UeXBlc10ueG1s&#10;UEsBAi0AFAAGAAgAAAAhADj9If/WAAAAlAEAAAsAAAAAAAAAAAAAAAAALwEAAF9yZWxzLy5yZWxz&#10;UEsBAi0AFAAGAAgAAAAhABIVmp8jAgAATAQAAA4AAAAAAAAAAAAAAAAALgIAAGRycy9lMm9Eb2Mu&#10;eG1sUEsBAi0AFAAGAAgAAAAhAGD0rtbfAAAACQEAAA8AAAAAAAAAAAAAAAAAfQQAAGRycy9kb3du&#10;cmV2LnhtbFBLBQYAAAAABAAEAPMAAACJBQAAAAA=&#10;" filled="f" stroked="f" strokeweight=".5pt">
                <v:textbox inset="1mm,1mm,1mm,1mm">
                  <w:txbxContent>
                    <w:p w14:paraId="5C9D8AB4" w14:textId="6B7495C9" w:rsidR="00B83D7D" w:rsidRPr="0080669C" w:rsidRDefault="005F5D00"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7,3%</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65" behindDoc="0" locked="0" layoutInCell="1" allowOverlap="1" wp14:anchorId="3489587D" wp14:editId="14148F80">
                <wp:simplePos x="0" y="0"/>
                <wp:positionH relativeFrom="column">
                  <wp:posOffset>10795</wp:posOffset>
                </wp:positionH>
                <wp:positionV relativeFrom="paragraph">
                  <wp:posOffset>2652313</wp:posOffset>
                </wp:positionV>
                <wp:extent cx="1225550" cy="359410"/>
                <wp:effectExtent l="0" t="0" r="0" b="2540"/>
                <wp:wrapNone/>
                <wp:docPr id="5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359410"/>
                        </a:xfrm>
                        <a:prstGeom prst="rect">
                          <a:avLst/>
                        </a:prstGeom>
                        <a:noFill/>
                        <a:ln w="6350">
                          <a:noFill/>
                        </a:ln>
                      </wps:spPr>
                      <wps:txbx>
                        <w:txbxContent>
                          <w:p w14:paraId="5B843CE5" w14:textId="77777777" w:rsidR="00962DFB" w:rsidRDefault="00FF2652" w:rsidP="00C075DC">
                            <w:pPr>
                              <w:tabs>
                                <w:tab w:val="left" w:pos="4820"/>
                              </w:tabs>
                              <w:spacing w:after="0"/>
                              <w:rPr>
                                <w:rFonts w:ascii="Segoe UI Light" w:hAnsi="Segoe UI Light" w:cs="Segoe UI Light"/>
                                <w:b/>
                                <w:bCs/>
                                <w:sz w:val="16"/>
                                <w:szCs w:val="16"/>
                              </w:rPr>
                            </w:pPr>
                            <w:r w:rsidRPr="00FF2652">
                              <w:rPr>
                                <w:rFonts w:ascii="Segoe UI Light" w:hAnsi="Segoe UI Light" w:cs="Segoe UI Light"/>
                                <w:b/>
                                <w:bCs/>
                                <w:sz w:val="16"/>
                                <w:szCs w:val="16"/>
                              </w:rPr>
                              <w:t>Valsts pārvalde un aizsardzība</w:t>
                            </w:r>
                          </w:p>
                          <w:p w14:paraId="3CF66574" w14:textId="77777777" w:rsidR="00AF6E02" w:rsidRDefault="00AF6E02" w:rsidP="00C075DC">
                            <w:pPr>
                              <w:tabs>
                                <w:tab w:val="left" w:pos="4820"/>
                              </w:tabs>
                              <w:spacing w:after="0"/>
                              <w:rPr>
                                <w:rFonts w:ascii="Segoe UI Light" w:hAnsi="Segoe UI Light" w:cs="Segoe UI Light"/>
                                <w:b/>
                                <w:bCs/>
                                <w:sz w:val="16"/>
                                <w:szCs w:val="16"/>
                              </w:rPr>
                            </w:pPr>
                          </w:p>
                          <w:p w14:paraId="61DC82CA" w14:textId="67650C1C" w:rsidR="00B83D7D" w:rsidRPr="0080669C" w:rsidRDefault="00B83D7D" w:rsidP="00C075DC">
                            <w:pPr>
                              <w:tabs>
                                <w:tab w:val="left" w:pos="4820"/>
                              </w:tabs>
                              <w:spacing w:after="0"/>
                              <w:rPr>
                                <w:rFonts w:ascii="Segoe UI Light" w:hAnsi="Segoe UI Light" w:cs="Segoe UI Light"/>
                                <w:b/>
                                <w:bCs/>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9587D" id="Text Box 501" o:spid="_x0000_s1083" type="#_x0000_t202" style="position:absolute;margin-left:.85pt;margin-top:208.85pt;width:96.5pt;height:28.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XWJgIAAE0EAAAOAAAAZHJzL2Uyb0RvYy54bWysVNuO2yAQfa/Uf0C8N86lyW6tOKt0V6kq&#10;RbsrZat9JhhiVMxQILHTr++AnUu3far6ghlmmMs5B8/v2lqTg3BegSnoaDCkRBgOpTK7gn57WX24&#10;pcQHZkqmwYiCHoWnd4v37+aNzcUYKtClcASTGJ83tqBVCDbPMs8rUTM/ACsMOiW4mgU03S4rHWsw&#10;e62z8XA4yxpwpXXAhfd4+tA56SLll1Lw8CSlF4HogmJvIa0urdu4Zos5y3eO2Urxvg32D13UTBks&#10;ek71wAIje6f+SFUr7sCDDAMOdQZSKi7SDDjNaPhmmk3FrEizIDjenmHy/y8tfzxs7LMjof0MLRKY&#10;hvB2Dfy7R2yyxvq8j4mY+txjdBy0la6OXxyB4EXE9njGU7SB8JhtPJ5Op+ji6JtMP30cJcCzy23r&#10;fPgioCZxU1CHfKUO2GHtQ6zP8lNILGZgpbROnGlDmoLOJpj+Nw/e0KZvvOs1dh3abUtUWdDpTaQ8&#10;Hm2hPOLgDjpNeMtXCptYMx+emUMRYN8o7PCEi9SAxaDfUVKB+/m38xiP3KCXkgZFVVD/Y8+coER/&#10;NcjaDUo2qjAZk1ky3LWxvTbMvr4H1O0In5DlaYuXXdCnrXRQv6L+l7EqupjhWLug4bS9D53U8f1w&#10;sVymINSdZWFtNpaf+I4Qv7SvzNmeh4AMPsJJfix/Q0cX28G+3AeQKnF1QbXHHzWbKOzfV3wU13aK&#10;uvwFFr8AAAD//wMAUEsDBBQABgAIAAAAIQCNayDL2gAAAAkBAAAPAAAAZHJzL2Rvd25yZXYueG1s&#10;TE9BTsMwELwj8Qdrkbig1kkJDYQ4FQrwAApSr268JFHjdbCdNv092xPcZnZGszPlZraDOKIPvSMF&#10;6TIBgdQ401Or4OvzffEIIkRNRg+OUMEZA2yq66tSF8ad6AOP29gKDqFQaAVdjGMhZWg6tDos3YjE&#10;2rfzVkemvpXG6xOH20GukmQtre6JP3R6xLrD5rCdrILX7LxL7yZ6e1iHw/gTfJ36Va3U7c388gwi&#10;4hz/zHCpz9Wh4k57N5EJYmCes1FBluYMLvpTxmDPlzy7B1mV8v+C6hcAAP//AwBQSwECLQAUAAYA&#10;CAAAACEAtoM4kv4AAADhAQAAEwAAAAAAAAAAAAAAAAAAAAAAW0NvbnRlbnRfVHlwZXNdLnhtbFBL&#10;AQItABQABgAIAAAAIQA4/SH/1gAAAJQBAAALAAAAAAAAAAAAAAAAAC8BAABfcmVscy8ucmVsc1BL&#10;AQItABQABgAIAAAAIQB9bGXWJgIAAE0EAAAOAAAAAAAAAAAAAAAAAC4CAABkcnMvZTJvRG9jLnht&#10;bFBLAQItABQABgAIAAAAIQCNayDL2gAAAAkBAAAPAAAAAAAAAAAAAAAAAIAEAABkcnMvZG93bnJl&#10;di54bWxQSwUGAAAAAAQABADzAAAAhwUAAAAA&#10;" filled="f" stroked="f" strokeweight=".5pt">
                <v:textbox inset="2mm,1mm,1mm,1mm">
                  <w:txbxContent>
                    <w:p w14:paraId="5B843CE5" w14:textId="77777777" w:rsidR="00962DFB" w:rsidRDefault="00FF2652" w:rsidP="00C075DC">
                      <w:pPr>
                        <w:tabs>
                          <w:tab w:val="left" w:pos="4820"/>
                        </w:tabs>
                        <w:spacing w:after="0"/>
                        <w:rPr>
                          <w:rFonts w:ascii="Segoe UI Light" w:hAnsi="Segoe UI Light" w:cs="Segoe UI Light"/>
                          <w:b/>
                          <w:bCs/>
                          <w:sz w:val="16"/>
                          <w:szCs w:val="16"/>
                        </w:rPr>
                      </w:pPr>
                      <w:r w:rsidRPr="00FF2652">
                        <w:rPr>
                          <w:rFonts w:ascii="Segoe UI Light" w:hAnsi="Segoe UI Light" w:cs="Segoe UI Light"/>
                          <w:b/>
                          <w:bCs/>
                          <w:sz w:val="16"/>
                          <w:szCs w:val="16"/>
                        </w:rPr>
                        <w:t>Valsts pārvalde un aizsardzība</w:t>
                      </w:r>
                    </w:p>
                    <w:p w14:paraId="3CF66574" w14:textId="77777777" w:rsidR="00AF6E02" w:rsidRDefault="00AF6E02" w:rsidP="00C075DC">
                      <w:pPr>
                        <w:tabs>
                          <w:tab w:val="left" w:pos="4820"/>
                        </w:tabs>
                        <w:spacing w:after="0"/>
                        <w:rPr>
                          <w:rFonts w:ascii="Segoe UI Light" w:hAnsi="Segoe UI Light" w:cs="Segoe UI Light"/>
                          <w:b/>
                          <w:bCs/>
                          <w:sz w:val="16"/>
                          <w:szCs w:val="16"/>
                        </w:rPr>
                      </w:pPr>
                    </w:p>
                    <w:p w14:paraId="61DC82CA" w14:textId="67650C1C" w:rsidR="00B83D7D" w:rsidRPr="0080669C" w:rsidRDefault="00B83D7D" w:rsidP="00C075DC">
                      <w:pPr>
                        <w:tabs>
                          <w:tab w:val="left" w:pos="4820"/>
                        </w:tabs>
                        <w:spacing w:after="0"/>
                        <w:rPr>
                          <w:rFonts w:ascii="Segoe UI Light" w:hAnsi="Segoe UI Light" w:cs="Segoe UI Light"/>
                          <w:b/>
                          <w:bCs/>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79" behindDoc="0" locked="0" layoutInCell="1" allowOverlap="1" wp14:anchorId="73D1DE0A" wp14:editId="55401CD8">
                <wp:simplePos x="0" y="0"/>
                <wp:positionH relativeFrom="column">
                  <wp:posOffset>3106420</wp:posOffset>
                </wp:positionH>
                <wp:positionV relativeFrom="paragraph">
                  <wp:posOffset>1871427</wp:posOffset>
                </wp:positionV>
                <wp:extent cx="1007745" cy="359410"/>
                <wp:effectExtent l="0" t="0" r="1905" b="2540"/>
                <wp:wrapNone/>
                <wp:docPr id="472"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359410"/>
                        </a:xfrm>
                        <a:prstGeom prst="rect">
                          <a:avLst/>
                        </a:prstGeom>
                        <a:noFill/>
                        <a:ln w="6350">
                          <a:noFill/>
                        </a:ln>
                      </wps:spPr>
                      <wps:txbx>
                        <w:txbxContent>
                          <w:p w14:paraId="498C24C4" w14:textId="77777777" w:rsidR="00962DFB"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Vairumtirdzniecība</w:t>
                            </w:r>
                          </w:p>
                          <w:p w14:paraId="5049473A" w14:textId="495EFD61" w:rsidR="00AF6E02" w:rsidRDefault="0032014C"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4,8%</w:t>
                            </w:r>
                          </w:p>
                          <w:p w14:paraId="025E5B66" w14:textId="2A8E743A" w:rsidR="00B83D7D" w:rsidRDefault="00B83D7D" w:rsidP="00C075DC">
                            <w:pPr>
                              <w:tabs>
                                <w:tab w:val="left" w:pos="4820"/>
                              </w:tabs>
                              <w:spacing w:after="0"/>
                              <w:rPr>
                                <w:rFonts w:ascii="Segoe UI Light" w:hAnsi="Segoe UI Light" w:cs="Segoe UI Light"/>
                                <w:color w:val="FFFFFF" w:themeColor="background1"/>
                                <w:sz w:val="16"/>
                                <w:szCs w:val="16"/>
                              </w:rPr>
                            </w:pPr>
                          </w:p>
                          <w:p w14:paraId="4925C3F9" w14:textId="206B5284" w:rsidR="00B83D7D" w:rsidRPr="0080669C"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1DE0A" id="Text Box 472" o:spid="_x0000_s1084" type="#_x0000_t202" style="position:absolute;margin-left:244.6pt;margin-top:147.35pt;width:79.35pt;height:28.3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IJJQIAAE0EAAAOAAAAZHJzL2Uyb0RvYy54bWysVFtv2yAUfp+0/4B4X+w0TdpZcaqsVaZJ&#10;UVspnfpMMMRomMOAxO5+/Q7Yuajb07QXfA7nfr4Pz++6RpODcF6BKel4lFMiDIdKmV1Jv7+sPt1S&#10;4gMzFdNgREnfhKd3i48f5q0txBXUoCvhCCYxvmhtSesQbJFlnteiYX4EVhg0SnANC6i6XVY51mL2&#10;RmdXeT7LWnCVdcCF93j70BvpIuWXUvDwJKUXgeiSYm8hnS6d23hmizkrdo7ZWvGhDfYPXTRMGSx6&#10;SvXAAiN7p/5I1SjuwIMMIw5NBlIqLtIMOM04fzfNpmZWpFlwOd6e1uT/X1r+eNjYZ0dC9wU6BDAN&#10;4e0a+A+Pu8la64vBJ+7UFx6946CddE384ggEA3G3b6d9ii4QHrPl+c3N9ZQSjrbJ9PP1OC08O0db&#10;58NXAQ2JQkkd4pU6YIe1D7E+K44usZiBldI6YaYNaUs6m0zzFHCyYIQ2Q+N9r7Hr0G07oqqSTm8j&#10;5PFqC9UbDu6g54S3fKWwiTXz4Zk5JAGOhMQOT3hIDVgMBomSGtyvv91Hf8QGrZS0SKqS+p975gQl&#10;+ptB1CazPI8svFTcpbK9VMy+uQfk7RifkOVJxGAX9FGUDppX5P8yVkUTMxxrl3R7FO9DT3V8P1ws&#10;l8kJeWdZWJuN5Ue844pfulfm7IBDQAQf4Ug/VryDo/ftAVnuA0iVsDpvddg/cjZBOLyv+Cgu9eR1&#10;/gssfgMAAP//AwBQSwMEFAAGAAgAAAAhAM+B+ffjAAAACwEAAA8AAABkcnMvZG93bnJldi54bWxM&#10;j8FOwzAQRO9I/IO1SFwq6jQNaRPiVAWJC1KFKD1wdOJtYhGvo9hN0r/HnOC4mqeZt8VuNh0bcXDa&#10;koDVMgKGVFulqRFw+nx92AJzXpKSnSUUcEUHu/L2ppC5shN94Hj0DQsl5HIpoPW+zzl3dYtGuqXt&#10;kUJ2toORPpxDw9Ugp1BuOh5HUcqN1BQWWtnjS4v19/FiBLzH6Zem82lSi7HSi+frgfZvXoj7u3n/&#10;BMzj7P9g+NUP6lAGp8peSDnWCUi2WRxQAXGWbIAFIk02GbBKwPpxtQZeFvz/D+UPAAAA//8DAFBL&#10;AQItABQABgAIAAAAIQC2gziS/gAAAOEBAAATAAAAAAAAAAAAAAAAAAAAAABbQ29udGVudF9UeXBl&#10;c10ueG1sUEsBAi0AFAAGAAgAAAAhADj9If/WAAAAlAEAAAsAAAAAAAAAAAAAAAAALwEAAF9yZWxz&#10;Ly5yZWxzUEsBAi0AFAAGAAgAAAAhANnOkgklAgAATQQAAA4AAAAAAAAAAAAAAAAALgIAAGRycy9l&#10;Mm9Eb2MueG1sUEsBAi0AFAAGAAgAAAAhAM+B+ffjAAAACwEAAA8AAAAAAAAAAAAAAAAAfwQAAGRy&#10;cy9kb3ducmV2LnhtbFBLBQYAAAAABAAEAPMAAACPBQAAAAA=&#10;" filled="f" stroked="f" strokeweight=".5pt">
                <v:textbox inset="1mm,1mm,1mm,1mm">
                  <w:txbxContent>
                    <w:p w14:paraId="498C24C4" w14:textId="77777777" w:rsidR="00962DFB"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Vairumtirdzniecība</w:t>
                      </w:r>
                    </w:p>
                    <w:p w14:paraId="5049473A" w14:textId="495EFD61" w:rsidR="00AF6E02" w:rsidRDefault="0032014C"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4,8%</w:t>
                      </w:r>
                    </w:p>
                    <w:p w14:paraId="025E5B66" w14:textId="2A8E743A" w:rsidR="00B83D7D" w:rsidRDefault="00B83D7D" w:rsidP="00C075DC">
                      <w:pPr>
                        <w:tabs>
                          <w:tab w:val="left" w:pos="4820"/>
                        </w:tabs>
                        <w:spacing w:after="0"/>
                        <w:rPr>
                          <w:rFonts w:ascii="Segoe UI Light" w:hAnsi="Segoe UI Light" w:cs="Segoe UI Light"/>
                          <w:color w:val="FFFFFF" w:themeColor="background1"/>
                          <w:sz w:val="16"/>
                          <w:szCs w:val="16"/>
                        </w:rPr>
                      </w:pPr>
                    </w:p>
                    <w:p w14:paraId="4925C3F9" w14:textId="206B5284" w:rsidR="00B83D7D" w:rsidRPr="0080669C"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4,8%</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81" behindDoc="0" locked="0" layoutInCell="1" allowOverlap="1" wp14:anchorId="179F6403" wp14:editId="58CC7CE3">
                <wp:simplePos x="0" y="0"/>
                <wp:positionH relativeFrom="column">
                  <wp:posOffset>2107647</wp:posOffset>
                </wp:positionH>
                <wp:positionV relativeFrom="paragraph">
                  <wp:posOffset>2290445</wp:posOffset>
                </wp:positionV>
                <wp:extent cx="1007745" cy="359410"/>
                <wp:effectExtent l="0" t="0" r="1905" b="254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359410"/>
                        </a:xfrm>
                        <a:prstGeom prst="rect">
                          <a:avLst/>
                        </a:prstGeom>
                        <a:noFill/>
                        <a:ln w="6350">
                          <a:noFill/>
                        </a:ln>
                      </wps:spPr>
                      <wps:txbx>
                        <w:txbxContent>
                          <w:p w14:paraId="56AB0B9D" w14:textId="77777777" w:rsidR="00962DFB"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Auto tirdzniecība</w:t>
                            </w:r>
                          </w:p>
                          <w:p w14:paraId="68884998" w14:textId="2DEFC8A3" w:rsidR="00AF6E02" w:rsidRDefault="0032014C"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2,0%</w:t>
                            </w:r>
                          </w:p>
                          <w:p w14:paraId="0465C431" w14:textId="360D97AF" w:rsidR="00B83D7D" w:rsidRDefault="00B83D7D" w:rsidP="00C075DC">
                            <w:pPr>
                              <w:tabs>
                                <w:tab w:val="left" w:pos="4820"/>
                              </w:tabs>
                              <w:spacing w:after="0"/>
                              <w:rPr>
                                <w:rFonts w:ascii="Segoe UI Light" w:hAnsi="Segoe UI Light" w:cs="Segoe UI Light"/>
                                <w:color w:val="FFFFFF" w:themeColor="background1"/>
                                <w:sz w:val="16"/>
                                <w:szCs w:val="16"/>
                              </w:rPr>
                            </w:pPr>
                          </w:p>
                          <w:p w14:paraId="55A50097" w14:textId="7AE9705B" w:rsidR="00B83D7D" w:rsidRPr="0080669C"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2,0%</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F6403" id="Text Box 473" o:spid="_x0000_s1085" type="#_x0000_t202" style="position:absolute;margin-left:165.95pt;margin-top:180.35pt;width:79.35pt;height:28.3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3cJQIAAE0EAAAOAAAAZHJzL2Uyb0RvYy54bWysVFtv2yAUfp+0/4B4X+w0TbpacaqsVaZJ&#10;UVspnfpMMMRomMOAxO5+/Q7Yuajb07QXfA7nfr4Pz++6RpODcF6BKel4lFMiDIdKmV1Jv7+sPn2m&#10;xAdmKqbBiJK+CU/vFh8/zFtbiCuoQVfCEUxifNHaktYh2CLLPK9Fw/wIrDBolOAaFlB1u6xyrMXs&#10;jc6u8nyWteAq64AL7/H2oTfSRcovpeDhSUovAtElxd5COl06t/HMFnNW7ByzteJDG+wfumiYMlj0&#10;lOqBBUb2Tv2RqlHcgQcZRhyaDKRUXKQZcJpx/m6aTc2sSLPgcrw9rcn/v7T88bCxz46E7gt0CGAa&#10;wts18B8ed5O11heDT9ypLzx6x0E76Zr4xREIBuJu3077FF0gPGbL85ub6yklHG2T6e31OC08O0db&#10;58NXAQ2JQkkd4pU6YIe1D7E+K44usZiBldI6YaYNaUs6m0zzFHCyYIQ2Q+N9r7Hr0G07oqqSTm8j&#10;5PFqC9UbDu6g54S3fKWwiTXz4Zk5JAGOhMQOT3hIDVgMBomSGtyvv91Hf8QGrZS0SKqS+p975gQl&#10;+ptB1CazPI8svFTcpbK9VMy+uQfk7RifkOVJxGAX9FGUDppX5P8yVkUTMxxrl3R7FO9DT3V8P1ws&#10;l8kJeWdZWJuN5Ue844pfulfm7IBDQAQf4Ug/VryDo/ftAVnuA0iVsDpvddg/cjZBOLyv+Cgu9eR1&#10;/gssfgMAAP//AwBQSwMEFAAGAAgAAAAhAM4nGZfhAAAACwEAAA8AAABkcnMvZG93bnJldi54bWxM&#10;j8FOwzAMhu9IvENkJC4TS7qibitNp4HEBQkhxg47pk3WRjRO1WRt9/aYE9x+y59+fy52s+vYaIZg&#10;PUpIlgKYwdpri42E49frwwZYiAq16jwaCVcTYFfe3hQq137CTzMeYsOoBEOuJLQx9jnnoW6NU2Hp&#10;e4O0O/vBqUjj0HA9qInKXcdXQmTcKYt0oVW9eWlN/X24OAkfq+xk8Xyc9GKs7OL5+o77tyjl/d28&#10;fwIWzRz/YPjVJ3UoyanyF9SBdRLSNNkSSiETa2BEPG5FBqyikKxT4GXB//9Q/gAAAP//AwBQSwEC&#10;LQAUAAYACAAAACEAtoM4kv4AAADhAQAAEwAAAAAAAAAAAAAAAAAAAAAAW0NvbnRlbnRfVHlwZXNd&#10;LnhtbFBLAQItABQABgAIAAAAIQA4/SH/1gAAAJQBAAALAAAAAAAAAAAAAAAAAC8BAABfcmVscy8u&#10;cmVsc1BLAQItABQABgAIAAAAIQCmfN3cJQIAAE0EAAAOAAAAAAAAAAAAAAAAAC4CAABkcnMvZTJv&#10;RG9jLnhtbFBLAQItABQABgAIAAAAIQDOJxmX4QAAAAsBAAAPAAAAAAAAAAAAAAAAAH8EAABkcnMv&#10;ZG93bnJldi54bWxQSwUGAAAAAAQABADzAAAAjQUAAAAA&#10;" filled="f" stroked="f" strokeweight=".5pt">
                <v:textbox inset="1mm,1mm,1mm,1mm">
                  <w:txbxContent>
                    <w:p w14:paraId="56AB0B9D" w14:textId="77777777" w:rsidR="00962DFB"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Auto tirdzniecība</w:t>
                      </w:r>
                    </w:p>
                    <w:p w14:paraId="68884998" w14:textId="2DEFC8A3" w:rsidR="00AF6E02" w:rsidRDefault="0032014C"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2,0%</w:t>
                      </w:r>
                    </w:p>
                    <w:p w14:paraId="0465C431" w14:textId="360D97AF" w:rsidR="00B83D7D" w:rsidRDefault="00B83D7D" w:rsidP="00C075DC">
                      <w:pPr>
                        <w:tabs>
                          <w:tab w:val="left" w:pos="4820"/>
                        </w:tabs>
                        <w:spacing w:after="0"/>
                        <w:rPr>
                          <w:rFonts w:ascii="Segoe UI Light" w:hAnsi="Segoe UI Light" w:cs="Segoe UI Light"/>
                          <w:color w:val="FFFFFF" w:themeColor="background1"/>
                          <w:sz w:val="16"/>
                          <w:szCs w:val="16"/>
                        </w:rPr>
                      </w:pPr>
                    </w:p>
                    <w:p w14:paraId="55A50097" w14:textId="7AE9705B" w:rsidR="00B83D7D" w:rsidRPr="0080669C"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2,0%</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80" behindDoc="0" locked="0" layoutInCell="1" allowOverlap="1" wp14:anchorId="37DFFA57" wp14:editId="2693A855">
                <wp:simplePos x="0" y="0"/>
                <wp:positionH relativeFrom="column">
                  <wp:posOffset>2106848</wp:posOffset>
                </wp:positionH>
                <wp:positionV relativeFrom="paragraph">
                  <wp:posOffset>1869440</wp:posOffset>
                </wp:positionV>
                <wp:extent cx="1008000" cy="360000"/>
                <wp:effectExtent l="0" t="0" r="1905" b="254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000" cy="360000"/>
                        </a:xfrm>
                        <a:prstGeom prst="rect">
                          <a:avLst/>
                        </a:prstGeom>
                        <a:noFill/>
                        <a:ln w="6350">
                          <a:noFill/>
                        </a:ln>
                      </wps:spPr>
                      <wps:txbx>
                        <w:txbxContent>
                          <w:p w14:paraId="59349D88" w14:textId="77777777" w:rsidR="00962DFB"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Mazumtirdzniecība</w:t>
                            </w:r>
                          </w:p>
                          <w:p w14:paraId="6CFD15B5" w14:textId="74082E29" w:rsidR="00AF6E02" w:rsidRDefault="00A068FF"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5</w:t>
                            </w:r>
                            <w:r w:rsidR="0032014C">
                              <w:rPr>
                                <w:rFonts w:ascii="Segoe UI Light" w:hAnsi="Segoe UI Light" w:cs="Segoe UI Light"/>
                                <w:color w:val="FFFFFF" w:themeColor="background1"/>
                                <w:sz w:val="16"/>
                                <w:szCs w:val="16"/>
                              </w:rPr>
                              <w:t>,4%</w:t>
                            </w:r>
                          </w:p>
                          <w:p w14:paraId="3A7A310A" w14:textId="4280DA68" w:rsidR="00B83D7D" w:rsidRDefault="00B83D7D" w:rsidP="00C075DC">
                            <w:pPr>
                              <w:tabs>
                                <w:tab w:val="left" w:pos="4820"/>
                              </w:tabs>
                              <w:spacing w:after="0"/>
                              <w:rPr>
                                <w:rFonts w:ascii="Segoe UI Light" w:hAnsi="Segoe UI Light" w:cs="Segoe UI Light"/>
                                <w:color w:val="FFFFFF" w:themeColor="background1"/>
                                <w:sz w:val="16"/>
                                <w:szCs w:val="16"/>
                              </w:rPr>
                            </w:pPr>
                          </w:p>
                          <w:p w14:paraId="22174F0D" w14:textId="528C5747" w:rsidR="00B83D7D" w:rsidRPr="0080669C"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5,4%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FFA57" id="Text Box 474" o:spid="_x0000_s1086" type="#_x0000_t202" style="position:absolute;margin-left:165.9pt;margin-top:147.2pt;width:79.35pt;height:28.3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FWjHwIAAE0EAAAOAAAAZHJzL2Uyb0RvYy54bWysVE1v2zAMvQ/YfxB0X+y0WFAYcYqsRYYB&#10;QVsgHXpWZCk2JosapcTOfv0o2flAt9Owi0yJFPnI9+T5fd8adlDoG7Aln05yzpSVUDV2V/Lvr6tP&#10;d5z5IGwlDFhV8qPy/H7x8cO8c4W6gRpMpZBREuuLzpW8DsEVWeZlrVrhJ+CUJacGbEWgLe6yCkVH&#10;2VuT3eT5LOsAK4cglfd0+jg4+SLl11rJ8Ky1V4GZkhO2kFZM6zau2WIuih0KVzdyhCH+AUUrGktF&#10;z6keRRBsj80fqdpGInjQYSKhzUDrRqrUA3Uzzd91s6mFU6kXGo535zH5/5dWPh027gVZ6L9ATwSm&#10;Jrxbg/zhaTZZ53wxxsSZ+sJTdGy019jGL7XA6CLN9niep+oDkzFbnt/lObkk+W5nZKaBZ5fbDn34&#10;qqBl0Sg5El8JgTisfYj1RXEKicUsrBpjEmfGsq7ks9vPebpw9tANY0fgA9aIOvTbnjUVXUgI4tEW&#10;qiM1jjBowju5agjEWvjwIpBEQLhJ2OGZFm2AisFocVYD/vrbeYwnbsjLWUeiKrn/uReoODPfLLGW&#10;ZkAqvN7g9WZ7vbH79gFIt1N6Qk4mkzBhMCdTI7RvpP9lrEouYSXVLvn2ZD6EQer0fqRaLlMQ6c6J&#10;sLYbJ098xxG/9m8C3chDIAaf4CQ/UbyjY4gdCFnuA+gmcXWZ6jh/0myicHxf8VFc71PU5S+w+A0A&#10;AP//AwBQSwMEFAAGAAgAAAAhAFwpOejhAAAACwEAAA8AAABkcnMvZG93bnJldi54bWxMj0FLw0AU&#10;hO+C/2F5gpdiN0nTYmM2pQpeBCnWHjxusq9JMPs2ZLdJ+u99nvQ4zDDzTb6bbSdGHHzrSEG8jEAg&#10;Vc60VCs4fb4+PILwQZPRnSNUcEUPu+L2JteZcRN94HgMteAS8plW0ITQZ1L6qkGr/dL1SOyd3WB1&#10;YDnU0gx64nLbySSKNtLqlnih0T2+NFh9Hy9WwSHZfLV0Pk1mMZbt4vn6Tvu3oNT93bx/AhFwDn9h&#10;+MVndCiYqXQXMl50ClarmNGDgmSbpiA4kW6jNYiSrXUcgyxy+f9D8QMAAP//AwBQSwECLQAUAAYA&#10;CAAAACEAtoM4kv4AAADhAQAAEwAAAAAAAAAAAAAAAAAAAAAAW0NvbnRlbnRfVHlwZXNdLnhtbFBL&#10;AQItABQABgAIAAAAIQA4/SH/1gAAAJQBAAALAAAAAAAAAAAAAAAAAC8BAABfcmVscy8ucmVsc1BL&#10;AQItABQABgAIAAAAIQDSJFWjHwIAAE0EAAAOAAAAAAAAAAAAAAAAAC4CAABkcnMvZTJvRG9jLnht&#10;bFBLAQItABQABgAIAAAAIQBcKTno4QAAAAsBAAAPAAAAAAAAAAAAAAAAAHkEAABkcnMvZG93bnJl&#10;di54bWxQSwUGAAAAAAQABADzAAAAhwUAAAAA&#10;" filled="f" stroked="f" strokeweight=".5pt">
                <v:textbox inset="1mm,1mm,1mm,1mm">
                  <w:txbxContent>
                    <w:p w14:paraId="59349D88" w14:textId="77777777" w:rsidR="00962DFB"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Mazumtirdzniecība</w:t>
                      </w:r>
                    </w:p>
                    <w:p w14:paraId="6CFD15B5" w14:textId="74082E29" w:rsidR="00AF6E02" w:rsidRDefault="00A068FF"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5</w:t>
                      </w:r>
                      <w:r w:rsidR="0032014C">
                        <w:rPr>
                          <w:rFonts w:ascii="Segoe UI Light" w:hAnsi="Segoe UI Light" w:cs="Segoe UI Light"/>
                          <w:color w:val="FFFFFF" w:themeColor="background1"/>
                          <w:sz w:val="16"/>
                          <w:szCs w:val="16"/>
                        </w:rPr>
                        <w:t>,4%</w:t>
                      </w:r>
                    </w:p>
                    <w:p w14:paraId="3A7A310A" w14:textId="4280DA68" w:rsidR="00B83D7D" w:rsidRDefault="00B83D7D" w:rsidP="00C075DC">
                      <w:pPr>
                        <w:tabs>
                          <w:tab w:val="left" w:pos="4820"/>
                        </w:tabs>
                        <w:spacing w:after="0"/>
                        <w:rPr>
                          <w:rFonts w:ascii="Segoe UI Light" w:hAnsi="Segoe UI Light" w:cs="Segoe UI Light"/>
                          <w:color w:val="FFFFFF" w:themeColor="background1"/>
                          <w:sz w:val="16"/>
                          <w:szCs w:val="16"/>
                        </w:rPr>
                      </w:pPr>
                    </w:p>
                    <w:p w14:paraId="22174F0D" w14:textId="528C5747" w:rsidR="00B83D7D" w:rsidRPr="0080669C" w:rsidRDefault="002A0CEB" w:rsidP="00C075DC">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5,4%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57" behindDoc="0" locked="0" layoutInCell="1" allowOverlap="1" wp14:anchorId="09AD9EB9" wp14:editId="64AECA84">
                <wp:simplePos x="0" y="0"/>
                <wp:positionH relativeFrom="column">
                  <wp:posOffset>2106848</wp:posOffset>
                </wp:positionH>
                <wp:positionV relativeFrom="paragraph">
                  <wp:posOffset>81280</wp:posOffset>
                </wp:positionV>
                <wp:extent cx="1225550" cy="252000"/>
                <wp:effectExtent l="0" t="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01E05C6A" w14:textId="77777777" w:rsidR="00962DFB" w:rsidRDefault="002A0CEB"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Tirdzniecība</w:t>
                            </w:r>
                          </w:p>
                          <w:p w14:paraId="70E43375"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3C336976" w14:textId="6447ACB5"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D9EB9" id="Text Box 476" o:spid="_x0000_s1087" type="#_x0000_t202" style="position:absolute;margin-left:165.9pt;margin-top:6.4pt;width:96.5pt;height:19.8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0uDIwIAAE0EAAAOAAAAZHJzL2Uyb0RvYy54bWysVMtu2zAQvBfoPxC817Id2C0Ey4GbwEUB&#10;IwngFDnTFGkJpbgsubaUfn2XlPxo2lPRC8XlLvcxM9TitmsMOyofarAFn4zGnCkroaztvuDfntcf&#10;PnEWUNhSGLCq4K8q8Nvl+3eL1uVqChWYUnlGSWzIW1fwCtHlWRZkpRoRRuCUJacG3wgk0++z0ouW&#10;sjcmm47H86wFXzoPUoVAp/e9ky9Tfq2VxEetg0JmCk69YVp9WndxzZYLke+9cFUthzbEP3TRiNpS&#10;0XOqe4GCHXz9R6qmlh4CaBxJaDLQupYqzUDTTMZvptlWwqk0C4ET3Bmm8P/Syofj1j15ht1n6IjA&#10;NERwG5DfA2GTtS7kQ0zENOSBouOgnfZN/NIIjC4Stq9nPFWHTMZs0+lsNiOXJN90RnwlwLPLbecD&#10;flHQsLgpuCe+UgfiuAkY64v8FBKLWVjXxiTOjGVtwec3lP43D90wdmi87zV2jd2uY3VJFyaR8ni0&#10;g/KVBvfQayI4ua6piY0I+CQ8iYD6JmHjIy3aABWDYcdZBf7n385jPHFDXs5aElXBw4+D8Ioz89US&#10;ax8TBAyTcTOPeDB/beyuDXto7oB0O6En5GTaxng0p6320LyQ/lexKrmElVS74Hja3mEvdXo/Uq1W&#10;KYh05wRu7NbJE98R4ufuRXg38IDE4AOc5CfyN3T0sT3sqwOCrhNXF1QH/EmzicLhfcVHcW2nqMtf&#10;YPkLAAD//wMAUEsDBBQABgAIAAAAIQBiFhwr3AAAAAkBAAAPAAAAZHJzL2Rvd25yZXYueG1sTI/B&#10;TsMwEETvSPyDtUhcEHWSNhVK41QowAfQInF1420SNV4H22nTv2d7gtPOakazb8vtbAdxRh96RwrS&#10;RQICqXGmp1bB1/7j+QVEiJqMHhyhgisG2Fb3d6UujLvQJ553sRVcQqHQCroYx0LK0HRodVi4EYm9&#10;o/NWR159K43XFy63g8ySZC2t7okvdHrEusPmtJusgrfV9Tt9mug9X4fT+BN8nfqsVurxYX7dgIg4&#10;x78w3PAZHSpmOriJTBCDguUyZfTIRsaTA3m2YnG4iRxkVcr/H1S/AAAA//8DAFBLAQItABQABgAI&#10;AAAAIQC2gziS/gAAAOEBAAATAAAAAAAAAAAAAAAAAAAAAABbQ29udGVudF9UeXBlc10ueG1sUEsB&#10;Ai0AFAAGAAgAAAAhADj9If/WAAAAlAEAAAsAAAAAAAAAAAAAAAAALwEAAF9yZWxzLy5yZWxzUEsB&#10;Ai0AFAAGAAgAAAAhAMFLS4MjAgAATQQAAA4AAAAAAAAAAAAAAAAALgIAAGRycy9lMm9Eb2MueG1s&#10;UEsBAi0AFAAGAAgAAAAhAGIWHCvcAAAACQEAAA8AAAAAAAAAAAAAAAAAfQQAAGRycy9kb3ducmV2&#10;LnhtbFBLBQYAAAAABAAEAPMAAACGBQAAAAA=&#10;" filled="f" stroked="f" strokeweight=".5pt">
                <v:textbox inset="2mm,1mm,1mm,1mm">
                  <w:txbxContent>
                    <w:p w14:paraId="01E05C6A" w14:textId="77777777" w:rsidR="00962DFB" w:rsidRDefault="002A0CEB" w:rsidP="00C075DC">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Tirdzniecība</w:t>
                      </w:r>
                    </w:p>
                    <w:p w14:paraId="70E43375" w14:textId="77777777" w:rsidR="00AF6E02" w:rsidRDefault="00AF6E02" w:rsidP="00C075DC">
                      <w:pPr>
                        <w:tabs>
                          <w:tab w:val="left" w:pos="4820"/>
                        </w:tabs>
                        <w:spacing w:after="0"/>
                        <w:rPr>
                          <w:rFonts w:ascii="Segoe UI Light" w:hAnsi="Segoe UI Light" w:cs="Segoe UI Light"/>
                          <w:b/>
                          <w:bCs/>
                          <w:color w:val="FFFFFF" w:themeColor="background1"/>
                          <w:sz w:val="16"/>
                          <w:szCs w:val="16"/>
                        </w:rPr>
                      </w:pPr>
                    </w:p>
                    <w:p w14:paraId="3C336976" w14:textId="6447ACB5"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75" behindDoc="0" locked="0" layoutInCell="1" allowOverlap="1" wp14:anchorId="209C0358" wp14:editId="1C391532">
                <wp:simplePos x="0" y="0"/>
                <wp:positionH relativeFrom="column">
                  <wp:posOffset>9783</wp:posOffset>
                </wp:positionH>
                <wp:positionV relativeFrom="paragraph">
                  <wp:posOffset>1681826</wp:posOffset>
                </wp:positionV>
                <wp:extent cx="583948" cy="470780"/>
                <wp:effectExtent l="0" t="0" r="6985" b="5715"/>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948" cy="470780"/>
                        </a:xfrm>
                        <a:prstGeom prst="rect">
                          <a:avLst/>
                        </a:prstGeom>
                        <a:noFill/>
                        <a:ln w="6350">
                          <a:noFill/>
                        </a:ln>
                      </wps:spPr>
                      <wps:txbx>
                        <w:txbxContent>
                          <w:p w14:paraId="0DC4C542" w14:textId="45FFC9D9" w:rsidR="00B83D7D" w:rsidRDefault="0020711D"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Metāl-</w:t>
                            </w:r>
                          </w:p>
                          <w:p w14:paraId="7D6A7126" w14:textId="1EDD95B3" w:rsidR="0020711D" w:rsidRDefault="0020711D"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apstrāde</w:t>
                            </w:r>
                          </w:p>
                          <w:p w14:paraId="79F78024" w14:textId="35B9F5F6" w:rsidR="00B83D7D" w:rsidRPr="0080669C" w:rsidRDefault="0020711D"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1,2%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C0358" id="Text Box 1384" o:spid="_x0000_s1088" type="#_x0000_t202" style="position:absolute;margin-left:.75pt;margin-top:132.45pt;width:46pt;height:37.0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knJAIAAEwEAAAOAAAAZHJzL2Uyb0RvYy54bWysVMlu2zAQvRfoPxC815LtxHEFy4GbwEUB&#10;IwngFDlTFGkJpTgsSVtyv75DSl6Q9lT0Qs1w9nmPWtx3jSIHYV0NOqfjUUqJ0BzKWu9y+v11/WlO&#10;ifNMl0yBFjk9Ckfvlx8/LFqTiQlUoEphCSbRLmtNTivvTZYkjleiYW4ERmg0SrAN86jaXVJa1mL2&#10;RiWTNJ0lLdjSWODCObx97I10GfNLKbh/ltIJT1ROsTcfTxvPIpzJcsGynWWmqvnQBvuHLhpWayx6&#10;TvXIPCN7W/+Rqqm5BQfSjzg0CUhZcxFnwGnG6btpthUzIs6Cy3HmvCb3/9Lyp8PWvFjiuy/QIYBx&#10;CGc2wH843E3SGpcNPmGnLnPoHQbtpG3CF0cgGIi7PZ73KTpPOF7ezqefb5AAHE03d+ndPO47uQQb&#10;6/xXAQ0JQk4twhUbYIeN86E8y04uoZaGda1UhExp0uZ0Nr1NY8DZghFKD333rYamfVd0pC4xYBIQ&#10;D1cFlEec20JPCWf4usYmNsz5F2aRAzgR8to/4yEVYDEYJEoqsL/+dh/8ERq0UtIip3Lqfu6ZFZSo&#10;bxpBm87SNJDwWrHXSnGt6H3zAEjbMb4gw6OIwdarkygtNG9I/1WoiiamOdbOaXESH3zPdHw+XKxW&#10;0QlpZ5jf6K3hJ7jDil+7N2bNgINHAJ/gxD6WvYOj9+0BWe09yDpiddnqsH+kbIRweF7hTVzr0evy&#10;E1j+BgAA//8DAFBLAwQUAAYACAAAACEASxqhEN4AAAAIAQAADwAAAGRycy9kb3ducmV2LnhtbEyP&#10;QU+DQBCF7yb+h82YeGnsIigplKWpJl5MjLH24HFhp0BkZwm7BfrvHU96fPNe3nyv2C22FxOOvnOk&#10;4H4dgUCqnemoUXD8fLnbgPBBk9G9I1RwQQ+78vqq0LlxM33gdAiN4BLyuVbQhjDkUvq6Rav92g1I&#10;7J3caHVgOTbSjHrmctvLOIpSaXVH/KHVAz63WH8fzlbBe5x+dXQ6zmY1Vd3q6fJG+9eg1O3Nst+C&#10;CLiEvzD84jM6lMxUuTMZL3rWjxxUEKcPGQj2s4QPlYIkySKQZSH/Dyh/AAAA//8DAFBLAQItABQA&#10;BgAIAAAAIQC2gziS/gAAAOEBAAATAAAAAAAAAAAAAAAAAAAAAABbQ29udGVudF9UeXBlc10ueG1s&#10;UEsBAi0AFAAGAAgAAAAhADj9If/WAAAAlAEAAAsAAAAAAAAAAAAAAAAALwEAAF9yZWxzLy5yZWxz&#10;UEsBAi0AFAAGAAgAAAAhAARG6SckAgAATAQAAA4AAAAAAAAAAAAAAAAALgIAAGRycy9lMm9Eb2Mu&#10;eG1sUEsBAi0AFAAGAAgAAAAhAEsaoRDeAAAACAEAAA8AAAAAAAAAAAAAAAAAfgQAAGRycy9kb3du&#10;cmV2LnhtbFBLBQYAAAAABAAEAPMAAACJBQAAAAA=&#10;" filled="f" stroked="f" strokeweight=".5pt">
                <v:textbox inset="1mm,1mm,1mm,1mm">
                  <w:txbxContent>
                    <w:p w14:paraId="0DC4C542" w14:textId="45FFC9D9" w:rsidR="00B83D7D" w:rsidRDefault="0020711D"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Metāl-</w:t>
                      </w:r>
                    </w:p>
                    <w:p w14:paraId="7D6A7126" w14:textId="1EDD95B3" w:rsidR="0020711D" w:rsidRDefault="0020711D"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apstrāde</w:t>
                      </w:r>
                    </w:p>
                    <w:p w14:paraId="79F78024" w14:textId="35B9F5F6" w:rsidR="00B83D7D" w:rsidRPr="0080669C" w:rsidRDefault="0020711D"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1,2%</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77" behindDoc="0" locked="0" layoutInCell="1" allowOverlap="1" wp14:anchorId="54EEEAEA" wp14:editId="6CB70559">
                <wp:simplePos x="0" y="0"/>
                <wp:positionH relativeFrom="column">
                  <wp:posOffset>593008</wp:posOffset>
                </wp:positionH>
                <wp:positionV relativeFrom="paragraph">
                  <wp:posOffset>1464945</wp:posOffset>
                </wp:positionV>
                <wp:extent cx="398352" cy="345082"/>
                <wp:effectExtent l="0" t="0" r="1905" b="0"/>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352" cy="345082"/>
                        </a:xfrm>
                        <a:prstGeom prst="rect">
                          <a:avLst/>
                        </a:prstGeom>
                        <a:noFill/>
                        <a:ln w="6350">
                          <a:noFill/>
                        </a:ln>
                      </wps:spPr>
                      <wps:txbx>
                        <w:txbxContent>
                          <w:p w14:paraId="5AE6903F" w14:textId="10F12EDE" w:rsidR="00B83D7D" w:rsidRDefault="004A2D9E"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C23</w:t>
                            </w:r>
                          </w:p>
                          <w:p w14:paraId="5E8DDBA3" w14:textId="1132BD1F" w:rsidR="00B83D7D" w:rsidRPr="0080669C" w:rsidRDefault="004A2D9E"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EEAEA" id="Text Box 477" o:spid="_x0000_s1089" type="#_x0000_t202" style="position:absolute;margin-left:46.7pt;margin-top:115.35pt;width:31.35pt;height:27.1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nwIgIAAEwEAAAOAAAAZHJzL2Uyb0RvYy54bWysVEuP2jAQvlfqf7B8LwlQEBsRVnRXVJXQ&#10;7kpstWfHsUlUx+PahoT++o6d8NC2p6oXZ8bznu9zlvddo8hRWFeDzul4lFIiNIey1vucfn/dfFpQ&#10;4jzTJVOgRU5PwtH71ccPy9ZkYgIVqFJYgkm0y1qT08p7kyWJ45VomBuBERqNEmzDPKp2n5SWtZi9&#10;UckkTedJC7Y0FrhwDm8feyNdxfxSCu6fpXTCE5VT7M3H08azCGeyWrJsb5mpaj60wf6hi4bVGote&#10;Uj0yz8jB1n+kampuwYH0Iw5NAlLWXMQZcJpx+m6aXcWMiLPgcpy5rMn9v7T86bgzL5b47gt0CGAc&#10;wpkt8B8Od5O0xmWDT9ipyxx6h0E7aZvwxREIBuJuT5d9is4TjpfTu8V0NqGEo2n6eZYuJmHfyTXY&#10;WOe/CmhIEHJqEa7YADtune9dzy6hloZNrVSETGnS5nQ+naUx4GLB5EoPffethqZ9V3SkLkNA6CBc&#10;FVCecG4LPSWc4Zsam9gy51+YRQ7gRMhr/4yHVIDFYJAoqcD++tt98Edo0EpJi5zKqft5YFZQor5p&#10;BG06T9NAwlvF3irFraIPzQMgbcf4ggyPIgZbr86itNC8If3XoSqamOZYO6fFWXzwPdPx+XCxXkcn&#10;pJ1hfqt3hp/hDit+7d6YNQMOHgF8gjP7WPYOjt63B2R98CDriNV1q8P+kbIR7eF5hTdxq0ev609g&#10;9RsAAP//AwBQSwMEFAAGAAgAAAAhALg4NkfhAAAACgEAAA8AAABkcnMvZG93bnJldi54bWxMj8FO&#10;wzAMhu9IvENkJC4TS9axbpSm00DigoQQY4cd08ZrIxqnarK2e3uyExxtf/r9/fl2si0bsPfGkYTF&#10;XABDqpw2VEs4fL89bID5oEir1hFKuKCHbXF7k6tMu5G+cNiHmsUQ8pmS0ITQZZz7qkGr/Nx1SPF2&#10;cr1VIY59zXWvxhhuW54IkXKrDMUPjerwtcHqZ3+2Ej6T9GjodBj1bCjN7OXyQbv3IOX93bR7BhZw&#10;Cn8wXPWjOhTRqXRn0p61Ep6Wj5GUkCzFGtgVWKULYGXcbFYCeJHz/xWKXwAAAP//AwBQSwECLQAU&#10;AAYACAAAACEAtoM4kv4AAADhAQAAEwAAAAAAAAAAAAAAAAAAAAAAW0NvbnRlbnRfVHlwZXNdLnht&#10;bFBLAQItABQABgAIAAAAIQA4/SH/1gAAAJQBAAALAAAAAAAAAAAAAAAAAC8BAABfcmVscy8ucmVs&#10;c1BLAQItABQABgAIAAAAIQCrkinwIgIAAEwEAAAOAAAAAAAAAAAAAAAAAC4CAABkcnMvZTJvRG9j&#10;LnhtbFBLAQItABQABgAIAAAAIQC4ODZH4QAAAAoBAAAPAAAAAAAAAAAAAAAAAHwEAABkcnMvZG93&#10;bnJldi54bWxQSwUGAAAAAAQABADzAAAAigUAAAAA&#10;" filled="f" stroked="f" strokeweight=".5pt">
                <v:textbox inset="1mm,1mm,1mm,1mm">
                  <w:txbxContent>
                    <w:p w14:paraId="5AE6903F" w14:textId="10F12EDE" w:rsidR="00B83D7D" w:rsidRDefault="004A2D9E"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C23</w:t>
                      </w:r>
                    </w:p>
                    <w:p w14:paraId="5E8DDBA3" w14:textId="1132BD1F" w:rsidR="00B83D7D" w:rsidRPr="0080669C" w:rsidRDefault="004A2D9E"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22" behindDoc="0" locked="0" layoutInCell="1" allowOverlap="1" wp14:anchorId="44550837" wp14:editId="0D28FA94">
                <wp:simplePos x="0" y="0"/>
                <wp:positionH relativeFrom="column">
                  <wp:posOffset>593090</wp:posOffset>
                </wp:positionH>
                <wp:positionV relativeFrom="paragraph">
                  <wp:posOffset>1873803</wp:posOffset>
                </wp:positionV>
                <wp:extent cx="497941" cy="360000"/>
                <wp:effectExtent l="0" t="0" r="0" b="2540"/>
                <wp:wrapNone/>
                <wp:docPr id="478"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941" cy="360000"/>
                        </a:xfrm>
                        <a:prstGeom prst="rect">
                          <a:avLst/>
                        </a:prstGeom>
                        <a:noFill/>
                        <a:ln w="6350">
                          <a:noFill/>
                        </a:ln>
                      </wps:spPr>
                      <wps:txbx>
                        <w:txbxContent>
                          <w:p w14:paraId="485B25D4" w14:textId="6DA56998" w:rsidR="00B83D7D" w:rsidRDefault="00AB4696"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C27</w:t>
                            </w:r>
                          </w:p>
                          <w:p w14:paraId="6299222A" w14:textId="7835DDAC" w:rsidR="00B83D7D" w:rsidRPr="0080669C" w:rsidRDefault="00AB4696"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50837" id="Text Box 478" o:spid="_x0000_s1090" type="#_x0000_t202" style="position:absolute;margin-left:46.7pt;margin-top:147.55pt;width:39.2pt;height:28.3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8CIgIAAEwEAAAOAAAAZHJzL2Uyb0RvYy54bWysVE1vGyEQvVfqf0Dc610nrtusvI7cRK4q&#10;WUkkp8oZs2CvyjJ0wN5Nf30Hdv2htKeqPmBghuHNe4+d3XaNYQeFvgZb8vEo50xZCVVttyX//rz8&#10;8JkzH4SthAGrSv6qPL+dv383a12hrmAHplLIqIj1RetKvgvBFVnm5U41wo/AKUtBDdiIQEvcZhWK&#10;lqo3JrvK82nWAlYOQSrvafe+D/J5qq+1kuFRa68CMyUnbCGNmMZNHLP5TBRbFG5XywGG+AcUjagt&#10;XXoqdS+CYHus/yjV1BLBgw4jCU0GWtdSpR6om3H+ppv1TjiVeiFyvDvR5P9fWflwWLsnZKH7Ah0J&#10;mJrwbgXyhydustb5YsiJnPrCU3ZstNPYxH9qgdFB4vb1xKfqApO0Obn5dDMZcyYpdD3N6Rf5zs6H&#10;HfrwVUHD4qTkSHIlAOKw8qFPPabEuywsa2OSZMaytuTT6495OnCKUHFjB9w91Ag6dJuO1RUdmEQE&#10;cWsD1Sv1jdBbwju5rAnESvjwJJA8QB2Rr8MjDdoAXQbDjLMd4K+/7cd8koainLXkqZL7n3uBijPz&#10;zZJoiQMy4eUCLxeby4XdN3dAtiUCCV2aEiYM5jjVCM0L2X8Rb6WQsJLuLvnmOL0LvdPp+Ui1WKQk&#10;sp0TYWXXTh7ljhQ/dy8C3aBDIAEf4Og+UbyRo8/tBVnsA+g6aXVmdeCfLJvUHp5XfBOX65R1/gjM&#10;fwMAAP//AwBQSwMEFAAGAAgAAAAhAB/ADd/hAAAACgEAAA8AAABkcnMvZG93bnJldi54bWxMj8FO&#10;wzAMhu9IvENkJC4TS9uxjZWm00DigoQQY4cd08ZrKxqnarK2e3u8E9xs+dPv78+2k23FgL1vHCmI&#10;5xEIpNKZhioFh++3hycQPmgyunWECi7oYZvf3mQ6NW6kLxz2oRIcQj7VCuoQulRKX9ZotZ+7Dolv&#10;J9dbHXjtK2l6PXK4bWUSRStpdUP8odYdvtZY/uzPVsFnsjo2dDqMZjYUzezl8kG796DU/d20ewYR&#10;cAp/MFz1WR1ydircmYwXrYLN4pFJBclmGYO4AuuYuxQKFkseZJ7J/xXyXwAAAP//AwBQSwECLQAU&#10;AAYACAAAACEAtoM4kv4AAADhAQAAEwAAAAAAAAAAAAAAAAAAAAAAW0NvbnRlbnRfVHlwZXNdLnht&#10;bFBLAQItABQABgAIAAAAIQA4/SH/1gAAAJQBAAALAAAAAAAAAAAAAAAAAC8BAABfcmVscy8ucmVs&#10;c1BLAQItABQABgAIAAAAIQBFWs8CIgIAAEwEAAAOAAAAAAAAAAAAAAAAAC4CAABkcnMvZTJvRG9j&#10;LnhtbFBLAQItABQABgAIAAAAIQAfwA3f4QAAAAoBAAAPAAAAAAAAAAAAAAAAAHwEAABkcnMvZG93&#10;bnJldi54bWxQSwUGAAAAAAQABADzAAAAigUAAAAA&#10;" filled="f" stroked="f" strokeweight=".5pt">
                <v:textbox inset="1mm,1mm,1mm,1mm">
                  <w:txbxContent>
                    <w:p w14:paraId="485B25D4" w14:textId="6DA56998" w:rsidR="00B83D7D" w:rsidRDefault="00AB4696"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C27</w:t>
                      </w:r>
                    </w:p>
                    <w:p w14:paraId="6299222A" w14:textId="7835DDAC" w:rsidR="00B83D7D" w:rsidRPr="0080669C" w:rsidRDefault="00AB4696"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55" behindDoc="0" locked="0" layoutInCell="1" allowOverlap="1" wp14:anchorId="7821B603" wp14:editId="40507E69">
                <wp:simplePos x="0" y="0"/>
                <wp:positionH relativeFrom="column">
                  <wp:posOffset>1150067</wp:posOffset>
                </wp:positionH>
                <wp:positionV relativeFrom="paragraph">
                  <wp:posOffset>962025</wp:posOffset>
                </wp:positionV>
                <wp:extent cx="863600" cy="359410"/>
                <wp:effectExtent l="0" t="0" r="0" b="2540"/>
                <wp:wrapNone/>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359410"/>
                        </a:xfrm>
                        <a:prstGeom prst="rect">
                          <a:avLst/>
                        </a:prstGeom>
                        <a:noFill/>
                        <a:ln w="6350">
                          <a:noFill/>
                        </a:ln>
                      </wps:spPr>
                      <wps:txbx>
                        <w:txbxContent>
                          <w:p w14:paraId="5A3E355A" w14:textId="77777777" w:rsidR="006829EF" w:rsidRDefault="001337A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Pārtikas ražošana</w:t>
                            </w:r>
                          </w:p>
                          <w:p w14:paraId="3FC701CB" w14:textId="77777777" w:rsidR="0049419F" w:rsidRDefault="00DF28E0"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3,0%</w:t>
                            </w:r>
                          </w:p>
                          <w:p w14:paraId="264F4C8F" w14:textId="77777777" w:rsidR="00AF6E02" w:rsidRDefault="00AF6E02" w:rsidP="00C075DC">
                            <w:pPr>
                              <w:tabs>
                                <w:tab w:val="left" w:pos="4820"/>
                              </w:tabs>
                              <w:spacing w:after="0"/>
                              <w:rPr>
                                <w:rFonts w:ascii="Segoe UI Light" w:hAnsi="Segoe UI Light" w:cs="Segoe UI Light"/>
                                <w:sz w:val="16"/>
                                <w:szCs w:val="16"/>
                              </w:rPr>
                            </w:pPr>
                          </w:p>
                          <w:p w14:paraId="2F9772A2" w14:textId="509CB16C" w:rsidR="00AF6E02" w:rsidRDefault="00AF6E02" w:rsidP="00C075DC">
                            <w:pPr>
                              <w:tabs>
                                <w:tab w:val="left" w:pos="4820"/>
                              </w:tabs>
                              <w:spacing w:after="0"/>
                              <w:rPr>
                                <w:rFonts w:ascii="Segoe UI Light" w:hAnsi="Segoe UI Light" w:cs="Segoe UI Light"/>
                                <w:sz w:val="16"/>
                                <w:szCs w:val="16"/>
                              </w:rPr>
                            </w:pPr>
                          </w:p>
                          <w:p w14:paraId="4F814D2D" w14:textId="24D64AEF" w:rsidR="00B83D7D" w:rsidRDefault="00B83D7D" w:rsidP="00C075DC">
                            <w:pPr>
                              <w:tabs>
                                <w:tab w:val="left" w:pos="4820"/>
                              </w:tabs>
                              <w:spacing w:after="0"/>
                              <w:rPr>
                                <w:rFonts w:ascii="Segoe UI Light" w:hAnsi="Segoe UI Light" w:cs="Segoe UI Light"/>
                                <w:sz w:val="16"/>
                                <w:szCs w:val="16"/>
                              </w:rPr>
                            </w:pPr>
                          </w:p>
                          <w:p w14:paraId="73350D13" w14:textId="1F919896" w:rsidR="00B83D7D" w:rsidRPr="0080669C" w:rsidRDefault="001337A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3,0%</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1B603" id="Text Box 479" o:spid="_x0000_s1091" type="#_x0000_t202" style="position:absolute;margin-left:90.55pt;margin-top:75.75pt;width:68pt;height:28.3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ugIQIAAEwEAAAOAAAAZHJzL2Uyb0RvYy54bWysVF1v2yAUfZ+0/4B4X+w0S9RacaqsVaZJ&#10;UVspnfpMMMRomMuAxM5+/S7Y+VC3p2kvGLjf5xw8v+8aTQ7CeQWmpONRTokwHCpldiX9/rr6dEuJ&#10;D8xUTIMRJT0KT+8XHz/MW1uIG6hBV8IRTGJ80dqS1iHYIss8r0XD/AisMGiU4BoW8Oh2WeVYi9kb&#10;nd3k+SxrwVXWARfe4+1jb6SLlF9KwcOzlF4EokuKvYW0urRu45ot5qzYOWZrxYc22D900TBlsOg5&#10;1SMLjOyd+iNVo7gDDzKMODQZSKm4SDPgNOP83TSbmlmRZkFwvD3D5P9fWv502NgXR0L3BTokMA3h&#10;7Rr4D4/YZK31xeATMfWFR+84aCddE784AsFAxPZ4xlN0gXC8vJ1NZjlaOJom07vP44R3dgm2zoev&#10;AhoSNyV1SFdqgB3WPsTyrDi5xFoGVkrrRJk2pC3pbDLNU8DZghHaDH33rcamQ7ftiKowYBoZj1db&#10;qI44t4NeEt7ylcIm1syHF+ZQA9g36jo84yI1YDEYdpTU4H797T76IzVopaRFTZXU/9wzJyjR3wyS&#10;FtGIIrw+uOvD9vpg9s0DoGzH+IIsT1sMdkGfttJB84byX8aqaGKGY+2Sbk/bh9ArHZ8PF8tlckLZ&#10;WRbWZmP5ie4I8Wv3xpwdeAhI4BOc1MeKd3T0vj0hy30AqRJXF1QH/FGyicLhecU3cX1OXpefwOI3&#10;AAAA//8DAFBLAwQUAAYACAAAACEAycCOaOAAAAALAQAADwAAAGRycy9kb3ducmV2LnhtbEyPQU/D&#10;MAyF70j8h8hIXCaWpmijKk2ngcQFCSHGDhzTxmsrGqdqsrb795gT3Pzsp+fvFbvF9WLCMXSeNKh1&#10;AgKp9rajRsPx8+UuAxGiIWt6T6jhggF25fVVYXLrZ/rA6RAbwSEUcqOhjXHIpQx1i86EtR+Q+Hby&#10;ozOR5dhIO5qZw10v0yTZSmc64g+tGfC5xfr7cHYa3tPtV0en42xXU9Wtni5vtH+NWt/eLPtHEBGX&#10;+GeGX3xGh5KZKn8mG0TPOlOKrTxs1AYEO+7VA28qDWmSKZBlIf93KH8AAAD//wMAUEsBAi0AFAAG&#10;AAgAAAAhALaDOJL+AAAA4QEAABMAAAAAAAAAAAAAAAAAAAAAAFtDb250ZW50X1R5cGVzXS54bWxQ&#10;SwECLQAUAAYACAAAACEAOP0h/9YAAACUAQAACwAAAAAAAAAAAAAAAAAvAQAAX3JlbHMvLnJlbHNQ&#10;SwECLQAUAAYACAAAACEAsqb7oCECAABMBAAADgAAAAAAAAAAAAAAAAAuAgAAZHJzL2Uyb0RvYy54&#10;bWxQSwECLQAUAAYACAAAACEAycCOaOAAAAALAQAADwAAAAAAAAAAAAAAAAB7BAAAZHJzL2Rvd25y&#10;ZXYueG1sUEsFBgAAAAAEAAQA8wAAAIgFAAAAAA==&#10;" filled="f" stroked="f" strokeweight=".5pt">
                <v:textbox inset="1mm,1mm,1mm,1mm">
                  <w:txbxContent>
                    <w:p w14:paraId="5A3E355A" w14:textId="77777777" w:rsidR="006829EF" w:rsidRDefault="001337A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Pārtikas ražošana</w:t>
                      </w:r>
                    </w:p>
                    <w:p w14:paraId="3FC701CB" w14:textId="77777777" w:rsidR="0049419F" w:rsidRDefault="00DF28E0"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3,0%</w:t>
                      </w:r>
                    </w:p>
                    <w:p w14:paraId="264F4C8F" w14:textId="77777777" w:rsidR="00AF6E02" w:rsidRDefault="00AF6E02" w:rsidP="00C075DC">
                      <w:pPr>
                        <w:tabs>
                          <w:tab w:val="left" w:pos="4820"/>
                        </w:tabs>
                        <w:spacing w:after="0"/>
                        <w:rPr>
                          <w:rFonts w:ascii="Segoe UI Light" w:hAnsi="Segoe UI Light" w:cs="Segoe UI Light"/>
                          <w:sz w:val="16"/>
                          <w:szCs w:val="16"/>
                        </w:rPr>
                      </w:pPr>
                    </w:p>
                    <w:p w14:paraId="2F9772A2" w14:textId="509CB16C" w:rsidR="00AF6E02" w:rsidRDefault="00AF6E02" w:rsidP="00C075DC">
                      <w:pPr>
                        <w:tabs>
                          <w:tab w:val="left" w:pos="4820"/>
                        </w:tabs>
                        <w:spacing w:after="0"/>
                        <w:rPr>
                          <w:rFonts w:ascii="Segoe UI Light" w:hAnsi="Segoe UI Light" w:cs="Segoe UI Light"/>
                          <w:sz w:val="16"/>
                          <w:szCs w:val="16"/>
                        </w:rPr>
                      </w:pPr>
                    </w:p>
                    <w:p w14:paraId="4F814D2D" w14:textId="24D64AEF" w:rsidR="00B83D7D" w:rsidRDefault="00B83D7D" w:rsidP="00C075DC">
                      <w:pPr>
                        <w:tabs>
                          <w:tab w:val="left" w:pos="4820"/>
                        </w:tabs>
                        <w:spacing w:after="0"/>
                        <w:rPr>
                          <w:rFonts w:ascii="Segoe UI Light" w:hAnsi="Segoe UI Light" w:cs="Segoe UI Light"/>
                          <w:sz w:val="16"/>
                          <w:szCs w:val="16"/>
                        </w:rPr>
                      </w:pPr>
                    </w:p>
                    <w:p w14:paraId="73350D13" w14:textId="1F919896" w:rsidR="00B83D7D" w:rsidRPr="0080669C" w:rsidRDefault="001337A7"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3,0%</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21" behindDoc="0" locked="0" layoutInCell="1" allowOverlap="1" wp14:anchorId="6B0E5C95" wp14:editId="2102A330">
                <wp:simplePos x="0" y="0"/>
                <wp:positionH relativeFrom="column">
                  <wp:posOffset>1157605</wp:posOffset>
                </wp:positionH>
                <wp:positionV relativeFrom="paragraph">
                  <wp:posOffset>1324692</wp:posOffset>
                </wp:positionV>
                <wp:extent cx="430014" cy="360000"/>
                <wp:effectExtent l="0" t="0" r="8255" b="2540"/>
                <wp:wrapNone/>
                <wp:docPr id="48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014" cy="360000"/>
                        </a:xfrm>
                        <a:prstGeom prst="rect">
                          <a:avLst/>
                        </a:prstGeom>
                        <a:noFill/>
                        <a:ln w="6350">
                          <a:noFill/>
                        </a:ln>
                      </wps:spPr>
                      <wps:txbx>
                        <w:txbxContent>
                          <w:p w14:paraId="31D29113" w14:textId="30EA8398" w:rsidR="00B83D7D" w:rsidRDefault="00A052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C22</w:t>
                            </w:r>
                          </w:p>
                          <w:p w14:paraId="37FD8D4E" w14:textId="1CD06159" w:rsidR="00B83D7D" w:rsidRPr="0080669C" w:rsidRDefault="00A052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E5C95" id="Text Box 480" o:spid="_x0000_s1092" type="#_x0000_t202" style="position:absolute;margin-left:91.15pt;margin-top:104.3pt;width:33.85pt;height:28.3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D/IQIAAEwEAAAOAAAAZHJzL2Uyb0RvYy54bWysVMtu2zAQvBfoPxC815Lj1CgEy4GbwEUB&#10;IwngBDnTFGkLpbjskrbkfn2XlPxA2lNRH2gud7mPmaFmd11j2EGhr8GWfDzKOVNWQlXbbclfX5af&#10;vnDmg7CVMGBVyY/K87v5xw+z1hXqBnZgKoWMklhftK7kuxBckWVe7lQj/AicsuTUgI0IZOI2q1C0&#10;lL0x2U2eT7MWsHIIUnlPpw+9k89Tfq2VDE9aexWYKTn1FtKKad3ENZvPRLFF4Xa1HNoQ/9BFI2pL&#10;Rc+pHkQQbI/1H6maWiJ40GEkoclA61qqNANNM87fTbPeCafSLASOd2eY/P9LKx8Pa/eMLHRfoSMC&#10;0xDerUD+8IRN1jpfDDERU194io6Ddhqb+E8jMLpI2B7PeKouMEmHt5M8H99yJsk1meb0i3hnl8sO&#10;ffimoGFxU3IkulID4rDyoQ89hcRaFpa1MYkyY1lb8unkc54unD2U3Nih777V2HToNh2rK7owjR3E&#10;ow1UR5oboZeEd3JZUxMr4cOzQNIATUS6Dk+0aANUDIYdZzvAX387j/FEDXk5a0lTJfc/9wIVZ+a7&#10;JdISBiTCawOvjc21YffNPZBsx/SCnExb6gmDOW01QvNG8l/EquQSVlLtkm9O2/vQK52ej1SLRQoi&#10;2TkRVnbt5InuCPFL9ybQDTwEIvARTuoTxTs6+tiekMU+gK4TVxdUB/xJsont4XnFN3Ftp6jLR2D+&#10;GwAA//8DAFBLAwQUAAYACAAAACEAW9QR8d8AAAALAQAADwAAAGRycy9kb3ducmV2LnhtbEyPz0vD&#10;MBTH74L/Q3iCl+ESM1ZKbTqm4EUQcdvBY9pkbbB5KU3Wdv+9z5Pe3pf34fuj3C2+Z5Mdowuo4HEt&#10;gFlsgnHYKjgdXx9yYDFpNLoPaBVcbYRddXtT6sKEGT/tdEgtIxOMhVbQpTQUnMems17HdRgs0u8c&#10;Rq8TybHlZtQzmfueSyEy7rVDSuj0YF8623wfLl7Bh8y+HJ5Ps1lNtVs9X99x/5aUur9b9k/Akl3S&#10;Hwy/9ak6VNSpDhc0kfWkc7khVIEUeQaMCLkVtK6mI9tugFcl/7+h+gEAAP//AwBQSwECLQAUAAYA&#10;CAAAACEAtoM4kv4AAADhAQAAEwAAAAAAAAAAAAAAAAAAAAAAW0NvbnRlbnRfVHlwZXNdLnhtbFBL&#10;AQItABQABgAIAAAAIQA4/SH/1gAAAJQBAAALAAAAAAAAAAAAAAAAAC8BAABfcmVscy8ucmVsc1BL&#10;AQItABQABgAIAAAAIQBAJgD/IQIAAEwEAAAOAAAAAAAAAAAAAAAAAC4CAABkcnMvZTJvRG9jLnht&#10;bFBLAQItABQABgAIAAAAIQBb1BHx3wAAAAsBAAAPAAAAAAAAAAAAAAAAAHsEAABkcnMvZG93bnJl&#10;di54bWxQSwUGAAAAAAQABADzAAAAhwUAAAAA&#10;" filled="f" stroked="f" strokeweight=".5pt">
                <v:textbox inset="1mm,1mm,1mm,1mm">
                  <w:txbxContent>
                    <w:p w14:paraId="31D29113" w14:textId="30EA8398" w:rsidR="00B83D7D" w:rsidRDefault="00A052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C22</w:t>
                      </w:r>
                    </w:p>
                    <w:p w14:paraId="37FD8D4E" w14:textId="1CD06159" w:rsidR="00B83D7D" w:rsidRPr="0080669C" w:rsidRDefault="00A052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20" behindDoc="0" locked="0" layoutInCell="1" allowOverlap="1" wp14:anchorId="7D3B2101" wp14:editId="606E28E2">
                <wp:simplePos x="0" y="0"/>
                <wp:positionH relativeFrom="column">
                  <wp:posOffset>1671095</wp:posOffset>
                </wp:positionH>
                <wp:positionV relativeFrom="paragraph">
                  <wp:posOffset>1322416</wp:posOffset>
                </wp:positionV>
                <wp:extent cx="430014" cy="360000"/>
                <wp:effectExtent l="0" t="0" r="8255" b="2540"/>
                <wp:wrapNone/>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014" cy="360000"/>
                        </a:xfrm>
                        <a:prstGeom prst="rect">
                          <a:avLst/>
                        </a:prstGeom>
                        <a:noFill/>
                        <a:ln w="6350">
                          <a:noFill/>
                        </a:ln>
                      </wps:spPr>
                      <wps:txbx>
                        <w:txbxContent>
                          <w:p w14:paraId="021AC235" w14:textId="66CCB378" w:rsidR="00B83D7D" w:rsidRDefault="00743C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C13-15</w:t>
                            </w:r>
                          </w:p>
                          <w:p w14:paraId="6C8CE259" w14:textId="31B66FB0" w:rsidR="00B83D7D" w:rsidRPr="0080669C" w:rsidRDefault="00743C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B2101" id="Text Box 482" o:spid="_x0000_s1093" type="#_x0000_t202" style="position:absolute;margin-left:131.6pt;margin-top:104.15pt;width:33.85pt;height:28.3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8qIgIAAEwEAAAOAAAAZHJzL2Uyb0RvYy54bWysVE2P2jAQvVfqf7B8LwnLllYRYUV3RVUJ&#10;7a7EVns2jg1RHY87NiT013fshA9te6rKwXg84/l47zmzu64x7KDQ12BLPh7lnCkroarttuTfX5Yf&#10;PnPmg7CVMGBVyY/K87v5+3ez1hXqBnZgKoWMklhftK7kuxBckWVe7lQj/AicsuTUgI0IZOI2q1C0&#10;lL0x2U2eT7MWsHIIUnlPpw+9k89Tfq2VDE9aexWYKTn1FtKKad3ENZvPRLFF4Xa1HNoQ/9BFI2pL&#10;Rc+pHkQQbI/1H6maWiJ40GEkoclA61qqNANNM87fTLPeCafSLASOd2eY/P9LKx8Pa/eMLHRfoCMC&#10;0xDerUD+8IRN1jpfDDERU194io6Ddhqb+E8jMLpI2B7PeKouMEmHt5M8H99yJsk1meb0i3hnl8sO&#10;ffiqoGFxU3IkulID4rDyoQ89hcRaFpa1MYkyY1lb8unkY54unD2U3Nih777V2HToNh2rK7rwKXYQ&#10;jzZQHWluhF4S3sllTU2shA/PAkkDNBHpOjzRog1QMRh2nO0Af/3tPMYTNeTlrCVNldz/3AtUnJlv&#10;lkhLGJAIrw28NjbXht0390CyHdMLcjJtqScM5rTVCM0ryX8Rq5JLWEm1S745be9Dr3R6PlItFimI&#10;ZOdEWNm1kye6I8Qv3atAN/AQiMBHOKlPFG/o6GN7Qhb7ALpOXF1QHfAnySa2h+cV38S1naIuH4H5&#10;bwAAAP//AwBQSwMEFAAGAAgAAAAhAK1JKNDgAAAACwEAAA8AAABkcnMvZG93bnJldi54bWxMj8FK&#10;w0AQhu+C77CM4KXYXRMMNWZTquBFELH24HGTnSbB7GzIbpP07Z2e9DbD//HPN8V2cb2YcAydJw33&#10;awUCqfa2o0bD4ev1bgMiREPW9J5QwxkDbMvrq8Lk1s/0idM+NoJLKORGQxvjkEsZ6hadCWs/IHF2&#10;9KMzkdexkXY0M5e7XiZKZdKZjvhCawZ8abH+2Z+cho8k++7oeJjtaqq61fP5nXZvUevbm2X3BCLi&#10;Ev9guOizOpTsVPkT2SB6DUmWJozyoDYpCCbSVD2CqC7RgwJZFvL/D+UvAAAA//8DAFBLAQItABQA&#10;BgAIAAAAIQC2gziS/gAAAOEBAAATAAAAAAAAAAAAAAAAAAAAAABbQ29udGVudF9UeXBlc10ueG1s&#10;UEsBAi0AFAAGAAgAAAAhADj9If/WAAAAlAEAAAsAAAAAAAAAAAAAAAAALwEAAF9yZWxzLy5yZWxz&#10;UEsBAi0AFAAGAAgAAAAhAD+UTyoiAgAATAQAAA4AAAAAAAAAAAAAAAAALgIAAGRycy9lMm9Eb2Mu&#10;eG1sUEsBAi0AFAAGAAgAAAAhAK1JKNDgAAAACwEAAA8AAAAAAAAAAAAAAAAAfAQAAGRycy9kb3du&#10;cmV2LnhtbFBLBQYAAAAABAAEAPMAAACJBQAAAAA=&#10;" filled="f" stroked="f" strokeweight=".5pt">
                <v:textbox inset="1mm,1mm,1mm,1mm">
                  <w:txbxContent>
                    <w:p w14:paraId="021AC235" w14:textId="66CCB378" w:rsidR="00B83D7D" w:rsidRDefault="00743C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C13-15</w:t>
                      </w:r>
                    </w:p>
                    <w:p w14:paraId="6C8CE259" w14:textId="31B66FB0" w:rsidR="00B83D7D" w:rsidRPr="0080669C" w:rsidRDefault="00743C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19" behindDoc="0" locked="0" layoutInCell="1" allowOverlap="1" wp14:anchorId="7D235A50" wp14:editId="504CA4B3">
                <wp:simplePos x="0" y="0"/>
                <wp:positionH relativeFrom="column">
                  <wp:posOffset>1158875</wp:posOffset>
                </wp:positionH>
                <wp:positionV relativeFrom="paragraph">
                  <wp:posOffset>1807128</wp:posOffset>
                </wp:positionV>
                <wp:extent cx="325925" cy="359410"/>
                <wp:effectExtent l="0" t="0" r="0" b="2540"/>
                <wp:wrapNone/>
                <wp:docPr id="48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925" cy="359410"/>
                        </a:xfrm>
                        <a:prstGeom prst="rect">
                          <a:avLst/>
                        </a:prstGeom>
                        <a:noFill/>
                        <a:ln w="6350">
                          <a:noFill/>
                        </a:ln>
                      </wps:spPr>
                      <wps:txbx>
                        <w:txbxContent>
                          <w:p w14:paraId="25F257FE" w14:textId="2BCDF39A" w:rsidR="00B83D7D"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C28</w:t>
                            </w:r>
                          </w:p>
                          <w:p w14:paraId="0F60DDE6" w14:textId="2E6E2549" w:rsidR="00B83D7D" w:rsidRPr="0080669C"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35A50" id="Text Box 484" o:spid="_x0000_s1094" type="#_x0000_t202" style="position:absolute;margin-left:91.25pt;margin-top:142.3pt;width:25.65pt;height:28.3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iJAIAAEwEAAAOAAAAZHJzL2Uyb0RvYy54bWysVFtv2yAUfp+0/4B4X+wkS9RacaqsVaZJ&#10;UVspnfpMMMTWgMOAxO5+/Q7Yuajb07QXfA7nfr4PL+46rchRON+AKel4lFMiDIeqMfuSfn9Zf7qh&#10;xAdmKqbAiJK+CU/vlh8/LFpbiAnUoCrhCCYxvmhtSesQbJFlntdCMz8CKwwaJTjNAqpun1WOtZhd&#10;q2yS5/OsBVdZB1x4j7cPvZEuU34pBQ9PUnoRiCop9hbS6dK5i2e2XLBi75itGz60wf6hC80ag0XP&#10;qR5YYOTgmj9S6YY78CDDiIPOQMqGizQDTjPO302zrZkVaRZcjrfnNfn/l5Y/Hrf22ZHQfYEOAUxD&#10;eLsB/sPjbrLW+mLwiTv1hUfvOGgnnY5fHIFgIO727bxP0QXC8XI6md1OZpRwNE1nt5/Had/ZJdg6&#10;H74K0CQKJXUIV2qAHTc+xPKsOLnEWgbWjVIJMmVIW9L5dJangLMFI5QZ+u5bjU2HbteRpsKAm4h4&#10;vNpB9YZzO+gp4S1fN9jEhvnwzBxyACdCXocnPKQCLAaDREkN7tff7qM/QoNWSlrkVEn9zwNzghL1&#10;zSBo03meRxJeK+5a2V0r5qDvAWk7xhdkeRIx2AV1EqUD/Yr0X8WqaGKGY+2S7k7ifeiZjs+Hi9Uq&#10;OSHtLAsbs7X8BHdc8Uv3ypwdcAgI4COc2MeKd3D0vj0gq0MA2SSsLlsd9o+UTRAOzyu+iWs9eV1+&#10;AsvfAAAA//8DAFBLAwQUAAYACAAAACEALhzZlOAAAAALAQAADwAAAGRycy9kb3ducmV2LnhtbEyP&#10;wU7DMBBE70j8g7VIXCrq1ClRFOJUBYkLEkItPXB0YjexiNdR7Cbp37Oc4Djap9k35W5xPZvMGKxH&#10;CZt1Asxg47XFVsLp8/UhBxaiQq16j0bC1QTYVbc3pSq0n/FgpmNsGZVgKJSELsah4Dw0nXEqrP1g&#10;kG5nPzoVKY4t16Oaqdz1XCRJxp2ySB86NZiXzjTfx4uT8CGyL4vn06xXU21Xz9d33L9FKe/vlv0T&#10;sGiW+AfDrz6pQ0VOtb+gDqynnItHQiWIfJsBI0KkKY2pJaTbjQBelfz/huoHAAD//wMAUEsBAi0A&#10;FAAGAAgAAAAhALaDOJL+AAAA4QEAABMAAAAAAAAAAAAAAAAAAAAAAFtDb250ZW50X1R5cGVzXS54&#10;bWxQSwECLQAUAAYACAAAACEAOP0h/9YAAACUAQAACwAAAAAAAAAAAAAAAAAvAQAAX3JlbHMvLnJl&#10;bHNQSwECLQAUAAYACAAAACEAk5J/4iQCAABMBAAADgAAAAAAAAAAAAAAAAAuAgAAZHJzL2Uyb0Rv&#10;Yy54bWxQSwECLQAUAAYACAAAACEALhzZlOAAAAALAQAADwAAAAAAAAAAAAAAAAB+BAAAZHJzL2Rv&#10;d25yZXYueG1sUEsFBgAAAAAEAAQA8wAAAIsFAAAAAA==&#10;" filled="f" stroked="f" strokeweight=".5pt">
                <v:textbox inset="1mm,1mm,1mm,1mm">
                  <w:txbxContent>
                    <w:p w14:paraId="25F257FE" w14:textId="2BCDF39A" w:rsidR="00B83D7D"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C28</w:t>
                      </w:r>
                    </w:p>
                    <w:p w14:paraId="0F60DDE6" w14:textId="2E6E2549" w:rsidR="00B83D7D" w:rsidRPr="0080669C"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18" behindDoc="0" locked="0" layoutInCell="1" allowOverlap="1" wp14:anchorId="275747C3" wp14:editId="5A68CA6C">
                <wp:simplePos x="0" y="0"/>
                <wp:positionH relativeFrom="column">
                  <wp:posOffset>1482643</wp:posOffset>
                </wp:positionH>
                <wp:positionV relativeFrom="paragraph">
                  <wp:posOffset>1809115</wp:posOffset>
                </wp:positionV>
                <wp:extent cx="325925" cy="359410"/>
                <wp:effectExtent l="0" t="0" r="0" b="2540"/>
                <wp:wrapNone/>
                <wp:docPr id="485"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925" cy="359410"/>
                        </a:xfrm>
                        <a:prstGeom prst="rect">
                          <a:avLst/>
                        </a:prstGeom>
                        <a:noFill/>
                        <a:ln w="6350">
                          <a:noFill/>
                        </a:ln>
                      </wps:spPr>
                      <wps:txbx>
                        <w:txbxContent>
                          <w:p w14:paraId="2C2E8340" w14:textId="0E03F854" w:rsidR="00FE1757" w:rsidRDefault="00FE1757"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C32</w:t>
                            </w:r>
                          </w:p>
                          <w:p w14:paraId="0C144180" w14:textId="77777777" w:rsidR="0049419F"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0,4%</w:t>
                            </w:r>
                          </w:p>
                          <w:p w14:paraId="2255B45F" w14:textId="77777777" w:rsidR="00AF6E02" w:rsidRDefault="00AF6E02" w:rsidP="00C075DC">
                            <w:pPr>
                              <w:tabs>
                                <w:tab w:val="left" w:pos="756"/>
                                <w:tab w:val="left" w:pos="1372"/>
                                <w:tab w:val="left" w:pos="4820"/>
                              </w:tabs>
                              <w:spacing w:after="0"/>
                              <w:rPr>
                                <w:rFonts w:ascii="Segoe UI Light" w:hAnsi="Segoe UI Light" w:cs="Segoe UI Light"/>
                                <w:sz w:val="16"/>
                                <w:szCs w:val="16"/>
                              </w:rPr>
                            </w:pPr>
                          </w:p>
                          <w:p w14:paraId="26F07C30" w14:textId="00218E1E"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747C3" id="Text Box 485" o:spid="_x0000_s1095" type="#_x0000_t202" style="position:absolute;margin-left:116.75pt;margin-top:142.45pt;width:25.65pt;height:28.3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A3JAIAAEwEAAAOAAAAZHJzL2Uyb0RvYy54bWysVEuP2jAQvlfqf7B8LwlQUIkIK7orqkpo&#10;dyV2tWfHsUlUx+PahoT++o6d8NC2p6oXZ8bznu9zlnddo8hRWFeDzul4lFIiNIey1vucvr5sPn2h&#10;xHmmS6ZAi5yehKN3q48flq3JxAQqUKWwBJNol7Ump5X3JksSxyvRMDcCIzQaJdiGeVTtPiktazF7&#10;o5JJms6TFmxpLHDhHN4+9Ea6ivmlFNw/SemEJyqn2JuPp41nEc5ktWTZ3jJT1Xxog/1DFw2rNRa9&#10;pHpgnpGDrf9I1dTcggPpRxyaBKSsuYgz4DTj9N00u4oZEWfB5ThzWZP7f2n543Fnni3x3VfoEMA4&#10;hDNb4D8c7iZpjcsGn7BTlzn0DoN20jbhiyMQDMTdni77FJ0nHC+nk9liMqOEo2k6W3wex30n12Bj&#10;nf8moCFByKlFuGID7Lh1PpRn2dkl1NKwqZWKkClN2pzOp7M0BlwsGKH00Hffamjad0VH6hIDFgHx&#10;cFVAecK5LfSUcIZvamxiy5x/ZhY5gBMhr/0THlIBFoNBoqQC++tv98EfoUErJS1yKqfu54FZQYn6&#10;rhG06TxNAwlvFXurFLeKPjT3gLQd4wsyPIoYbL06i9JC84b0X4eqaGKaY+2cFmfx3vdMx+fDxXod&#10;nZB2hvmt3hl+hjus+KV7Y9YMOHgE8BHO7GPZOzh63x6Q9cGDrCNW160O+0fKRgiH5xXexK0eva4/&#10;gdVvAAAA//8DAFBLAwQUAAYACAAAACEAtEgO6+EAAAALAQAADwAAAGRycy9kb3ducmV2LnhtbEyP&#10;QUvDQBCF74L/YRnBS7GbJm1p02xKFbwIUqw9eNxkp0kwOxuy2yT9944nvb3HfLx5L9tPthUD9r5x&#10;pGAxj0Aglc40VCk4f74+bUD4oMno1hEquKGHfX5/l+nUuJE+cDiFSnAI+VQrqEPoUil9WaPVfu46&#10;JL5dXG91YNtX0vR65HDbyjiK1tLqhvhDrTt8qbH8Pl2tgmO8/mroch7NbCia2fPtnQ5vQanHh+mw&#10;AxFwCn8w/Nbn6pBzp8JdyXjRKoiTZMUoi81yC4IJFjymUJAsFyuQeSb/b8h/AAAA//8DAFBLAQIt&#10;ABQABgAIAAAAIQC2gziS/gAAAOEBAAATAAAAAAAAAAAAAAAAAAAAAABbQ29udGVudF9UeXBlc10u&#10;eG1sUEsBAi0AFAAGAAgAAAAhADj9If/WAAAAlAEAAAsAAAAAAAAAAAAAAAAALwEAAF9yZWxzLy5y&#10;ZWxzUEsBAi0AFAAGAAgAAAAhAOwgMDckAgAATAQAAA4AAAAAAAAAAAAAAAAALgIAAGRycy9lMm9E&#10;b2MueG1sUEsBAi0AFAAGAAgAAAAhALRIDuvhAAAACwEAAA8AAAAAAAAAAAAAAAAAfgQAAGRycy9k&#10;b3ducmV2LnhtbFBLBQYAAAAABAAEAPMAAACMBQAAAAA=&#10;" filled="f" stroked="f" strokeweight=".5pt">
                <v:textbox inset="1mm,1mm,1mm,1mm">
                  <w:txbxContent>
                    <w:p w14:paraId="2C2E8340" w14:textId="0E03F854" w:rsidR="00FE1757" w:rsidRDefault="00FE1757"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C32</w:t>
                      </w:r>
                    </w:p>
                    <w:p w14:paraId="0C144180" w14:textId="77777777" w:rsidR="0049419F"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0,4%</w:t>
                      </w:r>
                    </w:p>
                    <w:p w14:paraId="2255B45F" w14:textId="77777777" w:rsidR="00AF6E02" w:rsidRDefault="00AF6E02" w:rsidP="00C075DC">
                      <w:pPr>
                        <w:tabs>
                          <w:tab w:val="left" w:pos="756"/>
                          <w:tab w:val="left" w:pos="1372"/>
                          <w:tab w:val="left" w:pos="4820"/>
                        </w:tabs>
                        <w:spacing w:after="0"/>
                        <w:rPr>
                          <w:rFonts w:ascii="Segoe UI Light" w:hAnsi="Segoe UI Light" w:cs="Segoe UI Light"/>
                          <w:sz w:val="16"/>
                          <w:szCs w:val="16"/>
                        </w:rPr>
                      </w:pPr>
                    </w:p>
                    <w:p w14:paraId="26F07C30" w14:textId="00218E1E"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78" behindDoc="0" locked="0" layoutInCell="1" allowOverlap="1" wp14:anchorId="012A6F20" wp14:editId="53F5C297">
                <wp:simplePos x="0" y="0"/>
                <wp:positionH relativeFrom="column">
                  <wp:posOffset>1802212</wp:posOffset>
                </wp:positionH>
                <wp:positionV relativeFrom="paragraph">
                  <wp:posOffset>1805305</wp:posOffset>
                </wp:positionV>
                <wp:extent cx="325925" cy="359410"/>
                <wp:effectExtent l="0" t="0" r="0" b="2540"/>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925" cy="359410"/>
                        </a:xfrm>
                        <a:prstGeom prst="rect">
                          <a:avLst/>
                        </a:prstGeom>
                        <a:noFill/>
                        <a:ln w="6350">
                          <a:noFill/>
                        </a:ln>
                      </wps:spPr>
                      <wps:txbx>
                        <w:txbxContent>
                          <w:p w14:paraId="09CF9977" w14:textId="3A3C321C" w:rsidR="00B83D7D"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C20</w:t>
                            </w:r>
                          </w:p>
                          <w:p w14:paraId="2784E6DA" w14:textId="330A50A2" w:rsidR="00B83D7D" w:rsidRPr="0080669C"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A6F20" id="Text Box 486" o:spid="_x0000_s1096" type="#_x0000_t202" style="position:absolute;margin-left:141.9pt;margin-top:142.15pt;width:25.65pt;height:28.3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g+JAIAAEwEAAAOAAAAZHJzL2Uyb0RvYy54bWysVEuP2yAQvlfqf0DcGztJk3atOKt0V6kq&#10;RbsrZas9EwwxKmYokNjbX98BOw9te6p6wTPMe74PL267RpOjcF6BKel4lFMiDIdKmX1Jvz+vP3ym&#10;xAdmKqbBiJK+Ck9vl+/fLVpbiAnUoCvhCCYxvmhtSesQbJFlnteiYX4EVhg0SnANC6i6fVY51mL2&#10;RmeTPJ9nLbjKOuDCe7y97410mfJLKXh4lNKLQHRJsbeQTpfOXTyz5YIVe8dsrfjQBvuHLhqmDBY9&#10;p7pngZGDU3+kahR34EGGEYcmAykVF2kGnGacv5lmWzMr0iy4HG/Pa/L/Ly1/OG7tkyOh+wIdApiG&#10;8HYD/IfH3WSt9cXgE3fqC4/ecdBOuiZ+cQSCgbjb1/M+RRcIx8vpZHYzmVHC0TSd3Xwcp31nl2Dr&#10;fPgqoCFRKKlDuFID7LjxIZZnxckl1jKwVlonyLQhbUnn01meAs4WjNBm6LtvNTYdul1HVFXST6mD&#10;eLWD6hXndtBTwlu+VtjEhvnwxBxyACdCXodHPKQGLAaDREkN7tff7qM/QoNWSlrkVEn9zwNzghL9&#10;zSBo03meRxJeK+5a2V0r5tDcAdJ2jC/I8iRisAv6JEoHzQvSfxWrookZjrVLujuJd6FnOj4fLlar&#10;5IS0syxszNbyE9xxxc/dC3N2wCEggA9wYh8r3sDR+/aArA4BpEpYXbY67B8pmyAcnld8E9d68rr8&#10;BJa/AQAA//8DAFBLAwQUAAYACAAAACEAzI+mFuEAAAALAQAADwAAAGRycy9kb3ducmV2LnhtbEyP&#10;QUvDQBCF74L/YRnBS7GbJrW0MZtSBS+CFGsPPW6y0ySYnQ3ZbZL+e6cnvb3hPd77JttOthUD9r5x&#10;pGAxj0Aglc40VCk4fr8/rUH4oMno1hEquKKHbX5/l+nUuJG+cDiESnAJ+VQrqEPoUil9WaPVfu46&#10;JPbOrrc68NlX0vR65HLbyjiKVtLqhnih1h2+1Vj+HC5WwT5enRo6H0czG4pm9nr9pN1HUOrxYdq9&#10;gAg4hb8w3PAZHXJmKtyFjBetgnidMHq4iWUCghNJ8rwAUbBYRhuQeSb//5D/AgAA//8DAFBLAQIt&#10;ABQABgAIAAAAIQC2gziS/gAAAOEBAAATAAAAAAAAAAAAAAAAAAAAAABbQ29udGVudF9UeXBlc10u&#10;eG1sUEsBAi0AFAAGAAgAAAAhADj9If/WAAAAlAEAAAsAAAAAAAAAAAAAAAAALwEAAF9yZWxzLy5y&#10;ZWxzUEsBAi0AFAAGAAgAAAAhADE92D4kAgAATAQAAA4AAAAAAAAAAAAAAAAALgIAAGRycy9lMm9E&#10;b2MueG1sUEsBAi0AFAAGAAgAAAAhAMyPphbhAAAACwEAAA8AAAAAAAAAAAAAAAAAfgQAAGRycy9k&#10;b3ducmV2LnhtbFBLBQYAAAAABAAEAPMAAACMBQAAAAA=&#10;" filled="f" stroked="f" strokeweight=".5pt">
                <v:textbox inset="1mm,1mm,1mm,1mm">
                  <w:txbxContent>
                    <w:p w14:paraId="09CF9977" w14:textId="3A3C321C" w:rsidR="00B83D7D"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C20</w:t>
                      </w:r>
                    </w:p>
                    <w:p w14:paraId="2784E6DA" w14:textId="330A50A2" w:rsidR="00B83D7D" w:rsidRPr="0080669C" w:rsidRDefault="00743CE5"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314" behindDoc="0" locked="0" layoutInCell="1" allowOverlap="1" wp14:anchorId="408F9859" wp14:editId="5FD46FD0">
                <wp:simplePos x="0" y="0"/>
                <wp:positionH relativeFrom="column">
                  <wp:posOffset>593732</wp:posOffset>
                </wp:positionH>
                <wp:positionV relativeFrom="paragraph">
                  <wp:posOffset>2291137</wp:posOffset>
                </wp:positionV>
                <wp:extent cx="543208" cy="359410"/>
                <wp:effectExtent l="0" t="0" r="952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208" cy="359410"/>
                        </a:xfrm>
                        <a:prstGeom prst="rect">
                          <a:avLst/>
                        </a:prstGeom>
                        <a:noFill/>
                        <a:ln w="6350">
                          <a:noFill/>
                        </a:ln>
                      </wps:spPr>
                      <wps:txbx>
                        <w:txbxContent>
                          <w:p w14:paraId="535C1C98" w14:textId="2A9E7684" w:rsidR="00B83D7D"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C29-30</w:t>
                            </w:r>
                          </w:p>
                          <w:p w14:paraId="0072F016" w14:textId="5638DEE9" w:rsidR="00B83D7D" w:rsidRPr="0080669C"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F9859" id="Text Box 2" o:spid="_x0000_s1097" type="#_x0000_t202" style="position:absolute;margin-left:46.75pt;margin-top:180.4pt;width:42.75pt;height:28.3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K7JAIAAEwEAAAOAAAAZHJzL2Uyb0RvYy54bWysVEuP2yAQvlfqf0DcGzvJJm2tOKt0V6kq&#10;RbsrZas9EwwxKmYokNjbX98BOw9te6p6wTPMe74PL267RpOjcF6BKel4lFMiDIdKmX1Jvz+vP3yi&#10;xAdmKqbBiJK+Ck9vl+/fLVpbiAnUoCvhCCYxvmhtSesQbJFlnteiYX4EVhg0SnANC6i6fVY51mL2&#10;RmeTPJ9nLbjKOuDCe7y97410mfJLKXh4lNKLQHRJsbeQTpfOXTyz5YIVe8dsrfjQBvuHLhqmDBY9&#10;p7pngZGDU3+kahR34EGGEYcmAykVF2kGnGacv5lmWzMr0iy4HG/Pa/L/Ly1/OG7tkyOh+wIdApiG&#10;8HYD/IfH3WSt9cXgE3fqC4/ecdBOuiZ+cQSCgbjb1/M+RRcIx8vZzXSSIwE4mqazzzfjtO/sEmyd&#10;D18FNCQKJXUIV2qAHTc+xPKsOLnEWgbWSusEmTakLel8OstTwNmCEdoMffetxqZDt+uIqkr6cRwR&#10;j1c7qF5xbgc9Jbzla4VNbJgPT8whB3Ai5HV4xENqwGIwSJTU4H797T76IzRopaRFTpXU/zwwJyjR&#10;3wyCNp3neSThteKuld21Yg7NHSBtx/iCLE8iBrugT6J00Lwg/VexKpqY4Vi7pLuTeBd6puPz4WK1&#10;Sk5IO8vCxmwtP8EdV/zcvTBnBxwCAvgAJ/ax4g0cvW8PyOoQQKqE1WWrw/6RsgnC4XnFN3GtJ6/L&#10;T2D5GwAA//8DAFBLAwQUAAYACAAAACEAlYpCHuEAAAAKAQAADwAAAGRycy9kb3ducmV2LnhtbEyP&#10;y07DMBBF90j8gzVIbCrq9EFKQyZVQWKDVCHaLrp04mkSEY+j2E3Sv8ddwXI0V/eek25G04ieOldb&#10;RphNIxDEhdU1lwjHw8fTCwjnFWvVWCaEKznYZPd3qUq0Hfib+r0vRShhlyiEyvs2kdIVFRnlprYl&#10;Dr+z7Yzy4exKqTs1hHLTyHkUxdKomsNCpVp6r6j42V8Mwtc8PtV8Pg560uf15O264+2nR3x8GLev&#10;IDyN/i8MN/yADllgyu2FtRMNwnrxHJIIizgKCrfAah3kcoTlbLUEmaXyv0L2CwAA//8DAFBLAQIt&#10;ABQABgAIAAAAIQC2gziS/gAAAOEBAAATAAAAAAAAAAAAAAAAAAAAAABbQ29udGVudF9UeXBlc10u&#10;eG1sUEsBAi0AFAAGAAgAAAAhADj9If/WAAAAlAEAAAsAAAAAAAAAAAAAAAAALwEAAF9yZWxzLy5y&#10;ZWxzUEsBAi0AFAAGAAgAAAAhAHu7MrskAgAATAQAAA4AAAAAAAAAAAAAAAAALgIAAGRycy9lMm9E&#10;b2MueG1sUEsBAi0AFAAGAAgAAAAhAJWKQh7hAAAACgEAAA8AAAAAAAAAAAAAAAAAfgQAAGRycy9k&#10;b3ducmV2LnhtbFBLBQYAAAAABAAEAPMAAACMBQAAAAA=&#10;" filled="f" stroked="f" strokeweight=".5pt">
                <v:textbox inset="1mm,1mm,1mm,1mm">
                  <w:txbxContent>
                    <w:p w14:paraId="535C1C98" w14:textId="2A9E7684" w:rsidR="00B83D7D"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C29-30</w:t>
                      </w:r>
                    </w:p>
                    <w:p w14:paraId="0072F016" w14:textId="5638DEE9" w:rsidR="00B83D7D" w:rsidRPr="0080669C" w:rsidRDefault="00AB4696" w:rsidP="00C075DC">
                      <w:pPr>
                        <w:tabs>
                          <w:tab w:val="left" w:pos="756"/>
                          <w:tab w:val="left" w:pos="1372"/>
                          <w:tab w:val="left" w:pos="4820"/>
                        </w:tabs>
                        <w:spacing w:after="0"/>
                        <w:rPr>
                          <w:rFonts w:ascii="Segoe UI Light" w:hAnsi="Segoe UI Light" w:cs="Segoe UI Light"/>
                          <w:sz w:val="16"/>
                          <w:szCs w:val="16"/>
                        </w:rPr>
                      </w:pPr>
                      <w:r>
                        <w:rPr>
                          <w:rFonts w:ascii="Segoe UI Light" w:hAnsi="Segoe UI Light" w:cs="Segoe UI Light"/>
                          <w:sz w:val="16"/>
                          <w:szCs w:val="16"/>
                        </w:rPr>
                        <w:t>0,6%</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76" behindDoc="0" locked="0" layoutInCell="1" allowOverlap="1" wp14:anchorId="73D26476" wp14:editId="69650444">
                <wp:simplePos x="0" y="0"/>
                <wp:positionH relativeFrom="column">
                  <wp:posOffset>9784</wp:posOffset>
                </wp:positionH>
                <wp:positionV relativeFrom="paragraph">
                  <wp:posOffset>2268503</wp:posOffset>
                </wp:positionV>
                <wp:extent cx="470780" cy="381295"/>
                <wp:effectExtent l="0" t="0" r="5715" b="0"/>
                <wp:wrapNone/>
                <wp:docPr id="1391" name="Text Box 1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0" cy="381295"/>
                        </a:xfrm>
                        <a:prstGeom prst="rect">
                          <a:avLst/>
                        </a:prstGeom>
                        <a:noFill/>
                        <a:ln w="6350">
                          <a:noFill/>
                        </a:ln>
                      </wps:spPr>
                      <wps:txbx>
                        <w:txbxContent>
                          <w:p w14:paraId="1C6B2184" w14:textId="3CAC0D68" w:rsidR="00B83D7D" w:rsidRDefault="00A052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C26</w:t>
                            </w:r>
                          </w:p>
                          <w:p w14:paraId="218C10F8" w14:textId="6A0CB3C2" w:rsidR="00B83D7D" w:rsidRPr="0080669C" w:rsidRDefault="00A052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26476" id="Text Box 1391" o:spid="_x0000_s1098" type="#_x0000_t202" style="position:absolute;margin-left:.75pt;margin-top:178.6pt;width:37.05pt;height:30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Ps4JQIAAEwEAAAOAAAAZHJzL2Uyb0RvYy54bWysVF1v2yAUfZ+0/4B4X+wka5JacaqsVaZJ&#10;UVspnfpMMMTWMJcBiZ39+l2w86GuT9VeMJd7uR/nHDy/a2tFDsK6CnROh4OUEqE5FJXe5fTny+rL&#10;jBLnmS6YAi1yehSO3i0+f5o3JhMjKEEVwhJMol3WmJyW3pssSRwvRc3cAIzQ6JRga+bRtLuksKzB&#10;7LVKRmk6SRqwhbHAhXN4+tA56SLml1Jw/ySlE56onGJvPq42rtuwJos5y3aWmbLifRvsA13UrNJY&#10;9JzqgXlG9rb6J1VdcQsOpB9wqBOQsuIizoDTDNM302xKZkScBcFx5gyT+39p+eNhY54t8e03aJHA&#10;OIQza+C/HGKTNMZlfUzA1GUOo8OgrbR1+OIIBC8itscznqL1hOPh12k6naGHo2s8G45ubwLeyeWy&#10;sc5/F1CTsMmpRbpiA+ywdr4LPYWEWhpWlVKRMqVJk9PJ+CaNF84eTK5033fXamjat9uWVEVOp6PQ&#10;QTjaQnHEuS10knCGrypsYs2cf2YWNYB9o679Ey5SARaDfkdJCfbPe+chHqlBLyUNaiqn7veeWUGJ&#10;+qGRtPEkTYMIrw17bWyvDb2v7wFlO8QXZHjc4mXr1WkrLdSvKP9lqIoupjnWzun2tL33ndLx+XCx&#10;XMYglJ1hfq03hp/oDhC/tK/Mmp4HjwQ+wkl9LHtDRxfbEbLce5BV5OqCao8/Sjay3T+v8Cau7Rh1&#10;+Qks/gIAAP//AwBQSwMEFAAGAAgAAAAhABEVO5PeAAAACAEAAA8AAABkcnMvZG93bnJldi54bWxM&#10;j0FPg0AQhe8m/ofNmHhp7FIU2lCWppp4MTGNtQePCzsFIjtL2C3Qf+940uOb9/Lme/lutp0YcfCt&#10;IwWrZQQCqXKmpVrB6fP1YQPCB01Gd45QwRU97Irbm1xnxk30geMx1IJLyGdaQRNCn0npqwat9kvX&#10;I7F3doPVgeVQSzPoicttJ+MoSqXVLfGHRvf40mD1fbxYBYc4/WrpfJrMYizbxfP1nfZvQan7u3m/&#10;BRFwDn9h+MVndCiYqXQXMl50rBMOKnhM1jEI9tdJCqJU8LTigyxy+X9A8QMAAP//AwBQSwECLQAU&#10;AAYACAAAACEAtoM4kv4AAADhAQAAEwAAAAAAAAAAAAAAAAAAAAAAW0NvbnRlbnRfVHlwZXNdLnht&#10;bFBLAQItABQABgAIAAAAIQA4/SH/1gAAAJQBAAALAAAAAAAAAAAAAAAAAC8BAABfcmVscy8ucmVs&#10;c1BLAQItABQABgAIAAAAIQBUdPs4JQIAAEwEAAAOAAAAAAAAAAAAAAAAAC4CAABkcnMvZTJvRG9j&#10;LnhtbFBLAQItABQABgAIAAAAIQARFTuT3gAAAAgBAAAPAAAAAAAAAAAAAAAAAH8EAABkcnMvZG93&#10;bnJldi54bWxQSwUGAAAAAAQABADzAAAAigUAAAAA&#10;" filled="f" stroked="f" strokeweight=".5pt">
                <v:textbox inset="1mm,1mm,1mm,1mm">
                  <w:txbxContent>
                    <w:p w14:paraId="1C6B2184" w14:textId="3CAC0D68" w:rsidR="00B83D7D" w:rsidRDefault="00A052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C26</w:t>
                      </w:r>
                    </w:p>
                    <w:p w14:paraId="218C10F8" w14:textId="6A0CB3C2" w:rsidR="00B83D7D" w:rsidRPr="0080669C" w:rsidRDefault="00A052E5" w:rsidP="00C075DC">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54" behindDoc="0" locked="0" layoutInCell="1" allowOverlap="1" wp14:anchorId="50A7A58D" wp14:editId="323FBE21">
                <wp:simplePos x="0" y="0"/>
                <wp:positionH relativeFrom="column">
                  <wp:posOffset>8255</wp:posOffset>
                </wp:positionH>
                <wp:positionV relativeFrom="paragraph">
                  <wp:posOffset>962742</wp:posOffset>
                </wp:positionV>
                <wp:extent cx="792000" cy="360000"/>
                <wp:effectExtent l="0" t="0" r="8255" b="2540"/>
                <wp:wrapNone/>
                <wp:docPr id="1432703763" name="Text Box 1432703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2000" cy="360000"/>
                        </a:xfrm>
                        <a:prstGeom prst="rect">
                          <a:avLst/>
                        </a:prstGeom>
                        <a:noFill/>
                        <a:ln w="6350">
                          <a:noFill/>
                        </a:ln>
                      </wps:spPr>
                      <wps:txbx>
                        <w:txbxContent>
                          <w:p w14:paraId="50215490" w14:textId="44829000" w:rsidR="00B83D7D" w:rsidRPr="0080669C" w:rsidRDefault="00B83D7D" w:rsidP="00C075DC">
                            <w:pPr>
                              <w:tabs>
                                <w:tab w:val="left" w:pos="4820"/>
                              </w:tabs>
                              <w:spacing w:after="0"/>
                              <w:rPr>
                                <w:rFonts w:ascii="Segoe UI Light" w:hAnsi="Segoe UI Light" w:cs="Segoe UI Light"/>
                                <w:sz w:val="16"/>
                                <w:szCs w:val="16"/>
                              </w:rPr>
                            </w:pP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7A58D" id="Text Box 1432703763" o:spid="_x0000_s1099" type="#_x0000_t202" style="position:absolute;margin-left:.65pt;margin-top:75.8pt;width:62.35pt;height:28.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klqIAIAAEwEAAAOAAAAZHJzL2Uyb0RvYy54bWysVMtu2zAQvBfoPxC817Jj1G0Ey4GbwEUB&#10;IwngFDnTFGkJpbjskrbkfn2XlPxA2lPRC7XkLvcxM9T8rmsMOyj0NdiCT0ZjzpSVUNZ2V/DvL6sP&#10;nznzQdhSGLCq4Efl+d3i/bt563J1AxWYUiGjJNbnrSt4FYLLs8zLSjXCj8ApS04N2IhAW9xlJYqW&#10;sjcmuxmPZ1kLWDoEqbyn04feyRcpv9ZKhietvQrMFJx6C2nFtG7jmi3mIt+hcFUthzbEP3TRiNpS&#10;0XOqBxEE22P9R6qmlggedBhJaDLQupYqzUDTTMZvptlUwqk0C4Hj3Rkm///SysfDxj0jC90X6IjA&#10;NIR3a5A/PGGTtc7nQ0zE1OeeouOgncYmfmkERhcJ2+MZT9UFJunw0y1RRB5JrumMzIR3drns0Iev&#10;ChoWjYIj0ZUaEIe1D7G8yE8hsZaFVW1MosxY1hZ8Nv04ThfOHrph7NB332psOnTbjtUldTSNjMej&#10;LZRHmhuhl4R3clVTE2vhw7NA0gD1TboOT7RoA1QMBouzCvDX385jPFFDXs5a0lTB/c+9QMWZ+WaJ&#10;tIQBifB6g9eb7fXG7pt7INlO6AU5mUzqCYM5mRqheSX5L2NVcgkrqXbBtyfzPvRKp+cj1XKZgkh2&#10;ToS13Th5ojtC/NK9CnQDD4EIfIST+kT+ho4+tidkuQ+g68TVBdUBf5JsonB4XvFNXO9T1OUnsPgN&#10;AAD//wMAUEsDBBQABgAIAAAAIQDPdnaL3gAAAAkBAAAPAAAAZHJzL2Rvd25yZXYueG1sTI/BasMw&#10;EETvhf6D2EAvoZHjUBNcyyEt9FIopWkOPcrWxhaxVsZSbOfvuzm1p2WYYfZNsZtdJ0YcgvWkYL1K&#10;QCDV3lhqFBy/3x63IELUZHTnCRVcMcCuvL8rdG78RF84HmIjuIRCrhW0Mfa5lKFu0emw8j0Seyc/&#10;OB1ZDo00g5643HUyTZJMOm2JP7S6x9cW6/Ph4hR8ptmPpdNxMsuxssuX6wft36NSD4t5/wwi4hz/&#10;wnDDZ3QomanyFzJBdKw3HOTztM5A3Pw0422VgjTZbkCWhfy/oPwFAAD//wMAUEsBAi0AFAAGAAgA&#10;AAAhALaDOJL+AAAA4QEAABMAAAAAAAAAAAAAAAAAAAAAAFtDb250ZW50X1R5cGVzXS54bWxQSwEC&#10;LQAUAAYACAAAACEAOP0h/9YAAACUAQAACwAAAAAAAAAAAAAAAAAvAQAAX3JlbHMvLnJlbHNQSwEC&#10;LQAUAAYACAAAACEA+wpJaiACAABMBAAADgAAAAAAAAAAAAAAAAAuAgAAZHJzL2Uyb0RvYy54bWxQ&#10;SwECLQAUAAYACAAAACEAz3Z2i94AAAAJAQAADwAAAAAAAAAAAAAAAAB6BAAAZHJzL2Rvd25yZXYu&#10;eG1sUEsFBgAAAAAEAAQA8wAAAIUFAAAAAA==&#10;" filled="f" stroked="f" strokeweight=".5pt">
                <v:textbox inset="1mm,1mm,1mm,1mm">
                  <w:txbxContent>
                    <w:p w14:paraId="50215490" w14:textId="44829000" w:rsidR="00B83D7D" w:rsidRPr="0080669C" w:rsidRDefault="00B83D7D" w:rsidP="00C075DC">
                      <w:pPr>
                        <w:tabs>
                          <w:tab w:val="left" w:pos="4820"/>
                        </w:tabs>
                        <w:spacing w:after="0"/>
                        <w:rPr>
                          <w:rFonts w:ascii="Segoe UI Light" w:hAnsi="Segoe UI Light" w:cs="Segoe UI Light"/>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53" behindDoc="0" locked="0" layoutInCell="1" allowOverlap="1" wp14:anchorId="46946A15" wp14:editId="323FBE21">
                <wp:simplePos x="0" y="0"/>
                <wp:positionH relativeFrom="column">
                  <wp:posOffset>8255</wp:posOffset>
                </wp:positionH>
                <wp:positionV relativeFrom="paragraph">
                  <wp:posOffset>962742</wp:posOffset>
                </wp:positionV>
                <wp:extent cx="792000" cy="360000"/>
                <wp:effectExtent l="0" t="0" r="8255" b="2540"/>
                <wp:wrapNone/>
                <wp:docPr id="1090106409" name="Text Box 1090106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2000" cy="360000"/>
                        </a:xfrm>
                        <a:prstGeom prst="rect">
                          <a:avLst/>
                        </a:prstGeom>
                        <a:noFill/>
                        <a:ln w="6350">
                          <a:noFill/>
                        </a:ln>
                      </wps:spPr>
                      <wps:txbx>
                        <w:txbxContent>
                          <w:p w14:paraId="201E74D8" w14:textId="77777777" w:rsidR="00B83D7D" w:rsidRPr="0080669C" w:rsidRDefault="00B83D7D" w:rsidP="00C075DC">
                            <w:pPr>
                              <w:tabs>
                                <w:tab w:val="left" w:pos="4820"/>
                              </w:tabs>
                              <w:spacing w:after="0"/>
                              <w:rPr>
                                <w:rFonts w:ascii="Segoe UI Light" w:hAnsi="Segoe UI Light" w:cs="Segoe UI Light"/>
                                <w:sz w:val="16"/>
                                <w:szCs w:val="16"/>
                              </w:rPr>
                            </w:pP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46A15" id="Text Box 1090106409" o:spid="_x0000_s1100" type="#_x0000_t202" style="position:absolute;margin-left:.65pt;margin-top:75.8pt;width:62.35pt;height:28.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QtIQIAAEwEAAAOAAAAZHJzL2Uyb0RvYy54bWysVMtu2zAQvBfoPxC817KT1m0Fy4GbwEUB&#10;IwngBDnTFGkJpbjskrbkfn2XlPxA0lPRC7XkLvcxM9TspmsM2yv0NdiCT0ZjzpSVUNZ2W/Dnp+WH&#10;L5z5IGwpDFhV8IPy/Gb+/t2sdbm6ggpMqZBREuvz1hW8CsHlWeZlpRrhR+CUJacGbESgLW6zEkVL&#10;2RuTXY3H06wFLB2CVN7T6V3v5POUX2slw4PWXgVmCk69hbRiWjdxzeYzkW9RuKqWQxviH7poRG2p&#10;6CnVnQiC7bB+k6qpJYIHHUYSmgy0rqVKM9A0k/GradaVcCrNQuB4d4LJ/7+08n6/do/IQvcNOiIw&#10;DeHdCuRPT9hkrfP5EBMx9bmn6Dhop7GJXxqB0UXC9nDCU3WBSTr8/JUoIo8k1/WUzIR3dr7s0Ifv&#10;ChoWjYIj0ZUaEPuVD7G8yI8hsZaFZW1MosxY1hZ8ev1pnC6cPHTD2KHvvtXYdOg2HatL6uhjZDwe&#10;baA80NwIvSS8k8uamlgJHx4Fkgaob9J1eKBFG6BiMFicVYC//3Ye44ka8nLWkqYK7n/tBCrOzA9L&#10;pCUMSISXG7zcbC43dtfcAsl2Qi/IyWRSTxjM0dQIzQvJfxGrkktYSbULvjmat6FXOj0fqRaLFESy&#10;cyKs7NrJI90R4qfuRaAbeAhE4D0c1SfyV3T0sT0hi10AXSeuzqgO+JNkE4XD84pv4nKfos4/gfkf&#10;AAAA//8DAFBLAwQUAAYACAAAACEAz3Z2i94AAAAJAQAADwAAAGRycy9kb3ducmV2LnhtbEyPwWrD&#10;MBBE74X+g9hAL6GR41ATXMshLfRSKKVpDj3K1sYWsVbGUmzn77s5tadlmGH2TbGbXSdGHIL1pGC9&#10;SkAg1d5YahQcv98etyBC1GR05wkVXDHArry/K3Ru/ERfOB5iI7iEQq4VtDH2uZShbtHpsPI9Ensn&#10;PzgdWQ6NNIOeuNx1Mk2STDptiT+0usfXFuvz4eIUfKbZj6XTcTLLsbLLl+sH7d+jUg+Lef8MIuIc&#10;/8Jww2d0KJmp8hcyQXSsNxzk87TOQNz8NONtlYI02W5AloX8v6D8BQAA//8DAFBLAQItABQABgAI&#10;AAAAIQC2gziS/gAAAOEBAAATAAAAAAAAAAAAAAAAAAAAAABbQ29udGVudF9UeXBlc10ueG1sUEsB&#10;Ai0AFAAGAAgAAAAhADj9If/WAAAAlAEAAAsAAAAAAAAAAAAAAAAALwEAAF9yZWxzLy5yZWxzUEsB&#10;Ai0AFAAGAAgAAAAhAEUfNC0hAgAATAQAAA4AAAAAAAAAAAAAAAAALgIAAGRycy9lMm9Eb2MueG1s&#10;UEsBAi0AFAAGAAgAAAAhAM92doveAAAACQEAAA8AAAAAAAAAAAAAAAAAewQAAGRycy9kb3ducmV2&#10;LnhtbFBLBQYAAAAABAAEAPMAAACGBQAAAAA=&#10;" filled="f" stroked="f" strokeweight=".5pt">
                <v:textbox inset="1mm,1mm,1mm,1mm">
                  <w:txbxContent>
                    <w:p w14:paraId="201E74D8" w14:textId="77777777" w:rsidR="00B83D7D" w:rsidRPr="0080669C" w:rsidRDefault="00B83D7D" w:rsidP="00C075DC">
                      <w:pPr>
                        <w:tabs>
                          <w:tab w:val="left" w:pos="4820"/>
                        </w:tabs>
                        <w:spacing w:after="0"/>
                        <w:rPr>
                          <w:rFonts w:ascii="Segoe UI Light" w:hAnsi="Segoe UI Light" w:cs="Segoe UI Light"/>
                          <w:sz w:val="16"/>
                          <w:szCs w:val="16"/>
                        </w:rPr>
                      </w:pPr>
                    </w:p>
                  </w:txbxContent>
                </v:textbox>
              </v:shape>
            </w:pict>
          </mc:Fallback>
        </mc:AlternateContent>
      </w:r>
      <w:r w:rsidR="00C075DC" w:rsidRPr="00A068FF">
        <w:rPr>
          <w:rFonts w:ascii="Candara" w:hAnsi="Candara"/>
          <w:noProof/>
          <w:sz w:val="14"/>
          <w:szCs w:val="14"/>
          <w:lang w:val="en-US"/>
        </w:rPr>
        <mc:AlternateContent>
          <mc:Choice Requires="wps">
            <w:drawing>
              <wp:anchor distT="0" distB="0" distL="114300" distR="114300" simplePos="0" relativeHeight="251658256" behindDoc="0" locked="0" layoutInCell="1" allowOverlap="1" wp14:anchorId="526DC816" wp14:editId="58A1D480">
                <wp:simplePos x="0" y="0"/>
                <wp:positionH relativeFrom="column">
                  <wp:posOffset>11430</wp:posOffset>
                </wp:positionH>
                <wp:positionV relativeFrom="paragraph">
                  <wp:posOffset>79375</wp:posOffset>
                </wp:positionV>
                <wp:extent cx="1225550" cy="252000"/>
                <wp:effectExtent l="0" t="0" r="0" b="0"/>
                <wp:wrapNone/>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327F9C1E" w14:textId="77777777" w:rsidR="006829EF" w:rsidRDefault="001337A7" w:rsidP="00C075DC">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Apstrādes rūpniecība</w:t>
                            </w:r>
                          </w:p>
                          <w:p w14:paraId="40238387" w14:textId="77777777" w:rsidR="00AF6E02" w:rsidRDefault="00AF6E02" w:rsidP="00C075DC">
                            <w:pPr>
                              <w:tabs>
                                <w:tab w:val="left" w:pos="4820"/>
                              </w:tabs>
                              <w:spacing w:after="0"/>
                              <w:rPr>
                                <w:rFonts w:ascii="Segoe UI Light" w:hAnsi="Segoe UI Light" w:cs="Segoe UI Light"/>
                                <w:b/>
                                <w:bCs/>
                                <w:sz w:val="16"/>
                                <w:szCs w:val="16"/>
                              </w:rPr>
                            </w:pPr>
                          </w:p>
                          <w:p w14:paraId="42FDE084" w14:textId="4C057C7A" w:rsidR="00B83D7D" w:rsidRPr="0080669C" w:rsidRDefault="00B83D7D" w:rsidP="00C075DC">
                            <w:pPr>
                              <w:tabs>
                                <w:tab w:val="left" w:pos="4820"/>
                              </w:tabs>
                              <w:spacing w:after="0"/>
                              <w:rPr>
                                <w:rFonts w:ascii="Segoe UI Light" w:hAnsi="Segoe UI Light" w:cs="Segoe UI Light"/>
                                <w:b/>
                                <w:bCs/>
                                <w:sz w:val="16"/>
                                <w:szCs w:val="16"/>
                              </w:rPr>
                            </w:pP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DC816" id="Text Box 491" o:spid="_x0000_s1101" type="#_x0000_t202" style="position:absolute;margin-left:.9pt;margin-top:6.25pt;width:96.5pt;height:19.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igJAIAAE0EAAAOAAAAZHJzL2Uyb0RvYy54bWysVMtu2zAQvBfoPxC817Id2CkEy4GbwEUB&#10;IwngBDnTFGkLpbgsubbkfn2XlPxo2lPRC8XlLvcxM9Tsrq0NOygfKrAFHw2GnCkroazstuCvL8tP&#10;nzkLKGwpDFhV8KMK/G7+8cOscbkaww5MqTyjJDbkjSv4DtHlWRbkTtUiDMApS04NvhZIpt9mpRcN&#10;Za9NNh4Op1kDvnQepAqBTh86J5+n/ForiU9aB4XMFJx6w7T6tG7ims1nIt964XaV7NsQ/9BFLSpL&#10;Rc+pHgQKtvfVH6nqSnoIoHEgoc5A60qqNANNMxq+m2a9E06lWQic4M4whf+XVj4e1u7ZM2y/QEsE&#10;piGCW4H8HgibrHEh72MipiEPFB0HbbWv45dGYHSRsD2e8VQtMhmzjceTyYRcknzjCfGVAM8ut50P&#10;+FVBzeKm4J74Sh2IwypgrC/yU0gsZmFZGZM4M5Y1BZ/eUPrfPHTD2L7xrtfYNbabllVlwW8nkfJ4&#10;tIHySIN76DQRnFxW1MRKBHwWnkRAfZOw8YkWbYCKQb/jbAf+59/OYzxxQ17OGhJVwcOPvfCKM/PN&#10;Emu3CQKGybiZRjyYvzY214bd1/dAuh3RE3IybWM8mtNWe6jfSP+LWJVcwkqqXXA8be+xkzq9H6kW&#10;ixREunMCV3bt5InvCPFL+ya863lAYvARTvIT+Ts6utgO9sUeQVeJqwuqPf6k2URh/77io7i2U9Tl&#10;LzD/BQAA//8DAFBLAwQUAAYACAAAACEA85ZOX9kAAAAHAQAADwAAAGRycy9kb3ducmV2LnhtbEyO&#10;wU7DMBBE70j8g7VIXBB1YjUVhDgVCvABFCSubrwkUeN1sJ02/Xu2JziNZmY1+6rt4kZxxBAHTxry&#10;VQYCqfV2oE7D58fb/QOImAxZM3pCDWeMsK2vrypTWn+idzzuUid4hGJpNPQpTaWUse3RmbjyExJ3&#10;3z44k9iGTtpgTjzuRqmybCOdGYg/9GbCpsf2sJudhpf1+Su/m+m12MTD9BNDkwfVaH17szw/gUi4&#10;pL9juOAzOtTMtPcz2ShG9gyeWFQB4lI/rjnYayiUAllX8j9//QsAAP//AwBQSwECLQAUAAYACAAA&#10;ACEAtoM4kv4AAADhAQAAEwAAAAAAAAAAAAAAAAAAAAAAW0NvbnRlbnRfVHlwZXNdLnhtbFBLAQIt&#10;ABQABgAIAAAAIQA4/SH/1gAAAJQBAAALAAAAAAAAAAAAAAAAAC8BAABfcmVscy8ucmVsc1BLAQIt&#10;ABQABgAIAAAAIQCgrfigJAIAAE0EAAAOAAAAAAAAAAAAAAAAAC4CAABkcnMvZTJvRG9jLnhtbFBL&#10;AQItABQABgAIAAAAIQDzlk5f2QAAAAcBAAAPAAAAAAAAAAAAAAAAAH4EAABkcnMvZG93bnJldi54&#10;bWxQSwUGAAAAAAQABADzAAAAhAUAAAAA&#10;" filled="f" stroked="f" strokeweight=".5pt">
                <v:textbox inset="2mm,1mm,1mm,1mm">
                  <w:txbxContent>
                    <w:p w14:paraId="327F9C1E" w14:textId="77777777" w:rsidR="006829EF" w:rsidRDefault="001337A7" w:rsidP="00C075DC">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Apstrādes rūpniecība</w:t>
                      </w:r>
                    </w:p>
                    <w:p w14:paraId="40238387" w14:textId="77777777" w:rsidR="00AF6E02" w:rsidRDefault="00AF6E02" w:rsidP="00C075DC">
                      <w:pPr>
                        <w:tabs>
                          <w:tab w:val="left" w:pos="4820"/>
                        </w:tabs>
                        <w:spacing w:after="0"/>
                        <w:rPr>
                          <w:rFonts w:ascii="Segoe UI Light" w:hAnsi="Segoe UI Light" w:cs="Segoe UI Light"/>
                          <w:b/>
                          <w:bCs/>
                          <w:sz w:val="16"/>
                          <w:szCs w:val="16"/>
                        </w:rPr>
                      </w:pPr>
                    </w:p>
                    <w:p w14:paraId="42FDE084" w14:textId="4C057C7A" w:rsidR="00B83D7D" w:rsidRPr="0080669C" w:rsidRDefault="00B83D7D" w:rsidP="00C075DC">
                      <w:pPr>
                        <w:tabs>
                          <w:tab w:val="left" w:pos="4820"/>
                        </w:tabs>
                        <w:spacing w:after="0"/>
                        <w:rPr>
                          <w:rFonts w:ascii="Segoe UI Light" w:hAnsi="Segoe UI Light" w:cs="Segoe UI Light"/>
                          <w:b/>
                          <w:bCs/>
                          <w:sz w:val="16"/>
                          <w:szCs w:val="16"/>
                        </w:rPr>
                      </w:pPr>
                    </w:p>
                  </w:txbxContent>
                </v:textbox>
              </v:shape>
            </w:pict>
          </mc:Fallback>
        </mc:AlternateContent>
      </w:r>
      <w:r w:rsidR="00C075DC" w:rsidRPr="00A068FF">
        <w:rPr>
          <w:rFonts w:ascii="Candara" w:hAnsi="Candara"/>
          <w:b/>
          <w:noProof/>
          <w:color w:val="FFFFFF"/>
          <w:sz w:val="14"/>
          <w:szCs w:val="14"/>
          <w:lang w:val="en-US"/>
        </w:rPr>
        <mc:AlternateContent>
          <mc:Choice Requires="cx1">
            <w:drawing>
              <wp:inline distT="0" distB="0" distL="0" distR="0" wp14:anchorId="53620A8A" wp14:editId="26E42396">
                <wp:extent cx="5868000" cy="7164000"/>
                <wp:effectExtent l="0" t="0" r="0" b="0"/>
                <wp:docPr id="495" name="Chart 495"/>
                <wp:cNvGraphicFramePr>
                  <a:graphicFrameLocks xmlns:a="http://schemas.openxmlformats.org/drawingml/2006/main" noGrp="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xmlns:w16cei="http://schemas.microsoft.com/office/word/2026/wordml/cei">
            <w:drawing xmlns:w="http://schemas.openxmlformats.org/wordprocessingml/2006/main">
              <wp:inline xmlns:wp="http://schemas.openxmlformats.org/drawingml/2006/wordprocessingDrawing" xmlns:wp14="http://schemas.microsoft.com/office/word/2010/wordprocessingDrawing" distT="0" distB="0" distL="0" distR="0" wp14:anchorId="6C486F07" wp14:editId="26E42396">
                <wp:extent cx="5868000" cy="7164000"/>
                <wp:effectExtent l="0" t="0" r="0" b="0"/>
                <wp:docPr id="254515866" name="Chart 495"/>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xmlns:mc="http://schemas.openxmlformats.org/markup-compatibility/2006">
                      <pic:nvPicPr>
                        <pic:cNvPr id="495" name="Chart 495"/>
                        <pic:cNvPicPr>
                          <a:picLocks noGrp="1" noRot="1" noChangeAspect="1" noMove="1" noResize="1" noEditPoints="1" noAdjustHandles="1" noChangeArrowheads="1" noChangeShapeType="1"/>
                        </pic:cNvPicPr>
                      </pic:nvPicPr>
                      <pic:blipFill>
                        <a:blip xmlns:r="http://schemas.openxmlformats.org/officeDocument/2006/relationships" r:embed="rId16"/>
                        <a:stretch>
                          <a:fillRect/>
                        </a:stretch>
                      </pic:blipFill>
                      <pic:spPr>
                        <a:xfrm>
                          <a:off x="0" y="0"/>
                          <a:ext cx="5867400" cy="7163435"/>
                        </a:xfrm>
                        <a:prstGeom prst="rect">
                          <a:avLst/>
                        </a:prstGeom>
                      </pic:spPr>
                    </pic:pic>
                  </a:graphicData>
                </a:graphic>
              </wp:inline>
            </w:drawing>
          </mc:Fallback>
        </mc:AlternateContent>
      </w:r>
    </w:p>
    <w:p w14:paraId="7AC6288D" w14:textId="4003A67E" w:rsidR="0080669C" w:rsidRPr="00A068FF" w:rsidRDefault="0080669C" w:rsidP="000A4643">
      <w:pPr>
        <w:spacing w:after="0"/>
        <w:jc w:val="both"/>
        <w:rPr>
          <w:rFonts w:ascii="Segoe UI Light" w:hAnsi="Segoe UI Light" w:cs="Segoe UI Light"/>
          <w:sz w:val="16"/>
          <w:szCs w:val="16"/>
        </w:rPr>
      </w:pPr>
      <w:r w:rsidRPr="00A068FF">
        <w:rPr>
          <w:rFonts w:ascii="Segoe UI Light" w:hAnsi="Segoe UI Light" w:cs="Segoe UI Light"/>
          <w:sz w:val="16"/>
          <w:szCs w:val="16"/>
        </w:rPr>
        <w:t xml:space="preserve">C13-15 – Vieglā rūpniecība; C18 – Poligrāfija; C20 – Ķīmiskā rūpniecība; C21 – Farmaceitisko preparātu ražošana; C22 – Gumijas un plastmasas izstrādājumu ražošana; C23 – Nemetālisko minerālu izstrādājumu ražošana; C26 – Datoru un elektronisko iekārtu ražošana; C27 – Elektrisko iekārtu ražošana; C28 – Iekārtu, mehānismu un mašīnu ražošana; C29-30 – Transportlīdzekļu ražošana; C31 – Mēbeļu ražošana; </w:t>
      </w:r>
      <w:r w:rsidR="002A0CEB" w:rsidRPr="00A068FF">
        <w:rPr>
          <w:rFonts w:ascii="Segoe UI Light" w:hAnsi="Segoe UI Light" w:cs="Segoe UI Light"/>
          <w:sz w:val="16"/>
          <w:szCs w:val="16"/>
        </w:rPr>
        <w:t xml:space="preserve">C32 – Cita veida ražošana; </w:t>
      </w:r>
      <w:r w:rsidRPr="00A068FF">
        <w:rPr>
          <w:rFonts w:ascii="Segoe UI Light" w:hAnsi="Segoe UI Light" w:cs="Segoe UI Light"/>
          <w:sz w:val="16"/>
          <w:szCs w:val="16"/>
        </w:rPr>
        <w:t>H51 – Gaisa transports; H53 – Pasta un kurjeru darbība; I55 – Izmitināšana; J58-60 – Izdevējdarbība, kino, radio, TV programmu izstrāde; K66 – Finanšu palīgdarbības; M71 – Arhitektūras un inženiertehniskie pakalpojumi; M72 – Zinātniski pētnieciskais darbs; M73 – Reklāma un tirgus izpēte; M74 – Citi profesionālie, zinātniskie un tehniskie pakalpojumi; N77 – Iznomāšana un līzings; N79 – Ceļojumu biroju darbība; R90 – Radošas, mākslinieciskas darbības; R92 – Azartspēles un derības; R93 – Sports un izklaide; T – Mājsaimniecību darbība</w:t>
      </w:r>
    </w:p>
    <w:p w14:paraId="1AA53145" w14:textId="54482474" w:rsidR="0080669C" w:rsidRPr="00D829F0" w:rsidRDefault="0080669C" w:rsidP="003677B6">
      <w:pPr>
        <w:spacing w:after="120"/>
        <w:jc w:val="both"/>
        <w:rPr>
          <w:rFonts w:ascii="Source Sans Pro" w:hAnsi="Source Sans Pro" w:cs="Calibri Light"/>
          <w:sz w:val="16"/>
          <w:szCs w:val="16"/>
        </w:rPr>
      </w:pPr>
      <w:r w:rsidRPr="00D829F0">
        <w:rPr>
          <w:rFonts w:ascii="Source Sans Pro" w:hAnsi="Source Sans Pro" w:cs="Calibri Light"/>
          <w:color w:val="000000"/>
          <w:sz w:val="16"/>
          <w:szCs w:val="16"/>
          <w:lang w:eastAsia="lv-LV"/>
        </w:rPr>
        <w:t>* – EM novērtējums</w:t>
      </w:r>
    </w:p>
    <w:p w14:paraId="564CD19B" w14:textId="19A8D1AC" w:rsidR="00F12FF2" w:rsidRPr="00D829F0" w:rsidRDefault="00F12FF2" w:rsidP="00F12FF2">
      <w:pPr>
        <w:spacing w:after="120"/>
        <w:jc w:val="both"/>
        <w:rPr>
          <w:rFonts w:ascii="Source Sans Pro" w:hAnsi="Source Sans Pro"/>
        </w:rPr>
      </w:pPr>
      <w:r w:rsidRPr="00D829F0">
        <w:rPr>
          <w:rFonts w:ascii="Source Sans Pro" w:hAnsi="Source Sans Pro"/>
          <w:b/>
        </w:rPr>
        <w:lastRenderedPageBreak/>
        <w:t>Apstrādes rūpniecības</w:t>
      </w:r>
      <w:r w:rsidRPr="00D829F0">
        <w:rPr>
          <w:rFonts w:ascii="Source Sans Pro" w:hAnsi="Source Sans Pro"/>
        </w:rPr>
        <w:t xml:space="preserve"> attīstību veicina Latvijas ražotāju konkurētspējas uzlabošanās, kā arī pieprasījuma dinamika lielākajos eksporta tirgos. Pēc apjomu krituma 2022.–2024.</w:t>
      </w:r>
      <w:r w:rsidR="007060B2">
        <w:rPr>
          <w:rFonts w:ascii="Source Sans Pro" w:hAnsi="Source Sans Pro"/>
        </w:rPr>
        <w:t> </w:t>
      </w:r>
      <w:r w:rsidRPr="00D829F0">
        <w:rPr>
          <w:rFonts w:ascii="Source Sans Pro" w:hAnsi="Source Sans Pro"/>
        </w:rPr>
        <w:t>gadā, ko izraisīja enerģijas cenu kāpums, vājais ārējais pieprasījums galvenajos ES eksporta tirgos un piegādes ķēžu traucējumi, 2025.</w:t>
      </w:r>
      <w:r w:rsidR="007060B2">
        <w:rPr>
          <w:rFonts w:ascii="Source Sans Pro" w:hAnsi="Source Sans Pro"/>
        </w:rPr>
        <w:t> </w:t>
      </w:r>
      <w:r w:rsidRPr="00D829F0">
        <w:rPr>
          <w:rFonts w:ascii="Source Sans Pro" w:hAnsi="Source Sans Pro"/>
        </w:rPr>
        <w:t xml:space="preserve">gadā apstrādes rūpniecībā bija vērojama stabila izaugsme – nozares pievienotā vērtība pieauga par 4,7%. </w:t>
      </w:r>
      <w:r w:rsidR="007060B2">
        <w:rPr>
          <w:rFonts w:ascii="Source Sans Pro" w:hAnsi="Source Sans Pro"/>
        </w:rPr>
        <w:t>Šo i</w:t>
      </w:r>
      <w:r w:rsidRPr="00D829F0">
        <w:rPr>
          <w:rFonts w:ascii="Source Sans Pro" w:hAnsi="Source Sans Pro"/>
        </w:rPr>
        <w:t>zaugsmi veicināja ārējā pieprasījuma pakāpeniska atkopšanās galvenajos ES tirgos, ražošanas jaudu paplašināšana, kā arī eksportētāju konkurētspējas uzlabošanās. Pieauga gandrīz visu apakšnozaru apjomi – būtiskāk – abas lielākās apakšnozares – kokapstrāde (par 6%) un pārtikas rūpniecība (par 7,3%). Strauji augšupejoša dinamika 2025.</w:t>
      </w:r>
      <w:r w:rsidR="007060B2">
        <w:rPr>
          <w:rFonts w:ascii="Source Sans Pro" w:hAnsi="Source Sans Pro"/>
        </w:rPr>
        <w:t> </w:t>
      </w:r>
      <w:r w:rsidRPr="00D829F0">
        <w:rPr>
          <w:rFonts w:ascii="Source Sans Pro" w:hAnsi="Source Sans Pro"/>
        </w:rPr>
        <w:t>gadā vērojama arī nemetālisko minerālu ražošanā (par 13,4%), transportlīdzekļu ražošanā (par 8%) un mašīnu un iekārtu ražošanā (par 6,3%). 2025.</w:t>
      </w:r>
      <w:r w:rsidR="007060B2">
        <w:rPr>
          <w:rFonts w:ascii="Source Sans Pro" w:hAnsi="Source Sans Pro"/>
        </w:rPr>
        <w:t> </w:t>
      </w:r>
      <w:r w:rsidRPr="00D829F0">
        <w:rPr>
          <w:rFonts w:ascii="Source Sans Pro" w:hAnsi="Source Sans Pro"/>
        </w:rPr>
        <w:t>gadā apstrādes rūpniecības apgrozījums faktiskajās cenās pieauga par 5,8%, un realizētās produkcijas izaugsme bija vērojama gan vietējā tirgū, gan eksportā.</w:t>
      </w:r>
    </w:p>
    <w:p w14:paraId="0BCE559A" w14:textId="4141729C" w:rsidR="00B73A48" w:rsidRPr="00D829F0" w:rsidRDefault="00B73A48" w:rsidP="003677B6">
      <w:pPr>
        <w:spacing w:after="120"/>
        <w:jc w:val="both"/>
        <w:rPr>
          <w:rFonts w:ascii="Source Sans Pro" w:hAnsi="Source Sans Pro"/>
          <w:szCs w:val="20"/>
        </w:rPr>
      </w:pPr>
      <w:r w:rsidRPr="00D829F0">
        <w:rPr>
          <w:rFonts w:ascii="Source Sans Pro" w:hAnsi="Source Sans Pro"/>
          <w:b/>
          <w:szCs w:val="20"/>
        </w:rPr>
        <w:t>Pārējās rūpniecības</w:t>
      </w:r>
      <w:r w:rsidRPr="00D829F0">
        <w:rPr>
          <w:rFonts w:ascii="Source Sans Pro" w:hAnsi="Source Sans Pro"/>
          <w:szCs w:val="20"/>
        </w:rPr>
        <w:t xml:space="preserve"> (ieguves rūpniecība, elektroenerģija un gāzes apgāde) </w:t>
      </w:r>
      <w:r w:rsidR="00D701E1" w:rsidRPr="00D829F0">
        <w:rPr>
          <w:rFonts w:ascii="Source Sans Pro" w:hAnsi="Source Sans Pro"/>
          <w:szCs w:val="20"/>
        </w:rPr>
        <w:t>pēc strauja krituma</w:t>
      </w:r>
      <w:r w:rsidRPr="00D829F0">
        <w:rPr>
          <w:rFonts w:ascii="Source Sans Pro" w:hAnsi="Source Sans Pro"/>
          <w:szCs w:val="20"/>
        </w:rPr>
        <w:t xml:space="preserve"> 2022</w:t>
      </w:r>
      <w:r w:rsidR="00D701E1" w:rsidRPr="00D829F0">
        <w:rPr>
          <w:rFonts w:ascii="Source Sans Pro" w:hAnsi="Source Sans Pro"/>
          <w:szCs w:val="20"/>
        </w:rPr>
        <w:t>.–2023.</w:t>
      </w:r>
      <w:r w:rsidR="007060B2">
        <w:rPr>
          <w:rFonts w:ascii="Source Sans Pro" w:hAnsi="Source Sans Pro"/>
          <w:szCs w:val="20"/>
        </w:rPr>
        <w:t> </w:t>
      </w:r>
      <w:r w:rsidR="00D701E1" w:rsidRPr="00D829F0">
        <w:rPr>
          <w:rFonts w:ascii="Source Sans Pro" w:hAnsi="Source Sans Pro"/>
          <w:szCs w:val="20"/>
        </w:rPr>
        <w:t>gadā, ko galvenokārt noteica kritums elektroenerģijas un gāzes apgādes nozarē saistībā ar dabasgāzes piegāžu pārtraukšanu no Krievijas un augstajām energoresursu cenām, 2024.</w:t>
      </w:r>
      <w:r w:rsidR="007060B2">
        <w:rPr>
          <w:rFonts w:ascii="Source Sans Pro" w:hAnsi="Source Sans Pro"/>
          <w:szCs w:val="20"/>
        </w:rPr>
        <w:t> </w:t>
      </w:r>
      <w:r w:rsidR="00D701E1" w:rsidRPr="00D829F0">
        <w:rPr>
          <w:rFonts w:ascii="Source Sans Pro" w:hAnsi="Source Sans Pro"/>
          <w:szCs w:val="20"/>
        </w:rPr>
        <w:t xml:space="preserve">gadā nozarēs </w:t>
      </w:r>
      <w:r w:rsidRPr="00D829F0">
        <w:rPr>
          <w:rFonts w:ascii="Source Sans Pro" w:hAnsi="Source Sans Pro"/>
          <w:szCs w:val="20"/>
        </w:rPr>
        <w:t xml:space="preserve">bija </w:t>
      </w:r>
      <w:r w:rsidR="00D701E1" w:rsidRPr="00D829F0">
        <w:rPr>
          <w:rFonts w:ascii="Source Sans Pro" w:hAnsi="Source Sans Pro"/>
          <w:szCs w:val="20"/>
        </w:rPr>
        <w:t>vērojama daļēja atkopšanās – pieauga gan elektroenerģijas, gāzes apgādes nozares, gan ieguves rūpniecības apjomi. Savukārt 2025.</w:t>
      </w:r>
      <w:r w:rsidR="00F83045">
        <w:rPr>
          <w:rFonts w:ascii="Source Sans Pro" w:hAnsi="Source Sans Pro"/>
          <w:szCs w:val="20"/>
        </w:rPr>
        <w:t> </w:t>
      </w:r>
      <w:r w:rsidR="00D701E1" w:rsidRPr="00D829F0">
        <w:rPr>
          <w:rFonts w:ascii="Source Sans Pro" w:hAnsi="Source Sans Pro"/>
          <w:szCs w:val="20"/>
        </w:rPr>
        <w:t xml:space="preserve">gadā pārējās rūpniecības nozarēs atkal </w:t>
      </w:r>
      <w:r w:rsidRPr="00D829F0">
        <w:rPr>
          <w:rFonts w:ascii="Source Sans Pro" w:hAnsi="Source Sans Pro"/>
          <w:szCs w:val="20"/>
        </w:rPr>
        <w:t xml:space="preserve">vērojams </w:t>
      </w:r>
      <w:r w:rsidR="00D701E1" w:rsidRPr="00D829F0">
        <w:rPr>
          <w:rFonts w:ascii="Source Sans Pro" w:hAnsi="Source Sans Pro"/>
          <w:szCs w:val="20"/>
        </w:rPr>
        <w:t>kritums – par 3%</w:t>
      </w:r>
      <w:r w:rsidR="00F83045">
        <w:rPr>
          <w:rFonts w:ascii="Source Sans Pro" w:hAnsi="Source Sans Pro"/>
          <w:szCs w:val="20"/>
        </w:rPr>
        <w:t>, visbūtiskāk</w:t>
      </w:r>
      <w:r w:rsidR="00D701E1" w:rsidRPr="00D829F0">
        <w:rPr>
          <w:rFonts w:ascii="Source Sans Pro" w:hAnsi="Source Sans Pro"/>
          <w:szCs w:val="20"/>
        </w:rPr>
        <w:t xml:space="preserve"> elektroenerģijas, gāzes apgādes, siltumapgādes un kondicionēšanas nozarē, jo būtiski samazinājās saražotās elektroenerģijas apjomi, īpaši hidroelektrostacijās. Strauji mazinājās arī apjomi</w:t>
      </w:r>
      <w:r w:rsidRPr="00D829F0">
        <w:rPr>
          <w:rFonts w:ascii="Source Sans Pro" w:hAnsi="Source Sans Pro"/>
          <w:szCs w:val="20"/>
        </w:rPr>
        <w:t xml:space="preserve"> ieguves rūpniecības un karjeru izstrādes nozarē, ko noteica gan apjomu </w:t>
      </w:r>
      <w:r w:rsidR="00D701E1" w:rsidRPr="00D829F0">
        <w:rPr>
          <w:rFonts w:ascii="Source Sans Pro" w:hAnsi="Source Sans Pro"/>
          <w:szCs w:val="20"/>
        </w:rPr>
        <w:t>kritums</w:t>
      </w:r>
      <w:r w:rsidRPr="00D829F0">
        <w:rPr>
          <w:rFonts w:ascii="Source Sans Pro" w:hAnsi="Source Sans Pro"/>
          <w:szCs w:val="20"/>
        </w:rPr>
        <w:t xml:space="preserve"> grants un smilts karjeru izstrādē, gan kūdras ieguvē un pārstrādē.</w:t>
      </w:r>
    </w:p>
    <w:p w14:paraId="05B6A08F" w14:textId="574738F0" w:rsidR="00B73A48" w:rsidRPr="00D829F0" w:rsidRDefault="00B73A48" w:rsidP="003677B6">
      <w:pPr>
        <w:spacing w:after="120"/>
        <w:jc w:val="both"/>
        <w:rPr>
          <w:rFonts w:ascii="Source Sans Pro" w:hAnsi="Source Sans Pro"/>
          <w:szCs w:val="20"/>
        </w:rPr>
      </w:pPr>
      <w:r w:rsidRPr="00D829F0">
        <w:rPr>
          <w:rFonts w:ascii="Source Sans Pro" w:hAnsi="Source Sans Pro"/>
          <w:b/>
          <w:szCs w:val="20"/>
        </w:rPr>
        <w:t>Būvniecības nozares</w:t>
      </w:r>
      <w:r w:rsidRPr="00D829F0">
        <w:rPr>
          <w:rFonts w:ascii="Source Sans Pro" w:hAnsi="Source Sans Pro"/>
          <w:szCs w:val="20"/>
        </w:rPr>
        <w:t xml:space="preserve"> attīstība ir ļoti cikliska un lielā mērā saistīta ar publiskajiem pasūtījumiem un ES fondu projektiem. </w:t>
      </w:r>
      <w:r w:rsidR="006A49A9" w:rsidRPr="00D829F0">
        <w:rPr>
          <w:rFonts w:ascii="Source Sans Pro" w:hAnsi="Source Sans Pro"/>
          <w:szCs w:val="20"/>
        </w:rPr>
        <w:t>Pēc nozares lejupslīdes 2022.</w:t>
      </w:r>
      <w:r w:rsidR="00F83045">
        <w:rPr>
          <w:rFonts w:ascii="Source Sans Pro" w:hAnsi="Source Sans Pro"/>
          <w:szCs w:val="20"/>
        </w:rPr>
        <w:t> </w:t>
      </w:r>
      <w:r w:rsidR="006A49A9" w:rsidRPr="00D829F0">
        <w:rPr>
          <w:rFonts w:ascii="Source Sans Pro" w:hAnsi="Source Sans Pro"/>
          <w:szCs w:val="20"/>
        </w:rPr>
        <w:t>gadā un strauja kāpuma 2023.</w:t>
      </w:r>
      <w:r w:rsidR="00F83045">
        <w:rPr>
          <w:rFonts w:ascii="Source Sans Pro" w:hAnsi="Source Sans Pro"/>
          <w:szCs w:val="20"/>
        </w:rPr>
        <w:t> </w:t>
      </w:r>
      <w:r w:rsidR="006A49A9" w:rsidRPr="00D829F0">
        <w:rPr>
          <w:rFonts w:ascii="Source Sans Pro" w:hAnsi="Source Sans Pro"/>
          <w:szCs w:val="20"/>
        </w:rPr>
        <w:t>gadā, 2024.</w:t>
      </w:r>
      <w:r w:rsidR="00F83045">
        <w:rPr>
          <w:rFonts w:ascii="Source Sans Pro" w:hAnsi="Source Sans Pro"/>
          <w:szCs w:val="20"/>
        </w:rPr>
        <w:t> </w:t>
      </w:r>
      <w:r w:rsidR="006A49A9" w:rsidRPr="00D829F0">
        <w:rPr>
          <w:rFonts w:ascii="Source Sans Pro" w:hAnsi="Source Sans Pro"/>
          <w:szCs w:val="20"/>
        </w:rPr>
        <w:t>gadā būvniecības apjomi atkal saruka par 5,8%, ko noteica ēku būvniecības apjomu samazinājums</w:t>
      </w:r>
      <w:r w:rsidR="0077554E">
        <w:rPr>
          <w:rFonts w:ascii="Source Sans Pro" w:hAnsi="Source Sans Pro"/>
          <w:szCs w:val="20"/>
        </w:rPr>
        <w:t>.</w:t>
      </w:r>
      <w:r w:rsidR="006A49A9" w:rsidRPr="00D829F0">
        <w:rPr>
          <w:rFonts w:ascii="Source Sans Pro" w:hAnsi="Source Sans Pro"/>
          <w:szCs w:val="20"/>
        </w:rPr>
        <w:t xml:space="preserve"> </w:t>
      </w:r>
      <w:r w:rsidR="0077554E">
        <w:rPr>
          <w:rFonts w:ascii="Source Sans Pro" w:hAnsi="Source Sans Pro"/>
          <w:szCs w:val="20"/>
        </w:rPr>
        <w:t>S</w:t>
      </w:r>
      <w:r w:rsidR="006A49A9" w:rsidRPr="00D829F0">
        <w:rPr>
          <w:rFonts w:ascii="Source Sans Pro" w:hAnsi="Source Sans Pro"/>
          <w:szCs w:val="20"/>
        </w:rPr>
        <w:t>avukārt inženierbūves saglabāja izaugsmi. 2025.</w:t>
      </w:r>
      <w:r w:rsidR="0077554E">
        <w:rPr>
          <w:rFonts w:ascii="Source Sans Pro" w:hAnsi="Source Sans Pro"/>
          <w:szCs w:val="20"/>
        </w:rPr>
        <w:t> </w:t>
      </w:r>
      <w:r w:rsidR="006A49A9" w:rsidRPr="00D829F0">
        <w:rPr>
          <w:rFonts w:ascii="Source Sans Pro" w:hAnsi="Source Sans Pro"/>
          <w:szCs w:val="20"/>
        </w:rPr>
        <w:t>gadā būvniecībā bija vērojama strauja atkopšanās – nozares produkcijas apjoms pieauga par 9%, ko noteica aktīvāka infrastruktūras objektu būvniecība. Aktivitāšu pieaugums bija vērojams visās būvniecības pamatgrupās, taču ar atšķirīgiem pieauguma tempiem – straujākā izaugsme bija inženierbūvniecībā, kas bija nozares attīstības dzinulis.</w:t>
      </w:r>
    </w:p>
    <w:p w14:paraId="4A3A367C" w14:textId="26488BD3" w:rsidR="00B73A48" w:rsidRPr="00D829F0" w:rsidRDefault="00B73A48" w:rsidP="003677B6">
      <w:pPr>
        <w:spacing w:after="120"/>
        <w:jc w:val="both"/>
        <w:rPr>
          <w:rFonts w:ascii="Source Sans Pro" w:hAnsi="Source Sans Pro"/>
        </w:rPr>
      </w:pPr>
      <w:r w:rsidRPr="00D829F0">
        <w:rPr>
          <w:rFonts w:ascii="Source Sans Pro" w:hAnsi="Source Sans Pro"/>
          <w:b/>
        </w:rPr>
        <w:t>Tirdzniecības nozari</w:t>
      </w:r>
      <w:r w:rsidRPr="00D829F0">
        <w:rPr>
          <w:rFonts w:ascii="Source Sans Pro" w:hAnsi="Source Sans Pro"/>
        </w:rPr>
        <w:t xml:space="preserve"> </w:t>
      </w:r>
      <w:r w:rsidR="00427199" w:rsidRPr="00D829F0">
        <w:rPr>
          <w:rFonts w:ascii="Source Sans Pro" w:hAnsi="Source Sans Pro"/>
        </w:rPr>
        <w:t>pēdējos gados attīstījās mēreni nelabvēlīgās ārējās vides dēļ, kas bremzēja vairumtirdzniecību. 2023.–2024.</w:t>
      </w:r>
      <w:r w:rsidR="0077554E">
        <w:rPr>
          <w:rFonts w:ascii="Source Sans Pro" w:hAnsi="Source Sans Pro"/>
        </w:rPr>
        <w:t> </w:t>
      </w:r>
      <w:r w:rsidR="00427199" w:rsidRPr="00D829F0">
        <w:rPr>
          <w:rFonts w:ascii="Source Sans Pro" w:hAnsi="Source Sans Pro"/>
        </w:rPr>
        <w:t>gadā tirdzniecības nozarē bija vērojama mērena izaugsme – attiecīgi par 2,3% un 0,8%. Situācijai uzlabojoties un pieaugot vairumtirdzniecības un automobiļu tirdzniecības rādītājiem, 2025.</w:t>
      </w:r>
      <w:r w:rsidR="0077554E">
        <w:rPr>
          <w:rFonts w:ascii="Source Sans Pro" w:hAnsi="Source Sans Pro"/>
        </w:rPr>
        <w:t> </w:t>
      </w:r>
      <w:r w:rsidR="00427199" w:rsidRPr="00D829F0">
        <w:rPr>
          <w:rFonts w:ascii="Source Sans Pro" w:hAnsi="Source Sans Pro"/>
        </w:rPr>
        <w:t>gadā tirdzniecības nozares izaugsme bija straujāka – par 2,7%. Mazumtirdzniecības apgrozījums 2025.</w:t>
      </w:r>
      <w:r w:rsidR="0077554E">
        <w:rPr>
          <w:rFonts w:ascii="Source Sans Pro" w:hAnsi="Source Sans Pro"/>
        </w:rPr>
        <w:t> </w:t>
      </w:r>
      <w:r w:rsidR="00427199" w:rsidRPr="00D829F0">
        <w:rPr>
          <w:rFonts w:ascii="Source Sans Pro" w:hAnsi="Source Sans Pro"/>
        </w:rPr>
        <w:t>gadā pieauga par 1,4%, galvenokārt nepārtikas preču tirdzniecības kāpuma dēļ; degvielas tirdzniecība praktiski nemainījās, bet pārtikas preču apgrozījums saruka.</w:t>
      </w:r>
    </w:p>
    <w:p w14:paraId="36491727" w14:textId="1716A56F" w:rsidR="00B73A48" w:rsidRPr="00D829F0" w:rsidRDefault="00B73A48" w:rsidP="003677B6">
      <w:pPr>
        <w:spacing w:after="120"/>
        <w:jc w:val="both"/>
        <w:rPr>
          <w:rFonts w:ascii="Source Sans Pro" w:hAnsi="Source Sans Pro"/>
          <w:szCs w:val="20"/>
        </w:rPr>
      </w:pPr>
      <w:r w:rsidRPr="00D829F0">
        <w:rPr>
          <w:rFonts w:ascii="Source Sans Pro" w:hAnsi="Source Sans Pro"/>
          <w:b/>
          <w:szCs w:val="20"/>
        </w:rPr>
        <w:t>Transporta un uzglabāšanas nozare</w:t>
      </w:r>
      <w:r w:rsidRPr="00D829F0">
        <w:rPr>
          <w:rFonts w:ascii="Source Sans Pro" w:hAnsi="Source Sans Pro"/>
          <w:szCs w:val="20"/>
        </w:rPr>
        <w:t xml:space="preserve"> ir cieši saistīta ar starptautiskajiem pārvadājumiem. </w:t>
      </w:r>
      <w:r w:rsidR="009569A0" w:rsidRPr="00D829F0">
        <w:rPr>
          <w:rFonts w:ascii="Source Sans Pro" w:hAnsi="Source Sans Pro"/>
          <w:szCs w:val="20"/>
        </w:rPr>
        <w:t>2023.–2024.</w:t>
      </w:r>
      <w:r w:rsidR="0077554E">
        <w:rPr>
          <w:rFonts w:ascii="Source Sans Pro" w:hAnsi="Source Sans Pro"/>
          <w:szCs w:val="20"/>
        </w:rPr>
        <w:t> </w:t>
      </w:r>
      <w:r w:rsidR="00FF63B5" w:rsidRPr="00D829F0">
        <w:rPr>
          <w:rFonts w:ascii="Source Sans Pro" w:hAnsi="Source Sans Pro"/>
          <w:szCs w:val="20"/>
        </w:rPr>
        <w:t>gad</w:t>
      </w:r>
      <w:r w:rsidRPr="00D829F0">
        <w:rPr>
          <w:rFonts w:ascii="Source Sans Pro" w:hAnsi="Source Sans Pro"/>
          <w:szCs w:val="20"/>
        </w:rPr>
        <w:t xml:space="preserve">ā transporta nozares apjomi </w:t>
      </w:r>
      <w:r w:rsidR="009569A0" w:rsidRPr="00D829F0">
        <w:rPr>
          <w:rFonts w:ascii="Source Sans Pro" w:hAnsi="Source Sans Pro"/>
          <w:szCs w:val="20"/>
        </w:rPr>
        <w:t xml:space="preserve">strauji </w:t>
      </w:r>
      <w:r w:rsidRPr="00D829F0">
        <w:rPr>
          <w:rFonts w:ascii="Source Sans Pro" w:hAnsi="Source Sans Pro"/>
          <w:szCs w:val="20"/>
        </w:rPr>
        <w:t>saruka</w:t>
      </w:r>
      <w:r w:rsidR="009569A0" w:rsidRPr="00D829F0">
        <w:rPr>
          <w:rFonts w:ascii="Source Sans Pro" w:hAnsi="Source Sans Pro"/>
          <w:szCs w:val="20"/>
        </w:rPr>
        <w:t xml:space="preserve"> (attiecīgi par 10,6% un 10,8%),</w:t>
      </w:r>
      <w:r w:rsidRPr="00D829F0">
        <w:rPr>
          <w:rFonts w:ascii="Source Sans Pro" w:hAnsi="Source Sans Pro"/>
          <w:szCs w:val="20"/>
        </w:rPr>
        <w:t xml:space="preserve"> ko noteica samazinājums visās transporta apakšnozarēs, izņemot gaisa transportu. </w:t>
      </w:r>
      <w:r w:rsidR="009569A0" w:rsidRPr="00D829F0">
        <w:rPr>
          <w:rFonts w:ascii="Source Sans Pro" w:hAnsi="Source Sans Pro"/>
          <w:szCs w:val="20"/>
        </w:rPr>
        <w:t>Savukārt 2025.</w:t>
      </w:r>
      <w:r w:rsidR="0077554E">
        <w:rPr>
          <w:rFonts w:ascii="Source Sans Pro" w:hAnsi="Source Sans Pro"/>
          <w:szCs w:val="20"/>
        </w:rPr>
        <w:t> </w:t>
      </w:r>
      <w:r w:rsidR="009569A0" w:rsidRPr="00D829F0">
        <w:rPr>
          <w:rFonts w:ascii="Source Sans Pro" w:hAnsi="Source Sans Pro"/>
          <w:szCs w:val="20"/>
        </w:rPr>
        <w:t>gadā kopumā bija neliels nozares apjomu kritums – par 3,5%. Pārvadāto kravu apjomu kritums bija vērojams dzelzceļā un ostās, savukārt autotransporta pārvadājumu kravu apjomi pieauga, ko noteica iekšzemes pārvadājumos pārvadāto kravu apjomu kāpums. Pasažieru pārvadājumi 2025.</w:t>
      </w:r>
      <w:r w:rsidR="0077554E">
        <w:rPr>
          <w:rFonts w:ascii="Source Sans Pro" w:hAnsi="Source Sans Pro"/>
          <w:szCs w:val="20"/>
        </w:rPr>
        <w:t> </w:t>
      </w:r>
      <w:r w:rsidR="009569A0" w:rsidRPr="00D829F0">
        <w:rPr>
          <w:rFonts w:ascii="Source Sans Pro" w:hAnsi="Source Sans Pro"/>
          <w:szCs w:val="20"/>
        </w:rPr>
        <w:t>gadā visstraujāk pieauga ar jūras transportu – par 9,8%, ko veicināja straujš iebraukušo pasažieru ar kruīza kuģiem skaita pieaugums Rīgas ostā. Sauszemes pārvadājumos pasažieru skaits pieauga par 0,6%, bet aviopārvadājumos saruka par 0,1%. Straujš pasažieru skaita pieaugums bija vērojams arī dzelzceļa pārvadājumos.</w:t>
      </w:r>
    </w:p>
    <w:p w14:paraId="2D0A006C" w14:textId="42D09C05" w:rsidR="00B73A48" w:rsidRPr="00D829F0" w:rsidRDefault="00B73A48" w:rsidP="003677B6">
      <w:pPr>
        <w:spacing w:after="120"/>
        <w:jc w:val="both"/>
        <w:rPr>
          <w:rFonts w:ascii="Source Sans Pro" w:hAnsi="Source Sans Pro"/>
          <w:szCs w:val="20"/>
        </w:rPr>
      </w:pPr>
      <w:r w:rsidRPr="00D829F0">
        <w:rPr>
          <w:rFonts w:ascii="Source Sans Pro" w:hAnsi="Source Sans Pro"/>
          <w:b/>
          <w:szCs w:val="20"/>
        </w:rPr>
        <w:t>Komercpakalpojumu nozarēs</w:t>
      </w:r>
      <w:r w:rsidRPr="00D829F0">
        <w:rPr>
          <w:rFonts w:ascii="Source Sans Pro" w:hAnsi="Source Sans Pro"/>
          <w:szCs w:val="20"/>
        </w:rPr>
        <w:t xml:space="preserve"> </w:t>
      </w:r>
      <w:r w:rsidR="005B699B" w:rsidRPr="00D829F0">
        <w:rPr>
          <w:rFonts w:ascii="Source Sans Pro" w:hAnsi="Source Sans Pro"/>
          <w:szCs w:val="20"/>
        </w:rPr>
        <w:t>pēc strauja apjomu kāpuma 2021.–2022.</w:t>
      </w:r>
      <w:r w:rsidR="0077554E">
        <w:rPr>
          <w:rFonts w:ascii="Source Sans Pro" w:hAnsi="Source Sans Pro"/>
          <w:szCs w:val="20"/>
        </w:rPr>
        <w:t> </w:t>
      </w:r>
      <w:r w:rsidR="005B699B" w:rsidRPr="00D829F0">
        <w:rPr>
          <w:rFonts w:ascii="Source Sans Pro" w:hAnsi="Source Sans Pro"/>
          <w:szCs w:val="20"/>
        </w:rPr>
        <w:t>gadā, atgūstoties no Covid-19 krīzes, kopš 2023.</w:t>
      </w:r>
      <w:r w:rsidR="0077554E">
        <w:rPr>
          <w:rFonts w:ascii="Source Sans Pro" w:hAnsi="Source Sans Pro"/>
          <w:szCs w:val="20"/>
        </w:rPr>
        <w:t> </w:t>
      </w:r>
      <w:r w:rsidR="005B699B" w:rsidRPr="00D829F0">
        <w:rPr>
          <w:rFonts w:ascii="Source Sans Pro" w:hAnsi="Source Sans Pro"/>
          <w:szCs w:val="20"/>
        </w:rPr>
        <w:t>gada pieaugums ir bijis krietni mērenāks. 2024.</w:t>
      </w:r>
      <w:r w:rsidR="0077554E">
        <w:rPr>
          <w:rFonts w:ascii="Source Sans Pro" w:hAnsi="Source Sans Pro"/>
          <w:szCs w:val="20"/>
        </w:rPr>
        <w:t> </w:t>
      </w:r>
      <w:r w:rsidR="005B699B" w:rsidRPr="00D829F0">
        <w:rPr>
          <w:rFonts w:ascii="Source Sans Pro" w:hAnsi="Source Sans Pro"/>
          <w:szCs w:val="20"/>
        </w:rPr>
        <w:t>gadā komercpakalpojumu apjomi kopumā mēreni pieauga – izaugsme bija vērojama finanšu un apdrošināšanas darbībās, savukārt IKT pakalpojumu nozarē apjomi nedaudz saruka. 2025.</w:t>
      </w:r>
      <w:r w:rsidR="0077554E">
        <w:rPr>
          <w:rFonts w:ascii="Source Sans Pro" w:hAnsi="Source Sans Pro"/>
          <w:szCs w:val="20"/>
        </w:rPr>
        <w:t> </w:t>
      </w:r>
      <w:r w:rsidR="005B699B" w:rsidRPr="00D829F0">
        <w:rPr>
          <w:rFonts w:ascii="Source Sans Pro" w:hAnsi="Source Sans Pro"/>
          <w:szCs w:val="20"/>
        </w:rPr>
        <w:t>gadā komercpakalpojumu apjomi pieauga visās nozarēs, izņemot finanšu un apdrošināšanas darbībās. Galveno devumu izaugsmē nodrošināja IKT pakalpojumu apjomu kāpums (par 4,9%), kas izceļ digitālās ekonomikas pieaugošo nozīmi. Profesionālo, zinātnisko un tehnisko pakalpojumu, kā arī administratīvo un atbalsta pakalpojumu nozares pieauga par 4,2%, atspoguļojot kopējo uzņēmējdarbības aktivitātes palielināšanos.</w:t>
      </w:r>
    </w:p>
    <w:p w14:paraId="73BEED1F" w14:textId="2A4EAEA9" w:rsidR="00B73A48" w:rsidRPr="00D829F0" w:rsidRDefault="00B73A48" w:rsidP="003677B6">
      <w:pPr>
        <w:spacing w:after="120"/>
        <w:jc w:val="both"/>
        <w:rPr>
          <w:rFonts w:ascii="Source Sans Pro" w:hAnsi="Source Sans Pro"/>
          <w:szCs w:val="20"/>
        </w:rPr>
      </w:pPr>
      <w:r w:rsidRPr="00D829F0">
        <w:rPr>
          <w:rFonts w:ascii="Source Sans Pro" w:hAnsi="Source Sans Pro"/>
          <w:b/>
          <w:szCs w:val="20"/>
        </w:rPr>
        <w:t>Sabiedrisko pakalpojumu nozarēs</w:t>
      </w:r>
      <w:r w:rsidRPr="00D829F0">
        <w:rPr>
          <w:rFonts w:ascii="Source Sans Pro" w:hAnsi="Source Sans Pro"/>
          <w:szCs w:val="20"/>
        </w:rPr>
        <w:t xml:space="preserve"> sniegto pakalpojumu apjomi palielinās atbilstoši valsts kopbudžeta izdevumu kāpumam. </w:t>
      </w:r>
      <w:r w:rsidR="00982A1E" w:rsidRPr="00D829F0">
        <w:rPr>
          <w:rFonts w:ascii="Source Sans Pro" w:hAnsi="Source Sans Pro"/>
          <w:szCs w:val="20"/>
        </w:rPr>
        <w:t>2023.–2024.</w:t>
      </w:r>
      <w:r w:rsidR="0077554E">
        <w:rPr>
          <w:rFonts w:ascii="Source Sans Pro" w:hAnsi="Source Sans Pro"/>
          <w:szCs w:val="20"/>
        </w:rPr>
        <w:t> </w:t>
      </w:r>
      <w:r w:rsidR="00982A1E" w:rsidRPr="00D829F0">
        <w:rPr>
          <w:rFonts w:ascii="Source Sans Pro" w:hAnsi="Source Sans Pro"/>
          <w:szCs w:val="20"/>
        </w:rPr>
        <w:t>gadā strauji pieauga apjomi valsts pārvaldē un aizsardzībā (attiecīgi par 6,5% un 7,2%), kas atspoguļo aizsardzības budžeta pieaugumu. 2024.</w:t>
      </w:r>
      <w:r w:rsidR="0077554E">
        <w:rPr>
          <w:rFonts w:ascii="Source Sans Pro" w:hAnsi="Source Sans Pro"/>
          <w:szCs w:val="20"/>
        </w:rPr>
        <w:t> </w:t>
      </w:r>
      <w:r w:rsidR="00982A1E" w:rsidRPr="00D829F0">
        <w:rPr>
          <w:rFonts w:ascii="Source Sans Pro" w:hAnsi="Source Sans Pro"/>
          <w:szCs w:val="20"/>
        </w:rPr>
        <w:t>gadā veselības un sociālās aprūpes nozarē apjomi pieauga par 8%, savukārt izglītībā saruka par 1%. 2025.</w:t>
      </w:r>
      <w:r w:rsidR="0077554E">
        <w:rPr>
          <w:rFonts w:ascii="Source Sans Pro" w:hAnsi="Source Sans Pro"/>
          <w:szCs w:val="20"/>
        </w:rPr>
        <w:t> </w:t>
      </w:r>
      <w:r w:rsidR="00982A1E" w:rsidRPr="00D829F0">
        <w:rPr>
          <w:rFonts w:ascii="Source Sans Pro" w:hAnsi="Source Sans Pro"/>
          <w:szCs w:val="20"/>
        </w:rPr>
        <w:t>gadā kopējie sabiedrisko pakalpojumu apjomi mēreni pieauga – tie turpināja augt valsts pārvaldes un aizsardzības un veselības un sociālās aprūpes pakalpojumu nozarēs, bet turpināja sarukt izglītības nozarē.</w:t>
      </w:r>
    </w:p>
    <w:p w14:paraId="392A3B35" w14:textId="6CD5B211" w:rsidR="00933D26" w:rsidRPr="000464B8" w:rsidRDefault="00933D26" w:rsidP="003677B6">
      <w:pPr>
        <w:spacing w:after="120"/>
        <w:jc w:val="both"/>
        <w:rPr>
          <w:rFonts w:ascii="Aptos Narrow" w:hAnsi="Aptos Narrow"/>
          <w:b/>
          <w:color w:val="003E4C"/>
          <w:sz w:val="28"/>
          <w:szCs w:val="28"/>
        </w:rPr>
      </w:pPr>
      <w:r w:rsidRPr="000464B8">
        <w:rPr>
          <w:rFonts w:ascii="Aptos Narrow" w:hAnsi="Aptos Narrow"/>
          <w:b/>
          <w:color w:val="003E4C"/>
          <w:sz w:val="28"/>
          <w:szCs w:val="28"/>
        </w:rPr>
        <w:lastRenderedPageBreak/>
        <w:t xml:space="preserve">Latvija salīdzinājumā ar </w:t>
      </w:r>
      <w:r w:rsidR="004E6BBE" w:rsidRPr="000464B8">
        <w:rPr>
          <w:rFonts w:ascii="Aptos Narrow" w:hAnsi="Aptos Narrow"/>
          <w:b/>
          <w:color w:val="003E4C"/>
          <w:sz w:val="28"/>
          <w:szCs w:val="28"/>
        </w:rPr>
        <w:t>ES</w:t>
      </w:r>
    </w:p>
    <w:p w14:paraId="381A6AA6" w14:textId="49DD6AD1" w:rsidR="00B73A48" w:rsidRPr="00D829F0" w:rsidRDefault="00B73A48" w:rsidP="003677B6">
      <w:pPr>
        <w:spacing w:after="120"/>
        <w:jc w:val="right"/>
        <w:rPr>
          <w:rFonts w:ascii="Source Sans Pro" w:hAnsi="Source Sans Pro"/>
          <w:szCs w:val="20"/>
        </w:rPr>
      </w:pPr>
      <w:r w:rsidRPr="00D829F0">
        <w:rPr>
          <w:rFonts w:ascii="Source Sans Pro" w:hAnsi="Source Sans Pro"/>
          <w:szCs w:val="20"/>
        </w:rPr>
        <w:t>1.3.</w:t>
      </w:r>
      <w:r w:rsidR="00F4358B">
        <w:rPr>
          <w:rFonts w:ascii="Source Sans Pro" w:hAnsi="Source Sans Pro"/>
          <w:szCs w:val="20"/>
        </w:rPr>
        <w:t> </w:t>
      </w:r>
      <w:r w:rsidRPr="00D829F0">
        <w:rPr>
          <w:rFonts w:ascii="Source Sans Pro" w:hAnsi="Source Sans Pro"/>
          <w:szCs w:val="20"/>
        </w:rPr>
        <w:t>attēls</w:t>
      </w:r>
    </w:p>
    <w:p w14:paraId="69CE788D" w14:textId="3966E4FF" w:rsidR="00933D26" w:rsidRPr="00982A1E" w:rsidRDefault="00933D26" w:rsidP="003677B6">
      <w:pPr>
        <w:spacing w:after="120"/>
        <w:jc w:val="center"/>
        <w:rPr>
          <w:rFonts w:ascii="Segoe UI Light" w:hAnsi="Segoe UI Light" w:cs="Segoe UI Light"/>
          <w:i/>
          <w:sz w:val="16"/>
          <w:szCs w:val="16"/>
        </w:rPr>
      </w:pPr>
      <w:r w:rsidRPr="00982A1E">
        <w:rPr>
          <w:rFonts w:ascii="Segoe UI Light" w:hAnsi="Segoe UI Light" w:cs="Segoe UI Light"/>
          <w:b/>
          <w:sz w:val="18"/>
          <w:szCs w:val="18"/>
        </w:rPr>
        <w:t xml:space="preserve">IKP uz vienu iedzīvotāju pēc PPS Eiropas Savienības </w:t>
      </w:r>
      <w:r w:rsidR="00DA1FFA" w:rsidRPr="00982A1E">
        <w:rPr>
          <w:rFonts w:ascii="Segoe UI Light" w:hAnsi="Segoe UI Light" w:cs="Segoe UI Light"/>
          <w:b/>
          <w:sz w:val="18"/>
          <w:szCs w:val="18"/>
        </w:rPr>
        <w:t>dalībvalstīs</w:t>
      </w:r>
      <w:r w:rsidRPr="00982A1E">
        <w:rPr>
          <w:rFonts w:ascii="Segoe UI Light" w:hAnsi="Segoe UI Light" w:cs="Segoe UI Light"/>
          <w:b/>
          <w:sz w:val="18"/>
          <w:szCs w:val="18"/>
        </w:rPr>
        <w:t xml:space="preserve"> </w:t>
      </w:r>
      <w:r w:rsidRPr="00982A1E">
        <w:rPr>
          <w:rFonts w:ascii="Segoe UI Light" w:hAnsi="Segoe UI Light" w:cs="Segoe UI Light"/>
          <w:b/>
          <w:sz w:val="18"/>
          <w:szCs w:val="18"/>
        </w:rPr>
        <w:br/>
      </w:r>
      <w:r w:rsidRPr="00982A1E">
        <w:rPr>
          <w:rFonts w:ascii="Segoe UI Light" w:hAnsi="Segoe UI Light" w:cs="Segoe UI Light"/>
          <w:i/>
          <w:iCs/>
          <w:sz w:val="16"/>
          <w:szCs w:val="16"/>
        </w:rPr>
        <w:t>202</w:t>
      </w:r>
      <w:r w:rsidR="00580B17">
        <w:rPr>
          <w:rFonts w:ascii="Segoe UI Light" w:hAnsi="Segoe UI Light" w:cs="Segoe UI Light"/>
          <w:i/>
          <w:iCs/>
          <w:sz w:val="16"/>
          <w:szCs w:val="16"/>
        </w:rPr>
        <w:t>5</w:t>
      </w:r>
      <w:r w:rsidR="00FF63B5" w:rsidRPr="00982A1E">
        <w:rPr>
          <w:rFonts w:ascii="Segoe UI Light" w:hAnsi="Segoe UI Light" w:cs="Segoe UI Light"/>
          <w:i/>
          <w:iCs/>
          <w:sz w:val="16"/>
          <w:szCs w:val="16"/>
        </w:rPr>
        <w:t>.</w:t>
      </w:r>
      <w:r w:rsidR="00FF63B5" w:rsidRPr="00982A1E">
        <w:rPr>
          <w:rFonts w:ascii="Segoe UI Light" w:hAnsi="Segoe UI Light" w:cs="Segoe UI Light"/>
          <w:i/>
          <w:sz w:val="16"/>
          <w:szCs w:val="16"/>
        </w:rPr>
        <w:t> gad</w:t>
      </w:r>
      <w:r w:rsidRPr="00982A1E">
        <w:rPr>
          <w:rFonts w:ascii="Segoe UI Light" w:hAnsi="Segoe UI Light" w:cs="Segoe UI Light"/>
          <w:i/>
          <w:sz w:val="16"/>
          <w:szCs w:val="16"/>
        </w:rPr>
        <w:t>ā, procentos no ES vidējā</w:t>
      </w:r>
    </w:p>
    <w:p w14:paraId="30F39DED" w14:textId="669CA066" w:rsidR="00933D26" w:rsidRPr="00EF7F3C" w:rsidRDefault="00580B17" w:rsidP="003677B6">
      <w:pPr>
        <w:spacing w:after="120"/>
        <w:jc w:val="center"/>
        <w:rPr>
          <w:rFonts w:ascii="Segoe UI Light" w:hAnsi="Segoe UI Light" w:cs="Segoe UI Light"/>
          <w:bCs/>
          <w:sz w:val="16"/>
          <w:szCs w:val="16"/>
          <w:highlight w:val="yellow"/>
        </w:rPr>
      </w:pPr>
      <w:r w:rsidRPr="00B5236D">
        <w:rPr>
          <w:rFonts w:ascii="Segoe UI Light" w:hAnsi="Segoe UI Light" w:cs="Segoe UI Light"/>
          <w:bCs/>
          <w:noProof/>
          <w:sz w:val="16"/>
          <w:szCs w:val="16"/>
          <w:lang w:val="en-US"/>
        </w:rPr>
        <w:drawing>
          <wp:inline distT="0" distB="0" distL="0" distR="0" wp14:anchorId="72696D0A" wp14:editId="1B2FB027">
            <wp:extent cx="5760000" cy="2880000"/>
            <wp:effectExtent l="0" t="0" r="0" b="0"/>
            <wp:docPr id="514854479" name="Chart 5148544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B17119" w14:textId="77777777" w:rsidR="00933D26" w:rsidRPr="00D829F0" w:rsidRDefault="00933D26" w:rsidP="003677B6">
      <w:pPr>
        <w:spacing w:after="120"/>
        <w:jc w:val="both"/>
        <w:rPr>
          <w:rFonts w:ascii="Source Sans Pro" w:hAnsi="Source Sans Pro" w:cs="Calibri Light"/>
          <w:b/>
          <w:sz w:val="16"/>
          <w:szCs w:val="16"/>
        </w:rPr>
      </w:pPr>
      <w:r w:rsidRPr="00D829F0">
        <w:rPr>
          <w:rFonts w:ascii="Source Sans Pro" w:hAnsi="Source Sans Pro" w:cs="Calibri Light"/>
          <w:sz w:val="16"/>
          <w:szCs w:val="16"/>
        </w:rPr>
        <w:t xml:space="preserve">Avots: </w:t>
      </w:r>
      <w:r w:rsidRPr="00D829F0">
        <w:rPr>
          <w:rFonts w:ascii="Source Sans Pro" w:hAnsi="Source Sans Pro" w:cs="Calibri Light"/>
          <w:i/>
          <w:sz w:val="16"/>
          <w:szCs w:val="16"/>
        </w:rPr>
        <w:t>Eurostat</w:t>
      </w:r>
    </w:p>
    <w:p w14:paraId="28722CD3" w14:textId="77777777" w:rsidR="00933D26" w:rsidRPr="00D829F0" w:rsidRDefault="00933D26" w:rsidP="003677B6">
      <w:pPr>
        <w:spacing w:after="120"/>
        <w:jc w:val="both"/>
        <w:rPr>
          <w:rFonts w:ascii="Source Sans Pro" w:hAnsi="Source Sans Pro"/>
          <w:szCs w:val="20"/>
        </w:rPr>
      </w:pPr>
    </w:p>
    <w:p w14:paraId="0CFE6BBC" w14:textId="21DD1079" w:rsidR="00933D26" w:rsidRPr="00D829F0" w:rsidRDefault="00933D26" w:rsidP="003677B6">
      <w:pPr>
        <w:spacing w:after="120"/>
        <w:jc w:val="both"/>
        <w:rPr>
          <w:rFonts w:ascii="Source Sans Pro" w:hAnsi="Source Sans Pro"/>
          <w:szCs w:val="20"/>
        </w:rPr>
      </w:pPr>
      <w:r w:rsidRPr="00D829F0">
        <w:rPr>
          <w:rFonts w:ascii="Source Sans Pro" w:hAnsi="Source Sans Pro"/>
          <w:szCs w:val="20"/>
        </w:rPr>
        <w:t xml:space="preserve">Latvijas IKP uz vienu iedzīvotāju (rēķinot faktiskajās cenās pēc PPS) </w:t>
      </w:r>
      <w:r w:rsidR="00C63AC7" w:rsidRPr="00D829F0">
        <w:rPr>
          <w:rFonts w:ascii="Source Sans Pro" w:hAnsi="Source Sans Pro"/>
          <w:szCs w:val="20"/>
        </w:rPr>
        <w:t>2025.</w:t>
      </w:r>
      <w:r w:rsidR="00D87281">
        <w:rPr>
          <w:rFonts w:ascii="Source Sans Pro" w:hAnsi="Source Sans Pro"/>
          <w:szCs w:val="20"/>
        </w:rPr>
        <w:t> </w:t>
      </w:r>
      <w:r w:rsidR="00FF63B5" w:rsidRPr="00D829F0">
        <w:rPr>
          <w:rFonts w:ascii="Source Sans Pro" w:hAnsi="Source Sans Pro"/>
          <w:szCs w:val="20"/>
        </w:rPr>
        <w:t>gad</w:t>
      </w:r>
      <w:r w:rsidRPr="00D829F0">
        <w:rPr>
          <w:rFonts w:ascii="Source Sans Pro" w:hAnsi="Source Sans Pro"/>
          <w:szCs w:val="20"/>
        </w:rPr>
        <w:t xml:space="preserve">ā veidoja </w:t>
      </w:r>
      <w:r w:rsidR="00C63AC7" w:rsidRPr="00D829F0">
        <w:rPr>
          <w:rFonts w:ascii="Source Sans Pro" w:hAnsi="Source Sans Pro"/>
          <w:szCs w:val="20"/>
        </w:rPr>
        <w:t>71</w:t>
      </w:r>
      <w:r w:rsidRPr="00D829F0">
        <w:rPr>
          <w:rFonts w:ascii="Source Sans Pro" w:hAnsi="Source Sans Pro"/>
          <w:szCs w:val="20"/>
        </w:rPr>
        <w:t xml:space="preserve">% no ES vidējā līmeņa. ES valstu starpā pēc šī rādītāja Latvija ierindojās </w:t>
      </w:r>
      <w:r w:rsidR="00C63AC7" w:rsidRPr="00D829F0">
        <w:rPr>
          <w:rFonts w:ascii="Source Sans Pro" w:hAnsi="Source Sans Pro"/>
          <w:szCs w:val="20"/>
        </w:rPr>
        <w:t xml:space="preserve">25. </w:t>
      </w:r>
      <w:r w:rsidRPr="00D829F0">
        <w:rPr>
          <w:rFonts w:ascii="Source Sans Pro" w:hAnsi="Source Sans Pro"/>
          <w:szCs w:val="20"/>
        </w:rPr>
        <w:t xml:space="preserve">vietā, </w:t>
      </w:r>
      <w:r w:rsidR="00A4737D" w:rsidRPr="00D829F0">
        <w:rPr>
          <w:rFonts w:ascii="Source Sans Pro" w:hAnsi="Source Sans Pro"/>
          <w:szCs w:val="20"/>
        </w:rPr>
        <w:t>atpaliekot no Igaunijas (</w:t>
      </w:r>
      <w:r w:rsidR="00C63AC7" w:rsidRPr="00D829F0">
        <w:rPr>
          <w:rFonts w:ascii="Source Sans Pro" w:hAnsi="Source Sans Pro"/>
          <w:szCs w:val="20"/>
        </w:rPr>
        <w:t>20</w:t>
      </w:r>
      <w:r w:rsidR="00A4737D" w:rsidRPr="00D829F0">
        <w:rPr>
          <w:rFonts w:ascii="Source Sans Pro" w:hAnsi="Source Sans Pro"/>
          <w:szCs w:val="20"/>
        </w:rPr>
        <w:t>.vieta) un Lietuvas (</w:t>
      </w:r>
      <w:r w:rsidR="00C63AC7" w:rsidRPr="00D829F0">
        <w:rPr>
          <w:rFonts w:ascii="Source Sans Pro" w:hAnsi="Source Sans Pro"/>
          <w:szCs w:val="20"/>
        </w:rPr>
        <w:t>17</w:t>
      </w:r>
      <w:r w:rsidR="00A4737D" w:rsidRPr="00D829F0">
        <w:rPr>
          <w:rFonts w:ascii="Source Sans Pro" w:hAnsi="Source Sans Pro"/>
          <w:szCs w:val="20"/>
        </w:rPr>
        <w:t>.</w:t>
      </w:r>
      <w:r w:rsidR="00CF613F">
        <w:rPr>
          <w:rFonts w:ascii="Source Sans Pro" w:hAnsi="Source Sans Pro"/>
          <w:szCs w:val="20"/>
        </w:rPr>
        <w:t> </w:t>
      </w:r>
      <w:r w:rsidR="00A4737D" w:rsidRPr="00D829F0">
        <w:rPr>
          <w:rFonts w:ascii="Source Sans Pro" w:hAnsi="Source Sans Pro"/>
          <w:szCs w:val="20"/>
        </w:rPr>
        <w:t>vieta)</w:t>
      </w:r>
      <w:r w:rsidRPr="00D829F0">
        <w:rPr>
          <w:rFonts w:ascii="Source Sans Pro" w:hAnsi="Source Sans Pro"/>
          <w:szCs w:val="20"/>
        </w:rPr>
        <w:t xml:space="preserve">. Latvijas atpalicība no ES vidējā IKP uz vienu iedzīvotāju rādītāja </w:t>
      </w:r>
      <w:r w:rsidR="00AD630F" w:rsidRPr="00D829F0">
        <w:rPr>
          <w:rFonts w:ascii="Source Sans Pro" w:hAnsi="Source Sans Pro"/>
          <w:szCs w:val="20"/>
        </w:rPr>
        <w:t>laika periodā no 2010</w:t>
      </w:r>
      <w:r w:rsidR="00FF63B5" w:rsidRPr="00D829F0">
        <w:rPr>
          <w:rFonts w:ascii="Source Sans Pro" w:hAnsi="Source Sans Pro"/>
          <w:szCs w:val="20"/>
        </w:rPr>
        <w:t>.</w:t>
      </w:r>
      <w:r w:rsidR="00D87281">
        <w:rPr>
          <w:rFonts w:ascii="Source Sans Pro" w:hAnsi="Source Sans Pro"/>
          <w:szCs w:val="20"/>
        </w:rPr>
        <w:t> </w:t>
      </w:r>
      <w:r w:rsidR="00FF63B5" w:rsidRPr="00D829F0">
        <w:rPr>
          <w:rFonts w:ascii="Source Sans Pro" w:hAnsi="Source Sans Pro"/>
          <w:szCs w:val="20"/>
        </w:rPr>
        <w:t>gad</w:t>
      </w:r>
      <w:r w:rsidR="00AD630F" w:rsidRPr="00D829F0">
        <w:rPr>
          <w:rFonts w:ascii="Source Sans Pro" w:hAnsi="Source Sans Pro"/>
          <w:szCs w:val="20"/>
        </w:rPr>
        <w:t xml:space="preserve">a līdz </w:t>
      </w:r>
      <w:r w:rsidR="00C63AC7" w:rsidRPr="00D829F0">
        <w:rPr>
          <w:rFonts w:ascii="Source Sans Pro" w:hAnsi="Source Sans Pro"/>
          <w:szCs w:val="20"/>
        </w:rPr>
        <w:t>2025.</w:t>
      </w:r>
      <w:r w:rsidR="00D87281">
        <w:rPr>
          <w:rFonts w:ascii="Source Sans Pro" w:hAnsi="Source Sans Pro"/>
          <w:szCs w:val="20"/>
        </w:rPr>
        <w:t> </w:t>
      </w:r>
      <w:r w:rsidR="00FF63B5" w:rsidRPr="00D829F0">
        <w:rPr>
          <w:rFonts w:ascii="Source Sans Pro" w:hAnsi="Source Sans Pro"/>
          <w:szCs w:val="20"/>
        </w:rPr>
        <w:t>gad</w:t>
      </w:r>
      <w:r w:rsidR="00AD630F" w:rsidRPr="00D829F0">
        <w:rPr>
          <w:rFonts w:ascii="Source Sans Pro" w:hAnsi="Source Sans Pro"/>
          <w:szCs w:val="20"/>
        </w:rPr>
        <w:t xml:space="preserve">am </w:t>
      </w:r>
      <w:r w:rsidRPr="00D829F0">
        <w:rPr>
          <w:rFonts w:ascii="Source Sans Pro" w:hAnsi="Source Sans Pro"/>
          <w:szCs w:val="20"/>
        </w:rPr>
        <w:t xml:space="preserve">samazinājās gandrīz par </w:t>
      </w:r>
      <w:r w:rsidR="00C63AC7" w:rsidRPr="00D829F0">
        <w:rPr>
          <w:rFonts w:ascii="Source Sans Pro" w:hAnsi="Source Sans Pro"/>
          <w:szCs w:val="20"/>
        </w:rPr>
        <w:t xml:space="preserve">19 </w:t>
      </w:r>
      <w:r w:rsidRPr="00D829F0">
        <w:rPr>
          <w:rFonts w:ascii="Source Sans Pro" w:hAnsi="Source Sans Pro"/>
          <w:szCs w:val="20"/>
        </w:rPr>
        <w:t>procentpunktiem. Galvenokārt konverģenci noteica IKP straujāks pieauguma temps, nekā vidēji ES.</w:t>
      </w:r>
    </w:p>
    <w:p w14:paraId="697EF00F" w14:textId="13BDB4DF" w:rsidR="00B73A48" w:rsidRPr="00D829F0" w:rsidRDefault="00B73A48" w:rsidP="003677B6">
      <w:pPr>
        <w:spacing w:after="120"/>
        <w:jc w:val="right"/>
        <w:rPr>
          <w:rFonts w:ascii="Source Sans Pro" w:hAnsi="Source Sans Pro"/>
          <w:szCs w:val="20"/>
        </w:rPr>
      </w:pPr>
      <w:r w:rsidRPr="00D829F0">
        <w:rPr>
          <w:rFonts w:ascii="Source Sans Pro" w:hAnsi="Source Sans Pro"/>
          <w:szCs w:val="20"/>
        </w:rPr>
        <w:t>1.4.</w:t>
      </w:r>
      <w:r w:rsidR="00F4358B">
        <w:rPr>
          <w:rFonts w:ascii="Source Sans Pro" w:hAnsi="Source Sans Pro"/>
          <w:szCs w:val="20"/>
        </w:rPr>
        <w:t> </w:t>
      </w:r>
      <w:r w:rsidRPr="00D829F0">
        <w:rPr>
          <w:rFonts w:ascii="Source Sans Pro" w:hAnsi="Source Sans Pro"/>
          <w:szCs w:val="20"/>
        </w:rPr>
        <w:t>attēls</w:t>
      </w:r>
    </w:p>
    <w:p w14:paraId="75E2878F" w14:textId="62275BC2" w:rsidR="00933D26" w:rsidRPr="00C63AC7" w:rsidRDefault="00933D26" w:rsidP="003677B6">
      <w:pPr>
        <w:spacing w:after="120"/>
        <w:jc w:val="center"/>
        <w:rPr>
          <w:rFonts w:ascii="Segoe UI Light" w:hAnsi="Segoe UI Light" w:cs="Segoe UI Light"/>
          <w:i/>
          <w:sz w:val="16"/>
          <w:szCs w:val="16"/>
        </w:rPr>
      </w:pPr>
      <w:r w:rsidRPr="00C63AC7">
        <w:rPr>
          <w:rFonts w:ascii="Segoe UI Light" w:hAnsi="Segoe UI Light" w:cs="Segoe UI Light"/>
          <w:b/>
          <w:sz w:val="18"/>
          <w:szCs w:val="18"/>
        </w:rPr>
        <w:t xml:space="preserve">Baltijas valstu IKP uz 1 iedzīvotāju </w:t>
      </w:r>
      <w:r w:rsidRPr="00C63AC7">
        <w:rPr>
          <w:rFonts w:ascii="Segoe UI Light" w:hAnsi="Segoe UI Light" w:cs="Segoe UI Light"/>
          <w:b/>
          <w:sz w:val="18"/>
          <w:szCs w:val="18"/>
        </w:rPr>
        <w:br/>
      </w:r>
      <w:r w:rsidRPr="00C63AC7">
        <w:rPr>
          <w:rFonts w:ascii="Segoe UI Light" w:hAnsi="Segoe UI Light" w:cs="Segoe UI Light"/>
          <w:i/>
          <w:sz w:val="16"/>
          <w:szCs w:val="16"/>
        </w:rPr>
        <w:t>faktiskajās cenās pēc PPS, procentos pret ES vidējo</w:t>
      </w:r>
    </w:p>
    <w:p w14:paraId="0E777A5B" w14:textId="1DC854BC" w:rsidR="00933D26" w:rsidRPr="00EF7F3C" w:rsidRDefault="00F54A59" w:rsidP="003677B6">
      <w:pPr>
        <w:spacing w:after="120"/>
        <w:jc w:val="center"/>
        <w:rPr>
          <w:rFonts w:ascii="Segoe UI Light" w:hAnsi="Segoe UI Light" w:cs="Segoe UI Light"/>
          <w:b/>
          <w:highlight w:val="yellow"/>
        </w:rPr>
      </w:pPr>
      <w:r w:rsidRPr="00B5236D">
        <w:rPr>
          <w:rFonts w:ascii="Segoe UI Light" w:hAnsi="Segoe UI Light" w:cs="Segoe UI Light"/>
          <w:b/>
          <w:noProof/>
          <w:szCs w:val="20"/>
        </w:rPr>
        <w:drawing>
          <wp:inline distT="0" distB="0" distL="0" distR="0" wp14:anchorId="2B7C31D6" wp14:editId="5690B7FB">
            <wp:extent cx="5760000" cy="2520000"/>
            <wp:effectExtent l="0" t="0" r="0" b="0"/>
            <wp:docPr id="1861308056" name="Chart 18613080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888C40" w14:textId="77777777" w:rsidR="00933D26" w:rsidRPr="00D829F0" w:rsidRDefault="00933D26" w:rsidP="003677B6">
      <w:pPr>
        <w:spacing w:after="120"/>
        <w:jc w:val="both"/>
        <w:rPr>
          <w:rFonts w:ascii="Source Sans Pro" w:hAnsi="Source Sans Pro" w:cs="Calibri Light"/>
          <w:szCs w:val="20"/>
        </w:rPr>
      </w:pPr>
      <w:r w:rsidRPr="00D829F0">
        <w:rPr>
          <w:rFonts w:ascii="Source Sans Pro" w:hAnsi="Source Sans Pro" w:cs="Calibri Light"/>
          <w:sz w:val="16"/>
          <w:szCs w:val="16"/>
        </w:rPr>
        <w:t xml:space="preserve">Avots: </w:t>
      </w:r>
      <w:r w:rsidRPr="00D829F0">
        <w:rPr>
          <w:rFonts w:ascii="Source Sans Pro" w:hAnsi="Source Sans Pro" w:cs="Calibri Light"/>
          <w:i/>
          <w:sz w:val="16"/>
          <w:szCs w:val="16"/>
        </w:rPr>
        <w:t>Eurostat</w:t>
      </w:r>
    </w:p>
    <w:p w14:paraId="0201B34F" w14:textId="77777777" w:rsidR="00BF61E6" w:rsidRPr="00D829F0" w:rsidRDefault="00BF61E6" w:rsidP="003677B6">
      <w:pPr>
        <w:spacing w:after="120"/>
        <w:jc w:val="both"/>
        <w:rPr>
          <w:rFonts w:ascii="Source Sans Pro" w:hAnsi="Source Sans Pro"/>
          <w:szCs w:val="20"/>
        </w:rPr>
      </w:pPr>
    </w:p>
    <w:p w14:paraId="16F0A3C0" w14:textId="77777777" w:rsidR="00E46495" w:rsidRDefault="00E46495">
      <w:pPr>
        <w:spacing w:after="0"/>
        <w:rPr>
          <w:rFonts w:ascii="Source Sans Pro" w:hAnsi="Source Sans Pro"/>
          <w:szCs w:val="20"/>
        </w:rPr>
      </w:pPr>
      <w:r>
        <w:rPr>
          <w:rFonts w:ascii="Source Sans Pro" w:hAnsi="Source Sans Pro"/>
          <w:szCs w:val="20"/>
        </w:rPr>
        <w:br w:type="page"/>
      </w:r>
    </w:p>
    <w:p w14:paraId="1D0AF840" w14:textId="32D8D039" w:rsidR="008B5DF4" w:rsidRPr="00D829F0" w:rsidRDefault="008B5DF4" w:rsidP="008B5DF4">
      <w:pPr>
        <w:spacing w:after="120"/>
        <w:jc w:val="both"/>
        <w:rPr>
          <w:rFonts w:ascii="Source Sans Pro" w:hAnsi="Source Sans Pro"/>
          <w:szCs w:val="20"/>
        </w:rPr>
      </w:pPr>
      <w:r w:rsidRPr="00D829F0">
        <w:rPr>
          <w:rFonts w:ascii="Source Sans Pro" w:hAnsi="Source Sans Pro"/>
          <w:szCs w:val="20"/>
        </w:rPr>
        <w:lastRenderedPageBreak/>
        <w:t>Covid-19 pandēmijas laikā Baltijas valstu konverģences dinamika kļuva nevienmērīgāka. Lietuvā pēc straujas pietuvošanās ES vidējam līmenim līdz 2021.</w:t>
      </w:r>
      <w:r w:rsidR="00D87281">
        <w:rPr>
          <w:rFonts w:ascii="Source Sans Pro" w:hAnsi="Source Sans Pro"/>
          <w:szCs w:val="20"/>
        </w:rPr>
        <w:t> </w:t>
      </w:r>
      <w:r w:rsidRPr="00D829F0">
        <w:rPr>
          <w:rFonts w:ascii="Source Sans Pro" w:hAnsi="Source Sans Pro"/>
          <w:szCs w:val="20"/>
        </w:rPr>
        <w:t>gadam turpmākajos gados saglabājās salīdzinoši stabila pozīcija, un 2025.</w:t>
      </w:r>
      <w:r w:rsidR="00D87281">
        <w:rPr>
          <w:rFonts w:ascii="Source Sans Pro" w:hAnsi="Source Sans Pro"/>
          <w:szCs w:val="20"/>
        </w:rPr>
        <w:t> </w:t>
      </w:r>
      <w:r w:rsidRPr="00D829F0">
        <w:rPr>
          <w:rFonts w:ascii="Source Sans Pro" w:hAnsi="Source Sans Pro"/>
          <w:szCs w:val="20"/>
        </w:rPr>
        <w:t>gadā tās IKP uz vienu iedzīvotāju pēc PPS bija apmēram par 12% zem ES vidējā līmeņa. Igaunijā pēc pandēmijas perioda konverģence apstājās un 2022.-2024.</w:t>
      </w:r>
      <w:r w:rsidR="00D87281">
        <w:rPr>
          <w:rFonts w:ascii="Source Sans Pro" w:hAnsi="Source Sans Pro"/>
          <w:szCs w:val="20"/>
        </w:rPr>
        <w:t> </w:t>
      </w:r>
      <w:r w:rsidRPr="00D829F0">
        <w:rPr>
          <w:rFonts w:ascii="Source Sans Pro" w:hAnsi="Source Sans Pro"/>
          <w:szCs w:val="20"/>
        </w:rPr>
        <w:t>gadā atpalicība no ES vidējā palielinājās, 2025.</w:t>
      </w:r>
      <w:r w:rsidR="00D87281">
        <w:rPr>
          <w:rFonts w:ascii="Source Sans Pro" w:hAnsi="Source Sans Pro"/>
          <w:szCs w:val="20"/>
        </w:rPr>
        <w:t> </w:t>
      </w:r>
      <w:r w:rsidRPr="00D829F0">
        <w:rPr>
          <w:rFonts w:ascii="Source Sans Pro" w:hAnsi="Source Sans Pro"/>
          <w:szCs w:val="20"/>
        </w:rPr>
        <w:t>gadā saglabājoties ap 21% zem ES vidējā līmeņa. Latvijā atpalicība no ES vidējā līmeņa pēdējos gados būtiski nav mazinājusies – pēc nelielas uzlabošanās 2021.</w:t>
      </w:r>
      <w:r w:rsidR="00D87281">
        <w:rPr>
          <w:rFonts w:ascii="Source Sans Pro" w:hAnsi="Source Sans Pro"/>
          <w:szCs w:val="20"/>
        </w:rPr>
        <w:t> </w:t>
      </w:r>
      <w:r w:rsidRPr="00D829F0">
        <w:rPr>
          <w:rFonts w:ascii="Source Sans Pro" w:hAnsi="Source Sans Pro"/>
          <w:szCs w:val="20"/>
        </w:rPr>
        <w:t>gadā tā 2022.-2024.</w:t>
      </w:r>
      <w:r w:rsidR="00D87281">
        <w:rPr>
          <w:rFonts w:ascii="Source Sans Pro" w:hAnsi="Source Sans Pro"/>
          <w:szCs w:val="20"/>
        </w:rPr>
        <w:t> </w:t>
      </w:r>
      <w:r w:rsidRPr="00D829F0">
        <w:rPr>
          <w:rFonts w:ascii="Source Sans Pro" w:hAnsi="Source Sans Pro"/>
          <w:szCs w:val="20"/>
        </w:rPr>
        <w:t>gadā svārstījās ap 30-31%, bet 2025.</w:t>
      </w:r>
      <w:r w:rsidR="00F4358B">
        <w:rPr>
          <w:rFonts w:ascii="Source Sans Pro" w:hAnsi="Source Sans Pro"/>
          <w:szCs w:val="20"/>
        </w:rPr>
        <w:t> </w:t>
      </w:r>
      <w:r w:rsidRPr="00D829F0">
        <w:rPr>
          <w:rFonts w:ascii="Source Sans Pro" w:hAnsi="Source Sans Pro"/>
          <w:szCs w:val="20"/>
        </w:rPr>
        <w:t>gadā samazinājās līdz aptuveni 29%.</w:t>
      </w:r>
    </w:p>
    <w:p w14:paraId="7196F59D" w14:textId="2F943F02" w:rsidR="00933D26" w:rsidRPr="00D829F0" w:rsidRDefault="008B5DF4" w:rsidP="003677B6">
      <w:pPr>
        <w:spacing w:after="120"/>
        <w:jc w:val="both"/>
        <w:rPr>
          <w:rFonts w:ascii="Source Sans Pro" w:hAnsi="Source Sans Pro"/>
          <w:szCs w:val="20"/>
        </w:rPr>
      </w:pPr>
      <w:r w:rsidRPr="00D829F0">
        <w:rPr>
          <w:rFonts w:ascii="Source Sans Pro" w:hAnsi="Source Sans Pro"/>
          <w:szCs w:val="20"/>
        </w:rPr>
        <w:t>Kopumā Lietuva joprojām ir visvairāk pietuvojusies ES vidējam līmenim, savukārt Latvijas atpalicība saglabājas būtiski lielāka nekā Lietuvā un Igaunijā. Kopš 2010.</w:t>
      </w:r>
      <w:r w:rsidR="00F4358B">
        <w:rPr>
          <w:rFonts w:ascii="Source Sans Pro" w:hAnsi="Source Sans Pro"/>
          <w:szCs w:val="20"/>
        </w:rPr>
        <w:t> </w:t>
      </w:r>
      <w:r w:rsidRPr="00D829F0">
        <w:rPr>
          <w:rFonts w:ascii="Source Sans Pro" w:hAnsi="Source Sans Pro"/>
          <w:szCs w:val="20"/>
        </w:rPr>
        <w:t>gada straujākā konverģence bijusi Lietuvā – vidēji gandrīz par 2 procentpunktiem gadā. Latvijā pietuvošanās temps bijis mērenāks – ap 1,2</w:t>
      </w:r>
      <w:r w:rsidR="00F4358B">
        <w:rPr>
          <w:rFonts w:ascii="Source Sans Pro" w:hAnsi="Source Sans Pro"/>
          <w:szCs w:val="20"/>
        </w:rPr>
        <w:t> </w:t>
      </w:r>
      <w:r w:rsidRPr="00D829F0">
        <w:rPr>
          <w:rFonts w:ascii="Source Sans Pro" w:hAnsi="Source Sans Pro"/>
          <w:szCs w:val="20"/>
        </w:rPr>
        <w:t>procentpunktiem gadā, savukārt Igaunijā, ņemot vērā pēdējo gadu pasliktināšanos, vidējais konverģences temps kopš 2010.</w:t>
      </w:r>
      <w:r w:rsidR="00F4358B">
        <w:rPr>
          <w:rFonts w:ascii="Source Sans Pro" w:hAnsi="Source Sans Pro"/>
          <w:szCs w:val="20"/>
        </w:rPr>
        <w:t> </w:t>
      </w:r>
      <w:r w:rsidRPr="00D829F0">
        <w:rPr>
          <w:rFonts w:ascii="Source Sans Pro" w:hAnsi="Source Sans Pro"/>
          <w:szCs w:val="20"/>
        </w:rPr>
        <w:t>gada ir bijis ap 0,9 procentpunktiem gadā.</w:t>
      </w:r>
    </w:p>
    <w:p w14:paraId="76303CF6" w14:textId="77777777" w:rsidR="00BF61E6" w:rsidRPr="00D829F0" w:rsidRDefault="00BF61E6" w:rsidP="003677B6">
      <w:pPr>
        <w:spacing w:after="120"/>
        <w:jc w:val="both"/>
        <w:rPr>
          <w:rFonts w:ascii="Source Sans Pro" w:hAnsi="Source Sans Pro"/>
          <w:szCs w:val="20"/>
        </w:rPr>
      </w:pPr>
    </w:p>
    <w:p w14:paraId="75FC613D" w14:textId="77777777" w:rsidR="000A4643" w:rsidRPr="00D829F0" w:rsidRDefault="000A4643" w:rsidP="003677B6">
      <w:pPr>
        <w:spacing w:after="120"/>
        <w:jc w:val="both"/>
        <w:rPr>
          <w:rFonts w:ascii="Source Sans Pro" w:hAnsi="Source Sans Pro"/>
          <w:szCs w:val="20"/>
        </w:rPr>
      </w:pPr>
    </w:p>
    <w:p w14:paraId="1A4BD10E" w14:textId="77777777" w:rsidR="00875788" w:rsidRPr="004D4225" w:rsidRDefault="00875788" w:rsidP="000464B8">
      <w:pPr>
        <w:pStyle w:val="Heading2"/>
        <w:rPr>
          <w:b w:val="0"/>
          <w:caps w:val="0"/>
          <w:color w:val="5F497A"/>
        </w:rPr>
      </w:pPr>
      <w:bookmarkStart w:id="14" w:name="_Toc1958502894"/>
      <w:bookmarkStart w:id="15" w:name="_Toc517876428"/>
      <w:r w:rsidRPr="004D4225">
        <w:t>1.2. Iedzīvotāju nodarbinātība un bezdarbs</w:t>
      </w:r>
      <w:bookmarkEnd w:id="14"/>
    </w:p>
    <w:p w14:paraId="22C14E49" w14:textId="77777777" w:rsidR="00552D59" w:rsidRDefault="00552D59" w:rsidP="00875788">
      <w:pPr>
        <w:spacing w:after="120"/>
        <w:jc w:val="both"/>
        <w:rPr>
          <w:rFonts w:ascii="Source Sans Pro" w:hAnsi="Source Sans Pro"/>
        </w:rPr>
      </w:pPr>
    </w:p>
    <w:p w14:paraId="244ED9F1" w14:textId="77777777" w:rsidR="00552D59" w:rsidRPr="004B39FD" w:rsidRDefault="00552D59" w:rsidP="001B57D6">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4BEA48DA" w14:textId="03F9618F" w:rsidR="00D35871" w:rsidRDefault="00552D59"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D35871" w:rsidRPr="00D35871">
        <w:rPr>
          <w:rFonts w:ascii="Aptos Narrow" w:hAnsi="Aptos Narrow" w:cs="Verdana"/>
          <w:color w:val="262626"/>
          <w:sz w:val="22"/>
        </w:rPr>
        <w:t>Darba tirgus 2025.</w:t>
      </w:r>
      <w:r w:rsidR="00D7157D">
        <w:rPr>
          <w:rFonts w:ascii="Aptos Narrow" w:hAnsi="Aptos Narrow" w:cs="Verdana"/>
          <w:color w:val="262626"/>
          <w:sz w:val="22"/>
        </w:rPr>
        <w:t> </w:t>
      </w:r>
      <w:r w:rsidR="00D35871" w:rsidRPr="00D35871">
        <w:rPr>
          <w:rFonts w:ascii="Aptos Narrow" w:hAnsi="Aptos Narrow" w:cs="Verdana"/>
          <w:color w:val="262626"/>
          <w:sz w:val="22"/>
        </w:rPr>
        <w:t xml:space="preserve">gadā ir stabilizējies un nodarbināto skaits atkal ir sācis pieaugt, tomēr atveseļošanās notiek piesardzīgi, jo uzņēmumu iespējas paplašināt nodarbinātību ierobežo gan augošās darbaspēka izmaksas, gan arvien </w:t>
      </w:r>
      <w:r w:rsidR="00D7157D">
        <w:rPr>
          <w:rFonts w:ascii="Aptos Narrow" w:hAnsi="Aptos Narrow" w:cs="Verdana"/>
          <w:color w:val="262626"/>
          <w:sz w:val="22"/>
        </w:rPr>
        <w:t>ierobežotākas</w:t>
      </w:r>
      <w:r w:rsidR="00D35871" w:rsidRPr="00D35871">
        <w:rPr>
          <w:rFonts w:ascii="Aptos Narrow" w:hAnsi="Aptos Narrow" w:cs="Verdana"/>
          <w:color w:val="262626"/>
          <w:sz w:val="22"/>
        </w:rPr>
        <w:t xml:space="preserve"> darbaspēka rezerves.</w:t>
      </w:r>
    </w:p>
    <w:p w14:paraId="75F9B74C" w14:textId="3B86963C" w:rsidR="00552D59" w:rsidRDefault="00552D59"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A37E5A" w:rsidRPr="00A37E5A">
        <w:rPr>
          <w:rFonts w:ascii="Aptos Narrow" w:hAnsi="Aptos Narrow" w:cs="Verdana"/>
          <w:color w:val="262626"/>
          <w:sz w:val="22"/>
        </w:rPr>
        <w:t>Bezdarbs saglabājas zemā</w:t>
      </w:r>
      <w:r w:rsidR="00F4358B">
        <w:rPr>
          <w:rFonts w:ascii="Aptos Narrow" w:hAnsi="Aptos Narrow" w:cs="Verdana"/>
          <w:color w:val="262626"/>
          <w:sz w:val="22"/>
        </w:rPr>
        <w:t>,</w:t>
      </w:r>
      <w:r w:rsidR="00A37E5A" w:rsidRPr="00A37E5A">
        <w:rPr>
          <w:rFonts w:ascii="Aptos Narrow" w:hAnsi="Aptos Narrow" w:cs="Verdana"/>
          <w:color w:val="262626"/>
          <w:sz w:val="22"/>
        </w:rPr>
        <w:t xml:space="preserve"> stabilā līmenī, un darba tirgus spriedze pakāpeniski mazinās, par ko liecina sarūkošais vakanču skaits</w:t>
      </w:r>
      <w:r w:rsidR="00FE51C7">
        <w:rPr>
          <w:rFonts w:ascii="Aptos Narrow" w:hAnsi="Aptos Narrow" w:cs="Verdana"/>
          <w:color w:val="262626"/>
          <w:sz w:val="22"/>
        </w:rPr>
        <w:t xml:space="preserve"> un</w:t>
      </w:r>
      <w:r w:rsidR="00A37E5A" w:rsidRPr="00A37E5A">
        <w:rPr>
          <w:rFonts w:ascii="Aptos Narrow" w:hAnsi="Aptos Narrow" w:cs="Verdana"/>
          <w:color w:val="262626"/>
          <w:sz w:val="22"/>
        </w:rPr>
        <w:t xml:space="preserve"> būtiski samazinājies ilgstošo bezdarbnieku skaits.</w:t>
      </w:r>
    </w:p>
    <w:p w14:paraId="78DAFCF5" w14:textId="1AE65533" w:rsidR="00552D59" w:rsidRPr="004B39FD" w:rsidRDefault="00552D59"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000A666F" w:rsidRPr="000A666F">
        <w:rPr>
          <w:rFonts w:ascii="Aptos Narrow" w:hAnsi="Aptos Narrow" w:cs="Verdana"/>
          <w:color w:val="262626"/>
          <w:sz w:val="22"/>
        </w:rPr>
        <w:t>Vienlaikus saglabājas strukturālas neatbilstības starp darba tirgū pieprasītajām un pieejamajām prasmēm, ko papildina izteiktas reģionālās atšķirības – Latgalē bezdarbs joprojām ir gandrīz divreiz augstāks nekā vidēji valstī.</w:t>
      </w:r>
    </w:p>
    <w:p w14:paraId="1E3FF0C8" w14:textId="77777777" w:rsidR="00552D59" w:rsidRDefault="00552D59" w:rsidP="00875788">
      <w:pPr>
        <w:spacing w:after="120"/>
        <w:jc w:val="both"/>
        <w:rPr>
          <w:rFonts w:ascii="Source Sans Pro" w:hAnsi="Source Sans Pro"/>
        </w:rPr>
      </w:pPr>
    </w:p>
    <w:p w14:paraId="0C03E75F" w14:textId="4883C2B5" w:rsidR="0006387C" w:rsidRPr="00D829F0" w:rsidRDefault="0006387C" w:rsidP="00875788">
      <w:pPr>
        <w:spacing w:after="120"/>
        <w:jc w:val="both"/>
        <w:rPr>
          <w:rFonts w:ascii="Source Sans Pro" w:hAnsi="Source Sans Pro"/>
        </w:rPr>
      </w:pPr>
      <w:r w:rsidRPr="00D829F0">
        <w:rPr>
          <w:rFonts w:ascii="Source Sans Pro" w:hAnsi="Source Sans Pro"/>
        </w:rPr>
        <w:t>Pēdējos gados Latvijas darba tirgu būtiski ietekmējuši gan pandēmijas radītie satricinājumi, gan ģeopolitiskā nenoteiktība un lēnāka ekonomikas izaugsme. Ekonomiskajai aktivitātei pakāpeniski atjaunojoties, 2025.</w:t>
      </w:r>
      <w:r w:rsidR="00184F0D">
        <w:rPr>
          <w:rFonts w:ascii="Source Sans Pro" w:hAnsi="Source Sans Pro"/>
        </w:rPr>
        <w:t> </w:t>
      </w:r>
      <w:r w:rsidRPr="00D829F0">
        <w:rPr>
          <w:rFonts w:ascii="Source Sans Pro" w:hAnsi="Source Sans Pro"/>
        </w:rPr>
        <w:t>gadā darba tirgū iezīmējās pozitīvāka dinamika, un pēc iepriekšējo gadu krituma nodarbināto skaits atsāka pieaugt. Vienlaikus darba tirgus atveseļošanās notika piesardzīgi, jo uzņēmumu iespējas paplašināt nodarbinātību ierobežoja gan augošās darbaspēka izmaksas, gan ierobežots darbaspēka piedāvājums</w:t>
      </w:r>
      <w:r w:rsidR="00912A5F" w:rsidRPr="00D829F0">
        <w:rPr>
          <w:rFonts w:ascii="Source Sans Pro" w:hAnsi="Source Sans Pro"/>
        </w:rPr>
        <w:t>.</w:t>
      </w:r>
      <w:r w:rsidR="006E5779" w:rsidRPr="00D829F0">
        <w:rPr>
          <w:rFonts w:ascii="Source Sans Pro" w:hAnsi="Source Sans Pro"/>
        </w:rPr>
        <w:t xml:space="preserve"> Tādējādi darba tirgū vienlaikus bija vērojams mērens nodarbinātības pieaugums saglabāj</w:t>
      </w:r>
      <w:r w:rsidR="00824267" w:rsidRPr="00D829F0">
        <w:rPr>
          <w:rFonts w:ascii="Source Sans Pro" w:hAnsi="Source Sans Pro"/>
        </w:rPr>
        <w:t>oties</w:t>
      </w:r>
      <w:r w:rsidR="006E5779" w:rsidRPr="00D829F0">
        <w:rPr>
          <w:rFonts w:ascii="Source Sans Pro" w:hAnsi="Source Sans Pro"/>
        </w:rPr>
        <w:t xml:space="preserve"> strukturāl</w:t>
      </w:r>
      <w:r w:rsidR="00824267" w:rsidRPr="00D829F0">
        <w:rPr>
          <w:rFonts w:ascii="Source Sans Pro" w:hAnsi="Source Sans Pro"/>
        </w:rPr>
        <w:t>ajiem</w:t>
      </w:r>
      <w:r w:rsidR="006E5779" w:rsidRPr="00D829F0">
        <w:rPr>
          <w:rFonts w:ascii="Source Sans Pro" w:hAnsi="Source Sans Pro"/>
        </w:rPr>
        <w:t xml:space="preserve"> izaicinājum</w:t>
      </w:r>
      <w:r w:rsidR="00824267" w:rsidRPr="00D829F0">
        <w:rPr>
          <w:rFonts w:ascii="Source Sans Pro" w:hAnsi="Source Sans Pro"/>
        </w:rPr>
        <w:t>iem</w:t>
      </w:r>
      <w:r w:rsidR="006E5779" w:rsidRPr="00D829F0">
        <w:rPr>
          <w:rFonts w:ascii="Source Sans Pro" w:hAnsi="Source Sans Pro"/>
        </w:rPr>
        <w:t xml:space="preserve"> - darbspējas vecuma iedzīvotāju skaita samazināšanās, reģionālās neatbilstības un kvalificētu speciālistu trūkums vairākās nozarēs. </w:t>
      </w:r>
      <w:r w:rsidR="00184F0D">
        <w:rPr>
          <w:rFonts w:ascii="Source Sans Pro" w:hAnsi="Source Sans Pro"/>
        </w:rPr>
        <w:t>A</w:t>
      </w:r>
      <w:r w:rsidR="006E5779" w:rsidRPr="00D829F0">
        <w:rPr>
          <w:rFonts w:ascii="Source Sans Pro" w:hAnsi="Source Sans Pro"/>
        </w:rPr>
        <w:t>rvien lielāka nozīme ir produktivitātes kāpināšanai, prasmju pilnveidei, tehnoloģiju ieviešanai un uzņēmumu procesu efektivizācijai.</w:t>
      </w:r>
    </w:p>
    <w:p w14:paraId="08D86DF4" w14:textId="2166A717" w:rsidR="006F21CA" w:rsidRPr="00D829F0" w:rsidRDefault="002F4248" w:rsidP="00875788">
      <w:pPr>
        <w:spacing w:after="120"/>
        <w:jc w:val="both"/>
        <w:rPr>
          <w:rFonts w:ascii="Source Sans Pro" w:hAnsi="Source Sans Pro"/>
        </w:rPr>
      </w:pPr>
      <w:r w:rsidRPr="00D829F0">
        <w:rPr>
          <w:rFonts w:ascii="Source Sans Pro" w:hAnsi="Source Sans Pro"/>
        </w:rPr>
        <w:t>2025.</w:t>
      </w:r>
      <w:r w:rsidR="00184F0D">
        <w:rPr>
          <w:rFonts w:ascii="Source Sans Pro" w:hAnsi="Source Sans Pro"/>
        </w:rPr>
        <w:t> </w:t>
      </w:r>
      <w:r w:rsidRPr="00D829F0">
        <w:rPr>
          <w:rFonts w:ascii="Source Sans Pro" w:hAnsi="Source Sans Pro"/>
        </w:rPr>
        <w:t>gadā kopumā bija nodarbināti 883,1</w:t>
      </w:r>
      <w:r w:rsidR="00184F0D">
        <w:rPr>
          <w:rFonts w:ascii="Source Sans Pro" w:hAnsi="Source Sans Pro"/>
        </w:rPr>
        <w:t> </w:t>
      </w:r>
      <w:r w:rsidRPr="00D829F0">
        <w:rPr>
          <w:rFonts w:ascii="Source Sans Pro" w:hAnsi="Source Sans Pro"/>
        </w:rPr>
        <w:t>tūkst. iedzīvotāju vecumā no 15 līdz 74 gadiem, kas bija par 5,7</w:t>
      </w:r>
      <w:r w:rsidR="00184F0D">
        <w:rPr>
          <w:rFonts w:ascii="Source Sans Pro" w:hAnsi="Source Sans Pro"/>
        </w:rPr>
        <w:t> </w:t>
      </w:r>
      <w:r w:rsidRPr="00D829F0">
        <w:rPr>
          <w:rFonts w:ascii="Source Sans Pro" w:hAnsi="Source Sans Pro"/>
        </w:rPr>
        <w:t>tūkst. jeb 0,6% vairāk nekā 2024.</w:t>
      </w:r>
      <w:r w:rsidR="00184F0D">
        <w:rPr>
          <w:rFonts w:ascii="Source Sans Pro" w:hAnsi="Source Sans Pro"/>
        </w:rPr>
        <w:t> </w:t>
      </w:r>
      <w:r w:rsidRPr="00D829F0">
        <w:rPr>
          <w:rFonts w:ascii="Source Sans Pro" w:hAnsi="Source Sans Pro"/>
        </w:rPr>
        <w:t xml:space="preserve">gadā. Nodarbinātības kāpumu veicināja ekonomiskās aktivitātes atjaunošanās un iedzīvotāju aktīvāka iesaiste darba tirgū. Vienlaikus nodarbināto skaita pieaugums saglabājās ierobežots, </w:t>
      </w:r>
      <w:r w:rsidR="00EE2AED">
        <w:rPr>
          <w:rFonts w:ascii="Source Sans Pro" w:hAnsi="Source Sans Pro"/>
        </w:rPr>
        <w:t>ko ietekmē</w:t>
      </w:r>
      <w:r w:rsidRPr="00D829F0">
        <w:rPr>
          <w:rFonts w:ascii="Source Sans Pro" w:hAnsi="Source Sans Pro"/>
        </w:rPr>
        <w:t xml:space="preserve"> </w:t>
      </w:r>
      <w:r w:rsidR="00EE2AED">
        <w:rPr>
          <w:rFonts w:ascii="Source Sans Pro" w:hAnsi="Source Sans Pro"/>
        </w:rPr>
        <w:t>pieejamās</w:t>
      </w:r>
      <w:r w:rsidRPr="00D829F0">
        <w:rPr>
          <w:rFonts w:ascii="Source Sans Pro" w:hAnsi="Source Sans Pro"/>
        </w:rPr>
        <w:t xml:space="preserve"> darbaspēka rezerves, </w:t>
      </w:r>
      <w:r w:rsidR="00EE2AED">
        <w:rPr>
          <w:rFonts w:ascii="Source Sans Pro" w:hAnsi="Source Sans Pro"/>
        </w:rPr>
        <w:t>kā arī</w:t>
      </w:r>
      <w:r w:rsidRPr="00D829F0">
        <w:rPr>
          <w:rFonts w:ascii="Source Sans Pro" w:hAnsi="Source Sans Pro"/>
        </w:rPr>
        <w:t xml:space="preserve"> darba devēju pieprasījums pēc darbiniekiem</w:t>
      </w:r>
      <w:r w:rsidR="00EE2AED">
        <w:rPr>
          <w:rFonts w:ascii="Source Sans Pro" w:hAnsi="Source Sans Pro"/>
        </w:rPr>
        <w:t xml:space="preserve">, </w:t>
      </w:r>
      <w:r w:rsidRPr="00D829F0">
        <w:rPr>
          <w:rFonts w:ascii="Source Sans Pro" w:hAnsi="Source Sans Pro"/>
        </w:rPr>
        <w:t>koncentrēj</w:t>
      </w:r>
      <w:r w:rsidR="00EE2AED">
        <w:rPr>
          <w:rFonts w:ascii="Source Sans Pro" w:hAnsi="Source Sans Pro"/>
        </w:rPr>
        <w:t>oties</w:t>
      </w:r>
      <w:r w:rsidRPr="00D829F0">
        <w:rPr>
          <w:rFonts w:ascii="Source Sans Pro" w:hAnsi="Source Sans Pro"/>
        </w:rPr>
        <w:t xml:space="preserve"> vairāk </w:t>
      </w:r>
      <w:r w:rsidR="00EE2AED">
        <w:rPr>
          <w:rFonts w:ascii="Source Sans Pro" w:hAnsi="Source Sans Pro"/>
        </w:rPr>
        <w:t>uz</w:t>
      </w:r>
      <w:r w:rsidRPr="00D829F0">
        <w:rPr>
          <w:rFonts w:ascii="Source Sans Pro" w:hAnsi="Source Sans Pro"/>
        </w:rPr>
        <w:t xml:space="preserve"> konkrētā</w:t>
      </w:r>
      <w:r w:rsidR="00EE2AED">
        <w:rPr>
          <w:rFonts w:ascii="Source Sans Pro" w:hAnsi="Source Sans Pro"/>
        </w:rPr>
        <w:t>m</w:t>
      </w:r>
      <w:r w:rsidRPr="00D829F0">
        <w:rPr>
          <w:rFonts w:ascii="Source Sans Pro" w:hAnsi="Source Sans Pro"/>
        </w:rPr>
        <w:t xml:space="preserve"> profesijā</w:t>
      </w:r>
      <w:r w:rsidR="00EE2AED">
        <w:rPr>
          <w:rFonts w:ascii="Source Sans Pro" w:hAnsi="Source Sans Pro"/>
        </w:rPr>
        <w:t>m</w:t>
      </w:r>
      <w:r w:rsidRPr="00D829F0">
        <w:rPr>
          <w:rFonts w:ascii="Source Sans Pro" w:hAnsi="Source Sans Pro"/>
        </w:rPr>
        <w:t>, reģion</w:t>
      </w:r>
      <w:r w:rsidR="00EE2AED">
        <w:rPr>
          <w:rFonts w:ascii="Source Sans Pro" w:hAnsi="Source Sans Pro"/>
        </w:rPr>
        <w:t>iem</w:t>
      </w:r>
      <w:r w:rsidRPr="00D829F0">
        <w:rPr>
          <w:rFonts w:ascii="Source Sans Pro" w:hAnsi="Source Sans Pro"/>
        </w:rPr>
        <w:t xml:space="preserve"> un kvalifikāciju grupā</w:t>
      </w:r>
      <w:r w:rsidR="00EE2AED">
        <w:rPr>
          <w:rFonts w:ascii="Source Sans Pro" w:hAnsi="Source Sans Pro"/>
        </w:rPr>
        <w:t>m</w:t>
      </w:r>
      <w:r w:rsidRPr="00D829F0">
        <w:rPr>
          <w:rFonts w:ascii="Source Sans Pro" w:hAnsi="Source Sans Pro"/>
        </w:rPr>
        <w:t>. Par piesardzīgu darbaspēka pieprasījuma dinamiku liecina arī aizņemto darbvietu skaita izmaiņas - 2025.</w:t>
      </w:r>
      <w:r w:rsidR="00EE2AED">
        <w:rPr>
          <w:rFonts w:ascii="Source Sans Pro" w:hAnsi="Source Sans Pro"/>
        </w:rPr>
        <w:t> </w:t>
      </w:r>
      <w:r w:rsidRPr="00D829F0">
        <w:rPr>
          <w:rFonts w:ascii="Source Sans Pro" w:hAnsi="Source Sans Pro"/>
        </w:rPr>
        <w:t>gadā</w:t>
      </w:r>
      <w:r w:rsidR="0018659B">
        <w:rPr>
          <w:rFonts w:ascii="Source Sans Pro" w:hAnsi="Source Sans Pro"/>
        </w:rPr>
        <w:t>, kas</w:t>
      </w:r>
      <w:r w:rsidRPr="00D829F0">
        <w:rPr>
          <w:rFonts w:ascii="Source Sans Pro" w:hAnsi="Source Sans Pro"/>
        </w:rPr>
        <w:t xml:space="preserve"> palielinājās par 0,3% jeb 2,2 tūkstošiem.</w:t>
      </w:r>
    </w:p>
    <w:p w14:paraId="287EB196" w14:textId="77777777" w:rsidR="00E46495" w:rsidRDefault="00E46495">
      <w:pPr>
        <w:spacing w:after="0"/>
        <w:rPr>
          <w:rFonts w:ascii="Source Sans Pro" w:hAnsi="Source Sans Pro"/>
        </w:rPr>
      </w:pPr>
      <w:r>
        <w:rPr>
          <w:rFonts w:ascii="Source Sans Pro" w:hAnsi="Source Sans Pro"/>
        </w:rPr>
        <w:br w:type="page"/>
      </w:r>
    </w:p>
    <w:p w14:paraId="32A17250" w14:textId="5122D531" w:rsidR="00EF5A03" w:rsidRPr="00D829F0" w:rsidRDefault="006E31F5" w:rsidP="00EF5A03">
      <w:pPr>
        <w:spacing w:after="120"/>
        <w:jc w:val="both"/>
        <w:rPr>
          <w:rFonts w:ascii="Source Sans Pro" w:hAnsi="Source Sans Pro"/>
        </w:rPr>
      </w:pPr>
      <w:r w:rsidRPr="00D829F0">
        <w:rPr>
          <w:rFonts w:ascii="Source Sans Pro" w:hAnsi="Source Sans Pro"/>
        </w:rPr>
        <w:lastRenderedPageBreak/>
        <w:t>Nodarbināto īpatsvars iedzīvotāju kopskaitā 2025.</w:t>
      </w:r>
      <w:r w:rsidR="0018659B">
        <w:rPr>
          <w:rFonts w:ascii="Source Sans Pro" w:hAnsi="Source Sans Pro"/>
        </w:rPr>
        <w:t> </w:t>
      </w:r>
      <w:r w:rsidRPr="00D829F0">
        <w:rPr>
          <w:rFonts w:ascii="Source Sans Pro" w:hAnsi="Source Sans Pro"/>
        </w:rPr>
        <w:t>gadā sasniedza 64,5%</w:t>
      </w:r>
      <w:r w:rsidR="0018659B">
        <w:rPr>
          <w:rFonts w:ascii="Source Sans Pro" w:hAnsi="Source Sans Pro"/>
        </w:rPr>
        <w:t xml:space="preserve"> jeb</w:t>
      </w:r>
      <w:r w:rsidRPr="00D829F0">
        <w:rPr>
          <w:rFonts w:ascii="Source Sans Pro" w:hAnsi="Source Sans Pro"/>
        </w:rPr>
        <w:t xml:space="preserve"> par 0,5 procentpunktiem vairāk nekā 2024.</w:t>
      </w:r>
      <w:r w:rsidR="0018659B">
        <w:rPr>
          <w:rFonts w:ascii="Source Sans Pro" w:hAnsi="Source Sans Pro"/>
        </w:rPr>
        <w:t> </w:t>
      </w:r>
      <w:r w:rsidRPr="00D829F0">
        <w:rPr>
          <w:rFonts w:ascii="Source Sans Pro" w:hAnsi="Source Sans Pro"/>
        </w:rPr>
        <w:t xml:space="preserve">gadā. Lai gan rādītājs joprojām par 0,5 procentpunktiem </w:t>
      </w:r>
      <w:r w:rsidR="00834366" w:rsidRPr="00D829F0">
        <w:rPr>
          <w:rFonts w:ascii="Source Sans Pro" w:hAnsi="Source Sans Pro"/>
        </w:rPr>
        <w:t>atpaliek</w:t>
      </w:r>
      <w:r w:rsidRPr="00D829F0">
        <w:rPr>
          <w:rFonts w:ascii="Source Sans Pro" w:hAnsi="Source Sans Pro"/>
        </w:rPr>
        <w:t xml:space="preserve"> no pirmskrīzes 2019.</w:t>
      </w:r>
      <w:r w:rsidR="0018659B">
        <w:rPr>
          <w:rFonts w:ascii="Source Sans Pro" w:hAnsi="Source Sans Pro"/>
        </w:rPr>
        <w:t> </w:t>
      </w:r>
      <w:r w:rsidRPr="00D829F0">
        <w:rPr>
          <w:rFonts w:ascii="Source Sans Pro" w:hAnsi="Source Sans Pro"/>
        </w:rPr>
        <w:t xml:space="preserve">gada līmeņa, </w:t>
      </w:r>
      <w:r w:rsidR="0071481B" w:rsidRPr="00D829F0">
        <w:rPr>
          <w:rFonts w:ascii="Source Sans Pro" w:hAnsi="Source Sans Pro"/>
        </w:rPr>
        <w:t xml:space="preserve">tā pieaugums liecina par pakāpenisku darba tirgus stabilizēšanos un nodarbinātības atjaunošanos </w:t>
      </w:r>
      <w:r w:rsidRPr="00D829F0">
        <w:rPr>
          <w:rFonts w:ascii="Source Sans Pro" w:hAnsi="Source Sans Pro"/>
        </w:rPr>
        <w:t>pēc iepriekšējo gadu satricinājumiem. Pēc straujā iedzīvotāju ekonomiskās aktivitātes krituma 2021.-2022.</w:t>
      </w:r>
      <w:r w:rsidR="0018659B">
        <w:rPr>
          <w:rFonts w:ascii="Source Sans Pro" w:hAnsi="Source Sans Pro"/>
        </w:rPr>
        <w:t> </w:t>
      </w:r>
      <w:r w:rsidRPr="00D829F0">
        <w:rPr>
          <w:rFonts w:ascii="Source Sans Pro" w:hAnsi="Source Sans Pro"/>
        </w:rPr>
        <w:t>gadā līdzdalība darba tirgū ir pakāpeniski palielinājusies. 2025.</w:t>
      </w:r>
      <w:r w:rsidR="0018659B">
        <w:rPr>
          <w:rFonts w:ascii="Source Sans Pro" w:hAnsi="Source Sans Pro"/>
        </w:rPr>
        <w:t> </w:t>
      </w:r>
      <w:r w:rsidRPr="00D829F0">
        <w:rPr>
          <w:rFonts w:ascii="Source Sans Pro" w:hAnsi="Source Sans Pro"/>
        </w:rPr>
        <w:t>gadā ekonomiskās aktivitātes līmenis vecuma grupā no 15 līdz 74 gadiem sasniedza 69,3%, kas bija par 0,5 procentpunktiem vairāk nekā 2024.</w:t>
      </w:r>
      <w:r w:rsidR="0018659B">
        <w:rPr>
          <w:rFonts w:ascii="Source Sans Pro" w:hAnsi="Source Sans Pro"/>
        </w:rPr>
        <w:t> </w:t>
      </w:r>
      <w:r w:rsidRPr="00D829F0">
        <w:rPr>
          <w:rFonts w:ascii="Source Sans Pro" w:hAnsi="Source Sans Pro"/>
        </w:rPr>
        <w:t>gadā</w:t>
      </w:r>
      <w:r w:rsidR="001757B0" w:rsidRPr="00D829F0">
        <w:rPr>
          <w:rFonts w:ascii="Source Sans Pro" w:hAnsi="Source Sans Pro"/>
        </w:rPr>
        <w:t>.</w:t>
      </w:r>
    </w:p>
    <w:p w14:paraId="6A56500A" w14:textId="44F410C3" w:rsidR="00875788" w:rsidRPr="00D829F0" w:rsidRDefault="00875788" w:rsidP="00875788">
      <w:pPr>
        <w:spacing w:after="120"/>
        <w:jc w:val="right"/>
        <w:rPr>
          <w:rFonts w:ascii="Source Sans Pro" w:hAnsi="Source Sans Pro"/>
          <w:szCs w:val="20"/>
        </w:rPr>
      </w:pPr>
      <w:r w:rsidRPr="00D829F0">
        <w:rPr>
          <w:rFonts w:ascii="Source Sans Pro" w:hAnsi="Source Sans Pro"/>
          <w:szCs w:val="20"/>
        </w:rPr>
        <w:t>1.</w:t>
      </w:r>
      <w:r w:rsidR="00AD141B" w:rsidRPr="00D829F0">
        <w:rPr>
          <w:rFonts w:ascii="Source Sans Pro" w:hAnsi="Source Sans Pro"/>
          <w:szCs w:val="20"/>
        </w:rPr>
        <w:t>5</w:t>
      </w:r>
      <w:r w:rsidRPr="00D829F0">
        <w:rPr>
          <w:rFonts w:ascii="Source Sans Pro" w:hAnsi="Source Sans Pro"/>
          <w:szCs w:val="20"/>
        </w:rPr>
        <w:t>. attēls</w:t>
      </w:r>
    </w:p>
    <w:p w14:paraId="0C496D4C" w14:textId="77777777" w:rsidR="00875788" w:rsidRPr="00851097" w:rsidRDefault="00875788" w:rsidP="00875788">
      <w:pPr>
        <w:tabs>
          <w:tab w:val="center" w:pos="2268"/>
          <w:tab w:val="center" w:pos="6804"/>
        </w:tabs>
        <w:spacing w:after="120"/>
        <w:rPr>
          <w:rFonts w:ascii="Segoe UI Light" w:eastAsia="Times New Roman" w:hAnsi="Segoe UI Light"/>
          <w:i/>
          <w:sz w:val="16"/>
          <w:szCs w:val="20"/>
          <w:lang w:eastAsia="lv-LV"/>
        </w:rPr>
      </w:pPr>
      <w:r w:rsidRPr="00851097">
        <w:rPr>
          <w:rFonts w:ascii="Segoe UI Light" w:hAnsi="Segoe UI Light"/>
          <w:b/>
          <w:sz w:val="18"/>
          <w:szCs w:val="26"/>
        </w:rPr>
        <w:tab/>
        <w:t>Nodarbināto un ekonomiski aktīvo iedzīvotāju skaits</w:t>
      </w:r>
      <w:r w:rsidRPr="00851097">
        <w:rPr>
          <w:rFonts w:ascii="Segoe UI Light" w:eastAsia="Times New Roman" w:hAnsi="Segoe UI Light"/>
          <w:sz w:val="16"/>
          <w:szCs w:val="20"/>
          <w:lang w:eastAsia="lv-LV"/>
        </w:rPr>
        <w:tab/>
      </w:r>
      <w:r w:rsidRPr="00851097">
        <w:rPr>
          <w:rFonts w:ascii="Segoe UI Light" w:hAnsi="Segoe UI Light"/>
          <w:b/>
          <w:sz w:val="18"/>
          <w:szCs w:val="26"/>
        </w:rPr>
        <w:t xml:space="preserve">Nodarbinātības un ekonomiskās aktivitātes līmenis </w:t>
      </w:r>
      <w:r w:rsidRPr="00851097">
        <w:rPr>
          <w:rFonts w:ascii="Segoe UI Light" w:hAnsi="Segoe UI Light"/>
          <w:b/>
          <w:sz w:val="18"/>
          <w:szCs w:val="26"/>
        </w:rPr>
        <w:br/>
      </w:r>
      <w:r w:rsidRPr="00851097">
        <w:rPr>
          <w:rFonts w:ascii="Segoe UI Light" w:eastAsia="Times New Roman" w:hAnsi="Segoe UI Light"/>
          <w:bCs/>
          <w:i/>
          <w:color w:val="000000"/>
          <w:sz w:val="16"/>
        </w:rPr>
        <w:tab/>
        <w:t xml:space="preserve">15-74 </w:t>
      </w:r>
      <w:r w:rsidRPr="00851097">
        <w:rPr>
          <w:rFonts w:ascii="Segoe UI Light" w:eastAsia="Times New Roman" w:hAnsi="Segoe UI Light"/>
          <w:i/>
          <w:color w:val="000000"/>
          <w:sz w:val="16"/>
        </w:rPr>
        <w:t>gadu vecuma grupā, tūkst.</w:t>
      </w:r>
      <w:r w:rsidRPr="00851097">
        <w:rPr>
          <w:rFonts w:ascii="Segoe UI Light" w:eastAsia="Times New Roman" w:hAnsi="Segoe UI Light"/>
          <w:i/>
          <w:color w:val="000000"/>
          <w:sz w:val="16"/>
        </w:rPr>
        <w:tab/>
        <w:t>procentos</w:t>
      </w:r>
    </w:p>
    <w:p w14:paraId="77F2B208" w14:textId="3B658E7E" w:rsidR="00875788" w:rsidRPr="00851097" w:rsidRDefault="00D40EE1" w:rsidP="00875788">
      <w:pPr>
        <w:tabs>
          <w:tab w:val="left" w:pos="4643"/>
        </w:tabs>
        <w:spacing w:after="120"/>
        <w:jc w:val="right"/>
        <w:rPr>
          <w:rFonts w:ascii="Segoe UI Light" w:hAnsi="Segoe UI Light" w:cs="Segoe UI"/>
          <w:sz w:val="18"/>
          <w:szCs w:val="18"/>
        </w:rPr>
      </w:pPr>
      <w:r w:rsidRPr="00D829F0">
        <w:rPr>
          <w:rFonts w:ascii="Source Sans Pro" w:hAnsi="Source Sans Pro"/>
          <w:noProof/>
        </w:rPr>
        <w:drawing>
          <wp:inline distT="0" distB="0" distL="0" distR="0" wp14:anchorId="28D0C32C" wp14:editId="10D9641D">
            <wp:extent cx="2843625" cy="2130076"/>
            <wp:effectExtent l="0" t="0" r="0" b="0"/>
            <wp:docPr id="1099998963" name="Chart 10999989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851097" w:rsidRPr="00D829F0">
        <w:rPr>
          <w:rFonts w:ascii="Source Sans Pro" w:hAnsi="Source Sans Pro"/>
          <w:noProof/>
        </w:rPr>
        <w:drawing>
          <wp:inline distT="0" distB="0" distL="0" distR="0" wp14:anchorId="0E30802A" wp14:editId="6769D238">
            <wp:extent cx="2883535" cy="2177099"/>
            <wp:effectExtent l="0" t="0" r="0" b="0"/>
            <wp:docPr id="1607140770" name="Chart 16071407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4A4CA4D" w14:textId="77777777" w:rsidR="00875788" w:rsidRPr="00D829F0" w:rsidRDefault="00875788" w:rsidP="00875788">
      <w:pPr>
        <w:spacing w:after="120"/>
        <w:jc w:val="both"/>
        <w:rPr>
          <w:rFonts w:ascii="Source Sans Pro" w:hAnsi="Source Sans Pro"/>
          <w:sz w:val="16"/>
          <w:szCs w:val="16"/>
        </w:rPr>
      </w:pPr>
      <w:r w:rsidRPr="00D829F0">
        <w:rPr>
          <w:rFonts w:ascii="Source Sans Pro" w:hAnsi="Source Sans Pro"/>
          <w:sz w:val="16"/>
          <w:szCs w:val="16"/>
        </w:rPr>
        <w:t>Avots: CSP</w:t>
      </w:r>
    </w:p>
    <w:p w14:paraId="30F1CD4E" w14:textId="77777777" w:rsidR="00875788" w:rsidRPr="00D829F0" w:rsidRDefault="00875788" w:rsidP="00875788">
      <w:pPr>
        <w:spacing w:after="120"/>
        <w:jc w:val="both"/>
        <w:rPr>
          <w:rFonts w:ascii="Source Sans Pro" w:hAnsi="Source Sans Pro"/>
        </w:rPr>
      </w:pPr>
    </w:p>
    <w:p w14:paraId="41AFECF1" w14:textId="274101C4" w:rsidR="00875788" w:rsidRPr="00D829F0" w:rsidRDefault="00C87D1E" w:rsidP="00875788">
      <w:pPr>
        <w:spacing w:after="120"/>
        <w:jc w:val="both"/>
        <w:rPr>
          <w:rFonts w:ascii="Source Sans Pro" w:hAnsi="Source Sans Pro"/>
        </w:rPr>
      </w:pPr>
      <w:r w:rsidRPr="00D829F0">
        <w:rPr>
          <w:rFonts w:ascii="Source Sans Pro" w:hAnsi="Source Sans Pro"/>
        </w:rPr>
        <w:t>Kopumā nodarbinātības līmenis 2025.</w:t>
      </w:r>
      <w:r w:rsidR="00CF613F">
        <w:rPr>
          <w:rFonts w:ascii="Source Sans Pro" w:hAnsi="Source Sans Pro"/>
        </w:rPr>
        <w:t> </w:t>
      </w:r>
      <w:r w:rsidRPr="00D829F0">
        <w:rPr>
          <w:rFonts w:ascii="Source Sans Pro" w:hAnsi="Source Sans Pro"/>
        </w:rPr>
        <w:t>gadā Latvijā starp iedzīvotājiem vecumā no 15 līdz74 gadiem bija par 2,6 procentpunktu augstāks nekā vidēji ES. Kopš 2010.</w:t>
      </w:r>
      <w:r w:rsidR="0018659B">
        <w:rPr>
          <w:rFonts w:ascii="Source Sans Pro" w:hAnsi="Source Sans Pro"/>
        </w:rPr>
        <w:t> </w:t>
      </w:r>
      <w:r w:rsidRPr="00D829F0">
        <w:rPr>
          <w:rFonts w:ascii="Source Sans Pro" w:hAnsi="Source Sans Pro"/>
        </w:rPr>
        <w:t>gada nodarbinātības līmeņa pieaugums Latvijā ir bijis viens no straujākiem ES, tomēr jāņem vērā, ka 2010.</w:t>
      </w:r>
      <w:r w:rsidR="0018659B">
        <w:rPr>
          <w:rFonts w:ascii="Source Sans Pro" w:hAnsi="Source Sans Pro"/>
        </w:rPr>
        <w:t> </w:t>
      </w:r>
      <w:r w:rsidRPr="00D829F0">
        <w:rPr>
          <w:rFonts w:ascii="Source Sans Pro" w:hAnsi="Source Sans Pro"/>
        </w:rPr>
        <w:t>gadā nodarbinātības līmenis Latvijā, līdzīgi kā citās valstīs, sasniedza savu zemāko punktu pēc 2008.</w:t>
      </w:r>
      <w:r w:rsidR="0018659B">
        <w:rPr>
          <w:rFonts w:ascii="Source Sans Pro" w:hAnsi="Source Sans Pro"/>
        </w:rPr>
        <w:t> </w:t>
      </w:r>
      <w:r w:rsidRPr="00D829F0">
        <w:rPr>
          <w:rFonts w:ascii="Source Sans Pro" w:hAnsi="Source Sans Pro"/>
        </w:rPr>
        <w:t>gada finanšu krīzes, līdz ar to izmaiņas rādītājā daļēji ir saistītas ar nodarbinātības līmeņa zemās bāzes efektu 2010.</w:t>
      </w:r>
      <w:r w:rsidR="0018659B">
        <w:rPr>
          <w:rFonts w:ascii="Source Sans Pro" w:hAnsi="Source Sans Pro"/>
        </w:rPr>
        <w:t> </w:t>
      </w:r>
      <w:r w:rsidRPr="00D829F0">
        <w:rPr>
          <w:rFonts w:ascii="Source Sans Pro" w:hAnsi="Source Sans Pro"/>
        </w:rPr>
        <w:t>gadā.</w:t>
      </w:r>
    </w:p>
    <w:p w14:paraId="15219E6A" w14:textId="7E240101" w:rsidR="00875788" w:rsidRPr="00D829F0" w:rsidRDefault="00875788" w:rsidP="00875788">
      <w:pPr>
        <w:spacing w:before="120" w:after="120"/>
        <w:jc w:val="right"/>
        <w:rPr>
          <w:rFonts w:ascii="Source Sans Pro" w:hAnsi="Source Sans Pro"/>
          <w:szCs w:val="20"/>
        </w:rPr>
      </w:pPr>
      <w:r w:rsidRPr="00D829F0">
        <w:rPr>
          <w:rFonts w:ascii="Source Sans Pro" w:hAnsi="Source Sans Pro"/>
          <w:szCs w:val="20"/>
        </w:rPr>
        <w:t>1.</w:t>
      </w:r>
      <w:r w:rsidR="00AD141B" w:rsidRPr="00D829F0">
        <w:rPr>
          <w:rFonts w:ascii="Source Sans Pro" w:hAnsi="Source Sans Pro"/>
          <w:szCs w:val="20"/>
        </w:rPr>
        <w:t>6</w:t>
      </w:r>
      <w:r w:rsidRPr="00D829F0">
        <w:rPr>
          <w:rFonts w:ascii="Source Sans Pro" w:hAnsi="Source Sans Pro"/>
          <w:szCs w:val="20"/>
        </w:rPr>
        <w:t>. attēls</w:t>
      </w:r>
    </w:p>
    <w:p w14:paraId="45C6F936" w14:textId="77777777" w:rsidR="00875788" w:rsidRPr="003D5965" w:rsidRDefault="00875788" w:rsidP="00875788">
      <w:pPr>
        <w:spacing w:after="120"/>
        <w:jc w:val="center"/>
        <w:rPr>
          <w:rFonts w:ascii="Segoe UI Light" w:hAnsi="Segoe UI Light"/>
          <w:i/>
          <w:sz w:val="16"/>
          <w:szCs w:val="24"/>
        </w:rPr>
      </w:pPr>
      <w:r w:rsidRPr="003D5965">
        <w:rPr>
          <w:rFonts w:ascii="Segoe UI Light" w:hAnsi="Segoe UI Light"/>
          <w:b/>
          <w:sz w:val="18"/>
          <w:szCs w:val="26"/>
        </w:rPr>
        <w:t xml:space="preserve">Nodarbinātības līmenis ES valstīs </w:t>
      </w:r>
      <w:r w:rsidRPr="003D5965">
        <w:rPr>
          <w:rFonts w:ascii="Segoe UI Light" w:hAnsi="Segoe UI Light"/>
          <w:b/>
          <w:sz w:val="18"/>
          <w:szCs w:val="26"/>
        </w:rPr>
        <w:br/>
      </w:r>
      <w:r w:rsidRPr="003D5965">
        <w:rPr>
          <w:rFonts w:ascii="Segoe UI Light" w:hAnsi="Segoe UI Light"/>
          <w:i/>
          <w:sz w:val="16"/>
          <w:szCs w:val="24"/>
        </w:rPr>
        <w:t>15-74 gadu vecuma grupā, procentos</w:t>
      </w:r>
    </w:p>
    <w:p w14:paraId="7D536900" w14:textId="07A39342" w:rsidR="00875788" w:rsidRPr="00D829F0" w:rsidRDefault="003D5965" w:rsidP="00875788">
      <w:pPr>
        <w:spacing w:after="120"/>
        <w:jc w:val="center"/>
        <w:rPr>
          <w:rFonts w:ascii="Source Sans Pro" w:hAnsi="Source Sans Pro"/>
        </w:rPr>
      </w:pPr>
      <w:r w:rsidRPr="00D829F0">
        <w:rPr>
          <w:rFonts w:ascii="Source Sans Pro" w:hAnsi="Source Sans Pro"/>
          <w:noProof/>
        </w:rPr>
        <w:drawing>
          <wp:inline distT="0" distB="0" distL="0" distR="0" wp14:anchorId="79232E94" wp14:editId="55BEDDE6">
            <wp:extent cx="5759450" cy="2531778"/>
            <wp:effectExtent l="0" t="0" r="0" b="1905"/>
            <wp:docPr id="1659228511" name="Chart 16592285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3F023C8" w14:textId="77777777" w:rsidR="00875788" w:rsidRPr="00D829F0" w:rsidRDefault="00875788" w:rsidP="00875788">
      <w:pPr>
        <w:spacing w:after="120"/>
        <w:jc w:val="both"/>
        <w:rPr>
          <w:rFonts w:ascii="Source Sans Pro" w:hAnsi="Source Sans Pro"/>
          <w:sz w:val="16"/>
          <w:szCs w:val="16"/>
        </w:rPr>
      </w:pPr>
      <w:r w:rsidRPr="00D829F0">
        <w:rPr>
          <w:rFonts w:ascii="Source Sans Pro" w:hAnsi="Source Sans Pro"/>
          <w:sz w:val="16"/>
          <w:szCs w:val="16"/>
        </w:rPr>
        <w:t xml:space="preserve">Avots: </w:t>
      </w:r>
      <w:r w:rsidRPr="00D829F0">
        <w:rPr>
          <w:rFonts w:ascii="Source Sans Pro" w:hAnsi="Source Sans Pro"/>
          <w:i/>
          <w:sz w:val="16"/>
          <w:szCs w:val="16"/>
        </w:rPr>
        <w:t>Eurostat</w:t>
      </w:r>
    </w:p>
    <w:p w14:paraId="2E997005" w14:textId="77777777" w:rsidR="00875788" w:rsidRPr="00D829F0" w:rsidRDefault="00875788" w:rsidP="00875788">
      <w:pPr>
        <w:spacing w:after="120"/>
        <w:jc w:val="both"/>
        <w:rPr>
          <w:rFonts w:ascii="Source Sans Pro" w:hAnsi="Source Sans Pro"/>
        </w:rPr>
      </w:pPr>
    </w:p>
    <w:p w14:paraId="6C1CEAE0" w14:textId="15A5FEF0" w:rsidR="00AD141B" w:rsidRPr="00D829F0" w:rsidRDefault="00E8229D" w:rsidP="00875788">
      <w:pPr>
        <w:spacing w:after="120"/>
        <w:jc w:val="both"/>
        <w:rPr>
          <w:rFonts w:ascii="Source Sans Pro" w:hAnsi="Source Sans Pro"/>
        </w:rPr>
      </w:pPr>
      <w:bookmarkStart w:id="16" w:name="_Hlk99651730"/>
      <w:r w:rsidRPr="00D829F0">
        <w:rPr>
          <w:rFonts w:ascii="Source Sans Pro" w:hAnsi="Source Sans Pro"/>
        </w:rPr>
        <w:t>Iedzīvotāju aktīvāka iesaiste darba tirgū 2025.</w:t>
      </w:r>
      <w:r w:rsidR="00772979">
        <w:rPr>
          <w:rFonts w:ascii="Source Sans Pro" w:hAnsi="Source Sans Pro"/>
        </w:rPr>
        <w:t> </w:t>
      </w:r>
      <w:r w:rsidRPr="00D829F0">
        <w:rPr>
          <w:rFonts w:ascii="Source Sans Pro" w:hAnsi="Source Sans Pro"/>
        </w:rPr>
        <w:t>gadā palielināja darbaspēka piedāvājumu, kavēj</w:t>
      </w:r>
      <w:r w:rsidR="00772979">
        <w:rPr>
          <w:rFonts w:ascii="Source Sans Pro" w:hAnsi="Source Sans Pro"/>
        </w:rPr>
        <w:t>ot</w:t>
      </w:r>
      <w:r w:rsidRPr="00D829F0">
        <w:rPr>
          <w:rFonts w:ascii="Source Sans Pro" w:hAnsi="Source Sans Pro"/>
        </w:rPr>
        <w:t xml:space="preserve"> bezdarba līmeņa samazināšanos, jo pieauga arī darba meklētāju skaits</w:t>
      </w:r>
      <w:r w:rsidR="00CA1EA3" w:rsidRPr="00D829F0">
        <w:rPr>
          <w:rFonts w:ascii="Source Sans Pro" w:hAnsi="Source Sans Pro"/>
        </w:rPr>
        <w:t>. Bezdarba līmenis 2025.</w:t>
      </w:r>
      <w:r w:rsidR="00772979">
        <w:rPr>
          <w:rFonts w:ascii="Source Sans Pro" w:hAnsi="Source Sans Pro"/>
        </w:rPr>
        <w:t> </w:t>
      </w:r>
      <w:r w:rsidR="00CA1EA3" w:rsidRPr="00D829F0">
        <w:rPr>
          <w:rFonts w:ascii="Source Sans Pro" w:hAnsi="Source Sans Pro"/>
        </w:rPr>
        <w:t xml:space="preserve">gadā vidēji bija 6,9%, </w:t>
      </w:r>
      <w:r w:rsidR="00CA1EA3" w:rsidRPr="00D829F0">
        <w:rPr>
          <w:rFonts w:ascii="Source Sans Pro" w:hAnsi="Source Sans Pro"/>
        </w:rPr>
        <w:lastRenderedPageBreak/>
        <w:t>saglabājoties 2024.</w:t>
      </w:r>
      <w:r w:rsidR="00772979">
        <w:rPr>
          <w:rFonts w:ascii="Source Sans Pro" w:hAnsi="Source Sans Pro"/>
        </w:rPr>
        <w:t> </w:t>
      </w:r>
      <w:r w:rsidR="00CA1EA3" w:rsidRPr="00D829F0">
        <w:rPr>
          <w:rFonts w:ascii="Source Sans Pro" w:hAnsi="Source Sans Pro"/>
        </w:rPr>
        <w:t>gada līmenī un par 0,4 procentpunktiem pārsniedzot 2023.</w:t>
      </w:r>
      <w:r w:rsidR="00772979">
        <w:rPr>
          <w:rFonts w:ascii="Source Sans Pro" w:hAnsi="Source Sans Pro"/>
        </w:rPr>
        <w:t> </w:t>
      </w:r>
      <w:r w:rsidR="00CA1EA3" w:rsidRPr="00D829F0">
        <w:rPr>
          <w:rFonts w:ascii="Source Sans Pro" w:hAnsi="Source Sans Pro"/>
        </w:rPr>
        <w:t>gada rādītāju. Kopumā 2025.</w:t>
      </w:r>
      <w:r w:rsidR="00772979">
        <w:rPr>
          <w:rFonts w:ascii="Source Sans Pro" w:hAnsi="Source Sans Pro"/>
        </w:rPr>
        <w:t> </w:t>
      </w:r>
      <w:r w:rsidR="00CA1EA3" w:rsidRPr="00D829F0">
        <w:rPr>
          <w:rFonts w:ascii="Source Sans Pro" w:hAnsi="Source Sans Pro"/>
        </w:rPr>
        <w:t>gadā bezdarbnieku skaits sasniedza 65,8</w:t>
      </w:r>
      <w:r w:rsidR="00CF613F">
        <w:rPr>
          <w:rFonts w:ascii="Source Sans Pro" w:hAnsi="Source Sans Pro"/>
        </w:rPr>
        <w:t> </w:t>
      </w:r>
      <w:r w:rsidR="00CA1EA3" w:rsidRPr="00D829F0">
        <w:rPr>
          <w:rFonts w:ascii="Source Sans Pro" w:hAnsi="Source Sans Pro"/>
        </w:rPr>
        <w:t>tūkst., kas bija par 0,5</w:t>
      </w:r>
      <w:r w:rsidR="00CF613F">
        <w:rPr>
          <w:rFonts w:ascii="Source Sans Pro" w:hAnsi="Source Sans Pro"/>
        </w:rPr>
        <w:t> </w:t>
      </w:r>
      <w:r w:rsidR="00CA1EA3" w:rsidRPr="00D829F0">
        <w:rPr>
          <w:rFonts w:ascii="Source Sans Pro" w:hAnsi="Source Sans Pro"/>
        </w:rPr>
        <w:t>tūkst. vairāk nekā gadu iepriekš. Neraugoties uz nelielo pieaugumu, bezdarb</w:t>
      </w:r>
      <w:r w:rsidR="00D14746" w:rsidRPr="00D829F0">
        <w:rPr>
          <w:rFonts w:ascii="Source Sans Pro" w:hAnsi="Source Sans Pro"/>
        </w:rPr>
        <w:t xml:space="preserve">s </w:t>
      </w:r>
      <w:r w:rsidR="00CA1EA3" w:rsidRPr="00D829F0">
        <w:rPr>
          <w:rFonts w:ascii="Source Sans Pro" w:hAnsi="Source Sans Pro"/>
        </w:rPr>
        <w:t>saglabājās</w:t>
      </w:r>
      <w:r w:rsidR="00D14746" w:rsidRPr="00D829F0">
        <w:rPr>
          <w:rFonts w:ascii="Source Sans Pro" w:hAnsi="Source Sans Pro"/>
        </w:rPr>
        <w:t xml:space="preserve"> tuvu pēdējo trīs gadu līmenim un joprojām bija</w:t>
      </w:r>
      <w:r w:rsidR="001D464E" w:rsidRPr="00D829F0">
        <w:rPr>
          <w:rFonts w:ascii="Source Sans Pro" w:hAnsi="Source Sans Pro"/>
        </w:rPr>
        <w:t xml:space="preserve"> salīdzinoši</w:t>
      </w:r>
      <w:r w:rsidR="00CA1EA3" w:rsidRPr="00D829F0">
        <w:rPr>
          <w:rFonts w:ascii="Source Sans Pro" w:hAnsi="Source Sans Pro"/>
        </w:rPr>
        <w:t xml:space="preserve"> ze</w:t>
      </w:r>
      <w:r w:rsidR="00D14746" w:rsidRPr="00D829F0">
        <w:rPr>
          <w:rFonts w:ascii="Source Sans Pro" w:hAnsi="Source Sans Pro"/>
        </w:rPr>
        <w:t xml:space="preserve">ms </w:t>
      </w:r>
      <w:r w:rsidR="00CA1EA3" w:rsidRPr="00D829F0">
        <w:rPr>
          <w:rFonts w:ascii="Source Sans Pro" w:hAnsi="Source Sans Pro"/>
        </w:rPr>
        <w:t>- salīdzinājumā ar 2010.</w:t>
      </w:r>
      <w:r w:rsidR="00D20A1F">
        <w:rPr>
          <w:rFonts w:ascii="Source Sans Pro" w:hAnsi="Source Sans Pro"/>
        </w:rPr>
        <w:t> </w:t>
      </w:r>
      <w:r w:rsidR="00CA1EA3" w:rsidRPr="00D829F0">
        <w:rPr>
          <w:rFonts w:ascii="Source Sans Pro" w:hAnsi="Source Sans Pro"/>
        </w:rPr>
        <w:t>gadu bezdarba līmenis bija par 12,6 procentpunktiem zemāks.</w:t>
      </w:r>
    </w:p>
    <w:bookmarkEnd w:id="16"/>
    <w:p w14:paraId="6220A1C3" w14:textId="418EF7D6" w:rsidR="00875788" w:rsidRPr="00D829F0" w:rsidRDefault="00875788" w:rsidP="00875788">
      <w:pPr>
        <w:spacing w:after="120"/>
        <w:jc w:val="right"/>
        <w:rPr>
          <w:rFonts w:ascii="Source Sans Pro" w:hAnsi="Source Sans Pro"/>
          <w:szCs w:val="20"/>
        </w:rPr>
      </w:pPr>
      <w:r w:rsidRPr="00D829F0">
        <w:rPr>
          <w:rFonts w:ascii="Source Sans Pro" w:hAnsi="Source Sans Pro"/>
          <w:szCs w:val="20"/>
        </w:rPr>
        <w:t>1.</w:t>
      </w:r>
      <w:r w:rsidR="00AD141B" w:rsidRPr="00D829F0">
        <w:rPr>
          <w:rFonts w:ascii="Source Sans Pro" w:hAnsi="Source Sans Pro"/>
          <w:szCs w:val="20"/>
        </w:rPr>
        <w:t>7</w:t>
      </w:r>
      <w:r w:rsidRPr="00D829F0">
        <w:rPr>
          <w:rFonts w:ascii="Source Sans Pro" w:hAnsi="Source Sans Pro"/>
          <w:szCs w:val="20"/>
        </w:rPr>
        <w:t>. attēls</w:t>
      </w:r>
    </w:p>
    <w:p w14:paraId="18EA9E25" w14:textId="77777777" w:rsidR="00875788" w:rsidRPr="001538BB" w:rsidRDefault="00875788" w:rsidP="00875788">
      <w:pPr>
        <w:tabs>
          <w:tab w:val="center" w:pos="2268"/>
          <w:tab w:val="center" w:pos="6804"/>
        </w:tabs>
        <w:spacing w:after="120"/>
        <w:rPr>
          <w:rFonts w:ascii="Segoe UI Light" w:eastAsia="Times New Roman" w:hAnsi="Segoe UI Light"/>
          <w:i/>
          <w:sz w:val="16"/>
          <w:szCs w:val="20"/>
          <w:lang w:eastAsia="lv-LV"/>
        </w:rPr>
      </w:pPr>
      <w:r w:rsidRPr="001538BB">
        <w:rPr>
          <w:rFonts w:ascii="Segoe UI Light" w:hAnsi="Segoe UI Light"/>
          <w:b/>
          <w:sz w:val="18"/>
          <w:szCs w:val="26"/>
        </w:rPr>
        <w:tab/>
        <w:t>Bezdarba līmenis</w:t>
      </w:r>
      <w:r w:rsidRPr="001538BB">
        <w:rPr>
          <w:rFonts w:ascii="Segoe UI Light" w:eastAsia="Times New Roman" w:hAnsi="Segoe UI Light"/>
          <w:sz w:val="16"/>
          <w:szCs w:val="20"/>
          <w:lang w:eastAsia="lv-LV"/>
        </w:rPr>
        <w:tab/>
      </w:r>
      <w:r w:rsidRPr="001538BB">
        <w:rPr>
          <w:rFonts w:ascii="Segoe UI Light" w:hAnsi="Segoe UI Light"/>
          <w:b/>
          <w:sz w:val="18"/>
          <w:szCs w:val="26"/>
        </w:rPr>
        <w:t>Bezdarbs un to ietekmējošiem faktori</w:t>
      </w:r>
      <w:r w:rsidRPr="001538BB">
        <w:rPr>
          <w:rFonts w:ascii="Segoe UI Light" w:hAnsi="Segoe UI Light"/>
          <w:b/>
          <w:sz w:val="18"/>
          <w:szCs w:val="26"/>
        </w:rPr>
        <w:br/>
      </w:r>
      <w:r w:rsidRPr="001538BB">
        <w:rPr>
          <w:rFonts w:ascii="Segoe UI Light" w:eastAsia="Times New Roman" w:hAnsi="Segoe UI Light"/>
          <w:bCs/>
          <w:i/>
          <w:color w:val="000000"/>
          <w:sz w:val="16"/>
        </w:rPr>
        <w:tab/>
        <w:t>procentos</w:t>
      </w:r>
      <w:r w:rsidRPr="001538BB">
        <w:rPr>
          <w:rFonts w:ascii="Segoe UI Light" w:eastAsia="Times New Roman" w:hAnsi="Segoe UI Light"/>
          <w:i/>
          <w:color w:val="000000"/>
          <w:sz w:val="16"/>
        </w:rPr>
        <w:tab/>
      </w:r>
      <w:r w:rsidRPr="001538BB">
        <w:rPr>
          <w:rFonts w:ascii="Segoe UI Light" w:eastAsia="Times New Roman" w:hAnsi="Segoe UI Light"/>
          <w:bCs/>
          <w:i/>
          <w:color w:val="000000"/>
          <w:sz w:val="16"/>
        </w:rPr>
        <w:t>izmaiņas tūkstošos pret iepriekšējo periodu</w:t>
      </w:r>
    </w:p>
    <w:p w14:paraId="7BC19EEB" w14:textId="11BF3632" w:rsidR="00875788" w:rsidRPr="001538BB" w:rsidRDefault="00AA68ED" w:rsidP="00875788">
      <w:pPr>
        <w:tabs>
          <w:tab w:val="left" w:pos="4128"/>
        </w:tabs>
        <w:spacing w:after="120"/>
        <w:ind w:left="113"/>
        <w:jc w:val="right"/>
        <w:rPr>
          <w:rFonts w:ascii="Segoe UI Light" w:hAnsi="Segoe UI Light" w:cs="Segoe UI"/>
          <w:sz w:val="18"/>
          <w:szCs w:val="18"/>
        </w:rPr>
      </w:pPr>
      <w:r w:rsidRPr="00D829F0">
        <w:rPr>
          <w:rFonts w:ascii="Source Sans Pro" w:hAnsi="Source Sans Pro"/>
          <w:noProof/>
        </w:rPr>
        <w:drawing>
          <wp:inline distT="0" distB="0" distL="0" distR="0" wp14:anchorId="5518A8BD" wp14:editId="711B6FFC">
            <wp:extent cx="2829010" cy="2264403"/>
            <wp:effectExtent l="0" t="0" r="0" b="0"/>
            <wp:docPr id="642085803" name="Chart 642085803">
              <a:extLst xmlns:a="http://schemas.openxmlformats.org/drawingml/2006/main">
                <a:ext uri="{FF2B5EF4-FFF2-40B4-BE49-F238E27FC236}">
                  <a16:creationId xmlns:a16="http://schemas.microsoft.com/office/drawing/2014/main" id="{69DBB1EF-2109-4AAA-882A-581C1C1089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1538BB" w:rsidRPr="00D829F0">
        <w:rPr>
          <w:rFonts w:ascii="Source Sans Pro" w:hAnsi="Source Sans Pro"/>
          <w:noProof/>
        </w:rPr>
        <w:drawing>
          <wp:inline distT="0" distB="0" distL="0" distR="0" wp14:anchorId="2011FFB1" wp14:editId="0E60C382">
            <wp:extent cx="2818584" cy="2075180"/>
            <wp:effectExtent l="0" t="0" r="1270" b="1270"/>
            <wp:docPr id="1032565153" name="Chart 1032565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DFAA763" w14:textId="77777777" w:rsidR="00875788" w:rsidRPr="00D829F0" w:rsidRDefault="00875788" w:rsidP="00875788">
      <w:pPr>
        <w:spacing w:after="120"/>
        <w:jc w:val="both"/>
        <w:rPr>
          <w:rFonts w:ascii="Source Sans Pro" w:hAnsi="Source Sans Pro"/>
          <w:sz w:val="16"/>
          <w:szCs w:val="16"/>
        </w:rPr>
      </w:pPr>
      <w:r w:rsidRPr="00D829F0">
        <w:rPr>
          <w:rFonts w:ascii="Source Sans Pro" w:hAnsi="Source Sans Pro"/>
          <w:sz w:val="16"/>
          <w:szCs w:val="16"/>
        </w:rPr>
        <w:t>Avots: CSP</w:t>
      </w:r>
    </w:p>
    <w:p w14:paraId="23F47149" w14:textId="77777777" w:rsidR="00875788" w:rsidRPr="00D829F0" w:rsidRDefault="00875788" w:rsidP="00875788">
      <w:pPr>
        <w:spacing w:after="120"/>
        <w:jc w:val="both"/>
        <w:rPr>
          <w:rFonts w:ascii="Source Sans Pro" w:hAnsi="Source Sans Pro"/>
        </w:rPr>
      </w:pPr>
    </w:p>
    <w:p w14:paraId="73AABBB5" w14:textId="3EC07816" w:rsidR="00875788" w:rsidRPr="00D829F0" w:rsidRDefault="00B70B7F" w:rsidP="00875788">
      <w:pPr>
        <w:spacing w:after="120"/>
        <w:jc w:val="both"/>
        <w:rPr>
          <w:rFonts w:ascii="Source Sans Pro" w:hAnsi="Source Sans Pro"/>
        </w:rPr>
      </w:pPr>
      <w:r w:rsidRPr="00D829F0">
        <w:rPr>
          <w:rFonts w:ascii="Source Sans Pro" w:hAnsi="Source Sans Pro"/>
        </w:rPr>
        <w:t>2025.</w:t>
      </w:r>
      <w:r w:rsidR="00D20A1F">
        <w:rPr>
          <w:rFonts w:ascii="Source Sans Pro" w:hAnsi="Source Sans Pro"/>
        </w:rPr>
        <w:t> </w:t>
      </w:r>
      <w:r w:rsidRPr="00D829F0">
        <w:rPr>
          <w:rFonts w:ascii="Source Sans Pro" w:hAnsi="Source Sans Pro"/>
        </w:rPr>
        <w:t xml:space="preserve">gadā vidējais bezdarba līmenis ES dalībvalstīs bija 5,8%. </w:t>
      </w:r>
      <w:r w:rsidR="00D20A1F">
        <w:rPr>
          <w:rFonts w:ascii="Source Sans Pro" w:hAnsi="Source Sans Pro"/>
        </w:rPr>
        <w:t>Lai arī s</w:t>
      </w:r>
      <w:r w:rsidRPr="00D829F0">
        <w:rPr>
          <w:rFonts w:ascii="Source Sans Pro" w:hAnsi="Source Sans Pro"/>
        </w:rPr>
        <w:t>alīdzinot ar 2010.</w:t>
      </w:r>
      <w:r w:rsidR="00D20A1F">
        <w:rPr>
          <w:rFonts w:ascii="Source Sans Pro" w:hAnsi="Source Sans Pro"/>
        </w:rPr>
        <w:t> </w:t>
      </w:r>
      <w:r w:rsidRPr="00D829F0">
        <w:rPr>
          <w:rFonts w:ascii="Source Sans Pro" w:hAnsi="Source Sans Pro"/>
        </w:rPr>
        <w:t>gadu, bezdarba līmenis strauji samazinājās visās trīs Baltijas valstīs, tomēr 2025.</w:t>
      </w:r>
      <w:r w:rsidR="00D20A1F">
        <w:rPr>
          <w:rFonts w:ascii="Source Sans Pro" w:hAnsi="Source Sans Pro"/>
        </w:rPr>
        <w:t> </w:t>
      </w:r>
      <w:r w:rsidRPr="00D829F0">
        <w:rPr>
          <w:rFonts w:ascii="Source Sans Pro" w:hAnsi="Source Sans Pro"/>
        </w:rPr>
        <w:t xml:space="preserve">gadā </w:t>
      </w:r>
      <w:r w:rsidR="00D20A1F">
        <w:rPr>
          <w:rFonts w:ascii="Source Sans Pro" w:hAnsi="Source Sans Pro"/>
        </w:rPr>
        <w:t>tas</w:t>
      </w:r>
      <w:r w:rsidRPr="00D829F0">
        <w:rPr>
          <w:rFonts w:ascii="Source Sans Pro" w:hAnsi="Source Sans Pro"/>
        </w:rPr>
        <w:t xml:space="preserve"> joprojām bija augstāks nekā vidēji ES.</w:t>
      </w:r>
    </w:p>
    <w:p w14:paraId="4E1BEE87" w14:textId="7666F77A" w:rsidR="00875788" w:rsidRPr="00D829F0" w:rsidRDefault="00875788" w:rsidP="00875788">
      <w:pPr>
        <w:spacing w:after="120"/>
        <w:jc w:val="right"/>
        <w:rPr>
          <w:rFonts w:ascii="Source Sans Pro" w:hAnsi="Source Sans Pro"/>
          <w:szCs w:val="20"/>
        </w:rPr>
      </w:pPr>
      <w:r w:rsidRPr="00D829F0">
        <w:rPr>
          <w:rFonts w:ascii="Source Sans Pro" w:hAnsi="Source Sans Pro"/>
          <w:szCs w:val="20"/>
        </w:rPr>
        <w:t>1.</w:t>
      </w:r>
      <w:r w:rsidR="00AD141B" w:rsidRPr="00D829F0">
        <w:rPr>
          <w:rFonts w:ascii="Source Sans Pro" w:hAnsi="Source Sans Pro"/>
          <w:szCs w:val="20"/>
        </w:rPr>
        <w:t>8</w:t>
      </w:r>
      <w:r w:rsidRPr="00D829F0">
        <w:rPr>
          <w:rFonts w:ascii="Source Sans Pro" w:hAnsi="Source Sans Pro"/>
          <w:szCs w:val="20"/>
        </w:rPr>
        <w:t>. attēls</w:t>
      </w:r>
    </w:p>
    <w:p w14:paraId="209A9586" w14:textId="77777777" w:rsidR="00875788" w:rsidRPr="00FB0603" w:rsidRDefault="00875788" w:rsidP="00875788">
      <w:pPr>
        <w:spacing w:after="120"/>
        <w:jc w:val="center"/>
        <w:rPr>
          <w:rFonts w:ascii="Segoe UI Light" w:hAnsi="Segoe UI Light"/>
          <w:i/>
          <w:sz w:val="16"/>
          <w:szCs w:val="24"/>
        </w:rPr>
      </w:pPr>
      <w:r w:rsidRPr="00FB0603">
        <w:rPr>
          <w:rFonts w:ascii="Segoe UI Light" w:hAnsi="Segoe UI Light"/>
          <w:b/>
          <w:sz w:val="18"/>
          <w:szCs w:val="26"/>
        </w:rPr>
        <w:t xml:space="preserve">Bezdarba līmenis ES valstīs </w:t>
      </w:r>
      <w:r w:rsidRPr="00FB0603">
        <w:rPr>
          <w:rFonts w:ascii="Segoe UI Light" w:hAnsi="Segoe UI Light"/>
          <w:b/>
          <w:sz w:val="18"/>
          <w:szCs w:val="26"/>
        </w:rPr>
        <w:br/>
      </w:r>
      <w:r w:rsidRPr="00FB0603">
        <w:rPr>
          <w:rFonts w:ascii="Segoe UI Light" w:hAnsi="Segoe UI Light"/>
          <w:i/>
          <w:sz w:val="16"/>
          <w:szCs w:val="24"/>
        </w:rPr>
        <w:t>procentos</w:t>
      </w:r>
    </w:p>
    <w:p w14:paraId="6566FF68" w14:textId="5EFBABEF" w:rsidR="00875788" w:rsidRPr="00D829F0" w:rsidRDefault="00FB0603" w:rsidP="00875788">
      <w:pPr>
        <w:spacing w:after="120"/>
        <w:jc w:val="center"/>
        <w:rPr>
          <w:rFonts w:ascii="Source Sans Pro" w:hAnsi="Source Sans Pro"/>
        </w:rPr>
      </w:pPr>
      <w:r w:rsidRPr="00D829F0">
        <w:rPr>
          <w:rFonts w:ascii="Source Sans Pro" w:hAnsi="Source Sans Pro"/>
          <w:noProof/>
        </w:rPr>
        <w:drawing>
          <wp:inline distT="0" distB="0" distL="0" distR="0" wp14:anchorId="0C473D0C" wp14:editId="23FD9C79">
            <wp:extent cx="5759450" cy="2159000"/>
            <wp:effectExtent l="0" t="0" r="0" b="0"/>
            <wp:docPr id="391426756" name="Chart 3914267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612ECB" w14:textId="77777777" w:rsidR="00875788" w:rsidRPr="00D829F0" w:rsidRDefault="00875788" w:rsidP="00875788">
      <w:pPr>
        <w:spacing w:after="120"/>
        <w:jc w:val="both"/>
        <w:rPr>
          <w:rFonts w:ascii="Source Sans Pro" w:hAnsi="Source Sans Pro"/>
          <w:sz w:val="16"/>
          <w:szCs w:val="16"/>
        </w:rPr>
      </w:pPr>
      <w:r w:rsidRPr="00D829F0">
        <w:rPr>
          <w:rFonts w:ascii="Source Sans Pro" w:hAnsi="Source Sans Pro"/>
          <w:sz w:val="16"/>
          <w:szCs w:val="16"/>
        </w:rPr>
        <w:t xml:space="preserve">Avots: </w:t>
      </w:r>
      <w:r w:rsidRPr="00D829F0">
        <w:rPr>
          <w:rFonts w:ascii="Source Sans Pro" w:hAnsi="Source Sans Pro"/>
          <w:i/>
          <w:sz w:val="16"/>
          <w:szCs w:val="16"/>
        </w:rPr>
        <w:t>Eurostat</w:t>
      </w:r>
    </w:p>
    <w:p w14:paraId="001A297E" w14:textId="77777777" w:rsidR="00AD141B" w:rsidRPr="00D829F0" w:rsidRDefault="00AD141B" w:rsidP="00AD141B">
      <w:pPr>
        <w:spacing w:after="120"/>
        <w:jc w:val="both"/>
        <w:rPr>
          <w:rFonts w:ascii="Source Sans Pro" w:hAnsi="Source Sans Pro"/>
        </w:rPr>
      </w:pPr>
    </w:p>
    <w:p w14:paraId="0853E35C" w14:textId="77777777" w:rsidR="00E46495" w:rsidRDefault="00E46495">
      <w:pPr>
        <w:spacing w:after="0"/>
        <w:rPr>
          <w:rFonts w:ascii="Source Sans Pro" w:hAnsi="Source Sans Pro"/>
          <w:szCs w:val="20"/>
        </w:rPr>
      </w:pPr>
      <w:r>
        <w:rPr>
          <w:rFonts w:ascii="Source Sans Pro" w:hAnsi="Source Sans Pro"/>
          <w:szCs w:val="20"/>
        </w:rPr>
        <w:br w:type="page"/>
      </w:r>
    </w:p>
    <w:p w14:paraId="4BE04EC2" w14:textId="0C1C17C4" w:rsidR="00AC79F6" w:rsidRPr="00D829F0" w:rsidRDefault="00FB6B3E" w:rsidP="00AD141B">
      <w:pPr>
        <w:spacing w:after="120"/>
        <w:jc w:val="both"/>
        <w:rPr>
          <w:rFonts w:ascii="Source Sans Pro" w:hAnsi="Source Sans Pro"/>
          <w:szCs w:val="20"/>
        </w:rPr>
      </w:pPr>
      <w:r w:rsidRPr="00D829F0">
        <w:rPr>
          <w:rFonts w:ascii="Source Sans Pro" w:hAnsi="Source Sans Pro"/>
          <w:szCs w:val="20"/>
        </w:rPr>
        <w:lastRenderedPageBreak/>
        <w:t>Neraugoties</w:t>
      </w:r>
      <w:r w:rsidR="00B744F2" w:rsidRPr="00D829F0">
        <w:rPr>
          <w:rFonts w:ascii="Source Sans Pro" w:hAnsi="Source Sans Pro"/>
          <w:szCs w:val="20"/>
        </w:rPr>
        <w:t xml:space="preserve"> uz to, ka ilgākā period</w:t>
      </w:r>
      <w:r w:rsidR="00C95A2C">
        <w:rPr>
          <w:rFonts w:ascii="Source Sans Pro" w:hAnsi="Source Sans Pro"/>
          <w:szCs w:val="20"/>
        </w:rPr>
        <w:t>ā</w:t>
      </w:r>
      <w:r w:rsidR="00B744F2" w:rsidRPr="00D829F0">
        <w:rPr>
          <w:rFonts w:ascii="Source Sans Pro" w:hAnsi="Source Sans Pro"/>
          <w:szCs w:val="20"/>
        </w:rPr>
        <w:t xml:space="preserve"> bezdarba līmenim bij</w:t>
      </w:r>
      <w:r w:rsidR="00C95A2C">
        <w:rPr>
          <w:rFonts w:ascii="Source Sans Pro" w:hAnsi="Source Sans Pro"/>
          <w:szCs w:val="20"/>
        </w:rPr>
        <w:t>a</w:t>
      </w:r>
      <w:r w:rsidR="00B744F2" w:rsidRPr="00D829F0">
        <w:rPr>
          <w:rFonts w:ascii="Source Sans Pro" w:hAnsi="Source Sans Pro"/>
          <w:szCs w:val="20"/>
        </w:rPr>
        <w:t xml:space="preserve"> tendence</w:t>
      </w:r>
      <w:r w:rsidR="00C95A2C" w:rsidRPr="00D829F0">
        <w:rPr>
          <w:rFonts w:ascii="Source Sans Pro" w:hAnsi="Source Sans Pro"/>
          <w:szCs w:val="20"/>
        </w:rPr>
        <w:t xml:space="preserve"> </w:t>
      </w:r>
      <w:r w:rsidR="00B744F2" w:rsidRPr="00D829F0">
        <w:rPr>
          <w:rFonts w:ascii="Source Sans Pro" w:hAnsi="Source Sans Pro"/>
          <w:szCs w:val="20"/>
        </w:rPr>
        <w:t>samazinā</w:t>
      </w:r>
      <w:r w:rsidR="00C95A2C">
        <w:rPr>
          <w:rFonts w:ascii="Source Sans Pro" w:hAnsi="Source Sans Pro"/>
          <w:szCs w:val="20"/>
        </w:rPr>
        <w:t>ties</w:t>
      </w:r>
      <w:r w:rsidR="00B744F2" w:rsidRPr="00D829F0">
        <w:rPr>
          <w:rFonts w:ascii="Source Sans Pro" w:hAnsi="Source Sans Pro"/>
          <w:szCs w:val="20"/>
        </w:rPr>
        <w:t xml:space="preserve">, saglabājas risks, ka daļai no esošiem bezdarbniekiem varētu būt </w:t>
      </w:r>
      <w:r w:rsidR="00C95A2C">
        <w:rPr>
          <w:rFonts w:ascii="Source Sans Pro" w:hAnsi="Source Sans Pro"/>
          <w:szCs w:val="20"/>
        </w:rPr>
        <w:t>grūtības</w:t>
      </w:r>
      <w:r w:rsidR="00B744F2" w:rsidRPr="00D829F0">
        <w:rPr>
          <w:rFonts w:ascii="Source Sans Pro" w:hAnsi="Source Sans Pro"/>
          <w:szCs w:val="20"/>
        </w:rPr>
        <w:t xml:space="preserve"> atrast </w:t>
      </w:r>
      <w:r w:rsidR="00455EB9" w:rsidRPr="00D829F0">
        <w:rPr>
          <w:rFonts w:ascii="Source Sans Pro" w:hAnsi="Source Sans Pro"/>
          <w:szCs w:val="20"/>
        </w:rPr>
        <w:t>darbu</w:t>
      </w:r>
      <w:r w:rsidR="00455EB9">
        <w:rPr>
          <w:rFonts w:ascii="Source Sans Pro" w:hAnsi="Source Sans Pro"/>
          <w:szCs w:val="20"/>
        </w:rPr>
        <w:t>, kas</w:t>
      </w:r>
      <w:r w:rsidR="00455EB9" w:rsidRPr="00D829F0">
        <w:rPr>
          <w:rFonts w:ascii="Source Sans Pro" w:hAnsi="Source Sans Pro"/>
          <w:szCs w:val="20"/>
        </w:rPr>
        <w:t xml:space="preserve"> atbilst </w:t>
      </w:r>
      <w:r w:rsidR="00455EB9">
        <w:rPr>
          <w:rFonts w:ascii="Source Sans Pro" w:hAnsi="Source Sans Pro"/>
          <w:szCs w:val="20"/>
        </w:rPr>
        <w:t>viņu</w:t>
      </w:r>
      <w:r w:rsidR="00B744F2" w:rsidRPr="00D829F0">
        <w:rPr>
          <w:rFonts w:ascii="Source Sans Pro" w:hAnsi="Source Sans Pro"/>
          <w:szCs w:val="20"/>
        </w:rPr>
        <w:t xml:space="preserve"> prasmēm</w:t>
      </w:r>
      <w:r w:rsidR="00455EB9">
        <w:rPr>
          <w:rFonts w:ascii="Source Sans Pro" w:hAnsi="Source Sans Pro"/>
          <w:szCs w:val="20"/>
        </w:rPr>
        <w:t>. Tas saistīts ar to, ka</w:t>
      </w:r>
      <w:r w:rsidR="00B744F2" w:rsidRPr="00D829F0">
        <w:rPr>
          <w:rFonts w:ascii="Source Sans Pro" w:hAnsi="Source Sans Pro"/>
          <w:szCs w:val="20"/>
        </w:rPr>
        <w:t xml:space="preserve"> pilnīga atgūšanās nozarēs, kurās iepriekšējos gados zaudēts visvairāk darba vietu, varētu būt ilgstoša, bet nozarēs, kurās veidojas jaunas darba iespējas, iepriekš apgūtās prasmes var nebūt pieprasītas. </w:t>
      </w:r>
      <w:r w:rsidR="00296DF4" w:rsidRPr="00D829F0">
        <w:rPr>
          <w:rFonts w:ascii="Source Sans Pro" w:hAnsi="Source Sans Pro"/>
          <w:szCs w:val="20"/>
        </w:rPr>
        <w:t xml:space="preserve">Turklāt tehnoloģiju attīstība un darba procesu automatizācija šo problēmu var pastiprināt, jo nozarēs un profesijās, kur veidojas jaunas darba iespējas, arvien biežāk nepieciešamas citas vai augstāka līmeņa prasmes nekā tās, kas </w:t>
      </w:r>
      <w:r w:rsidR="00455EB9" w:rsidRPr="00D829F0">
        <w:rPr>
          <w:rFonts w:ascii="Source Sans Pro" w:hAnsi="Source Sans Pro"/>
          <w:szCs w:val="20"/>
        </w:rPr>
        <w:t xml:space="preserve">apgūtas </w:t>
      </w:r>
      <w:r w:rsidR="00296DF4" w:rsidRPr="00D829F0">
        <w:rPr>
          <w:rFonts w:ascii="Source Sans Pro" w:hAnsi="Source Sans Pro"/>
          <w:szCs w:val="20"/>
        </w:rPr>
        <w:t>iepriekš</w:t>
      </w:r>
      <w:r w:rsidR="00CA0D99" w:rsidRPr="00D829F0">
        <w:rPr>
          <w:rFonts w:ascii="Source Sans Pro" w:hAnsi="Source Sans Pro"/>
          <w:szCs w:val="20"/>
        </w:rPr>
        <w:t>.</w:t>
      </w:r>
    </w:p>
    <w:p w14:paraId="4C5A801C" w14:textId="4D831392" w:rsidR="00AD141B" w:rsidRPr="00D829F0" w:rsidRDefault="00DC077F" w:rsidP="00AD141B">
      <w:pPr>
        <w:spacing w:after="120"/>
        <w:jc w:val="both"/>
        <w:rPr>
          <w:rFonts w:ascii="Source Sans Pro" w:hAnsi="Source Sans Pro"/>
          <w:szCs w:val="20"/>
        </w:rPr>
      </w:pPr>
      <w:r w:rsidRPr="00D829F0">
        <w:rPr>
          <w:rFonts w:ascii="Source Sans Pro" w:hAnsi="Source Sans Pro"/>
          <w:szCs w:val="20"/>
        </w:rPr>
        <w:t>Strukturālā bezdarba riskus palielina arī ilgstoša atrašanās ārpus nodarbinātības. Jo ilgāk cilvēks ir bez darba, jo lielāks risks zaudēt iepriekšējās darba iemaņas un prasmes, kā arī grūtāk pielāgoties jaunām darba tirgus prasībām. Vienlaikus strukturālās problēmas padziļina darba tirgus reģionālās atšķirības. Lai gan reģionālās disproporcijas pakāpeniski mazinās, šis process ir lēns. Īpaši izteiktas problēmas ilgstoši saglabājas Latgales reģionā, kur bezdarba līmenis joprojām ir gandrīz divreiz augstāks nekā vidēji valstī. Kopā ar zemu darbaspēka ģeogrāfisko mobilitāti tas palielina strukturālā bezdarba riskus</w:t>
      </w:r>
      <w:r w:rsidR="00B744F2" w:rsidRPr="00D829F0">
        <w:rPr>
          <w:rFonts w:ascii="Source Sans Pro" w:hAnsi="Source Sans Pro"/>
          <w:szCs w:val="20"/>
        </w:rPr>
        <w:t>.</w:t>
      </w:r>
    </w:p>
    <w:p w14:paraId="7AC19CF1" w14:textId="1F2AF08D" w:rsidR="00875788" w:rsidRPr="007B6A9E" w:rsidRDefault="00875788" w:rsidP="00F278F0">
      <w:pPr>
        <w:pBdr>
          <w:top w:val="single" w:sz="4" w:space="6" w:color="auto" w:shadow="1"/>
          <w:left w:val="single" w:sz="4" w:space="6" w:color="auto" w:shadow="1"/>
          <w:bottom w:val="single" w:sz="4" w:space="6" w:color="auto" w:shadow="1"/>
          <w:right w:val="single" w:sz="4" w:space="6" w:color="auto" w:shadow="1"/>
        </w:pBdr>
        <w:shd w:val="clear" w:color="auto" w:fill="DCE7EB"/>
        <w:jc w:val="right"/>
        <w:rPr>
          <w:rFonts w:ascii="Segoe UI Light" w:hAnsi="Segoe UI Light"/>
          <w:b/>
          <w:bCs/>
          <w:sz w:val="18"/>
          <w:szCs w:val="18"/>
        </w:rPr>
      </w:pPr>
      <w:r w:rsidRPr="007B6A9E">
        <w:rPr>
          <w:rFonts w:ascii="Segoe UI Light" w:hAnsi="Segoe UI Light"/>
          <w:b/>
          <w:bCs/>
          <w:sz w:val="18"/>
          <w:szCs w:val="18"/>
        </w:rPr>
        <w:t>NVA reģistrētie darba meklētāji un vakances</w:t>
      </w:r>
    </w:p>
    <w:p w14:paraId="1C1109F9" w14:textId="341971FE" w:rsidR="007B6A9E" w:rsidRPr="007B6A9E" w:rsidRDefault="007B6A9E" w:rsidP="00F278F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7B6A9E">
        <w:rPr>
          <w:rFonts w:ascii="Segoe UI Light" w:hAnsi="Segoe UI Light"/>
          <w:sz w:val="16"/>
          <w:szCs w:val="16"/>
        </w:rPr>
        <w:t>Līdz arī kopējā bezdarba samazināšanos, turpina sarukt arī NVA reģistrēto darba meklētāju skaits. Reģistrētais bezdarba līmenis 2026.</w:t>
      </w:r>
      <w:r w:rsidR="0029364B">
        <w:rPr>
          <w:rFonts w:ascii="Segoe UI Light" w:hAnsi="Segoe UI Light"/>
          <w:sz w:val="16"/>
          <w:szCs w:val="16"/>
        </w:rPr>
        <w:t> </w:t>
      </w:r>
      <w:r w:rsidRPr="007B6A9E">
        <w:rPr>
          <w:rFonts w:ascii="Segoe UI Light" w:hAnsi="Segoe UI Light"/>
          <w:sz w:val="16"/>
          <w:szCs w:val="16"/>
        </w:rPr>
        <w:t>gada marta vidū samazinājās līdz 5,0%, savukārt kopējais reģistrēto bezdarbnieku skaits šajā periodā samazinājās līdz 43,9</w:t>
      </w:r>
      <w:r w:rsidR="0029364B">
        <w:rPr>
          <w:rFonts w:ascii="Segoe UI Light" w:hAnsi="Segoe UI Light"/>
          <w:sz w:val="16"/>
          <w:szCs w:val="16"/>
        </w:rPr>
        <w:t> </w:t>
      </w:r>
      <w:r w:rsidRPr="007B6A9E">
        <w:rPr>
          <w:rFonts w:ascii="Segoe UI Light" w:hAnsi="Segoe UI Light"/>
          <w:sz w:val="16"/>
          <w:szCs w:val="16"/>
        </w:rPr>
        <w:t>tūkstošiem.</w:t>
      </w:r>
    </w:p>
    <w:p w14:paraId="54B845A3" w14:textId="7925BA61" w:rsidR="007B6A9E" w:rsidRPr="007B6A9E" w:rsidRDefault="007B6A9E" w:rsidP="00F278F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7B6A9E">
        <w:rPr>
          <w:rFonts w:ascii="Segoe UI Light" w:hAnsi="Segoe UI Light"/>
          <w:sz w:val="16"/>
          <w:szCs w:val="16"/>
        </w:rPr>
        <w:t>Pozitīvas tendences vērojamas arī ilgstošo bezdarbnieku dinamikā. Gan ilgstošo bezdarbnieku skaits, gan arī to īpatsvars attiecībā uz kopējo darba meklētāju skaitu pakāpeniski samazinās. Gada laikā reģistrēto ilgstošo bezdarbnieku skaits samazinājies par vairāk nekā 8% jeb aptuveni 0,6 tūkst., bet, salīdzinot ar pēdējos gados augstāko ilgstošo bezdarbnieku skaitu 2021.</w:t>
      </w:r>
      <w:r w:rsidR="00B41A01">
        <w:rPr>
          <w:rFonts w:ascii="Segoe UI Light" w:hAnsi="Segoe UI Light"/>
          <w:sz w:val="16"/>
          <w:szCs w:val="16"/>
        </w:rPr>
        <w:t> </w:t>
      </w:r>
      <w:r w:rsidRPr="007B6A9E">
        <w:rPr>
          <w:rFonts w:ascii="Segoe UI Light" w:hAnsi="Segoe UI Light"/>
          <w:sz w:val="16"/>
          <w:szCs w:val="16"/>
        </w:rPr>
        <w:t>gada jūnijā, tas samazinājies par 68% jeb aptuveni 15 tūkst., kas kopumā norāda uz arvien izteiktāku darbaspēka rezervju samazināšanos. 2025.</w:t>
      </w:r>
      <w:r w:rsidR="00B41A01">
        <w:t> </w:t>
      </w:r>
      <w:r w:rsidRPr="007B6A9E">
        <w:rPr>
          <w:rFonts w:ascii="Segoe UI Light" w:hAnsi="Segoe UI Light"/>
          <w:sz w:val="16"/>
          <w:szCs w:val="16"/>
        </w:rPr>
        <w:t>gada februāra beigās bez darba ilgāk par vienu gadu bija 6,8 tūkst. reģistrēto darba meklētāju jeb aptuveni 14,9% no visiem reģistrētiem bezdarbniekiem.</w:t>
      </w:r>
    </w:p>
    <w:p w14:paraId="7E8723CA" w14:textId="1EC55FCC" w:rsidR="00875788" w:rsidRPr="00EF7F3C" w:rsidRDefault="007B6A9E" w:rsidP="00F278F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highlight w:val="yellow"/>
        </w:rPr>
      </w:pPr>
      <w:r w:rsidRPr="007B6A9E">
        <w:rPr>
          <w:rFonts w:ascii="Segoe UI Light" w:hAnsi="Segoe UI Light"/>
          <w:sz w:val="16"/>
          <w:szCs w:val="16"/>
        </w:rPr>
        <w:t>Salīdzinoši augstā līmenī saglabājās arī NVA reģistrēto vakanču skaits. Lai gan vakanču skaitam pēdējos gados ir bijusi sarūkoša tendences un kopš 2022.</w:t>
      </w:r>
      <w:r w:rsidR="00B41A01">
        <w:rPr>
          <w:rFonts w:ascii="Segoe UI Light" w:hAnsi="Segoe UI Light"/>
          <w:sz w:val="16"/>
          <w:szCs w:val="16"/>
        </w:rPr>
        <w:t> </w:t>
      </w:r>
      <w:r w:rsidRPr="007B6A9E">
        <w:rPr>
          <w:rFonts w:ascii="Segoe UI Light" w:hAnsi="Segoe UI Light"/>
          <w:sz w:val="16"/>
          <w:szCs w:val="16"/>
        </w:rPr>
        <w:t>gada vidus vakanču skaits ir sarucis par vairāk nekā 1/3, tomēr jāņem vērā, ka arī darba meklētāju skaits ir būtiski krities un liela daļa no vakancēm ir bijušas aizpildītas. Būtiskākais vakanču skaits 2026.</w:t>
      </w:r>
      <w:r w:rsidR="00B41A01">
        <w:rPr>
          <w:rFonts w:ascii="Segoe UI Light" w:hAnsi="Segoe UI Light"/>
          <w:sz w:val="16"/>
          <w:szCs w:val="16"/>
        </w:rPr>
        <w:t> </w:t>
      </w:r>
      <w:r w:rsidRPr="007B6A9E">
        <w:rPr>
          <w:rFonts w:ascii="Segoe UI Light" w:hAnsi="Segoe UI Light"/>
          <w:sz w:val="16"/>
          <w:szCs w:val="16"/>
        </w:rPr>
        <w:t>gada martā bija būvniecībā, rūpniecībā un transporta administratīvo un atbalsta dienestu nozarē. Savukārt skaitliski lielākais vakanču skaits bija reģistrēts palīgstrādnieku, kravas automobiļu, kā arī būvstrādnieku profesijās.</w:t>
      </w:r>
    </w:p>
    <w:p w14:paraId="21750A60" w14:textId="77777777" w:rsidR="00875788" w:rsidRPr="00EF7F3C" w:rsidRDefault="00875788" w:rsidP="00F278F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sz w:val="16"/>
          <w:szCs w:val="16"/>
          <w:highlight w:val="yellow"/>
        </w:rPr>
      </w:pPr>
    </w:p>
    <w:p w14:paraId="65BD16BA" w14:textId="77777777" w:rsidR="007F2333" w:rsidRPr="007F2333" w:rsidRDefault="00875788" w:rsidP="00F278F0">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rPr>
          <w:rFonts w:ascii="Segoe UI Light" w:hAnsi="Segoe UI Light"/>
          <w:b/>
          <w:bCs/>
          <w:sz w:val="16"/>
          <w:szCs w:val="16"/>
        </w:rPr>
      </w:pPr>
      <w:r w:rsidRPr="007F2333">
        <w:rPr>
          <w:rFonts w:ascii="Segoe UI Light" w:hAnsi="Segoe UI Light"/>
          <w:sz w:val="16"/>
          <w:szCs w:val="16"/>
        </w:rPr>
        <w:tab/>
      </w:r>
      <w:r w:rsidRPr="007F2333">
        <w:rPr>
          <w:rFonts w:ascii="Segoe UI Light" w:hAnsi="Segoe UI Light"/>
          <w:b/>
          <w:bCs/>
          <w:sz w:val="16"/>
          <w:szCs w:val="16"/>
        </w:rPr>
        <w:t>Reģistrēto darba meklētāju skaits</w:t>
      </w:r>
      <w:r w:rsidRPr="007F2333">
        <w:rPr>
          <w:rFonts w:ascii="Segoe UI Light" w:hAnsi="Segoe UI Light"/>
          <w:sz w:val="16"/>
          <w:szCs w:val="16"/>
        </w:rPr>
        <w:tab/>
      </w:r>
      <w:r w:rsidR="007F2333" w:rsidRPr="007F2333">
        <w:rPr>
          <w:rFonts w:ascii="Segoe UI Light" w:hAnsi="Segoe UI Light"/>
          <w:b/>
          <w:bCs/>
          <w:sz w:val="16"/>
          <w:szCs w:val="16"/>
        </w:rPr>
        <w:t xml:space="preserve">Reģistrētais bezdarba līmenis un vakanču/darba meklētāju attiecība </w:t>
      </w:r>
    </w:p>
    <w:p w14:paraId="678D69BA" w14:textId="07877639" w:rsidR="00875788" w:rsidRPr="00EF7F3C" w:rsidRDefault="007F2333" w:rsidP="00F278F0">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rPr>
          <w:rFonts w:ascii="Segoe UI Light" w:hAnsi="Segoe UI Light"/>
          <w:sz w:val="16"/>
          <w:szCs w:val="16"/>
          <w:highlight w:val="yellow"/>
        </w:rPr>
      </w:pPr>
      <w:r w:rsidRPr="007F2333">
        <w:rPr>
          <w:rFonts w:ascii="Segoe UI Light" w:hAnsi="Segoe UI Light"/>
          <w:b/>
          <w:bCs/>
          <w:sz w:val="16"/>
          <w:szCs w:val="16"/>
        </w:rPr>
        <w:tab/>
        <w:t>tūkstošos</w:t>
      </w:r>
      <w:r w:rsidRPr="007F2333">
        <w:rPr>
          <w:rFonts w:ascii="Segoe UI Light" w:hAnsi="Segoe UI Light"/>
          <w:b/>
          <w:bCs/>
          <w:sz w:val="16"/>
          <w:szCs w:val="16"/>
        </w:rPr>
        <w:tab/>
        <w:t>pa reģioniem 2026.</w:t>
      </w:r>
      <w:r w:rsidR="00B41A01">
        <w:rPr>
          <w:rFonts w:ascii="Segoe UI Light" w:hAnsi="Segoe UI Light"/>
          <w:b/>
          <w:bCs/>
          <w:sz w:val="16"/>
          <w:szCs w:val="16"/>
        </w:rPr>
        <w:t> </w:t>
      </w:r>
      <w:r w:rsidRPr="007F2333">
        <w:rPr>
          <w:rFonts w:ascii="Segoe UI Light" w:hAnsi="Segoe UI Light"/>
          <w:b/>
          <w:bCs/>
          <w:sz w:val="16"/>
          <w:szCs w:val="16"/>
        </w:rPr>
        <w:t>gada 31.</w:t>
      </w:r>
      <w:r w:rsidR="00B41A01">
        <w:rPr>
          <w:rFonts w:ascii="Segoe UI Light" w:hAnsi="Segoe UI Light"/>
          <w:b/>
          <w:bCs/>
          <w:sz w:val="16"/>
          <w:szCs w:val="16"/>
        </w:rPr>
        <w:t> </w:t>
      </w:r>
      <w:r w:rsidRPr="007F2333">
        <w:rPr>
          <w:rFonts w:ascii="Segoe UI Light" w:hAnsi="Segoe UI Light"/>
          <w:b/>
          <w:bCs/>
          <w:sz w:val="16"/>
          <w:szCs w:val="16"/>
        </w:rPr>
        <w:t xml:space="preserve">marts, </w:t>
      </w:r>
      <w:r w:rsidRPr="007F2333">
        <w:rPr>
          <w:rFonts w:ascii="Segoe UI Light" w:hAnsi="Segoe UI Light"/>
          <w:sz w:val="16"/>
          <w:szCs w:val="16"/>
        </w:rPr>
        <w:t>procentos</w:t>
      </w:r>
      <w:r w:rsidR="00875788" w:rsidRPr="007F2333">
        <w:rPr>
          <w:rFonts w:ascii="Segoe UI Light" w:hAnsi="Segoe UI Light"/>
          <w:sz w:val="16"/>
          <w:szCs w:val="16"/>
        </w:rPr>
        <w:t xml:space="preserve"> </w:t>
      </w:r>
      <w:r w:rsidR="00BE0569" w:rsidRPr="00D829F0">
        <w:rPr>
          <w:rFonts w:ascii="Source Sans Pro" w:hAnsi="Source Sans Pro"/>
          <w:noProof/>
        </w:rPr>
        <w:drawing>
          <wp:inline distT="0" distB="0" distL="0" distR="0" wp14:anchorId="4F733EED" wp14:editId="1341DF72">
            <wp:extent cx="2781337" cy="1728374"/>
            <wp:effectExtent l="0" t="0" r="0" b="5715"/>
            <wp:docPr id="970764401" name="Chart 97076440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875788" w:rsidRPr="007F2333">
        <w:rPr>
          <w:rFonts w:ascii="Segoe UI Light" w:hAnsi="Segoe UI Light"/>
          <w:sz w:val="16"/>
          <w:szCs w:val="16"/>
        </w:rPr>
        <w:t xml:space="preserve"> </w:t>
      </w:r>
      <w:r w:rsidR="00AB0B2D" w:rsidRPr="00D829F0">
        <w:rPr>
          <w:rFonts w:ascii="Source Sans Pro" w:hAnsi="Source Sans Pro"/>
          <w:noProof/>
        </w:rPr>
        <w:drawing>
          <wp:inline distT="0" distB="0" distL="0" distR="0" wp14:anchorId="62997D73" wp14:editId="356E9399">
            <wp:extent cx="2917623" cy="1734820"/>
            <wp:effectExtent l="0" t="0" r="0" b="0"/>
            <wp:docPr id="1053864909" name="Chart 10538649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71DFB42" w14:textId="77777777" w:rsidR="00875788" w:rsidRPr="00EF7F3C" w:rsidRDefault="00875788" w:rsidP="00F278F0">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rPr>
          <w:rFonts w:ascii="Segoe UI Light" w:hAnsi="Segoe UI Light"/>
          <w:sz w:val="16"/>
          <w:szCs w:val="16"/>
          <w:highlight w:val="yellow"/>
        </w:rPr>
      </w:pPr>
    </w:p>
    <w:p w14:paraId="143CE207" w14:textId="1909CD9F" w:rsidR="00875788" w:rsidRPr="00A401E2" w:rsidRDefault="00875788" w:rsidP="00F278F0">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rPr>
          <w:rFonts w:ascii="Segoe UI Light" w:hAnsi="Segoe UI Light"/>
          <w:sz w:val="16"/>
          <w:szCs w:val="16"/>
        </w:rPr>
      </w:pPr>
      <w:r w:rsidRPr="00A401E2">
        <w:rPr>
          <w:rFonts w:ascii="Segoe UI Light" w:hAnsi="Segoe UI Light"/>
          <w:sz w:val="16"/>
          <w:szCs w:val="16"/>
        </w:rPr>
        <w:tab/>
      </w:r>
      <w:r w:rsidRPr="00A401E2">
        <w:rPr>
          <w:rFonts w:ascii="Segoe UI Light" w:hAnsi="Segoe UI Light"/>
          <w:b/>
          <w:bCs/>
          <w:sz w:val="16"/>
          <w:szCs w:val="16"/>
        </w:rPr>
        <w:t>Aktuālo vakanču skaits mēneša beigās</w:t>
      </w:r>
      <w:r w:rsidRPr="00A401E2">
        <w:rPr>
          <w:rFonts w:ascii="Segoe UI Light" w:hAnsi="Segoe UI Light"/>
          <w:b/>
          <w:bCs/>
          <w:sz w:val="16"/>
          <w:szCs w:val="16"/>
        </w:rPr>
        <w:tab/>
        <w:t>Brīvo darba vietu skaits pa nozarēm 202</w:t>
      </w:r>
      <w:r w:rsidR="00A401E2" w:rsidRPr="00A401E2">
        <w:rPr>
          <w:rFonts w:ascii="Segoe UI Light" w:hAnsi="Segoe UI Light"/>
          <w:b/>
          <w:bCs/>
          <w:sz w:val="16"/>
          <w:szCs w:val="16"/>
        </w:rPr>
        <w:t>6</w:t>
      </w:r>
      <w:r w:rsidRPr="00A401E2">
        <w:rPr>
          <w:rFonts w:ascii="Segoe UI Light" w:hAnsi="Segoe UI Light"/>
          <w:b/>
          <w:bCs/>
          <w:sz w:val="16"/>
          <w:szCs w:val="16"/>
        </w:rPr>
        <w:t>.</w:t>
      </w:r>
      <w:r w:rsidR="00B41A01">
        <w:rPr>
          <w:rFonts w:ascii="Segoe UI Light" w:hAnsi="Segoe UI Light"/>
          <w:b/>
          <w:bCs/>
          <w:sz w:val="16"/>
          <w:szCs w:val="16"/>
        </w:rPr>
        <w:t> </w:t>
      </w:r>
      <w:r w:rsidRPr="00A401E2">
        <w:rPr>
          <w:rFonts w:ascii="Segoe UI Light" w:hAnsi="Segoe UI Light"/>
          <w:b/>
          <w:bCs/>
          <w:sz w:val="16"/>
          <w:szCs w:val="16"/>
        </w:rPr>
        <w:t xml:space="preserve">gada </w:t>
      </w:r>
      <w:r w:rsidR="00A401E2" w:rsidRPr="00A401E2">
        <w:rPr>
          <w:rFonts w:ascii="Segoe UI Light" w:hAnsi="Segoe UI Light"/>
          <w:b/>
          <w:bCs/>
          <w:sz w:val="16"/>
          <w:szCs w:val="16"/>
        </w:rPr>
        <w:t>31.</w:t>
      </w:r>
      <w:r w:rsidR="00D86597">
        <w:rPr>
          <w:rFonts w:ascii="Segoe UI Light" w:hAnsi="Segoe UI Light"/>
          <w:b/>
          <w:bCs/>
          <w:sz w:val="16"/>
          <w:szCs w:val="16"/>
        </w:rPr>
        <w:t> </w:t>
      </w:r>
      <w:r w:rsidR="00A401E2" w:rsidRPr="00A401E2">
        <w:rPr>
          <w:rFonts w:ascii="Segoe UI Light" w:hAnsi="Segoe UI Light"/>
          <w:b/>
          <w:bCs/>
          <w:sz w:val="16"/>
          <w:szCs w:val="16"/>
        </w:rPr>
        <w:t>martā</w:t>
      </w:r>
      <w:r w:rsidRPr="00A401E2">
        <w:rPr>
          <w:rFonts w:ascii="Segoe UI Light" w:hAnsi="Segoe UI Light"/>
          <w:b/>
          <w:bCs/>
          <w:sz w:val="16"/>
          <w:szCs w:val="16"/>
        </w:rPr>
        <w:br/>
      </w:r>
      <w:r w:rsidRPr="00A401E2">
        <w:rPr>
          <w:rFonts w:ascii="Segoe UI Light" w:hAnsi="Segoe UI Light"/>
          <w:sz w:val="16"/>
          <w:szCs w:val="16"/>
        </w:rPr>
        <w:tab/>
      </w:r>
      <w:r w:rsidRPr="00A401E2">
        <w:rPr>
          <w:rFonts w:ascii="Segoe UI Light" w:eastAsia="Times New Roman" w:hAnsi="Segoe UI Light"/>
          <w:bCs/>
          <w:i/>
          <w:color w:val="000000"/>
          <w:sz w:val="16"/>
        </w:rPr>
        <w:t>tūkstošos</w:t>
      </w:r>
      <w:r w:rsidRPr="00A401E2">
        <w:rPr>
          <w:rFonts w:ascii="Segoe UI Light" w:hAnsi="Segoe UI Light"/>
          <w:sz w:val="16"/>
          <w:szCs w:val="16"/>
        </w:rPr>
        <w:tab/>
      </w:r>
    </w:p>
    <w:p w14:paraId="1A867642" w14:textId="77777777" w:rsidR="00824F34" w:rsidRDefault="00875788" w:rsidP="00D86597">
      <w:pPr>
        <w:pBdr>
          <w:top w:val="single" w:sz="4" w:space="6" w:color="auto" w:shadow="1"/>
          <w:left w:val="single" w:sz="4" w:space="6" w:color="auto" w:shadow="1"/>
          <w:bottom w:val="single" w:sz="4" w:space="6" w:color="auto" w:shadow="1"/>
          <w:right w:val="single" w:sz="4" w:space="6" w:color="auto" w:shadow="1"/>
        </w:pBdr>
        <w:shd w:val="clear" w:color="auto" w:fill="DCE7EB"/>
        <w:spacing w:after="120"/>
        <w:jc w:val="center"/>
        <w:rPr>
          <w:rFonts w:ascii="Segoe UI Light" w:hAnsi="Segoe UI Light"/>
          <w:sz w:val="16"/>
          <w:szCs w:val="16"/>
        </w:rPr>
      </w:pPr>
      <w:r w:rsidRPr="00A401E2">
        <w:rPr>
          <w:rFonts w:ascii="Segoe UI Light" w:hAnsi="Segoe UI Light"/>
          <w:sz w:val="16"/>
          <w:szCs w:val="16"/>
        </w:rPr>
        <w:t xml:space="preserve">  </w:t>
      </w:r>
      <w:r w:rsidR="00BD020F" w:rsidRPr="00D829F0">
        <w:rPr>
          <w:rFonts w:ascii="Source Sans Pro" w:hAnsi="Source Sans Pro"/>
          <w:b/>
          <w:noProof/>
        </w:rPr>
        <w:drawing>
          <wp:inline distT="0" distB="0" distL="0" distR="0" wp14:anchorId="61678671" wp14:editId="300E99EF">
            <wp:extent cx="2869015" cy="1710690"/>
            <wp:effectExtent l="0" t="0" r="0" b="3810"/>
            <wp:docPr id="1679046433" name="Chart 1679046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3B1D2B" w:rsidRPr="001934D3">
        <w:rPr>
          <w:rFonts w:asciiTheme="majorHAnsi" w:hAnsiTheme="majorHAnsi" w:cstheme="majorHAnsi"/>
          <w:b/>
          <w:bCs/>
          <w:noProof/>
          <w:color w:val="009999"/>
          <w:szCs w:val="20"/>
        </w:rPr>
        <w:drawing>
          <wp:inline distT="0" distB="0" distL="0" distR="0" wp14:anchorId="3B974886" wp14:editId="152D8140">
            <wp:extent cx="2829560" cy="1716416"/>
            <wp:effectExtent l="0" t="0" r="0" b="0"/>
            <wp:docPr id="994885725" name="Chart 9948857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93167D3" w14:textId="77777777" w:rsidR="00824F34" w:rsidRPr="00824F34" w:rsidRDefault="00824F34">
      <w:pPr>
        <w:spacing w:after="0"/>
        <w:rPr>
          <w:rFonts w:ascii="Segoe UI Light" w:hAnsi="Segoe UI Light"/>
          <w:b/>
          <w:bCs/>
          <w:sz w:val="8"/>
          <w:szCs w:val="8"/>
        </w:rPr>
      </w:pPr>
      <w:r w:rsidRPr="00824F34">
        <w:rPr>
          <w:rFonts w:ascii="Segoe UI Light" w:hAnsi="Segoe UI Light"/>
          <w:b/>
          <w:bCs/>
          <w:sz w:val="8"/>
          <w:szCs w:val="8"/>
        </w:rPr>
        <w:br w:type="page"/>
      </w:r>
    </w:p>
    <w:p w14:paraId="75B7068E" w14:textId="36C2C5F7" w:rsidR="00875788" w:rsidRPr="00EF7F3C" w:rsidRDefault="00875788" w:rsidP="00F278F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b/>
          <w:bCs/>
          <w:sz w:val="16"/>
          <w:szCs w:val="16"/>
          <w:highlight w:val="yellow"/>
        </w:rPr>
      </w:pPr>
      <w:r w:rsidRPr="002F5793">
        <w:rPr>
          <w:rFonts w:ascii="Segoe UI Light" w:hAnsi="Segoe UI Light"/>
          <w:b/>
          <w:bCs/>
          <w:sz w:val="16"/>
          <w:szCs w:val="16"/>
        </w:rPr>
        <w:lastRenderedPageBreak/>
        <w:t xml:space="preserve">TOP 30 pieprasītākās profesijas no </w:t>
      </w:r>
      <w:r w:rsidR="002F5793" w:rsidRPr="002F5793">
        <w:rPr>
          <w:rFonts w:ascii="Segoe UI Light" w:hAnsi="Segoe UI Light"/>
          <w:b/>
          <w:bCs/>
          <w:sz w:val="16"/>
          <w:szCs w:val="16"/>
        </w:rPr>
        <w:t>2026.</w:t>
      </w:r>
      <w:r w:rsidR="00D86597">
        <w:rPr>
          <w:rFonts w:ascii="Segoe UI Light" w:hAnsi="Segoe UI Light"/>
          <w:b/>
          <w:bCs/>
          <w:sz w:val="16"/>
          <w:szCs w:val="16"/>
        </w:rPr>
        <w:t> </w:t>
      </w:r>
      <w:r w:rsidR="002F5793" w:rsidRPr="002F5793">
        <w:rPr>
          <w:rFonts w:ascii="Segoe UI Light" w:hAnsi="Segoe UI Light"/>
          <w:b/>
          <w:bCs/>
          <w:sz w:val="16"/>
          <w:szCs w:val="16"/>
        </w:rPr>
        <w:t>gada 1.</w:t>
      </w:r>
      <w:r w:rsidR="00D86597">
        <w:rPr>
          <w:rFonts w:ascii="Segoe UI Light" w:hAnsi="Segoe UI Light"/>
          <w:b/>
          <w:bCs/>
          <w:sz w:val="16"/>
          <w:szCs w:val="16"/>
        </w:rPr>
        <w:t> </w:t>
      </w:r>
      <w:r w:rsidR="002F5793" w:rsidRPr="002F5793">
        <w:rPr>
          <w:rFonts w:ascii="Segoe UI Light" w:hAnsi="Segoe UI Light"/>
          <w:b/>
          <w:bCs/>
          <w:sz w:val="16"/>
          <w:szCs w:val="16"/>
        </w:rPr>
        <w:t>janvāra – 25.</w:t>
      </w:r>
      <w:r w:rsidR="00D86597">
        <w:rPr>
          <w:rFonts w:ascii="Segoe UI Light" w:hAnsi="Segoe UI Light"/>
          <w:b/>
          <w:bCs/>
          <w:sz w:val="16"/>
          <w:szCs w:val="16"/>
        </w:rPr>
        <w:t> </w:t>
      </w:r>
      <w:r w:rsidR="002F5793" w:rsidRPr="002F5793">
        <w:rPr>
          <w:rFonts w:ascii="Segoe UI Light" w:hAnsi="Segoe UI Light"/>
          <w:b/>
          <w:bCs/>
          <w:sz w:val="16"/>
          <w:szCs w:val="16"/>
        </w:rPr>
        <w:t>martam</w:t>
      </w:r>
      <w:r w:rsidRPr="00EF7F3C">
        <w:rPr>
          <w:rFonts w:ascii="Segoe UI Light" w:hAnsi="Segoe UI Light"/>
          <w:b/>
          <w:bCs/>
          <w:sz w:val="16"/>
          <w:szCs w:val="16"/>
          <w:highlight w:val="yellow"/>
        </w:rPr>
        <w:t xml:space="preserve"> </w:t>
      </w:r>
    </w:p>
    <w:p w14:paraId="09837724" w14:textId="6BC54139" w:rsidR="00875788" w:rsidRPr="00EF7F3C" w:rsidRDefault="00A46352" w:rsidP="00F278F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b/>
          <w:sz w:val="16"/>
          <w:szCs w:val="16"/>
          <w:highlight w:val="yellow"/>
        </w:rPr>
      </w:pPr>
      <w:r w:rsidRPr="00D829F0">
        <w:rPr>
          <w:rFonts w:ascii="Source Sans Pro" w:hAnsi="Source Sans Pro"/>
          <w:b/>
          <w:noProof/>
        </w:rPr>
        <w:drawing>
          <wp:inline distT="0" distB="0" distL="0" distR="0" wp14:anchorId="73D6909D" wp14:editId="58EF7235">
            <wp:extent cx="5666105" cy="1864559"/>
            <wp:effectExtent l="0" t="0" r="0" b="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0AE7C60" w14:textId="63F17B6C" w:rsidR="00875788" w:rsidRPr="00D829F0" w:rsidRDefault="00875788" w:rsidP="00F278F0">
      <w:pPr>
        <w:pBdr>
          <w:top w:val="single" w:sz="4" w:space="6" w:color="auto" w:shadow="1"/>
          <w:left w:val="single" w:sz="4" w:space="6" w:color="auto" w:shadow="1"/>
          <w:bottom w:val="single" w:sz="4" w:space="6" w:color="auto" w:shadow="1"/>
          <w:right w:val="single" w:sz="4" w:space="6" w:color="auto" w:shadow="1"/>
        </w:pBdr>
        <w:shd w:val="clear" w:color="auto" w:fill="DCE7EB"/>
        <w:spacing w:after="60"/>
        <w:rPr>
          <w:rFonts w:ascii="Source Sans Pro" w:hAnsi="Source Sans Pro"/>
        </w:rPr>
      </w:pPr>
      <w:r w:rsidRPr="001E3CA1">
        <w:rPr>
          <w:rFonts w:ascii="Segoe UI Light" w:hAnsi="Segoe UI Light"/>
          <w:bCs/>
          <w:sz w:val="14"/>
          <w:szCs w:val="14"/>
        </w:rPr>
        <w:t xml:space="preserve">** </w:t>
      </w:r>
      <w:r w:rsidRPr="001E3CA1">
        <w:rPr>
          <w:rFonts w:ascii="Segoe UI Light" w:hAnsi="Segoe UI Light"/>
          <w:sz w:val="14"/>
          <w:szCs w:val="14"/>
        </w:rPr>
        <w:t>Profesijas ar visvairāk NVA reģistrētām vakancēm periodā no 202</w:t>
      </w:r>
      <w:r w:rsidR="001E3CA1" w:rsidRPr="001E3CA1">
        <w:rPr>
          <w:rFonts w:ascii="Segoe UI Light" w:hAnsi="Segoe UI Light"/>
          <w:sz w:val="14"/>
          <w:szCs w:val="14"/>
        </w:rPr>
        <w:t>6</w:t>
      </w:r>
      <w:r w:rsidRPr="001E3CA1">
        <w:rPr>
          <w:rFonts w:ascii="Segoe UI Light" w:hAnsi="Segoe UI Light"/>
          <w:sz w:val="14"/>
          <w:szCs w:val="14"/>
        </w:rPr>
        <w:t>.</w:t>
      </w:r>
      <w:r w:rsidR="00D86597">
        <w:rPr>
          <w:rFonts w:ascii="Segoe UI Light" w:hAnsi="Segoe UI Light"/>
          <w:sz w:val="14"/>
          <w:szCs w:val="14"/>
        </w:rPr>
        <w:t> </w:t>
      </w:r>
      <w:r w:rsidRPr="001E3CA1">
        <w:rPr>
          <w:rFonts w:ascii="Segoe UI Light" w:hAnsi="Segoe UI Light"/>
          <w:sz w:val="14"/>
          <w:szCs w:val="14"/>
        </w:rPr>
        <w:t xml:space="preserve">gada 1. janvāra – </w:t>
      </w:r>
      <w:r w:rsidR="001E3CA1" w:rsidRPr="001E3CA1">
        <w:rPr>
          <w:rFonts w:ascii="Segoe UI Light" w:hAnsi="Segoe UI Light"/>
          <w:sz w:val="14"/>
          <w:szCs w:val="14"/>
        </w:rPr>
        <w:t>25</w:t>
      </w:r>
      <w:r w:rsidRPr="001E3CA1">
        <w:rPr>
          <w:rFonts w:ascii="Segoe UI Light" w:hAnsi="Segoe UI Light"/>
          <w:sz w:val="14"/>
          <w:szCs w:val="14"/>
        </w:rPr>
        <w:t>.</w:t>
      </w:r>
      <w:r w:rsidR="00D86597">
        <w:rPr>
          <w:rFonts w:ascii="Segoe UI Light" w:hAnsi="Segoe UI Light"/>
          <w:sz w:val="14"/>
          <w:szCs w:val="14"/>
        </w:rPr>
        <w:t> </w:t>
      </w:r>
      <w:r w:rsidR="001E3CA1" w:rsidRPr="001E3CA1">
        <w:rPr>
          <w:rFonts w:ascii="Segoe UI Light" w:hAnsi="Segoe UI Light"/>
          <w:sz w:val="14"/>
          <w:szCs w:val="14"/>
        </w:rPr>
        <w:t>marta</w:t>
      </w:r>
      <w:r w:rsidR="000A4643" w:rsidRPr="001E3CA1">
        <w:rPr>
          <w:rFonts w:ascii="Segoe UI Light" w:hAnsi="Segoe UI Light"/>
          <w:bCs/>
          <w:sz w:val="14"/>
          <w:szCs w:val="14"/>
        </w:rPr>
        <w:br/>
      </w:r>
      <w:r w:rsidRPr="001E3CA1">
        <w:rPr>
          <w:rFonts w:ascii="Source Sans Pro" w:hAnsi="Source Sans Pro" w:cs="Calibri Light"/>
          <w:sz w:val="14"/>
          <w:szCs w:val="14"/>
        </w:rPr>
        <w:t>Avots: NVA, EM aprēķini</w:t>
      </w:r>
    </w:p>
    <w:p w14:paraId="209B1559" w14:textId="5ABCE635" w:rsidR="00AD141B" w:rsidRPr="00D829F0" w:rsidRDefault="0066168C" w:rsidP="003A2DE3">
      <w:pPr>
        <w:spacing w:before="240" w:after="120"/>
        <w:jc w:val="both"/>
        <w:rPr>
          <w:rFonts w:ascii="Source Sans Pro" w:hAnsi="Source Sans Pro"/>
          <w:szCs w:val="20"/>
        </w:rPr>
      </w:pPr>
      <w:r w:rsidRPr="00D829F0">
        <w:rPr>
          <w:rFonts w:ascii="Source Sans Pro" w:hAnsi="Source Sans Pro"/>
        </w:rPr>
        <w:t>Strukturālā bezdarba veidošanos iespējams novērot izmantojot Beveridža līkni, kas grafiski parāda bezdarba un brīvo darba vietu savstarpējo dinamiku. Finanšu krīzes laikā - 2009. un 2010.</w:t>
      </w:r>
      <w:r w:rsidR="00D86597">
        <w:rPr>
          <w:rFonts w:ascii="Source Sans Pro" w:hAnsi="Source Sans Pro"/>
        </w:rPr>
        <w:t> </w:t>
      </w:r>
      <w:r w:rsidRPr="00D829F0">
        <w:rPr>
          <w:rFonts w:ascii="Source Sans Pro" w:hAnsi="Source Sans Pro"/>
        </w:rPr>
        <w:t>gada sākumā, bezdarbs pieauga, vakanču skaitam praktiski saglabājoties nemainīgam. Bezdarba augstākais punkts tika sasniegts 2010.</w:t>
      </w:r>
      <w:r w:rsidR="00D86597">
        <w:rPr>
          <w:rFonts w:ascii="Source Sans Pro" w:hAnsi="Source Sans Pro"/>
        </w:rPr>
        <w:t> </w:t>
      </w:r>
      <w:r w:rsidRPr="00D829F0">
        <w:rPr>
          <w:rFonts w:ascii="Source Sans Pro" w:hAnsi="Source Sans Pro"/>
        </w:rPr>
        <w:t>gada 2.</w:t>
      </w:r>
      <w:r w:rsidR="00D86597">
        <w:rPr>
          <w:rFonts w:ascii="Source Sans Pro" w:hAnsi="Source Sans Pro"/>
        </w:rPr>
        <w:t> </w:t>
      </w:r>
      <w:r w:rsidRPr="00D829F0">
        <w:rPr>
          <w:rFonts w:ascii="Source Sans Pro" w:hAnsi="Source Sans Pro"/>
        </w:rPr>
        <w:t>ceturksnī. Kopš 2010.</w:t>
      </w:r>
      <w:r w:rsidR="00D86597">
        <w:rPr>
          <w:rFonts w:ascii="Source Sans Pro" w:hAnsi="Source Sans Pro"/>
        </w:rPr>
        <w:t> </w:t>
      </w:r>
      <w:r w:rsidRPr="00D829F0">
        <w:rPr>
          <w:rFonts w:ascii="Source Sans Pro" w:hAnsi="Source Sans Pro"/>
        </w:rPr>
        <w:t>gada 3.</w:t>
      </w:r>
      <w:r w:rsidR="00D86597">
        <w:rPr>
          <w:rFonts w:ascii="Source Sans Pro" w:hAnsi="Source Sans Pro"/>
        </w:rPr>
        <w:t> </w:t>
      </w:r>
      <w:r w:rsidRPr="00D829F0">
        <w:rPr>
          <w:rFonts w:ascii="Source Sans Pro" w:hAnsi="Source Sans Pro"/>
        </w:rPr>
        <w:t>ceturkšņa līdz 2016.</w:t>
      </w:r>
      <w:r w:rsidR="00D86597">
        <w:rPr>
          <w:rFonts w:ascii="Source Sans Pro" w:hAnsi="Source Sans Pro"/>
        </w:rPr>
        <w:t> </w:t>
      </w:r>
      <w:r w:rsidRPr="00D829F0">
        <w:rPr>
          <w:rFonts w:ascii="Source Sans Pro" w:hAnsi="Source Sans Pro"/>
        </w:rPr>
        <w:t>gada beigām novērota augšupvērsta Beveridža līknes virzība, kas liecina par ekonomiskā cikla fāzes maiņu un situācijas uzlabošanos darba tirgū. Nodarbinātība pakāpeniski pieauga, mazinoties gan darba meklētāju, gan neaktīvo personu skaitam. Pārbīde pa līkni ir tāda pati kā darba vietu samazinājums krīzes laikā, kas norāda uz cikliskā bezdarba samazināšanos</w:t>
      </w:r>
      <w:r w:rsidR="00EB482F">
        <w:rPr>
          <w:rFonts w:ascii="Source Sans Pro" w:hAnsi="Source Sans Pro"/>
        </w:rPr>
        <w:t>, kas</w:t>
      </w:r>
      <w:r w:rsidRPr="00D829F0">
        <w:rPr>
          <w:rFonts w:ascii="Source Sans Pro" w:hAnsi="Source Sans Pro"/>
        </w:rPr>
        <w:t xml:space="preserve"> bija saistīts ar ekonomisko aktivitāšu pieaugumu</w:t>
      </w:r>
      <w:r w:rsidR="00AD141B" w:rsidRPr="00D829F0">
        <w:rPr>
          <w:rFonts w:ascii="Source Sans Pro" w:hAnsi="Source Sans Pro"/>
          <w:szCs w:val="20"/>
        </w:rPr>
        <w:t xml:space="preserve">. </w:t>
      </w:r>
    </w:p>
    <w:p w14:paraId="2DB0C4A5" w14:textId="5B4A80EA" w:rsidR="00875788" w:rsidRPr="00D829F0" w:rsidRDefault="00875788" w:rsidP="00875788">
      <w:pPr>
        <w:spacing w:after="120"/>
        <w:jc w:val="right"/>
        <w:rPr>
          <w:rFonts w:ascii="Source Sans Pro" w:hAnsi="Source Sans Pro"/>
          <w:szCs w:val="20"/>
        </w:rPr>
      </w:pPr>
      <w:r w:rsidRPr="00D829F0">
        <w:rPr>
          <w:rFonts w:ascii="Source Sans Pro" w:hAnsi="Source Sans Pro"/>
          <w:szCs w:val="20"/>
        </w:rPr>
        <w:t>1.</w:t>
      </w:r>
      <w:r w:rsidR="00AD141B" w:rsidRPr="00D829F0">
        <w:rPr>
          <w:rFonts w:ascii="Source Sans Pro" w:hAnsi="Source Sans Pro"/>
          <w:szCs w:val="20"/>
        </w:rPr>
        <w:t>9</w:t>
      </w:r>
      <w:r w:rsidRPr="00D829F0">
        <w:rPr>
          <w:rFonts w:ascii="Source Sans Pro" w:hAnsi="Source Sans Pro"/>
          <w:szCs w:val="20"/>
        </w:rPr>
        <w:t>. attēls</w:t>
      </w:r>
    </w:p>
    <w:p w14:paraId="7174B86B" w14:textId="572F1042" w:rsidR="00875788" w:rsidRPr="00E65EB7" w:rsidRDefault="00875788" w:rsidP="00875788">
      <w:pPr>
        <w:spacing w:after="120"/>
        <w:ind w:left="170" w:right="170"/>
        <w:jc w:val="center"/>
        <w:rPr>
          <w:rFonts w:ascii="Segoe UI Light" w:eastAsia="Times New Roman" w:hAnsi="Segoe UI Light"/>
          <w:i/>
          <w:sz w:val="16"/>
          <w:szCs w:val="20"/>
          <w:lang w:eastAsia="lv-LV"/>
        </w:rPr>
      </w:pPr>
      <w:r w:rsidRPr="00E65EB7">
        <w:rPr>
          <w:rFonts w:ascii="Segoe UI Light" w:hAnsi="Segoe UI Light"/>
          <w:b/>
          <w:sz w:val="18"/>
          <w:szCs w:val="26"/>
        </w:rPr>
        <w:t>Beveridža līkne Latvijā</w:t>
      </w:r>
      <w:r w:rsidRPr="00E65EB7">
        <w:rPr>
          <w:rFonts w:ascii="Segoe UI Light" w:hAnsi="Segoe UI Light"/>
          <w:b/>
          <w:sz w:val="18"/>
          <w:szCs w:val="26"/>
        </w:rPr>
        <w:br/>
      </w:r>
      <w:r w:rsidRPr="00E65EB7">
        <w:rPr>
          <w:rFonts w:ascii="Segoe UI Light" w:hAnsi="Segoe UI Light"/>
          <w:i/>
          <w:sz w:val="16"/>
          <w:szCs w:val="20"/>
        </w:rPr>
        <w:t>2010.-202</w:t>
      </w:r>
      <w:r w:rsidR="00E65EB7" w:rsidRPr="00E65EB7">
        <w:rPr>
          <w:rFonts w:ascii="Segoe UI Light" w:hAnsi="Segoe UI Light"/>
          <w:i/>
          <w:sz w:val="16"/>
          <w:szCs w:val="20"/>
        </w:rPr>
        <w:t>5</w:t>
      </w:r>
      <w:r w:rsidRPr="00E65EB7">
        <w:rPr>
          <w:rFonts w:ascii="Segoe UI Light" w:hAnsi="Segoe UI Light"/>
          <w:i/>
          <w:sz w:val="16"/>
          <w:szCs w:val="20"/>
        </w:rPr>
        <w:t>.</w:t>
      </w:r>
      <w:r w:rsidR="00EB482F">
        <w:rPr>
          <w:rFonts w:ascii="Segoe UI Light" w:hAnsi="Segoe UI Light"/>
          <w:i/>
          <w:sz w:val="16"/>
          <w:szCs w:val="20"/>
        </w:rPr>
        <w:t> </w:t>
      </w:r>
      <w:r w:rsidRPr="00E65EB7">
        <w:rPr>
          <w:rFonts w:ascii="Segoe UI Light" w:hAnsi="Segoe UI Light"/>
          <w:i/>
          <w:sz w:val="16"/>
          <w:szCs w:val="20"/>
        </w:rPr>
        <w:t>gads, vertikālā ass – vakanču skaits pret ekonomiski aktīvajiem iedzīvotājiem; horizontālā ass – bezdarba līmenis</w:t>
      </w:r>
    </w:p>
    <w:p w14:paraId="25D3CFD8" w14:textId="2B90C987" w:rsidR="00875788" w:rsidRPr="00D829F0" w:rsidRDefault="00E65EB7" w:rsidP="00875788">
      <w:pPr>
        <w:spacing w:after="120"/>
        <w:rPr>
          <w:rFonts w:ascii="Source Sans Pro" w:eastAsia="Times New Roman" w:hAnsi="Source Sans Pro"/>
        </w:rPr>
      </w:pPr>
      <w:r w:rsidRPr="00D829F0">
        <w:rPr>
          <w:rFonts w:ascii="Source Sans Pro" w:hAnsi="Source Sans Pro"/>
          <w:noProof/>
        </w:rPr>
        <w:drawing>
          <wp:inline distT="0" distB="0" distL="0" distR="0" wp14:anchorId="31120D39" wp14:editId="1CD6A64B">
            <wp:extent cx="5760000" cy="2880000"/>
            <wp:effectExtent l="0" t="0" r="0" b="0"/>
            <wp:docPr id="1126470937" name="Chart 11264709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9D94565" w14:textId="77777777" w:rsidR="00875788" w:rsidRPr="00D829F0" w:rsidRDefault="00875788" w:rsidP="00875788">
      <w:pPr>
        <w:spacing w:after="120"/>
        <w:jc w:val="both"/>
        <w:rPr>
          <w:rFonts w:ascii="Source Sans Pro" w:hAnsi="Source Sans Pro"/>
          <w:sz w:val="16"/>
          <w:szCs w:val="16"/>
        </w:rPr>
      </w:pPr>
      <w:r w:rsidRPr="00D829F0">
        <w:rPr>
          <w:rFonts w:ascii="Source Sans Pro" w:hAnsi="Source Sans Pro"/>
          <w:sz w:val="16"/>
          <w:szCs w:val="16"/>
        </w:rPr>
        <w:t>Avots: CSP, NVA</w:t>
      </w:r>
    </w:p>
    <w:p w14:paraId="2F4808D0" w14:textId="77777777" w:rsidR="00875788" w:rsidRPr="00D829F0" w:rsidRDefault="00875788" w:rsidP="00875788">
      <w:pPr>
        <w:spacing w:after="120"/>
        <w:jc w:val="both"/>
        <w:rPr>
          <w:rFonts w:ascii="Source Sans Pro" w:hAnsi="Source Sans Pro"/>
          <w:szCs w:val="20"/>
        </w:rPr>
      </w:pPr>
    </w:p>
    <w:p w14:paraId="470B230E" w14:textId="02ABB4FA" w:rsidR="000F0E02" w:rsidRPr="00D829F0" w:rsidRDefault="000F0E02" w:rsidP="000F0E02">
      <w:pPr>
        <w:spacing w:after="120"/>
        <w:jc w:val="both"/>
        <w:rPr>
          <w:rFonts w:ascii="Source Sans Pro" w:hAnsi="Source Sans Pro"/>
          <w:szCs w:val="20"/>
        </w:rPr>
      </w:pPr>
      <w:r w:rsidRPr="00D829F0">
        <w:rPr>
          <w:rFonts w:ascii="Source Sans Pro" w:hAnsi="Source Sans Pro"/>
          <w:szCs w:val="20"/>
        </w:rPr>
        <w:t>No 2017.-2022.</w:t>
      </w:r>
      <w:r w:rsidR="00EB482F">
        <w:rPr>
          <w:rFonts w:ascii="Source Sans Pro" w:hAnsi="Source Sans Pro"/>
          <w:szCs w:val="20"/>
        </w:rPr>
        <w:t> </w:t>
      </w:r>
      <w:r w:rsidRPr="00D829F0">
        <w:rPr>
          <w:rFonts w:ascii="Source Sans Pro" w:hAnsi="Source Sans Pro"/>
          <w:szCs w:val="20"/>
        </w:rPr>
        <w:t>gadam vakanču skaits aug straujāk nekā samazinājies bezdarba līmenis, kas kopumā iezīmēja strukturālo problēmu pieaugumu darba tirgū – neskatoties uz bezdarbu, palielinājās neaizpildīto vakanču skaits darba tirgū. Covid-19 pandēmijas krīze kopumā paātrināj</w:t>
      </w:r>
      <w:r w:rsidR="00EB482F">
        <w:rPr>
          <w:rFonts w:ascii="Source Sans Pro" w:hAnsi="Source Sans Pro"/>
          <w:szCs w:val="20"/>
        </w:rPr>
        <w:t>a</w:t>
      </w:r>
      <w:r w:rsidRPr="00D829F0">
        <w:rPr>
          <w:rFonts w:ascii="Source Sans Pro" w:hAnsi="Source Sans Pro"/>
          <w:szCs w:val="20"/>
        </w:rPr>
        <w:t xml:space="preserve"> darbaspēka pieprasījuma strukturālās pārmaiņas, </w:t>
      </w:r>
      <w:r w:rsidR="00BC7DB0">
        <w:rPr>
          <w:rFonts w:ascii="Source Sans Pro" w:hAnsi="Source Sans Pro"/>
          <w:szCs w:val="20"/>
        </w:rPr>
        <w:t>kā arī</w:t>
      </w:r>
      <w:r w:rsidRPr="00D829F0">
        <w:rPr>
          <w:rFonts w:ascii="Source Sans Pro" w:hAnsi="Source Sans Pro"/>
          <w:szCs w:val="20"/>
        </w:rPr>
        <w:t xml:space="preserve"> darbavietu automatizāciju darbaspēka intensīvajās nozarēs – galvenokārt samazinot pieprasījumu pēc zemas un vidējas kvalifikācijas darbaspēka bez profesionālām prasmēm, savukārt palielinot augstākās kvalifikācijas darbavietu īpatsvaru, jo īpaši informācijas un komunikācijas pakalpojumos. </w:t>
      </w:r>
    </w:p>
    <w:p w14:paraId="4B09D239" w14:textId="64FCD7D7" w:rsidR="00875788" w:rsidRPr="00D829F0" w:rsidRDefault="000F0E02" w:rsidP="000F0E02">
      <w:pPr>
        <w:spacing w:after="120"/>
        <w:jc w:val="both"/>
        <w:rPr>
          <w:rFonts w:ascii="Source Sans Pro" w:hAnsi="Source Sans Pro"/>
          <w:szCs w:val="20"/>
        </w:rPr>
      </w:pPr>
      <w:r w:rsidRPr="00D829F0">
        <w:rPr>
          <w:rFonts w:ascii="Source Sans Pro" w:hAnsi="Source Sans Pro"/>
          <w:szCs w:val="20"/>
        </w:rPr>
        <w:lastRenderedPageBreak/>
        <w:t>Kopš 2022.</w:t>
      </w:r>
      <w:r w:rsidR="00BC7DB0">
        <w:rPr>
          <w:rFonts w:ascii="Source Sans Pro" w:hAnsi="Source Sans Pro"/>
          <w:szCs w:val="20"/>
        </w:rPr>
        <w:t> </w:t>
      </w:r>
      <w:r w:rsidRPr="00D829F0">
        <w:rPr>
          <w:rFonts w:ascii="Source Sans Pro" w:hAnsi="Source Sans Pro"/>
          <w:szCs w:val="20"/>
        </w:rPr>
        <w:t>gada situācija Latvijas darba tirgū pakāpeniski kļuvusi sabalansētāka - vakanču skaits samazinās, vienlaikus bezdarba līmenim saglabājoties relatīvi zemam. Ja 2023.</w:t>
      </w:r>
      <w:r w:rsidR="00BC7DB0">
        <w:rPr>
          <w:rFonts w:ascii="Source Sans Pro" w:hAnsi="Source Sans Pro"/>
          <w:szCs w:val="20"/>
        </w:rPr>
        <w:t> </w:t>
      </w:r>
      <w:r w:rsidRPr="00D829F0">
        <w:rPr>
          <w:rFonts w:ascii="Source Sans Pro" w:hAnsi="Source Sans Pro"/>
          <w:szCs w:val="20"/>
        </w:rPr>
        <w:t>gada sākumā vakanču skaits pret ekonomiski aktīvajiem iedzīvotājiem bija 2,6%, tad 2025.</w:t>
      </w:r>
      <w:r w:rsidR="00BC7DB0">
        <w:rPr>
          <w:rFonts w:ascii="Source Sans Pro" w:hAnsi="Source Sans Pro"/>
          <w:szCs w:val="20"/>
        </w:rPr>
        <w:t> </w:t>
      </w:r>
      <w:r w:rsidRPr="00D829F0">
        <w:rPr>
          <w:rFonts w:ascii="Source Sans Pro" w:hAnsi="Source Sans Pro"/>
          <w:szCs w:val="20"/>
        </w:rPr>
        <w:t>gada beigās tas samazinājās līdz 0,95%. Vienlaikus bezdarba līmenis šajā periodā samazinājās mērenāk - no 6% 2023.</w:t>
      </w:r>
      <w:r w:rsidR="00BC7DB0">
        <w:rPr>
          <w:rFonts w:ascii="Source Sans Pro" w:hAnsi="Source Sans Pro"/>
          <w:szCs w:val="20"/>
        </w:rPr>
        <w:t> </w:t>
      </w:r>
      <w:r w:rsidRPr="00D829F0">
        <w:rPr>
          <w:rFonts w:ascii="Source Sans Pro" w:hAnsi="Source Sans Pro"/>
          <w:szCs w:val="20"/>
        </w:rPr>
        <w:t>gada sākumā līdz 5% 2025.</w:t>
      </w:r>
      <w:r w:rsidR="00BC7DB0">
        <w:rPr>
          <w:rFonts w:ascii="Source Sans Pro" w:hAnsi="Source Sans Pro"/>
          <w:szCs w:val="20"/>
        </w:rPr>
        <w:t> </w:t>
      </w:r>
      <w:r w:rsidRPr="00D829F0">
        <w:rPr>
          <w:rFonts w:ascii="Source Sans Pro" w:hAnsi="Source Sans Pro"/>
          <w:szCs w:val="20"/>
        </w:rPr>
        <w:t>gada beigām. Tas liecina, ka pēdējos gados darba tirgus spriedze mazinājusies un pieprasījums pēc jauniem darbiniekiem kļuvis mērenāks</w:t>
      </w:r>
      <w:r w:rsidR="00406C38" w:rsidRPr="00D829F0">
        <w:rPr>
          <w:rFonts w:ascii="Source Sans Pro" w:hAnsi="Source Sans Pro"/>
          <w:szCs w:val="20"/>
        </w:rPr>
        <w:t>.</w:t>
      </w:r>
      <w:r w:rsidRPr="00D829F0">
        <w:rPr>
          <w:rFonts w:ascii="Source Sans Pro" w:hAnsi="Source Sans Pro"/>
          <w:szCs w:val="20"/>
        </w:rPr>
        <w:t xml:space="preserve"> </w:t>
      </w:r>
      <w:r w:rsidR="00406C38" w:rsidRPr="00D829F0">
        <w:rPr>
          <w:rFonts w:ascii="Source Sans Pro" w:hAnsi="Source Sans Pro"/>
          <w:szCs w:val="20"/>
        </w:rPr>
        <w:t>T</w:t>
      </w:r>
      <w:r w:rsidRPr="00D829F0">
        <w:rPr>
          <w:rFonts w:ascii="Source Sans Pro" w:hAnsi="Source Sans Pro"/>
          <w:szCs w:val="20"/>
        </w:rPr>
        <w:t xml:space="preserve">omēr darba tirgū joprojām saglabājas strukturālas neatbilstības starp pieprasītajām un pieejamajām prasmēm. Darba devēji arvien vairāk izmanto iespējas piesaistīt darbiniekus arī, </w:t>
      </w:r>
      <w:r w:rsidR="00BC7DB0">
        <w:rPr>
          <w:rFonts w:ascii="Source Sans Pro" w:hAnsi="Source Sans Pro"/>
          <w:szCs w:val="20"/>
        </w:rPr>
        <w:t>ja</w:t>
      </w:r>
      <w:r w:rsidRPr="00D829F0">
        <w:rPr>
          <w:rFonts w:ascii="Source Sans Pro" w:hAnsi="Source Sans Pro"/>
          <w:szCs w:val="20"/>
        </w:rPr>
        <w:t xml:space="preserve"> to kvalifikācija pilnībā neatbilst darba specifikai vai darbinieka dzīvesvieta atrodas citā reģionā nekā darbavieta.</w:t>
      </w:r>
    </w:p>
    <w:p w14:paraId="52D2B896" w14:textId="77777777" w:rsidR="00875788" w:rsidRPr="00D829F0" w:rsidRDefault="00875788" w:rsidP="00875788">
      <w:pPr>
        <w:spacing w:after="120"/>
        <w:jc w:val="both"/>
        <w:rPr>
          <w:rFonts w:ascii="Source Sans Pro" w:hAnsi="Source Sans Pro"/>
          <w:szCs w:val="20"/>
        </w:rPr>
      </w:pPr>
    </w:p>
    <w:p w14:paraId="78D9DA02" w14:textId="77777777" w:rsidR="00AD141B" w:rsidRPr="00D829F0" w:rsidRDefault="00AD141B" w:rsidP="00875788">
      <w:pPr>
        <w:spacing w:after="120"/>
        <w:jc w:val="both"/>
        <w:rPr>
          <w:rFonts w:ascii="Source Sans Pro" w:hAnsi="Source Sans Pro"/>
          <w:szCs w:val="20"/>
        </w:rPr>
      </w:pPr>
    </w:p>
    <w:p w14:paraId="58CB00B3" w14:textId="4B146D1A" w:rsidR="0019532E" w:rsidRPr="004D4225" w:rsidRDefault="0019532E" w:rsidP="00080A71">
      <w:pPr>
        <w:pStyle w:val="Heading2"/>
      </w:pPr>
      <w:bookmarkStart w:id="17" w:name="_Toc469819187"/>
      <w:r w:rsidRPr="004D4225">
        <w:t>1.3. Darba algas un produktivitāte</w:t>
      </w:r>
      <w:bookmarkEnd w:id="15"/>
      <w:bookmarkEnd w:id="17"/>
    </w:p>
    <w:p w14:paraId="49B1C017" w14:textId="77777777" w:rsidR="000A666F" w:rsidRDefault="000A666F" w:rsidP="00867A48">
      <w:pPr>
        <w:spacing w:after="120"/>
        <w:jc w:val="both"/>
        <w:rPr>
          <w:rFonts w:ascii="Source Sans Pro" w:hAnsi="Source Sans Pro"/>
        </w:rPr>
      </w:pPr>
    </w:p>
    <w:p w14:paraId="679BB7AB" w14:textId="77777777" w:rsidR="000A666F" w:rsidRPr="004B39FD" w:rsidRDefault="000A666F" w:rsidP="001B57D6">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30CB1BF0" w14:textId="24185B3C" w:rsidR="005E4825" w:rsidRPr="005E4825" w:rsidRDefault="000A666F"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5E4825" w:rsidRPr="005E4825">
        <w:rPr>
          <w:rFonts w:ascii="Aptos Narrow" w:hAnsi="Aptos Narrow" w:cs="Verdana"/>
          <w:color w:val="262626"/>
          <w:sz w:val="22"/>
        </w:rPr>
        <w:t>Darba samaksa turpina noturīgi augt – 2025.</w:t>
      </w:r>
      <w:r w:rsidR="00607B39">
        <w:rPr>
          <w:rFonts w:ascii="Aptos Narrow" w:hAnsi="Aptos Narrow" w:cs="Verdana"/>
          <w:color w:val="262626"/>
          <w:sz w:val="22"/>
        </w:rPr>
        <w:t> </w:t>
      </w:r>
      <w:r w:rsidR="005E4825" w:rsidRPr="005E4825">
        <w:rPr>
          <w:rFonts w:ascii="Aptos Narrow" w:hAnsi="Aptos Narrow" w:cs="Verdana"/>
          <w:color w:val="262626"/>
          <w:sz w:val="22"/>
        </w:rPr>
        <w:t>gadā vidējā bruto alga sasniedza 1815 eiro, un pēc iepriekšējo gadu inflācijas šoka pakāpeniski atjaunojas arī iedzīvotāju pirktspēja.</w:t>
      </w:r>
    </w:p>
    <w:p w14:paraId="7AFB8A25" w14:textId="5536BF90" w:rsidR="005E4825" w:rsidRPr="005E4825" w:rsidRDefault="005E4825"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5E4825">
        <w:rPr>
          <w:rFonts w:ascii="Aptos Narrow" w:hAnsi="Aptos Narrow" w:cs="Verdana"/>
          <w:color w:val="262626"/>
          <w:sz w:val="22"/>
        </w:rPr>
        <w:t>Atalgojuma atšķirība starp privāto un sabiedrisko sektoru ir praktiski izzudusi, savukārt starp nozarēm tā joprojām ir liela – augstākais atalgojums ir finanšu jomā, zemākais – izmitināšanā un ēdināšanā.</w:t>
      </w:r>
    </w:p>
    <w:p w14:paraId="1EEFA3FB" w14:textId="6F2FF5F3" w:rsidR="005E4825" w:rsidRPr="005E4825" w:rsidRDefault="005E4825"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5E4825">
        <w:rPr>
          <w:rFonts w:ascii="Aptos Narrow" w:hAnsi="Aptos Narrow" w:cs="Verdana"/>
          <w:color w:val="262626"/>
          <w:sz w:val="22"/>
        </w:rPr>
        <w:t xml:space="preserve">Galvenais konkurētspējas risks ir darbaspēka </w:t>
      </w:r>
      <w:r w:rsidR="001B57D6" w:rsidRPr="001B57D6">
        <w:rPr>
          <w:rFonts w:ascii="Aptos Narrow" w:hAnsi="Aptos Narrow" w:cs="Verdana"/>
          <w:color w:val="262626"/>
          <w:sz w:val="22"/>
        </w:rPr>
        <w:t>izmaks</w:t>
      </w:r>
      <w:r w:rsidR="00D1121F">
        <w:rPr>
          <w:rFonts w:ascii="Aptos Narrow" w:hAnsi="Aptos Narrow" w:cs="Verdana"/>
          <w:color w:val="262626"/>
          <w:sz w:val="22"/>
        </w:rPr>
        <w:t>u</w:t>
      </w:r>
      <w:r w:rsidR="001B57D6" w:rsidRPr="001B57D6">
        <w:rPr>
          <w:rFonts w:ascii="Aptos Narrow" w:hAnsi="Aptos Narrow" w:cs="Verdana"/>
          <w:color w:val="262626"/>
          <w:sz w:val="22"/>
        </w:rPr>
        <w:t xml:space="preserve"> </w:t>
      </w:r>
      <w:r w:rsidR="00D1121F">
        <w:rPr>
          <w:rFonts w:ascii="Aptos Narrow" w:hAnsi="Aptos Narrow" w:cs="Verdana"/>
          <w:color w:val="262626"/>
          <w:sz w:val="22"/>
        </w:rPr>
        <w:t>pie</w:t>
      </w:r>
      <w:r w:rsidR="001B57D6" w:rsidRPr="001B57D6">
        <w:rPr>
          <w:rFonts w:ascii="Aptos Narrow" w:hAnsi="Aptos Narrow" w:cs="Verdana"/>
          <w:color w:val="262626"/>
          <w:sz w:val="22"/>
        </w:rPr>
        <w:t>aug</w:t>
      </w:r>
      <w:r w:rsidR="00D1121F">
        <w:rPr>
          <w:rFonts w:ascii="Aptos Narrow" w:hAnsi="Aptos Narrow" w:cs="Verdana"/>
          <w:color w:val="262626"/>
          <w:sz w:val="22"/>
        </w:rPr>
        <w:t>ums</w:t>
      </w:r>
      <w:r w:rsidR="001B57D6" w:rsidRPr="001B57D6">
        <w:rPr>
          <w:rFonts w:ascii="Aptos Narrow" w:hAnsi="Aptos Narrow" w:cs="Verdana"/>
          <w:color w:val="262626"/>
          <w:sz w:val="22"/>
        </w:rPr>
        <w:t xml:space="preserve"> </w:t>
      </w:r>
      <w:r w:rsidRPr="005E4825">
        <w:rPr>
          <w:rFonts w:ascii="Aptos Narrow" w:hAnsi="Aptos Narrow" w:cs="Verdana"/>
          <w:color w:val="262626"/>
          <w:sz w:val="22"/>
        </w:rPr>
        <w:t xml:space="preserve">daudzkārt straujāk nekā </w:t>
      </w:r>
      <w:r w:rsidR="001B57D6" w:rsidRPr="001B57D6">
        <w:rPr>
          <w:rFonts w:ascii="Aptos Narrow" w:hAnsi="Aptos Narrow" w:cs="Verdana"/>
          <w:color w:val="262626"/>
          <w:sz w:val="22"/>
        </w:rPr>
        <w:t>produktivitāte</w:t>
      </w:r>
      <w:r w:rsidR="00D1121F">
        <w:rPr>
          <w:rFonts w:ascii="Aptos Narrow" w:hAnsi="Aptos Narrow" w:cs="Verdana"/>
          <w:color w:val="262626"/>
          <w:sz w:val="22"/>
        </w:rPr>
        <w:t>i. D</w:t>
      </w:r>
      <w:r w:rsidR="001B57D6" w:rsidRPr="001B57D6">
        <w:rPr>
          <w:rFonts w:ascii="Aptos Narrow" w:hAnsi="Aptos Narrow" w:cs="Verdana"/>
          <w:color w:val="262626"/>
          <w:sz w:val="22"/>
        </w:rPr>
        <w:t>arbaspēka</w:t>
      </w:r>
      <w:r w:rsidRPr="005E4825">
        <w:rPr>
          <w:rFonts w:ascii="Aptos Narrow" w:hAnsi="Aptos Narrow" w:cs="Verdana"/>
          <w:color w:val="262626"/>
          <w:sz w:val="22"/>
        </w:rPr>
        <w:t xml:space="preserve"> vienības izmaksu pieaugums pārsniedz pat ES brīdinājuma slieksni, radot spiedienu uz izmaksu konkurētspēju, jo īpaši ražošanas nozarēs.</w:t>
      </w:r>
    </w:p>
    <w:p w14:paraId="63754952" w14:textId="5293807A" w:rsidR="000A666F" w:rsidRPr="004B39FD" w:rsidRDefault="005E4825"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Pr>
          <w:rFonts w:ascii="Aptos Narrow" w:hAnsi="Aptos Narrow" w:cs="Verdana"/>
          <w:color w:val="262626"/>
          <w:sz w:val="22"/>
        </w:rPr>
        <w:t>N</w:t>
      </w:r>
      <w:r w:rsidRPr="005E4825">
        <w:rPr>
          <w:rFonts w:ascii="Aptos Narrow" w:hAnsi="Aptos Narrow" w:cs="Verdana"/>
          <w:color w:val="262626"/>
          <w:sz w:val="22"/>
        </w:rPr>
        <w:t>oturīgas izaugsmes pamatā aizvien vairāk būs produktivitātes kāpināšana un pāreja uz augstākas pievienotās vērtības nozarēm.</w:t>
      </w:r>
    </w:p>
    <w:p w14:paraId="33AB9F6C" w14:textId="77777777" w:rsidR="000A666F" w:rsidRDefault="000A666F" w:rsidP="00867A48">
      <w:pPr>
        <w:spacing w:after="120"/>
        <w:jc w:val="both"/>
        <w:rPr>
          <w:rFonts w:ascii="Source Sans Pro" w:hAnsi="Source Sans Pro"/>
        </w:rPr>
      </w:pPr>
    </w:p>
    <w:p w14:paraId="0281DC30" w14:textId="6BC96F18" w:rsidR="00EB30C3" w:rsidRPr="00D829F0" w:rsidRDefault="00EB30C3" w:rsidP="00867A48">
      <w:pPr>
        <w:spacing w:after="120"/>
        <w:jc w:val="both"/>
        <w:rPr>
          <w:rFonts w:ascii="Source Sans Pro" w:hAnsi="Source Sans Pro"/>
        </w:rPr>
      </w:pPr>
      <w:r w:rsidRPr="00D829F0">
        <w:rPr>
          <w:rFonts w:ascii="Source Sans Pro" w:hAnsi="Source Sans Pro"/>
        </w:rPr>
        <w:t>Ņemot vērā pakāpenisku darba tirgus situācijas uzlabošanos un pieaugošu darbaspēka nepietiekamību, darba samaksas kāpums Latvijā kopš 2013.</w:t>
      </w:r>
      <w:r w:rsidR="00264348">
        <w:rPr>
          <w:rFonts w:ascii="Source Sans Pro" w:hAnsi="Source Sans Pro"/>
        </w:rPr>
        <w:t> </w:t>
      </w:r>
      <w:r w:rsidRPr="00D829F0">
        <w:rPr>
          <w:rFonts w:ascii="Source Sans Pro" w:hAnsi="Source Sans Pro"/>
        </w:rPr>
        <w:t>gada ir saglabājies noturīgs, bruto darba algai ik gadu pieaugot vairāk nekā par 4,5% gadā. Īpaši straujš pieaugums bija vērojams 2023.</w:t>
      </w:r>
      <w:r w:rsidR="00264348">
        <w:rPr>
          <w:rFonts w:ascii="Source Sans Pro" w:hAnsi="Source Sans Pro"/>
        </w:rPr>
        <w:t> </w:t>
      </w:r>
      <w:r w:rsidRPr="00D829F0">
        <w:rPr>
          <w:rFonts w:ascii="Source Sans Pro" w:hAnsi="Source Sans Pro"/>
        </w:rPr>
        <w:t>gadā, kad vidējā mēneša bruto darba samaksa palielinājās par 11,9%, sasniedzot 1537 eiro. Savukārt 2025.</w:t>
      </w:r>
      <w:r w:rsidR="00264348">
        <w:rPr>
          <w:rFonts w:ascii="Source Sans Pro" w:hAnsi="Source Sans Pro"/>
        </w:rPr>
        <w:t> </w:t>
      </w:r>
      <w:r w:rsidRPr="00D829F0">
        <w:rPr>
          <w:rFonts w:ascii="Source Sans Pro" w:hAnsi="Source Sans Pro"/>
        </w:rPr>
        <w:t>gadā algu kāpums kļuva mērenāks, tomēr joprojām saglabājās salīdzinoši augsts - vidējā mēneša bruto darba samaksa pieauga par 7,7% un sasniedza 1815 eiro. Tās pieaugumu lielā mērā ietekmēja aktivitātes pieaugums darba tirgū, pieaugot ekonomiski aktīvo iedzīvotāju skaitam un nodarbinātībai.</w:t>
      </w:r>
    </w:p>
    <w:p w14:paraId="11A2F76C" w14:textId="057CA52E" w:rsidR="00AA2E25" w:rsidRPr="00D829F0" w:rsidRDefault="00EB30C3" w:rsidP="00867A48">
      <w:pPr>
        <w:spacing w:after="120"/>
        <w:jc w:val="both"/>
        <w:rPr>
          <w:rFonts w:ascii="Source Sans Pro" w:hAnsi="Source Sans Pro" w:cs="Calibri Light"/>
          <w:szCs w:val="20"/>
        </w:rPr>
      </w:pPr>
      <w:r w:rsidRPr="00D829F0">
        <w:rPr>
          <w:rFonts w:ascii="Source Sans Pro" w:hAnsi="Source Sans Pro" w:cs="Calibri Light"/>
        </w:rPr>
        <w:t>Pēdējos gados strauji samazinājusies darba samaksas starpība starp atalgojumu privātajā un sabiedriskajā sektorā. Ja 2008.</w:t>
      </w:r>
      <w:r w:rsidR="00264348">
        <w:rPr>
          <w:rFonts w:ascii="Source Sans Pro" w:hAnsi="Source Sans Pro" w:cs="Calibri Light"/>
        </w:rPr>
        <w:t> </w:t>
      </w:r>
      <w:r w:rsidRPr="00D829F0">
        <w:rPr>
          <w:rFonts w:ascii="Source Sans Pro" w:hAnsi="Source Sans Pro" w:cs="Calibri Light"/>
        </w:rPr>
        <w:t xml:space="preserve">gadā darba samaksa privātajā sektorā (623 </w:t>
      </w:r>
      <w:r w:rsidR="00B95D39">
        <w:rPr>
          <w:rFonts w:ascii="Source Sans Pro" w:hAnsi="Source Sans Pro" w:cs="Calibri Light"/>
        </w:rPr>
        <w:t>eiro</w:t>
      </w:r>
      <w:r w:rsidRPr="00D829F0">
        <w:rPr>
          <w:rFonts w:ascii="Source Sans Pro" w:hAnsi="Source Sans Pro" w:cs="Calibri Light"/>
        </w:rPr>
        <w:t xml:space="preserve">) bija par 183 </w:t>
      </w:r>
      <w:r w:rsidR="00B95D39">
        <w:rPr>
          <w:rFonts w:ascii="Source Sans Pro" w:hAnsi="Source Sans Pro" w:cs="Calibri Light"/>
        </w:rPr>
        <w:t>eiro</w:t>
      </w:r>
      <w:r w:rsidRPr="00D829F0">
        <w:rPr>
          <w:rFonts w:ascii="Source Sans Pro" w:hAnsi="Source Sans Pro" w:cs="Calibri Light"/>
        </w:rPr>
        <w:t xml:space="preserve"> mazāka nekā sabiedriskajā sektorā (806 </w:t>
      </w:r>
      <w:r w:rsidR="00B95D39">
        <w:rPr>
          <w:rFonts w:ascii="Source Sans Pro" w:hAnsi="Source Sans Pro" w:cs="Calibri Light"/>
        </w:rPr>
        <w:t>eiro</w:t>
      </w:r>
      <w:r w:rsidRPr="00D829F0">
        <w:rPr>
          <w:rFonts w:ascii="Source Sans Pro" w:hAnsi="Source Sans Pro" w:cs="Calibri Light"/>
        </w:rPr>
        <w:t>), tad 2025.</w:t>
      </w:r>
      <w:r w:rsidR="00324827">
        <w:rPr>
          <w:rFonts w:ascii="Source Sans Pro" w:hAnsi="Source Sans Pro" w:cs="Calibri Light"/>
        </w:rPr>
        <w:t> </w:t>
      </w:r>
      <w:r w:rsidRPr="00D829F0">
        <w:rPr>
          <w:rFonts w:ascii="Source Sans Pro" w:hAnsi="Source Sans Pro" w:cs="Calibri Light"/>
        </w:rPr>
        <w:t xml:space="preserve">gadā vidējā bruto darba samaksa sabiedriskajā sektorā bija 1863 </w:t>
      </w:r>
      <w:r w:rsidR="00B95D39">
        <w:rPr>
          <w:rFonts w:ascii="Source Sans Pro" w:hAnsi="Source Sans Pro" w:cs="Calibri Light"/>
        </w:rPr>
        <w:t>eiro</w:t>
      </w:r>
      <w:r w:rsidRPr="00D829F0">
        <w:rPr>
          <w:rFonts w:ascii="Source Sans Pro" w:hAnsi="Source Sans Pro" w:cs="Calibri Light"/>
        </w:rPr>
        <w:t xml:space="preserve"> un privātajā sektorā - 1800 </w:t>
      </w:r>
      <w:r w:rsidR="00B95D39">
        <w:rPr>
          <w:rFonts w:ascii="Source Sans Pro" w:hAnsi="Source Sans Pro" w:cs="Calibri Light"/>
        </w:rPr>
        <w:t>eiro</w:t>
      </w:r>
      <w:r w:rsidRPr="00D829F0">
        <w:rPr>
          <w:rFonts w:ascii="Source Sans Pro" w:hAnsi="Source Sans Pro" w:cs="Calibri Light"/>
        </w:rPr>
        <w:t>. Kā arī 2025.</w:t>
      </w:r>
      <w:r w:rsidR="00324827">
        <w:rPr>
          <w:rFonts w:ascii="Source Sans Pro" w:hAnsi="Source Sans Pro" w:cs="Calibri Light"/>
        </w:rPr>
        <w:t> </w:t>
      </w:r>
      <w:r w:rsidRPr="00D829F0">
        <w:rPr>
          <w:rFonts w:ascii="Source Sans Pro" w:hAnsi="Source Sans Pro" w:cs="Calibri Light"/>
        </w:rPr>
        <w:t xml:space="preserve">gadā strādājošo mēneša vidējā bruto darba samaksa privātajā sektorā pieauga straujāk nekā sabiedriskajā sektorā, savukārt sabiedriskajā sektorā algu dinamiku ietekmēja </w:t>
      </w:r>
      <w:r w:rsidR="00EF0542" w:rsidRPr="00D829F0">
        <w:rPr>
          <w:rFonts w:ascii="Source Sans Pro" w:hAnsi="Source Sans Pro" w:cs="Calibri Light"/>
        </w:rPr>
        <w:t xml:space="preserve">atalgojuma fonda pieauguma </w:t>
      </w:r>
      <w:r w:rsidR="00CF63D5" w:rsidRPr="00D829F0">
        <w:rPr>
          <w:rFonts w:ascii="Source Sans Pro" w:hAnsi="Source Sans Pro" w:cs="Calibri Light"/>
        </w:rPr>
        <w:t>ierobežošana</w:t>
      </w:r>
      <w:r w:rsidR="00EF0542" w:rsidRPr="00D829F0">
        <w:rPr>
          <w:rFonts w:ascii="Source Sans Pro" w:hAnsi="Source Sans Pro" w:cs="Calibri Light"/>
        </w:rPr>
        <w:t>.</w:t>
      </w:r>
    </w:p>
    <w:p w14:paraId="191BE4F8" w14:textId="198CCF87" w:rsidR="005E4825" w:rsidRPr="00D829F0" w:rsidRDefault="005E4825" w:rsidP="005E4825">
      <w:pPr>
        <w:spacing w:after="120"/>
        <w:ind w:right="-1"/>
        <w:jc w:val="both"/>
        <w:rPr>
          <w:rFonts w:ascii="Source Sans Pro" w:hAnsi="Source Sans Pro"/>
        </w:rPr>
      </w:pPr>
      <w:r w:rsidRPr="00D829F0">
        <w:rPr>
          <w:rFonts w:ascii="Source Sans Pro" w:hAnsi="Source Sans Pro"/>
        </w:rPr>
        <w:t>Līdz ar nominālā atalgojuma pieaugumu pakāpeniski palielinājās reālā darba alga. 2013.-2016.</w:t>
      </w:r>
      <w:r w:rsidR="00264348">
        <w:rPr>
          <w:rFonts w:ascii="Source Sans Pro" w:hAnsi="Source Sans Pro"/>
        </w:rPr>
        <w:t> </w:t>
      </w:r>
      <w:r w:rsidRPr="00D829F0">
        <w:rPr>
          <w:rFonts w:ascii="Source Sans Pro" w:hAnsi="Source Sans Pro"/>
        </w:rPr>
        <w:t xml:space="preserve">gadā reālās algas pieaugums kļuva straujāks. </w:t>
      </w:r>
      <w:r w:rsidR="00324827">
        <w:rPr>
          <w:rFonts w:ascii="Source Sans Pro" w:hAnsi="Source Sans Pro"/>
        </w:rPr>
        <w:t>P</w:t>
      </w:r>
      <w:r w:rsidRPr="00D829F0">
        <w:rPr>
          <w:rFonts w:ascii="Source Sans Pro" w:hAnsi="Source Sans Pro"/>
        </w:rPr>
        <w:t xml:space="preserve">amatā </w:t>
      </w:r>
      <w:r w:rsidR="00324827">
        <w:rPr>
          <w:rFonts w:ascii="Source Sans Pro" w:hAnsi="Source Sans Pro"/>
        </w:rPr>
        <w:t>to</w:t>
      </w:r>
      <w:r w:rsidRPr="00D829F0">
        <w:rPr>
          <w:rFonts w:ascii="Source Sans Pro" w:hAnsi="Source Sans Pro"/>
        </w:rPr>
        <w:t xml:space="preserve"> noteica straujš nominālās algas kāpums, kā arī mērenās patēriņa cenu izmaiņas. Strauji pieaugot inflācijai, 2022.</w:t>
      </w:r>
      <w:r w:rsidR="00324827">
        <w:rPr>
          <w:rFonts w:ascii="Source Sans Pro" w:hAnsi="Source Sans Pro"/>
        </w:rPr>
        <w:t> </w:t>
      </w:r>
      <w:r w:rsidRPr="00D829F0">
        <w:rPr>
          <w:rFonts w:ascii="Source Sans Pro" w:hAnsi="Source Sans Pro"/>
        </w:rPr>
        <w:t>gadā reālā darba alga samazinājās par 8,7%, savukārt stabilizējoties inflācijai 2023.</w:t>
      </w:r>
      <w:r w:rsidR="006F3556">
        <w:rPr>
          <w:rFonts w:ascii="Source Sans Pro" w:hAnsi="Source Sans Pro"/>
        </w:rPr>
        <w:t> </w:t>
      </w:r>
      <w:r w:rsidRPr="00D829F0">
        <w:rPr>
          <w:rFonts w:ascii="Source Sans Pro" w:hAnsi="Source Sans Pro"/>
        </w:rPr>
        <w:t>gadā bija novērojams neliels reālās darba samaksas pieaugums - par 2,2%. Reālās darba samaksas pieaugums turpinājās arī 2024. un 2025.</w:t>
      </w:r>
      <w:r w:rsidR="006F3556">
        <w:rPr>
          <w:rFonts w:ascii="Source Sans Pro" w:hAnsi="Source Sans Pro"/>
        </w:rPr>
        <w:t> </w:t>
      </w:r>
      <w:r w:rsidRPr="00D829F0">
        <w:rPr>
          <w:rFonts w:ascii="Source Sans Pro" w:hAnsi="Source Sans Pro"/>
        </w:rPr>
        <w:t>gadā, kad tas sasniedza attiecīgi 7,6% un 6,3%. Tas liecina, ka pēc inflācijas šoka pirktspēja pakāpeniski atjaunojās, nominālās darba samaksas kāpumam pārsniedzot patēriņa cenu pieaugumu.</w:t>
      </w:r>
    </w:p>
    <w:p w14:paraId="2AB1ED66" w14:textId="77777777" w:rsidR="005E4825" w:rsidRPr="00D829F0" w:rsidRDefault="005E4825" w:rsidP="00867A48">
      <w:pPr>
        <w:spacing w:after="120"/>
        <w:jc w:val="both"/>
        <w:rPr>
          <w:rFonts w:ascii="Source Sans Pro" w:hAnsi="Source Sans Pro" w:cs="Calibri Light"/>
          <w:szCs w:val="20"/>
        </w:rPr>
      </w:pPr>
    </w:p>
    <w:p w14:paraId="41549D59" w14:textId="77777777" w:rsidR="005E4825" w:rsidRDefault="005E4825">
      <w:pPr>
        <w:spacing w:after="0"/>
        <w:rPr>
          <w:rFonts w:ascii="Source Sans Pro" w:hAnsi="Source Sans Pro"/>
          <w:szCs w:val="20"/>
        </w:rPr>
      </w:pPr>
      <w:r>
        <w:rPr>
          <w:rFonts w:ascii="Source Sans Pro" w:hAnsi="Source Sans Pro"/>
          <w:szCs w:val="20"/>
        </w:rPr>
        <w:br w:type="page"/>
      </w:r>
    </w:p>
    <w:p w14:paraId="3122198C" w14:textId="5E4ED4BE" w:rsidR="00AA2E25" w:rsidRPr="00D829F0" w:rsidRDefault="00AA2E25" w:rsidP="00867A48">
      <w:pPr>
        <w:spacing w:after="120"/>
        <w:jc w:val="right"/>
        <w:rPr>
          <w:rFonts w:ascii="Source Sans Pro" w:hAnsi="Source Sans Pro"/>
          <w:szCs w:val="20"/>
        </w:rPr>
      </w:pPr>
      <w:r w:rsidRPr="00D829F0">
        <w:rPr>
          <w:rFonts w:ascii="Source Sans Pro" w:hAnsi="Source Sans Pro"/>
          <w:szCs w:val="20"/>
        </w:rPr>
        <w:lastRenderedPageBreak/>
        <w:t>1.</w:t>
      </w:r>
      <w:r w:rsidR="00AD141B" w:rsidRPr="00D829F0">
        <w:rPr>
          <w:rFonts w:ascii="Source Sans Pro" w:hAnsi="Source Sans Pro"/>
          <w:szCs w:val="20"/>
        </w:rPr>
        <w:t>10</w:t>
      </w:r>
      <w:r w:rsidRPr="00D829F0">
        <w:rPr>
          <w:rFonts w:ascii="Source Sans Pro" w:hAnsi="Source Sans Pro"/>
          <w:szCs w:val="20"/>
        </w:rPr>
        <w:t>. attēls</w:t>
      </w:r>
    </w:p>
    <w:p w14:paraId="043AE8A7" w14:textId="3A3E95A0" w:rsidR="00AA2E25" w:rsidRPr="00EB30C3" w:rsidRDefault="00AA2E25" w:rsidP="00867A48">
      <w:pPr>
        <w:tabs>
          <w:tab w:val="center" w:pos="2268"/>
          <w:tab w:val="center" w:pos="6804"/>
        </w:tabs>
        <w:spacing w:after="120"/>
        <w:ind w:right="-766"/>
        <w:rPr>
          <w:rFonts w:ascii="Segoe UI Light" w:hAnsi="Segoe UI Light" w:cs="Segoe UI Light"/>
          <w:b/>
          <w:bCs/>
          <w:sz w:val="16"/>
          <w:szCs w:val="16"/>
        </w:rPr>
      </w:pPr>
      <w:r w:rsidRPr="00EB30C3">
        <w:rPr>
          <w:rFonts w:ascii="Segoe UI Light" w:hAnsi="Segoe UI Light" w:cs="Segoe UI Light"/>
          <w:b/>
          <w:sz w:val="18"/>
          <w:szCs w:val="20"/>
        </w:rPr>
        <w:tab/>
      </w:r>
      <w:r w:rsidRPr="00EB30C3">
        <w:rPr>
          <w:rFonts w:ascii="Segoe UI Light" w:hAnsi="Segoe UI Light" w:cs="Segoe UI Light"/>
          <w:b/>
          <w:bCs/>
          <w:sz w:val="18"/>
          <w:szCs w:val="18"/>
        </w:rPr>
        <w:t>Strādājošo mēneša vidējā bruto darba samaksa</w:t>
      </w:r>
      <w:r w:rsidRPr="00EB30C3">
        <w:rPr>
          <w:rFonts w:ascii="Segoe UI Light" w:hAnsi="Segoe UI Light" w:cs="Segoe UI Light"/>
          <w:b/>
          <w:sz w:val="18"/>
          <w:szCs w:val="20"/>
        </w:rPr>
        <w:tab/>
      </w:r>
      <w:r w:rsidRPr="00EB30C3">
        <w:rPr>
          <w:rFonts w:ascii="Segoe UI Light" w:hAnsi="Segoe UI Light" w:cs="Segoe UI Light"/>
          <w:b/>
          <w:bCs/>
          <w:sz w:val="18"/>
          <w:szCs w:val="18"/>
        </w:rPr>
        <w:t>Strādājošo mēneša vidējā bruto darba samaksa</w:t>
      </w:r>
      <w:r w:rsidRPr="00EB30C3">
        <w:rPr>
          <w:rFonts w:ascii="Segoe UI Light" w:hAnsi="Segoe UI Light" w:cs="Segoe UI Light"/>
          <w:b/>
          <w:sz w:val="18"/>
          <w:szCs w:val="20"/>
        </w:rPr>
        <w:br/>
      </w:r>
      <w:r w:rsidRPr="00EB30C3">
        <w:rPr>
          <w:rFonts w:ascii="Segoe UI Light" w:hAnsi="Segoe UI Light" w:cs="Segoe UI Light"/>
          <w:i/>
          <w:sz w:val="16"/>
          <w:szCs w:val="20"/>
        </w:rPr>
        <w:tab/>
      </w:r>
      <w:r w:rsidR="00D742BC" w:rsidRPr="00EB30C3">
        <w:rPr>
          <w:rFonts w:ascii="Segoe UI Light" w:hAnsi="Segoe UI Light" w:cs="Segoe UI Light"/>
          <w:i/>
          <w:iCs/>
          <w:sz w:val="16"/>
          <w:szCs w:val="16"/>
        </w:rPr>
        <w:t>EUR</w:t>
      </w:r>
      <w:r w:rsidRPr="00EB30C3">
        <w:rPr>
          <w:rFonts w:ascii="Segoe UI Light" w:hAnsi="Segoe UI Light" w:cs="Segoe UI Light"/>
          <w:i/>
          <w:sz w:val="16"/>
          <w:szCs w:val="20"/>
        </w:rPr>
        <w:tab/>
      </w:r>
      <w:r w:rsidRPr="00EB30C3">
        <w:rPr>
          <w:rFonts w:ascii="Segoe UI Light" w:hAnsi="Segoe UI Light" w:cs="Segoe UI Light"/>
          <w:i/>
          <w:iCs/>
          <w:sz w:val="16"/>
          <w:szCs w:val="16"/>
        </w:rPr>
        <w:t>izmaiņas procentos</w:t>
      </w:r>
    </w:p>
    <w:p w14:paraId="62FC0B82" w14:textId="26A58451" w:rsidR="00AA2E25" w:rsidRPr="00D829F0" w:rsidRDefault="00952EB0" w:rsidP="00867A48">
      <w:pPr>
        <w:spacing w:after="120"/>
        <w:ind w:right="-766"/>
        <w:rPr>
          <w:rFonts w:ascii="Source Sans Pro" w:hAnsi="Source Sans Pro" w:cs="Segoe UI"/>
        </w:rPr>
      </w:pPr>
      <w:r w:rsidRPr="00D829F0">
        <w:rPr>
          <w:rFonts w:ascii="Source Sans Pro" w:hAnsi="Source Sans Pro" w:cs="Segoe UI"/>
          <w:noProof/>
          <w:szCs w:val="20"/>
          <w:lang w:eastAsia="lv-LV"/>
        </w:rPr>
        <w:drawing>
          <wp:inline distT="0" distB="0" distL="0" distR="0" wp14:anchorId="76D8582A" wp14:editId="64BB4914">
            <wp:extent cx="2879725" cy="2160000"/>
            <wp:effectExtent l="0" t="0" r="0" b="0"/>
            <wp:docPr id="429792674" name="Chart 429792674">
              <a:extLst xmlns:a="http://schemas.openxmlformats.org/drawingml/2006/main">
                <a:ext uri="{FF2B5EF4-FFF2-40B4-BE49-F238E27FC236}">
                  <a16:creationId xmlns:a16="http://schemas.microsoft.com/office/drawing/2014/main" id="{730E20CD-6D72-4955-B338-3AD88C465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FB2C11" w:rsidRPr="00D829F0">
        <w:rPr>
          <w:rFonts w:ascii="Source Sans Pro" w:hAnsi="Source Sans Pro" w:cs="Segoe UI"/>
          <w:noProof/>
          <w:szCs w:val="20"/>
          <w:lang w:eastAsia="lv-LV"/>
        </w:rPr>
        <w:drawing>
          <wp:inline distT="0" distB="0" distL="0" distR="0" wp14:anchorId="09BC51F3" wp14:editId="2C974B43">
            <wp:extent cx="2879725" cy="2160000"/>
            <wp:effectExtent l="0" t="0" r="0" b="0"/>
            <wp:docPr id="907015289" name="Chart 907015289">
              <a:extLst xmlns:a="http://schemas.openxmlformats.org/drawingml/2006/main">
                <a:ext uri="{FF2B5EF4-FFF2-40B4-BE49-F238E27FC236}">
                  <a16:creationId xmlns:a16="http://schemas.microsoft.com/office/drawing/2014/main" id="{730E20CD-6D72-4955-B338-3AD88C465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A5266F2" w14:textId="77777777" w:rsidR="00AA2E25" w:rsidRPr="00D829F0" w:rsidRDefault="00AA2E25" w:rsidP="00867A48">
      <w:pPr>
        <w:spacing w:after="120"/>
        <w:ind w:right="-766"/>
        <w:jc w:val="both"/>
        <w:rPr>
          <w:rFonts w:ascii="Source Sans Pro" w:hAnsi="Source Sans Pro"/>
          <w:sz w:val="16"/>
          <w:szCs w:val="16"/>
        </w:rPr>
      </w:pPr>
      <w:r w:rsidRPr="00D829F0">
        <w:rPr>
          <w:rFonts w:ascii="Source Sans Pro" w:hAnsi="Source Sans Pro"/>
          <w:sz w:val="16"/>
          <w:szCs w:val="16"/>
        </w:rPr>
        <w:t>Avots: CSP</w:t>
      </w:r>
    </w:p>
    <w:p w14:paraId="73E4F5A5" w14:textId="77777777" w:rsidR="00D742BC" w:rsidRPr="00D829F0" w:rsidRDefault="00D742BC" w:rsidP="00867A48">
      <w:pPr>
        <w:spacing w:after="120"/>
        <w:jc w:val="both"/>
        <w:rPr>
          <w:rFonts w:ascii="Source Sans Pro" w:hAnsi="Source Sans Pro"/>
        </w:rPr>
      </w:pPr>
    </w:p>
    <w:p w14:paraId="71F8D053" w14:textId="1FE5D133" w:rsidR="008915B8" w:rsidRPr="00D829F0" w:rsidRDefault="008915B8" w:rsidP="008915B8">
      <w:pPr>
        <w:spacing w:after="120"/>
        <w:ind w:right="-1"/>
        <w:jc w:val="both"/>
        <w:rPr>
          <w:rFonts w:ascii="Source Sans Pro" w:hAnsi="Source Sans Pro"/>
        </w:rPr>
      </w:pPr>
      <w:r w:rsidRPr="00D829F0">
        <w:rPr>
          <w:rFonts w:ascii="Source Sans Pro" w:hAnsi="Source Sans Pro"/>
        </w:rPr>
        <w:t xml:space="preserve">Pēdējos gados pakāpeniski samazinās minimālās darba algas saņēmēju īpatsvars un pieaug nodarbināto skaits, kas saņem darba algu lielāku par 1000 </w:t>
      </w:r>
      <w:r w:rsidR="002A6A0D">
        <w:rPr>
          <w:rFonts w:ascii="Source Sans Pro" w:hAnsi="Source Sans Pro"/>
        </w:rPr>
        <w:t>eiro</w:t>
      </w:r>
      <w:r w:rsidRPr="00D829F0">
        <w:rPr>
          <w:rFonts w:ascii="Source Sans Pro" w:hAnsi="Source Sans Pro"/>
        </w:rPr>
        <w:t xml:space="preserve"> mēnesī. 1000 </w:t>
      </w:r>
      <w:r w:rsidR="002A6A0D">
        <w:rPr>
          <w:rFonts w:ascii="Source Sans Pro" w:hAnsi="Source Sans Pro"/>
        </w:rPr>
        <w:t>eiro</w:t>
      </w:r>
      <w:r w:rsidRPr="00D829F0">
        <w:rPr>
          <w:rFonts w:ascii="Source Sans Pro" w:hAnsi="Source Sans Pro"/>
        </w:rPr>
        <w:t xml:space="preserve"> un vairāk algu grupas saņēmēju īpatsvars 2025.</w:t>
      </w:r>
      <w:r w:rsidR="006F3556">
        <w:rPr>
          <w:rFonts w:ascii="Source Sans Pro" w:hAnsi="Source Sans Pro"/>
        </w:rPr>
        <w:t> </w:t>
      </w:r>
      <w:r w:rsidRPr="00D829F0">
        <w:rPr>
          <w:rFonts w:ascii="Source Sans Pro" w:hAnsi="Source Sans Pro"/>
        </w:rPr>
        <w:t>gadā sasniedza jau 68,3% no kopējā nodarbināto skaita.</w:t>
      </w:r>
    </w:p>
    <w:p w14:paraId="24B801D2" w14:textId="3E7A0954" w:rsidR="00867A48" w:rsidRPr="00D829F0" w:rsidRDefault="008915B8" w:rsidP="008915B8">
      <w:pPr>
        <w:spacing w:after="120"/>
        <w:ind w:right="-1"/>
        <w:jc w:val="both"/>
        <w:rPr>
          <w:rFonts w:ascii="Source Sans Pro" w:hAnsi="Source Sans Pro"/>
        </w:rPr>
      </w:pPr>
      <w:r w:rsidRPr="00D829F0">
        <w:rPr>
          <w:rFonts w:ascii="Source Sans Pro" w:hAnsi="Source Sans Pro"/>
        </w:rPr>
        <w:t>Kopš 2013.</w:t>
      </w:r>
      <w:r w:rsidR="006F3556">
        <w:rPr>
          <w:rFonts w:ascii="Source Sans Pro" w:hAnsi="Source Sans Pro"/>
        </w:rPr>
        <w:t> </w:t>
      </w:r>
      <w:r w:rsidRPr="00D829F0">
        <w:rPr>
          <w:rFonts w:ascii="Source Sans Pro" w:hAnsi="Source Sans Pro"/>
        </w:rPr>
        <w:t>gada darba samaksa būtībā pieaug visās tautsaimniecības nozarēs, tomēr to dinamika ir atšķirīga. 2025.</w:t>
      </w:r>
      <w:r w:rsidR="006F3556">
        <w:rPr>
          <w:rFonts w:ascii="Source Sans Pro" w:hAnsi="Source Sans Pro"/>
        </w:rPr>
        <w:t> </w:t>
      </w:r>
      <w:r w:rsidRPr="00D829F0">
        <w:rPr>
          <w:rFonts w:ascii="Source Sans Pro" w:hAnsi="Source Sans Pro"/>
        </w:rPr>
        <w:t>gadā straujākais atalgojuma pieaugums bija vērojams citu pakalpojumu nozarē – par 19%. Tāpat 2025.</w:t>
      </w:r>
      <w:r w:rsidR="006F3556">
        <w:rPr>
          <w:rFonts w:ascii="Source Sans Pro" w:hAnsi="Source Sans Pro"/>
        </w:rPr>
        <w:t> </w:t>
      </w:r>
      <w:r w:rsidRPr="00D829F0">
        <w:rPr>
          <w:rFonts w:ascii="Source Sans Pro" w:hAnsi="Source Sans Pro"/>
        </w:rPr>
        <w:t>gadā salīdzinoši straujš bruto darba samaksas pieaugums bija vērojams nekustamo īpašumu operācijās</w:t>
      </w:r>
      <w:r w:rsidR="00D34C29" w:rsidRPr="00D829F0">
        <w:rPr>
          <w:rFonts w:ascii="Source Sans Pro" w:hAnsi="Source Sans Pro"/>
        </w:rPr>
        <w:t xml:space="preserve"> </w:t>
      </w:r>
      <w:r w:rsidRPr="00D829F0">
        <w:rPr>
          <w:rFonts w:ascii="Source Sans Pro" w:hAnsi="Source Sans Pro"/>
        </w:rPr>
        <w:t>(</w:t>
      </w:r>
      <w:r w:rsidR="00D34C29" w:rsidRPr="00D829F0">
        <w:rPr>
          <w:rFonts w:ascii="Source Sans Pro" w:hAnsi="Source Sans Pro"/>
        </w:rPr>
        <w:t>+</w:t>
      </w:r>
      <w:r w:rsidRPr="00D829F0">
        <w:rPr>
          <w:rFonts w:ascii="Source Sans Pro" w:hAnsi="Source Sans Pro"/>
        </w:rPr>
        <w:t>14,3%), administratīvo pakalpojumu nozarē (</w:t>
      </w:r>
      <w:r w:rsidR="00D34C29" w:rsidRPr="00D829F0">
        <w:rPr>
          <w:rFonts w:ascii="Source Sans Pro" w:hAnsi="Source Sans Pro"/>
        </w:rPr>
        <w:t>+</w:t>
      </w:r>
      <w:r w:rsidRPr="00D829F0">
        <w:rPr>
          <w:rFonts w:ascii="Source Sans Pro" w:hAnsi="Source Sans Pro"/>
        </w:rPr>
        <w:t>9,6%), kā arī izglītībā (</w:t>
      </w:r>
      <w:r w:rsidR="00D34C29" w:rsidRPr="00D829F0">
        <w:rPr>
          <w:rFonts w:ascii="Source Sans Pro" w:hAnsi="Source Sans Pro"/>
        </w:rPr>
        <w:t>+</w:t>
      </w:r>
      <w:r w:rsidRPr="00D829F0">
        <w:rPr>
          <w:rFonts w:ascii="Source Sans Pro" w:hAnsi="Source Sans Pro"/>
        </w:rPr>
        <w:t>9,3%).</w:t>
      </w:r>
    </w:p>
    <w:p w14:paraId="609DDAC5" w14:textId="0B4D22C4" w:rsidR="00AA2E25" w:rsidRPr="00D829F0" w:rsidRDefault="00AA2E25" w:rsidP="00867A48">
      <w:pPr>
        <w:spacing w:after="120"/>
        <w:jc w:val="right"/>
        <w:rPr>
          <w:rFonts w:ascii="Source Sans Pro" w:hAnsi="Source Sans Pro"/>
          <w:szCs w:val="20"/>
        </w:rPr>
      </w:pPr>
      <w:r w:rsidRPr="00D829F0">
        <w:rPr>
          <w:rFonts w:ascii="Source Sans Pro" w:hAnsi="Source Sans Pro"/>
          <w:szCs w:val="20"/>
        </w:rPr>
        <w:t>1.11. attēls</w:t>
      </w:r>
    </w:p>
    <w:p w14:paraId="22DE9C59" w14:textId="77777777" w:rsidR="00AA2E25" w:rsidRPr="008915B8" w:rsidRDefault="00AA2E25" w:rsidP="00867A48">
      <w:pPr>
        <w:spacing w:after="120"/>
        <w:ind w:right="-766"/>
        <w:jc w:val="center"/>
        <w:rPr>
          <w:rFonts w:ascii="Segoe UI Light" w:hAnsi="Segoe UI Light" w:cs="Segoe UI Light"/>
          <w:i/>
          <w:sz w:val="16"/>
          <w:szCs w:val="20"/>
        </w:rPr>
      </w:pPr>
      <w:r w:rsidRPr="008915B8">
        <w:rPr>
          <w:rFonts w:ascii="Segoe UI Light" w:hAnsi="Segoe UI Light" w:cs="Segoe UI Light"/>
          <w:b/>
          <w:sz w:val="18"/>
          <w:szCs w:val="20"/>
        </w:rPr>
        <w:t>Nodarbināto sadalījums pa bruto algu grupām</w:t>
      </w:r>
      <w:r w:rsidRPr="008915B8">
        <w:rPr>
          <w:rFonts w:ascii="Segoe UI Light" w:hAnsi="Segoe UI Light" w:cs="Segoe UI Light"/>
          <w:b/>
          <w:sz w:val="18"/>
          <w:szCs w:val="20"/>
        </w:rPr>
        <w:br/>
      </w:r>
      <w:r w:rsidRPr="008915B8">
        <w:rPr>
          <w:rFonts w:ascii="Segoe UI Light" w:hAnsi="Segoe UI Light" w:cs="Segoe UI Light"/>
          <w:i/>
          <w:sz w:val="16"/>
          <w:szCs w:val="20"/>
        </w:rPr>
        <w:t>īpatsvars procentos no kopējā nodarbināto skaita</w:t>
      </w:r>
    </w:p>
    <w:p w14:paraId="5120C192" w14:textId="52E7B233" w:rsidR="00AA2E25" w:rsidRPr="00D829F0" w:rsidRDefault="00382BFF" w:rsidP="00867A48">
      <w:pPr>
        <w:spacing w:after="120"/>
        <w:jc w:val="center"/>
        <w:rPr>
          <w:rFonts w:ascii="Source Sans Pro" w:hAnsi="Source Sans Pro" w:cs="Segoe UI"/>
          <w:color w:val="244061"/>
        </w:rPr>
      </w:pPr>
      <w:r w:rsidRPr="00D829F0">
        <w:rPr>
          <w:rFonts w:ascii="Source Sans Pro" w:hAnsi="Source Sans Pro" w:cs="Arial"/>
          <w:noProof/>
          <w:szCs w:val="20"/>
          <w:lang w:eastAsia="lv-LV"/>
        </w:rPr>
        <w:drawing>
          <wp:inline distT="0" distB="0" distL="0" distR="0" wp14:anchorId="567547F7" wp14:editId="5183724F">
            <wp:extent cx="5700156" cy="1739265"/>
            <wp:effectExtent l="0" t="0" r="0" b="0"/>
            <wp:docPr id="1229141636" name="Chart 1229141636">
              <a:extLst xmlns:a="http://schemas.openxmlformats.org/drawingml/2006/main">
                <a:ext uri="{FF2B5EF4-FFF2-40B4-BE49-F238E27FC236}">
                  <a16:creationId xmlns:a16="http://schemas.microsoft.com/office/drawing/2014/main" id="{F06C296D-0B15-4E9B-BB2C-F92E81CA27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705F8E9" w14:textId="18E07E0A" w:rsidR="00D742BC" w:rsidRPr="00D829F0" w:rsidRDefault="00AA2E25" w:rsidP="00867A48">
      <w:pPr>
        <w:spacing w:after="120"/>
        <w:ind w:right="-1"/>
        <w:jc w:val="both"/>
        <w:rPr>
          <w:rFonts w:ascii="Source Sans Pro" w:hAnsi="Source Sans Pro"/>
          <w:sz w:val="16"/>
          <w:szCs w:val="16"/>
        </w:rPr>
      </w:pPr>
      <w:r w:rsidRPr="00D829F0">
        <w:rPr>
          <w:rFonts w:ascii="Source Sans Pro" w:hAnsi="Source Sans Pro"/>
          <w:sz w:val="16"/>
          <w:szCs w:val="16"/>
        </w:rPr>
        <w:t>Avots: CSP</w:t>
      </w:r>
    </w:p>
    <w:p w14:paraId="0D44B0A1" w14:textId="631312FD" w:rsidR="00AA2E25" w:rsidRPr="00D829F0" w:rsidRDefault="000C27EB" w:rsidP="00867A48">
      <w:pPr>
        <w:spacing w:after="120"/>
        <w:ind w:right="-1"/>
        <w:jc w:val="both"/>
        <w:rPr>
          <w:rFonts w:ascii="Source Sans Pro" w:hAnsi="Source Sans Pro"/>
        </w:rPr>
      </w:pPr>
      <w:r w:rsidRPr="00D829F0">
        <w:rPr>
          <w:rFonts w:ascii="Source Sans Pro" w:hAnsi="Source Sans Pro"/>
        </w:rPr>
        <w:t xml:space="preserve">Vislielākā bruto darba samaksa joprojām ir finanšu un apdrošināšanas darbību jomā - 3077 </w:t>
      </w:r>
      <w:r w:rsidR="00370E7C">
        <w:rPr>
          <w:rFonts w:ascii="Source Sans Pro" w:hAnsi="Source Sans Pro"/>
        </w:rPr>
        <w:t>eiro</w:t>
      </w:r>
      <w:r w:rsidRPr="00D829F0">
        <w:rPr>
          <w:rFonts w:ascii="Source Sans Pro" w:hAnsi="Source Sans Pro"/>
        </w:rPr>
        <w:t>, kas ir gandrīz divas reizes lielāka nekā vidēji tautsaimniecībā. Tajā pašā laikā mazākā darba samaksa 2025.</w:t>
      </w:r>
      <w:r w:rsidR="009B0AAE">
        <w:rPr>
          <w:rFonts w:ascii="Source Sans Pro" w:hAnsi="Source Sans Pro"/>
        </w:rPr>
        <w:t> </w:t>
      </w:r>
      <w:r w:rsidRPr="00D829F0">
        <w:rPr>
          <w:rFonts w:ascii="Source Sans Pro" w:hAnsi="Source Sans Pro"/>
        </w:rPr>
        <w:t xml:space="preserve">gadā bija izmitināšanas un ēdināšanas pakalpojumu jomā </w:t>
      </w:r>
      <w:r w:rsidR="00F53D57">
        <w:rPr>
          <w:rFonts w:ascii="Source Sans Pro" w:hAnsi="Source Sans Pro"/>
        </w:rPr>
        <w:t>–</w:t>
      </w:r>
      <w:r w:rsidRPr="00D829F0">
        <w:rPr>
          <w:rFonts w:ascii="Source Sans Pro" w:hAnsi="Source Sans Pro"/>
        </w:rPr>
        <w:t xml:space="preserve"> 1190 </w:t>
      </w:r>
      <w:r w:rsidR="00370E7C">
        <w:rPr>
          <w:rFonts w:ascii="Source Sans Pro" w:hAnsi="Source Sans Pro"/>
        </w:rPr>
        <w:t>eiro</w:t>
      </w:r>
      <w:r w:rsidRPr="00D829F0">
        <w:rPr>
          <w:rFonts w:ascii="Source Sans Pro" w:hAnsi="Source Sans Pro"/>
        </w:rPr>
        <w:t>.</w:t>
      </w:r>
      <w:bookmarkStart w:id="18" w:name="_Hlk36108546"/>
    </w:p>
    <w:p w14:paraId="7A433BA0" w14:textId="002BFAC2" w:rsidR="00F53D57" w:rsidRPr="00D829F0" w:rsidRDefault="00F53D57" w:rsidP="00F53D57">
      <w:pPr>
        <w:spacing w:after="120"/>
        <w:jc w:val="both"/>
        <w:rPr>
          <w:rFonts w:ascii="Source Sans Pro" w:hAnsi="Source Sans Pro"/>
        </w:rPr>
      </w:pPr>
      <w:r w:rsidRPr="00D829F0">
        <w:rPr>
          <w:rFonts w:ascii="Source Sans Pro" w:hAnsi="Source Sans Pro"/>
        </w:rPr>
        <w:t>2025.</w:t>
      </w:r>
      <w:r w:rsidR="009B0AAE">
        <w:rPr>
          <w:rFonts w:ascii="Source Sans Pro" w:hAnsi="Source Sans Pro"/>
        </w:rPr>
        <w:t> </w:t>
      </w:r>
      <w:r w:rsidRPr="00D829F0">
        <w:rPr>
          <w:rFonts w:ascii="Source Sans Pro" w:hAnsi="Source Sans Pro"/>
        </w:rPr>
        <w:t>gadā, salīdzinot ar 2024.</w:t>
      </w:r>
      <w:r w:rsidR="009B0AAE">
        <w:rPr>
          <w:rFonts w:ascii="Source Sans Pro" w:hAnsi="Source Sans Pro"/>
        </w:rPr>
        <w:t> </w:t>
      </w:r>
      <w:r w:rsidRPr="00D829F0">
        <w:rPr>
          <w:rFonts w:ascii="Source Sans Pro" w:hAnsi="Source Sans Pro"/>
        </w:rPr>
        <w:t>gadu, vidējā bruto darba samaksa veselības un sociālās aprūpes un informācijas un komunikācijas pakalpojumu darbībā pieauga par attiecīgi 4,7% katrā nozarē</w:t>
      </w:r>
      <w:r w:rsidR="00415135">
        <w:rPr>
          <w:rFonts w:ascii="Source Sans Pro" w:hAnsi="Source Sans Pro"/>
        </w:rPr>
        <w:t>. Tas</w:t>
      </w:r>
      <w:r w:rsidRPr="00D829F0">
        <w:rPr>
          <w:rFonts w:ascii="Source Sans Pro" w:hAnsi="Source Sans Pro"/>
        </w:rPr>
        <w:t xml:space="preserve"> ir krietni zem vidējā algas pieauguma valstī (7,7%). Visstraujākais bruto darba samaksas kāpums bija vērojams citu pakalpojumu, kā arī nekustamo īpašumu operāciju nozarē (19% un 14,3%).</w:t>
      </w:r>
    </w:p>
    <w:p w14:paraId="394AEADB" w14:textId="77777777" w:rsidR="00F53D57" w:rsidRPr="00D829F0" w:rsidRDefault="00F53D57" w:rsidP="00867A48">
      <w:pPr>
        <w:spacing w:after="120"/>
        <w:ind w:right="-1"/>
        <w:jc w:val="both"/>
        <w:rPr>
          <w:rFonts w:ascii="Source Sans Pro" w:hAnsi="Source Sans Pro"/>
        </w:rPr>
      </w:pPr>
    </w:p>
    <w:p w14:paraId="5EF1FE00" w14:textId="77777777" w:rsidR="00F53D57" w:rsidRDefault="00F53D57">
      <w:pPr>
        <w:spacing w:after="0"/>
        <w:rPr>
          <w:rFonts w:ascii="Source Sans Pro" w:hAnsi="Source Sans Pro"/>
          <w:szCs w:val="20"/>
        </w:rPr>
      </w:pPr>
      <w:r>
        <w:rPr>
          <w:rFonts w:ascii="Source Sans Pro" w:hAnsi="Source Sans Pro"/>
          <w:szCs w:val="20"/>
        </w:rPr>
        <w:br w:type="page"/>
      </w:r>
    </w:p>
    <w:p w14:paraId="1F38DA5F" w14:textId="2BE3E830" w:rsidR="00AA2E25" w:rsidRPr="00D829F0" w:rsidRDefault="00AA2E25" w:rsidP="00867A48">
      <w:pPr>
        <w:spacing w:after="120"/>
        <w:jc w:val="right"/>
        <w:rPr>
          <w:rFonts w:ascii="Source Sans Pro" w:hAnsi="Source Sans Pro"/>
          <w:szCs w:val="20"/>
        </w:rPr>
      </w:pPr>
      <w:r w:rsidRPr="00D829F0">
        <w:rPr>
          <w:rFonts w:ascii="Source Sans Pro" w:hAnsi="Source Sans Pro"/>
          <w:szCs w:val="20"/>
        </w:rPr>
        <w:lastRenderedPageBreak/>
        <w:t>1.12. attēls</w:t>
      </w:r>
    </w:p>
    <w:p w14:paraId="631E341C" w14:textId="57F97CF8" w:rsidR="00AA2E25" w:rsidRPr="000C27EB" w:rsidRDefault="00AA2E25" w:rsidP="00867A48">
      <w:pPr>
        <w:spacing w:after="120"/>
        <w:ind w:right="-766"/>
        <w:jc w:val="center"/>
        <w:rPr>
          <w:rFonts w:ascii="Segoe UI Light" w:hAnsi="Segoe UI Light" w:cs="Segoe UI Light"/>
          <w:i/>
          <w:sz w:val="16"/>
          <w:szCs w:val="20"/>
        </w:rPr>
      </w:pPr>
      <w:r w:rsidRPr="000C27EB">
        <w:rPr>
          <w:rFonts w:ascii="Segoe UI Light" w:hAnsi="Segoe UI Light" w:cs="Segoe UI Light"/>
          <w:b/>
          <w:sz w:val="18"/>
          <w:szCs w:val="20"/>
        </w:rPr>
        <w:t>Bruto darba samaksas izmaiņas pa nozarēm</w:t>
      </w:r>
      <w:r w:rsidRPr="000C27EB">
        <w:rPr>
          <w:rFonts w:ascii="Segoe UI Light" w:hAnsi="Segoe UI Light" w:cs="Segoe UI Light"/>
          <w:b/>
          <w:sz w:val="18"/>
          <w:szCs w:val="20"/>
        </w:rPr>
        <w:br/>
      </w:r>
      <w:r w:rsidRPr="000C27EB">
        <w:rPr>
          <w:rFonts w:ascii="Segoe UI Light" w:hAnsi="Segoe UI Light" w:cs="Segoe UI Light"/>
          <w:i/>
          <w:sz w:val="16"/>
          <w:szCs w:val="20"/>
        </w:rPr>
        <w:t>202</w:t>
      </w:r>
      <w:r w:rsidR="0076556C" w:rsidRPr="000C27EB">
        <w:rPr>
          <w:rFonts w:ascii="Segoe UI Light" w:hAnsi="Segoe UI Light" w:cs="Segoe UI Light"/>
          <w:i/>
          <w:sz w:val="16"/>
          <w:szCs w:val="20"/>
        </w:rPr>
        <w:t>5</w:t>
      </w:r>
      <w:r w:rsidRPr="000C27EB">
        <w:rPr>
          <w:rFonts w:ascii="Segoe UI Light" w:hAnsi="Segoe UI Light" w:cs="Segoe UI Light"/>
          <w:i/>
          <w:sz w:val="16"/>
          <w:szCs w:val="20"/>
        </w:rPr>
        <w:t>.</w:t>
      </w:r>
      <w:r w:rsidR="00415135">
        <w:rPr>
          <w:rFonts w:ascii="Segoe UI Light" w:hAnsi="Segoe UI Light" w:cs="Segoe UI Light"/>
          <w:i/>
          <w:sz w:val="16"/>
          <w:szCs w:val="20"/>
        </w:rPr>
        <w:t> </w:t>
      </w:r>
      <w:r w:rsidR="0080669C" w:rsidRPr="000C27EB">
        <w:rPr>
          <w:rFonts w:ascii="Segoe UI Light" w:hAnsi="Segoe UI Light" w:cs="Segoe UI Light"/>
          <w:i/>
          <w:sz w:val="16"/>
          <w:szCs w:val="20"/>
        </w:rPr>
        <w:t>gad</w:t>
      </w:r>
      <w:r w:rsidRPr="000C27EB">
        <w:rPr>
          <w:rFonts w:ascii="Segoe UI Light" w:hAnsi="Segoe UI Light" w:cs="Segoe UI Light"/>
          <w:i/>
          <w:sz w:val="16"/>
          <w:szCs w:val="20"/>
        </w:rPr>
        <w:t>s pret 202</w:t>
      </w:r>
      <w:r w:rsidR="0076556C" w:rsidRPr="000C27EB">
        <w:rPr>
          <w:rFonts w:ascii="Segoe UI Light" w:hAnsi="Segoe UI Light" w:cs="Segoe UI Light"/>
          <w:i/>
          <w:sz w:val="16"/>
          <w:szCs w:val="20"/>
        </w:rPr>
        <w:t>4</w:t>
      </w:r>
      <w:r w:rsidRPr="000C27EB">
        <w:rPr>
          <w:rFonts w:ascii="Segoe UI Light" w:hAnsi="Segoe UI Light" w:cs="Segoe UI Light"/>
          <w:i/>
          <w:sz w:val="16"/>
          <w:szCs w:val="20"/>
        </w:rPr>
        <w:t>.</w:t>
      </w:r>
      <w:r w:rsidR="00415135">
        <w:rPr>
          <w:rFonts w:ascii="Segoe UI Light" w:hAnsi="Segoe UI Light" w:cs="Segoe UI Light"/>
          <w:i/>
          <w:sz w:val="16"/>
          <w:szCs w:val="20"/>
        </w:rPr>
        <w:t> </w:t>
      </w:r>
      <w:r w:rsidR="0080669C" w:rsidRPr="000C27EB">
        <w:rPr>
          <w:rFonts w:ascii="Segoe UI Light" w:hAnsi="Segoe UI Light" w:cs="Segoe UI Light"/>
          <w:i/>
          <w:sz w:val="16"/>
          <w:szCs w:val="20"/>
        </w:rPr>
        <w:t>gad</w:t>
      </w:r>
      <w:r w:rsidRPr="000C27EB">
        <w:rPr>
          <w:rFonts w:ascii="Segoe UI Light" w:hAnsi="Segoe UI Light" w:cs="Segoe UI Light"/>
          <w:i/>
          <w:sz w:val="16"/>
          <w:szCs w:val="20"/>
        </w:rPr>
        <w:t>u, procentos</w:t>
      </w:r>
    </w:p>
    <w:p w14:paraId="11034465" w14:textId="4AC9AE3F" w:rsidR="004E1BF8" w:rsidRPr="00EF7F3C" w:rsidRDefault="0076556C" w:rsidP="00867A48">
      <w:pPr>
        <w:spacing w:after="120"/>
        <w:ind w:right="-766"/>
        <w:rPr>
          <w:rFonts w:ascii="Candara" w:hAnsi="Candara" w:cs="Segoe UI"/>
          <w:highlight w:val="yellow"/>
        </w:rPr>
      </w:pPr>
      <w:r w:rsidRPr="00D829F0">
        <w:rPr>
          <w:rFonts w:ascii="Source Sans Pro" w:hAnsi="Source Sans Pro"/>
          <w:iCs/>
          <w:noProof/>
          <w:color w:val="FFFFFF" w:themeColor="background1"/>
          <w:lang w:eastAsia="lv-LV"/>
        </w:rPr>
        <w:drawing>
          <wp:inline distT="0" distB="0" distL="0" distR="0" wp14:anchorId="06F1E43B" wp14:editId="098C2226">
            <wp:extent cx="5760000" cy="3599815"/>
            <wp:effectExtent l="0" t="0" r="0" b="635"/>
            <wp:docPr id="879840308" name="Chart 8798403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bookmarkEnd w:id="18"/>
    <w:p w14:paraId="0C7F1499" w14:textId="77777777" w:rsidR="00AA2E25" w:rsidRPr="00D829F0" w:rsidRDefault="00AA2E25" w:rsidP="00867A48">
      <w:pPr>
        <w:spacing w:after="120"/>
        <w:jc w:val="both"/>
        <w:rPr>
          <w:rFonts w:ascii="Source Sans Pro" w:hAnsi="Source Sans Pro"/>
          <w:sz w:val="16"/>
          <w:szCs w:val="16"/>
        </w:rPr>
      </w:pPr>
      <w:r w:rsidRPr="00D829F0">
        <w:rPr>
          <w:rFonts w:ascii="Source Sans Pro" w:hAnsi="Source Sans Pro"/>
          <w:sz w:val="16"/>
          <w:szCs w:val="16"/>
        </w:rPr>
        <w:t>Avots: CSP</w:t>
      </w:r>
    </w:p>
    <w:p w14:paraId="761B09DF" w14:textId="77777777" w:rsidR="00867A48" w:rsidRPr="00D829F0" w:rsidRDefault="00867A48" w:rsidP="00867A48">
      <w:pPr>
        <w:spacing w:after="120"/>
        <w:jc w:val="both"/>
        <w:rPr>
          <w:rFonts w:ascii="Source Sans Pro" w:hAnsi="Source Sans Pro"/>
        </w:rPr>
      </w:pPr>
    </w:p>
    <w:p w14:paraId="34C6A815" w14:textId="31930F77" w:rsidR="0073696F" w:rsidRPr="00D829F0" w:rsidRDefault="0073696F" w:rsidP="00867A48">
      <w:pPr>
        <w:spacing w:after="120"/>
        <w:jc w:val="both"/>
        <w:rPr>
          <w:rFonts w:ascii="Source Sans Pro" w:hAnsi="Source Sans Pro"/>
        </w:rPr>
      </w:pPr>
      <w:r w:rsidRPr="00D829F0">
        <w:rPr>
          <w:rFonts w:ascii="Source Sans Pro" w:hAnsi="Source Sans Pro"/>
        </w:rPr>
        <w:t>2026.</w:t>
      </w:r>
      <w:r w:rsidR="005C1455">
        <w:rPr>
          <w:rFonts w:ascii="Source Sans Pro" w:hAnsi="Source Sans Pro"/>
        </w:rPr>
        <w:t> </w:t>
      </w:r>
      <w:r w:rsidRPr="00D829F0">
        <w:rPr>
          <w:rFonts w:ascii="Source Sans Pro" w:hAnsi="Source Sans Pro"/>
        </w:rPr>
        <w:t>gada sākumā, salīdzinot ar attiecīgo periodu iepriekšējā gadā, darba samaksa strauji auga arī profesiju griezumā. Darba samaksa ir augusi visās profesiju pamatgrupās. Visstraujākais darba samaksas pieaugums</w:t>
      </w:r>
      <w:r w:rsidR="0000652E" w:rsidRPr="00D829F0">
        <w:rPr>
          <w:rFonts w:ascii="Source Sans Pro" w:hAnsi="Source Sans Pro"/>
        </w:rPr>
        <w:t xml:space="preserve"> vērojams iekārtu un mašīnu operatoru profesijās – par 7%. Strauji darba samaksa pieauga arī kvalificētu strādnieku un amatnieku </w:t>
      </w:r>
      <w:r w:rsidR="00E34930" w:rsidRPr="00D829F0">
        <w:rPr>
          <w:rFonts w:ascii="Source Sans Pro" w:hAnsi="Source Sans Pro"/>
        </w:rPr>
        <w:t>(</w:t>
      </w:r>
      <w:r w:rsidR="00193912" w:rsidRPr="00D829F0">
        <w:rPr>
          <w:rFonts w:ascii="Source Sans Pro" w:hAnsi="Source Sans Pro"/>
        </w:rPr>
        <w:t>+</w:t>
      </w:r>
      <w:r w:rsidR="00E34930" w:rsidRPr="00D829F0">
        <w:rPr>
          <w:rFonts w:ascii="Source Sans Pro" w:hAnsi="Source Sans Pro"/>
        </w:rPr>
        <w:t>6,4%), vienkāršo (</w:t>
      </w:r>
      <w:r w:rsidR="00193912" w:rsidRPr="00D829F0">
        <w:rPr>
          <w:rFonts w:ascii="Source Sans Pro" w:hAnsi="Source Sans Pro"/>
        </w:rPr>
        <w:t>+</w:t>
      </w:r>
      <w:r w:rsidR="00E34930" w:rsidRPr="00D829F0">
        <w:rPr>
          <w:rFonts w:ascii="Source Sans Pro" w:hAnsi="Source Sans Pro"/>
        </w:rPr>
        <w:t>6%) un kvalificētu lauksaimnieku, mežsaimniecības un zivsaimniecības (</w:t>
      </w:r>
      <w:r w:rsidR="00193912" w:rsidRPr="00D829F0">
        <w:rPr>
          <w:rFonts w:ascii="Source Sans Pro" w:hAnsi="Source Sans Pro"/>
        </w:rPr>
        <w:t>+</w:t>
      </w:r>
      <w:r w:rsidR="00E34930" w:rsidRPr="00D829F0">
        <w:rPr>
          <w:rFonts w:ascii="Source Sans Pro" w:hAnsi="Source Sans Pro"/>
        </w:rPr>
        <w:t>5,2%) profesiju pamatgrupās.</w:t>
      </w:r>
    </w:p>
    <w:p w14:paraId="57404D16" w14:textId="598936DE" w:rsidR="00CB74A2" w:rsidRPr="00D829F0" w:rsidRDefault="00CB74A2" w:rsidP="00554308">
      <w:pPr>
        <w:spacing w:after="120"/>
        <w:jc w:val="both"/>
        <w:rPr>
          <w:rFonts w:ascii="Source Sans Pro" w:hAnsi="Source Sans Pro"/>
        </w:rPr>
      </w:pPr>
      <w:r w:rsidRPr="00D829F0">
        <w:rPr>
          <w:rFonts w:ascii="Source Sans Pro" w:hAnsi="Source Sans Pro"/>
        </w:rPr>
        <w:t xml:space="preserve">Darbaspēka izmaksas ir nozīmīgs konkurētspējas faktors, tāpēc darba samaksas pieaugumam ilgtermiņā jābūt sabalansētam ar produktivitātes kāpumu. Lai gan ilgākā periodā Latvijā produktivitāte pieaugusi straujāk nekā vidēji </w:t>
      </w:r>
      <w:r w:rsidRPr="4634B383">
        <w:rPr>
          <w:rFonts w:ascii="Source Sans Pro" w:hAnsi="Source Sans Pro"/>
        </w:rPr>
        <w:t>E</w:t>
      </w:r>
      <w:r w:rsidR="4B364A50" w:rsidRPr="4634B383">
        <w:rPr>
          <w:rFonts w:ascii="Source Sans Pro" w:hAnsi="Source Sans Pro"/>
        </w:rPr>
        <w:t>S</w:t>
      </w:r>
      <w:r w:rsidRPr="00D829F0">
        <w:rPr>
          <w:rFonts w:ascii="Source Sans Pro" w:hAnsi="Source Sans Pro"/>
        </w:rPr>
        <w:t>, pēdējos gados produktivitātes kāpums ir kļuvis mērenāks, kamēr darbaspēka izmaksas turpinājušas pieaugt salīdzinoši strauji. Tas palielina izmaksu spiedienu uz uzņēmumiem un rada riskus izmaksu konkurētspējai</w:t>
      </w:r>
      <w:r w:rsidR="00AE216B" w:rsidRPr="00D829F0">
        <w:rPr>
          <w:rFonts w:ascii="Source Sans Pro" w:hAnsi="Source Sans Pro"/>
        </w:rPr>
        <w:t>, palielinoties darbaspēka izdevumu slogam, kas savukārt var mazināt darbavietu skaitu nākotnē</w:t>
      </w:r>
      <w:r w:rsidRPr="00D829F0">
        <w:rPr>
          <w:rFonts w:ascii="Source Sans Pro" w:hAnsi="Source Sans Pro"/>
        </w:rPr>
        <w:t>. Par šo risku pieaugumu liecina arī nominālo darbaspēka vienības izmaksu (ULC) pieaugums.</w:t>
      </w:r>
    </w:p>
    <w:p w14:paraId="747600DB" w14:textId="2955AA1A" w:rsidR="00554308" w:rsidRPr="00D829F0" w:rsidRDefault="003A2964" w:rsidP="00554308">
      <w:pPr>
        <w:spacing w:after="120"/>
        <w:jc w:val="both"/>
        <w:rPr>
          <w:rFonts w:ascii="Source Sans Pro" w:hAnsi="Source Sans Pro"/>
        </w:rPr>
      </w:pPr>
      <w:r w:rsidRPr="00D829F0">
        <w:rPr>
          <w:rFonts w:ascii="Source Sans Pro" w:hAnsi="Source Sans Pro"/>
        </w:rPr>
        <w:t xml:space="preserve">Latvijas ekonomikas izaugsmi balsta produktivitātes kāpums. </w:t>
      </w:r>
      <w:r w:rsidR="004A7152" w:rsidRPr="00D829F0">
        <w:rPr>
          <w:rFonts w:ascii="Source Sans Pro" w:hAnsi="Source Sans Pro"/>
        </w:rPr>
        <w:t>Ilgtermiņā produktivitātes pieauguma tempiem ir tendence sarukt, kamēr darbaspēka izmaksu pieauguma tempi saglabājās noturīgi augsti. Straujāks produktivitātes pieaugums bija vērojams līdz 2008.</w:t>
      </w:r>
      <w:r w:rsidR="005C1455">
        <w:rPr>
          <w:rFonts w:ascii="Source Sans Pro" w:hAnsi="Source Sans Pro"/>
        </w:rPr>
        <w:t> </w:t>
      </w:r>
      <w:r w:rsidR="004A7152" w:rsidRPr="00D829F0">
        <w:rPr>
          <w:rFonts w:ascii="Source Sans Pro" w:hAnsi="Source Sans Pro"/>
        </w:rPr>
        <w:t>gadam, it īpaši pēc Latvijas pievienošanās ES, kas kļuva par nozīmīgu stimulu ārvalstu investīciju ieplūdei. Laika periodā no 1996. līdz 2007</w:t>
      </w:r>
      <w:r w:rsidR="00EF166B" w:rsidRPr="00D829F0">
        <w:rPr>
          <w:rFonts w:ascii="Source Sans Pro" w:hAnsi="Source Sans Pro"/>
        </w:rPr>
        <w:t>.</w:t>
      </w:r>
      <w:r>
        <w:rPr>
          <w:rFonts w:ascii="Source Sans Pro" w:hAnsi="Source Sans Pro"/>
        </w:rPr>
        <w:t> </w:t>
      </w:r>
      <w:r w:rsidR="004A7152" w:rsidRPr="00D829F0">
        <w:rPr>
          <w:rFonts w:ascii="Source Sans Pro" w:hAnsi="Source Sans Pro"/>
        </w:rPr>
        <w:t>gadam paātrinājās arī konverģences process – produktivitātes plaisa ar ES-15 valstīm samazinājās par gandrīz 26 procentpunktiem.</w:t>
      </w:r>
      <w:r w:rsidR="00BA1FA5" w:rsidRPr="00D829F0">
        <w:rPr>
          <w:rFonts w:ascii="Source Sans Pro" w:hAnsi="Source Sans Pro"/>
        </w:rPr>
        <w:t xml:space="preserve"> Tomēr pēc globālās finanšu krīzes produktivitātes konverģence kļuva lēnāka, un pēdējos gados produktivitātes kāpums arvien vairāk atpaliek no darbaspēka izmaksu pieauguma. Tas palielina produkcijas vienības darbaspēka izmaksas un rada riskus Latvijas izmaksu konkurētspējai.</w:t>
      </w:r>
    </w:p>
    <w:p w14:paraId="7C7B76AF" w14:textId="77777777" w:rsidR="00C827BC" w:rsidRDefault="00C827BC">
      <w:pPr>
        <w:spacing w:after="0"/>
        <w:rPr>
          <w:rFonts w:ascii="Source Sans Pro" w:hAnsi="Source Sans Pro"/>
          <w:szCs w:val="20"/>
        </w:rPr>
      </w:pPr>
      <w:r>
        <w:rPr>
          <w:rFonts w:ascii="Source Sans Pro" w:hAnsi="Source Sans Pro"/>
          <w:szCs w:val="20"/>
        </w:rPr>
        <w:br w:type="page"/>
      </w:r>
    </w:p>
    <w:p w14:paraId="506B2B5C" w14:textId="626FF79F" w:rsidR="00AA2E25" w:rsidRPr="00D829F0" w:rsidRDefault="00AA2E25" w:rsidP="00554308">
      <w:pPr>
        <w:spacing w:after="120"/>
        <w:jc w:val="right"/>
        <w:rPr>
          <w:rFonts w:ascii="Source Sans Pro" w:hAnsi="Source Sans Pro"/>
        </w:rPr>
      </w:pPr>
      <w:r w:rsidRPr="00D829F0">
        <w:rPr>
          <w:rFonts w:ascii="Source Sans Pro" w:hAnsi="Source Sans Pro"/>
          <w:szCs w:val="20"/>
        </w:rPr>
        <w:lastRenderedPageBreak/>
        <w:t>1.13. attēls</w:t>
      </w:r>
    </w:p>
    <w:p w14:paraId="3A6B4569" w14:textId="77777777" w:rsidR="00AA2E25" w:rsidRPr="00D829F0" w:rsidRDefault="00AA2E25" w:rsidP="00867A48">
      <w:pPr>
        <w:spacing w:after="120"/>
        <w:ind w:right="-766"/>
        <w:jc w:val="center"/>
        <w:rPr>
          <w:rFonts w:ascii="Source Sans Pro" w:hAnsi="Source Sans Pro"/>
        </w:rPr>
      </w:pPr>
      <w:r w:rsidRPr="00554308">
        <w:rPr>
          <w:rFonts w:ascii="Segoe UI Light" w:hAnsi="Segoe UI Light" w:cs="Segoe UI Light"/>
          <w:b/>
          <w:bCs/>
          <w:sz w:val="18"/>
          <w:szCs w:val="18"/>
        </w:rPr>
        <w:t>Vidējā bruto darba samaksa un tās izmaiņas pa profesijām</w:t>
      </w:r>
      <w:r w:rsidRPr="00554308">
        <w:rPr>
          <w:rFonts w:ascii="Segoe UI Light" w:hAnsi="Segoe UI Light" w:cs="Segoe UI Light"/>
          <w:b/>
          <w:bCs/>
          <w:sz w:val="14"/>
          <w:szCs w:val="14"/>
        </w:rPr>
        <w:t>*</w:t>
      </w:r>
    </w:p>
    <w:p w14:paraId="4052A795" w14:textId="14C4B999" w:rsidR="00AA2E25" w:rsidRPr="00D829F0" w:rsidRDefault="00942CA1" w:rsidP="00867A48">
      <w:pPr>
        <w:spacing w:after="120"/>
        <w:ind w:right="-1"/>
        <w:rPr>
          <w:rFonts w:ascii="Source Sans Pro" w:hAnsi="Source Sans Pro"/>
        </w:rPr>
      </w:pPr>
      <w:r w:rsidRPr="00D829F0">
        <w:rPr>
          <w:rFonts w:ascii="Source Sans Pro" w:hAnsi="Source Sans Pro"/>
          <w:i/>
          <w:noProof/>
          <w:szCs w:val="20"/>
        </w:rPr>
        <w:drawing>
          <wp:inline distT="0" distB="0" distL="0" distR="0" wp14:anchorId="6418541B" wp14:editId="02403697">
            <wp:extent cx="5759450" cy="3600000"/>
            <wp:effectExtent l="0" t="0" r="0" b="635"/>
            <wp:docPr id="977543558" name="Chart 9775435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DF3E22F" w14:textId="77777777" w:rsidR="00AA2E25" w:rsidRPr="00D829F0" w:rsidRDefault="00AA2E25" w:rsidP="00867A48">
      <w:pPr>
        <w:spacing w:after="120"/>
        <w:ind w:right="-1"/>
        <w:rPr>
          <w:rFonts w:ascii="Source Sans Pro" w:eastAsia="Calibri Light" w:hAnsi="Source Sans Pro" w:cs="Calibri Light"/>
          <w:sz w:val="16"/>
          <w:szCs w:val="16"/>
        </w:rPr>
      </w:pPr>
      <w:r w:rsidRPr="00D829F0">
        <w:rPr>
          <w:rFonts w:ascii="Source Sans Pro" w:hAnsi="Source Sans Pro"/>
          <w:sz w:val="16"/>
          <w:szCs w:val="16"/>
        </w:rPr>
        <w:t>Avots: Valsts ieņēmumu dienests</w:t>
      </w:r>
      <w:r w:rsidRPr="00D829F0">
        <w:rPr>
          <w:rFonts w:ascii="Source Sans Pro" w:hAnsi="Source Sans Pro"/>
          <w:sz w:val="16"/>
          <w:szCs w:val="16"/>
        </w:rPr>
        <w:br/>
      </w:r>
      <w:r w:rsidRPr="00D829F0">
        <w:rPr>
          <w:rFonts w:ascii="Source Sans Pro" w:eastAsia="Calibri Light" w:hAnsi="Source Sans Pro" w:cs="Calibri Light"/>
          <w:sz w:val="16"/>
          <w:szCs w:val="16"/>
        </w:rPr>
        <w:t>* Vidējā bruto darba samaksa aprēķināta pēc pilnas slodzes ekvivalenta (160 stundu noslodze mēnesī)</w:t>
      </w:r>
    </w:p>
    <w:p w14:paraId="5DF5F6D1" w14:textId="77777777" w:rsidR="000A4643" w:rsidRPr="00D829F0" w:rsidRDefault="000A4643" w:rsidP="00867A48">
      <w:pPr>
        <w:spacing w:after="120"/>
        <w:ind w:right="-1"/>
        <w:jc w:val="both"/>
        <w:rPr>
          <w:rFonts w:ascii="Source Sans Pro" w:hAnsi="Source Sans Pro"/>
        </w:rPr>
      </w:pPr>
    </w:p>
    <w:p w14:paraId="484C6581" w14:textId="7C975D9F" w:rsidR="00FE6668" w:rsidRPr="00D829F0" w:rsidRDefault="00FE6668" w:rsidP="00FE6668">
      <w:pPr>
        <w:spacing w:after="120"/>
        <w:jc w:val="both"/>
        <w:rPr>
          <w:rFonts w:ascii="Source Sans Pro" w:hAnsi="Source Sans Pro"/>
        </w:rPr>
      </w:pPr>
      <w:r w:rsidRPr="00D829F0">
        <w:rPr>
          <w:rFonts w:ascii="Source Sans Pro" w:hAnsi="Source Sans Pro"/>
        </w:rPr>
        <w:t>Globālā finanšu krīze būtiski ietekmēja Latvijas ekonomiku, samazinot gan aktivitāti, gan produktivitātes līmeni. Laika posmā no 2008. līdz 2010.</w:t>
      </w:r>
      <w:r w:rsidR="00EF4A85">
        <w:rPr>
          <w:rFonts w:ascii="Source Sans Pro" w:hAnsi="Source Sans Pro"/>
        </w:rPr>
        <w:t> </w:t>
      </w:r>
      <w:r w:rsidRPr="00D829F0">
        <w:rPr>
          <w:rFonts w:ascii="Source Sans Pro" w:hAnsi="Source Sans Pro"/>
        </w:rPr>
        <w:t>gadam produktivitāte saruka par gandrīz 1,4%, tomēr šis kritums bija ievērojami mērenāks nekā IKP apjoma samazinājums (par 21,9%). Atšķirīgo dinamiku lielā mērā noteica darba tirgus spēja ātri pielāgoties straujajam pieprasījuma kritumam.</w:t>
      </w:r>
    </w:p>
    <w:p w14:paraId="6AD4003C" w14:textId="77777777" w:rsidR="00FE6668" w:rsidRPr="00D829F0" w:rsidRDefault="00FE6668" w:rsidP="00FE6668">
      <w:pPr>
        <w:spacing w:after="120"/>
        <w:ind w:right="-1"/>
        <w:jc w:val="right"/>
        <w:rPr>
          <w:rFonts w:ascii="Source Sans Pro" w:hAnsi="Source Sans Pro" w:cs="Calibri Light"/>
          <w:szCs w:val="20"/>
        </w:rPr>
      </w:pPr>
      <w:r w:rsidRPr="00D829F0">
        <w:rPr>
          <w:rFonts w:ascii="Source Sans Pro" w:hAnsi="Source Sans Pro" w:cs="Calibri Light"/>
          <w:szCs w:val="20"/>
        </w:rPr>
        <w:t>1.14. attēls</w:t>
      </w:r>
    </w:p>
    <w:tbl>
      <w:tblPr>
        <w:tblW w:w="9292" w:type="dxa"/>
        <w:jc w:val="center"/>
        <w:shd w:val="clear" w:color="auto" w:fill="FFFFFF"/>
        <w:tblLook w:val="0420" w:firstRow="1" w:lastRow="0" w:firstColumn="0" w:lastColumn="0" w:noHBand="0" w:noVBand="1"/>
      </w:tblPr>
      <w:tblGrid>
        <w:gridCol w:w="4646"/>
        <w:gridCol w:w="4646"/>
      </w:tblGrid>
      <w:tr w:rsidR="00FE6668" w:rsidRPr="00D829F0" w14:paraId="5A186CB7" w14:textId="77777777">
        <w:trPr>
          <w:trHeight w:val="17"/>
          <w:jc w:val="center"/>
        </w:trPr>
        <w:tc>
          <w:tcPr>
            <w:tcW w:w="4646" w:type="dxa"/>
            <w:shd w:val="clear" w:color="auto" w:fill="FFFFFF"/>
            <w:vAlign w:val="center"/>
            <w:hideMark/>
          </w:tcPr>
          <w:p w14:paraId="6219EABE" w14:textId="77777777" w:rsidR="00FE6668" w:rsidRPr="00942CA1" w:rsidRDefault="00FE6668" w:rsidP="00FE6668">
            <w:pPr>
              <w:spacing w:after="120"/>
              <w:jc w:val="center"/>
              <w:rPr>
                <w:rFonts w:ascii="Segoe UI Light" w:hAnsi="Segoe UI Light" w:cs="Segoe UI Light"/>
                <w:b/>
                <w:bCs/>
                <w:sz w:val="16"/>
                <w:szCs w:val="18"/>
              </w:rPr>
            </w:pPr>
            <w:r w:rsidRPr="00942CA1">
              <w:rPr>
                <w:rFonts w:ascii="Segoe UI Light" w:hAnsi="Segoe UI Light" w:cs="Segoe UI Light"/>
                <w:b/>
                <w:bCs/>
                <w:sz w:val="18"/>
                <w:szCs w:val="18"/>
              </w:rPr>
              <w:t>Produktivitāte Latvijā un ES</w:t>
            </w:r>
          </w:p>
        </w:tc>
        <w:tc>
          <w:tcPr>
            <w:tcW w:w="4646" w:type="dxa"/>
            <w:shd w:val="clear" w:color="auto" w:fill="FFFFFF"/>
            <w:vAlign w:val="center"/>
            <w:hideMark/>
          </w:tcPr>
          <w:p w14:paraId="174F5910" w14:textId="77777777" w:rsidR="00FE6668" w:rsidRPr="00942CA1" w:rsidRDefault="00FE6668" w:rsidP="00FE6668">
            <w:pPr>
              <w:spacing w:after="120"/>
              <w:jc w:val="center"/>
              <w:rPr>
                <w:rFonts w:ascii="Segoe UI Light" w:hAnsi="Segoe UI Light" w:cs="Segoe UI Light"/>
                <w:b/>
                <w:bCs/>
                <w:i/>
                <w:sz w:val="16"/>
                <w:szCs w:val="18"/>
              </w:rPr>
            </w:pPr>
            <w:r w:rsidRPr="00942CA1">
              <w:rPr>
                <w:rFonts w:ascii="Segoe UI Light" w:hAnsi="Segoe UI Light" w:cs="Segoe UI Light"/>
                <w:b/>
                <w:bCs/>
                <w:sz w:val="18"/>
                <w:szCs w:val="18"/>
              </w:rPr>
              <w:t>Produktivitātes dinamika Latvijā</w:t>
            </w:r>
            <w:r w:rsidRPr="00942CA1">
              <w:rPr>
                <w:rFonts w:ascii="Segoe UI Light" w:hAnsi="Segoe UI Light" w:cs="Segoe UI Light"/>
                <w:b/>
                <w:bCs/>
                <w:sz w:val="18"/>
                <w:szCs w:val="18"/>
              </w:rPr>
              <w:br/>
            </w:r>
            <w:r w:rsidRPr="00942CA1">
              <w:rPr>
                <w:rFonts w:ascii="Segoe UI Light" w:hAnsi="Segoe UI Light" w:cs="Segoe UI Light"/>
                <w:i/>
                <w:sz w:val="16"/>
                <w:szCs w:val="18"/>
              </w:rPr>
              <w:t>gada vidējie pieauguma tempi, procentos</w:t>
            </w:r>
          </w:p>
        </w:tc>
      </w:tr>
    </w:tbl>
    <w:p w14:paraId="760F8144" w14:textId="77777777" w:rsidR="00FE6668" w:rsidRPr="00D829F0" w:rsidRDefault="00FE6668" w:rsidP="00FE6668">
      <w:pPr>
        <w:spacing w:after="120"/>
        <w:jc w:val="center"/>
        <w:rPr>
          <w:rFonts w:ascii="Source Sans Pro" w:hAnsi="Source Sans Pro" w:cs="Calibri Light"/>
          <w:sz w:val="18"/>
          <w:szCs w:val="18"/>
        </w:rPr>
      </w:pPr>
      <w:r w:rsidRPr="00D829F0">
        <w:rPr>
          <w:rFonts w:ascii="Source Sans Pro" w:hAnsi="Source Sans Pro" w:cs="Calibri Light"/>
          <w:noProof/>
          <w:sz w:val="18"/>
          <w:szCs w:val="18"/>
          <w:lang w:eastAsia="lv-LV"/>
        </w:rPr>
        <w:drawing>
          <wp:inline distT="0" distB="0" distL="0" distR="0" wp14:anchorId="72CDE213" wp14:editId="7EB3F583">
            <wp:extent cx="2880000" cy="2160000"/>
            <wp:effectExtent l="0" t="0" r="0" b="0"/>
            <wp:docPr id="79" name="Chart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D829F0">
        <w:rPr>
          <w:rFonts w:ascii="Source Sans Pro" w:hAnsi="Source Sans Pro" w:cs="Calibri Light"/>
          <w:noProof/>
        </w:rPr>
        <w:drawing>
          <wp:inline distT="0" distB="0" distL="0" distR="0" wp14:anchorId="076D13E4" wp14:editId="556714D3">
            <wp:extent cx="2880000" cy="216000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BDF1745" w14:textId="77777777" w:rsidR="00FE6668" w:rsidRPr="00D829F0" w:rsidRDefault="00FE6668" w:rsidP="00FE6668">
      <w:pPr>
        <w:spacing w:after="120"/>
        <w:ind w:right="-1"/>
        <w:rPr>
          <w:rFonts w:ascii="Source Sans Pro" w:hAnsi="Source Sans Pro"/>
          <w:sz w:val="16"/>
          <w:szCs w:val="16"/>
        </w:rPr>
      </w:pPr>
      <w:r w:rsidRPr="00D829F0">
        <w:rPr>
          <w:rFonts w:ascii="Source Sans Pro" w:hAnsi="Source Sans Pro"/>
          <w:sz w:val="16"/>
          <w:szCs w:val="16"/>
        </w:rPr>
        <w:t xml:space="preserve">Avots: </w:t>
      </w:r>
      <w:r w:rsidRPr="00D829F0">
        <w:rPr>
          <w:rFonts w:ascii="Source Sans Pro" w:hAnsi="Source Sans Pro"/>
          <w:i/>
          <w:sz w:val="16"/>
          <w:szCs w:val="16"/>
        </w:rPr>
        <w:t>Eurostat</w:t>
      </w:r>
    </w:p>
    <w:p w14:paraId="192EB85E" w14:textId="77777777" w:rsidR="005A5B9B" w:rsidRDefault="005A5B9B" w:rsidP="00FE6668">
      <w:pPr>
        <w:spacing w:after="120"/>
        <w:jc w:val="both"/>
        <w:rPr>
          <w:rFonts w:ascii="Source Sans Pro" w:hAnsi="Source Sans Pro" w:cs="Calibri Light"/>
        </w:rPr>
      </w:pPr>
    </w:p>
    <w:p w14:paraId="2D0FC886" w14:textId="77777777" w:rsidR="00F53D57" w:rsidRDefault="00F53D57">
      <w:pPr>
        <w:spacing w:after="0"/>
        <w:rPr>
          <w:rFonts w:ascii="Source Sans Pro" w:hAnsi="Source Sans Pro"/>
          <w:szCs w:val="20"/>
        </w:rPr>
      </w:pPr>
      <w:r>
        <w:rPr>
          <w:rFonts w:ascii="Source Sans Pro" w:hAnsi="Source Sans Pro"/>
          <w:szCs w:val="20"/>
        </w:rPr>
        <w:br w:type="page"/>
      </w:r>
    </w:p>
    <w:p w14:paraId="3B5ECAB9" w14:textId="0F999D09" w:rsidR="00F53D57" w:rsidRPr="00D829F0" w:rsidRDefault="00F53D57" w:rsidP="00F53D57">
      <w:pPr>
        <w:spacing w:after="120"/>
        <w:ind w:right="-1"/>
        <w:jc w:val="both"/>
        <w:rPr>
          <w:rFonts w:ascii="Source Sans Pro" w:hAnsi="Source Sans Pro"/>
        </w:rPr>
      </w:pPr>
      <w:r w:rsidRPr="00D829F0">
        <w:rPr>
          <w:rFonts w:ascii="Source Sans Pro" w:hAnsi="Source Sans Pro"/>
          <w:szCs w:val="20"/>
        </w:rPr>
        <w:lastRenderedPageBreak/>
        <w:t xml:space="preserve">Produktivitātes dinamika pēdējos gados ir svārstīga, ko nosaka korekcijas produktu un darba tirgos, reaģējot uz ārējiem satricinājumiem. </w:t>
      </w:r>
      <w:r w:rsidRPr="00D829F0">
        <w:rPr>
          <w:rFonts w:ascii="Source Sans Pro" w:hAnsi="Source Sans Pro"/>
        </w:rPr>
        <w:t>2020.</w:t>
      </w:r>
      <w:r w:rsidR="00EE60EF">
        <w:rPr>
          <w:rFonts w:ascii="Source Sans Pro" w:hAnsi="Source Sans Pro"/>
        </w:rPr>
        <w:t> </w:t>
      </w:r>
      <w:r w:rsidRPr="00D829F0">
        <w:rPr>
          <w:rFonts w:ascii="Source Sans Pro" w:hAnsi="Source Sans Pro"/>
        </w:rPr>
        <w:t>gadā produktivitāte samazinājās par 2,8%, bet jau 2021.</w:t>
      </w:r>
      <w:r w:rsidR="00EE60EF">
        <w:rPr>
          <w:rFonts w:ascii="Source Sans Pro" w:hAnsi="Source Sans Pro"/>
        </w:rPr>
        <w:t> </w:t>
      </w:r>
      <w:r w:rsidRPr="00D829F0">
        <w:rPr>
          <w:rFonts w:ascii="Source Sans Pro" w:hAnsi="Source Sans Pro"/>
        </w:rPr>
        <w:t>gadā, atsākoties ekonomiskajai aktivitātei, produktivitātes pieauguma temps paātrinājās un bija par 8,3% augstāks nekā pirms gada</w:t>
      </w:r>
      <w:r w:rsidR="00EE60EF">
        <w:rPr>
          <w:rFonts w:ascii="Source Sans Pro" w:hAnsi="Source Sans Pro"/>
        </w:rPr>
        <w:t>.</w:t>
      </w:r>
      <w:r w:rsidRPr="00D829F0">
        <w:rPr>
          <w:rFonts w:ascii="Source Sans Pro" w:hAnsi="Source Sans Pro"/>
        </w:rPr>
        <w:t xml:space="preserve"> </w:t>
      </w:r>
      <w:r w:rsidR="00EE60EF">
        <w:rPr>
          <w:rFonts w:ascii="Source Sans Pro" w:hAnsi="Source Sans Pro"/>
        </w:rPr>
        <w:t>D</w:t>
      </w:r>
      <w:r w:rsidRPr="00D829F0">
        <w:rPr>
          <w:rFonts w:ascii="Source Sans Pro" w:hAnsi="Source Sans Pro"/>
        </w:rPr>
        <w:t xml:space="preserve">aļēji </w:t>
      </w:r>
      <w:r w:rsidR="00EE60EF">
        <w:rPr>
          <w:rFonts w:ascii="Source Sans Pro" w:hAnsi="Source Sans Pro"/>
        </w:rPr>
        <w:t>to</w:t>
      </w:r>
      <w:r w:rsidRPr="00D829F0">
        <w:rPr>
          <w:rFonts w:ascii="Source Sans Pro" w:hAnsi="Source Sans Pro"/>
        </w:rPr>
        <w:t xml:space="preserve"> var izskaidrot ar zemo bāzes efektu. Turpmākajos trīs gados (2022-2024) ekonomikas izaugsme un produktivitāte bija mērenāka un saglabājās 2022.  gada līmenī, vidēji gadā pieaugot tikai par 0,1%. Savukārt 2025.</w:t>
      </w:r>
      <w:r w:rsidR="000338C9">
        <w:rPr>
          <w:rFonts w:ascii="Source Sans Pro" w:hAnsi="Source Sans Pro"/>
        </w:rPr>
        <w:t> </w:t>
      </w:r>
      <w:r w:rsidRPr="00D829F0">
        <w:rPr>
          <w:rFonts w:ascii="Source Sans Pro" w:hAnsi="Source Sans Pro"/>
        </w:rPr>
        <w:t>gadā produktivitātes kāpums bija straujāks - salīdzinot ar iepriekšējo gadu, tā pieauga par 2,7% (stundas produktivitāte – par 4,2%).</w:t>
      </w:r>
    </w:p>
    <w:p w14:paraId="3E93E4C9" w14:textId="598FD5D7" w:rsidR="00F53D57" w:rsidRPr="00D829F0" w:rsidRDefault="00F53D57" w:rsidP="00F53D57">
      <w:pPr>
        <w:spacing w:after="120"/>
        <w:jc w:val="both"/>
        <w:rPr>
          <w:rFonts w:ascii="Source Sans Pro" w:hAnsi="Source Sans Pro"/>
        </w:rPr>
      </w:pPr>
      <w:r w:rsidRPr="00D829F0">
        <w:rPr>
          <w:rFonts w:ascii="Source Sans Pro" w:hAnsi="Source Sans Pro"/>
        </w:rPr>
        <w:t>Neskatoties uz produktivitātes būtiskām svārstībām un mērenāku nekā iepriekšējos gados dinamiku, Latvijas konverģence ES vidējam produktivitātes līmenim turpinās. IKP uz vienu nodarbināto Latvijas tautsaimniecībā kopumā 2024.</w:t>
      </w:r>
      <w:r w:rsidR="000338C9">
        <w:rPr>
          <w:rFonts w:ascii="Source Sans Pro" w:hAnsi="Source Sans Pro"/>
        </w:rPr>
        <w:t> </w:t>
      </w:r>
      <w:r w:rsidRPr="00D829F0">
        <w:rPr>
          <w:rFonts w:ascii="Source Sans Pro" w:hAnsi="Source Sans Pro"/>
        </w:rPr>
        <w:t>gadā sasniedza gandrīz 54,1% (72,8% pēc PPS) no vidējā ES līmeņa. Kopš 2019.</w:t>
      </w:r>
      <w:r w:rsidR="000338C9">
        <w:rPr>
          <w:rFonts w:ascii="Source Sans Pro" w:hAnsi="Source Sans Pro"/>
        </w:rPr>
        <w:t> </w:t>
      </w:r>
      <w:r w:rsidRPr="00D829F0">
        <w:rPr>
          <w:rFonts w:ascii="Source Sans Pro" w:hAnsi="Source Sans Pro"/>
        </w:rPr>
        <w:t>gada produktivitātes plaisa ar ES vidējo līmeni (pēc PPS) ir samazinājusies par gandrīz 4 procentpunktiem.</w:t>
      </w:r>
    </w:p>
    <w:p w14:paraId="488C9ECA" w14:textId="5A9447A4" w:rsidR="00FE6668" w:rsidRPr="00D829F0" w:rsidRDefault="00FE6668" w:rsidP="00FE6668">
      <w:pPr>
        <w:spacing w:after="120"/>
        <w:jc w:val="both"/>
        <w:rPr>
          <w:rFonts w:ascii="Source Sans Pro" w:hAnsi="Source Sans Pro" w:cs="Calibri Light"/>
        </w:rPr>
      </w:pPr>
      <w:r w:rsidRPr="00D829F0">
        <w:rPr>
          <w:rFonts w:ascii="Source Sans Pro" w:hAnsi="Source Sans Pro" w:cs="Calibri Light"/>
        </w:rPr>
        <w:t xml:space="preserve">Īstermiņā produktivitātes svārstības nosaka izmaiņas produktu, darba un kapitāla tirgos, uzņēmējiem reaģējot uz ārējiem un iekšējiem šokiem (tādiem kā Covid-19 pandēmija, enerģētiskā krīze u. c.) un uz pasākumiem to novēršanai un ekonomikas stabilizācijai. Šo pasākumu ietekme uz produktivitātes ilgtermiņa tendencēm lielā mērā noteiks biznesa modeļu un patērētāju uzvedības maiņu. Pēdējos gados notiek būtiskas izmaiņas darba un produktu tirgos, palielinās digitalizācijas līmenis (e-pakalpojumi, attālinātais darbs u. c.). </w:t>
      </w:r>
      <w:r w:rsidR="005F5E29">
        <w:rPr>
          <w:rFonts w:ascii="Source Sans Pro" w:hAnsi="Source Sans Pro" w:cs="Calibri Light"/>
        </w:rPr>
        <w:t>J</w:t>
      </w:r>
      <w:r w:rsidRPr="00D829F0">
        <w:rPr>
          <w:rFonts w:ascii="Source Sans Pro" w:hAnsi="Source Sans Pro" w:cs="Calibri Light"/>
        </w:rPr>
        <w:t>oprojām pastāv liela neskaidrība par šo izmaiņu noturību un ietekmi uz produktivitātes ilgtermiņa tendencēm. Produktivitātes noturīgi pozitīvo dinamiku lielā mērā noteiks arī strukturālās izmaiņas Latvijas tautsaimniecībā, tiecoties uz augstākas pievienotās vērtības aktivitātēm un zināšanu ietilpīgām nozarēm.</w:t>
      </w:r>
    </w:p>
    <w:p w14:paraId="55B4745D" w14:textId="056658AE" w:rsidR="00FE6668" w:rsidRPr="00D829F0" w:rsidRDefault="00FE6668" w:rsidP="00FE6668">
      <w:pPr>
        <w:spacing w:after="120"/>
        <w:jc w:val="both"/>
        <w:rPr>
          <w:rFonts w:ascii="Source Sans Pro" w:hAnsi="Source Sans Pro"/>
          <w:szCs w:val="20"/>
        </w:rPr>
      </w:pPr>
      <w:r w:rsidRPr="00D829F0">
        <w:rPr>
          <w:rFonts w:ascii="Source Sans Pro" w:hAnsi="Source Sans Pro" w:cs="Calibri Light"/>
        </w:rPr>
        <w:t xml:space="preserve">Latvijai ilgstoši bija raksturīgi, ka ekonomikas izaugsmes gados produktivitātes un darbaspēka izmaksu plaisa palielinās, savukārt recesijā tā kļūst mazāka. </w:t>
      </w:r>
      <w:r w:rsidR="005F5E29">
        <w:rPr>
          <w:rFonts w:ascii="Source Sans Pro" w:hAnsi="Source Sans Pro" w:cs="Calibri Light"/>
        </w:rPr>
        <w:t>K</w:t>
      </w:r>
      <w:r w:rsidRPr="00D829F0">
        <w:rPr>
          <w:rFonts w:ascii="Source Sans Pro" w:hAnsi="Source Sans Pro" w:cs="Calibri Light"/>
        </w:rPr>
        <w:t>opš 2021.</w:t>
      </w:r>
      <w:r w:rsidR="005F5E29">
        <w:rPr>
          <w:rFonts w:ascii="Source Sans Pro" w:hAnsi="Source Sans Pro" w:cs="Calibri Light"/>
        </w:rPr>
        <w:t> </w:t>
      </w:r>
      <w:r w:rsidRPr="00D829F0">
        <w:rPr>
          <w:rFonts w:ascii="Source Sans Pro" w:hAnsi="Source Sans Pro" w:cs="Calibri Light"/>
        </w:rPr>
        <w:t>gada tendences ir mainījušās – pat pie zemas ekonomiskā aktivitātes un mērenas produktivitātes dinamikas darbaspēka izmaksas turpināja palielināties. Tas liecina par augošo darbaspēka pieprasījuma un piedāvājuma neatbilstību.</w:t>
      </w:r>
    </w:p>
    <w:p w14:paraId="06E0EA7B" w14:textId="77777777" w:rsidR="00FE6668" w:rsidRPr="00D829F0" w:rsidRDefault="00FE6668" w:rsidP="00FE6668">
      <w:pPr>
        <w:spacing w:after="120"/>
        <w:jc w:val="right"/>
        <w:rPr>
          <w:rFonts w:ascii="Source Sans Pro" w:hAnsi="Source Sans Pro"/>
          <w:szCs w:val="20"/>
        </w:rPr>
      </w:pPr>
      <w:r w:rsidRPr="00D829F0">
        <w:rPr>
          <w:rFonts w:ascii="Source Sans Pro" w:hAnsi="Source Sans Pro"/>
          <w:szCs w:val="20"/>
        </w:rPr>
        <w:t>1.15. attēls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FE6668" w:rsidRPr="00FE6668" w14:paraId="0291B74A" w14:textId="77777777">
        <w:tc>
          <w:tcPr>
            <w:tcW w:w="4552" w:type="dxa"/>
          </w:tcPr>
          <w:p w14:paraId="7D902A3A" w14:textId="2EF12C3B" w:rsidR="00FE6668" w:rsidRPr="00FE6668" w:rsidRDefault="00FE6668" w:rsidP="00FE6668">
            <w:pPr>
              <w:spacing w:after="120"/>
              <w:jc w:val="center"/>
              <w:rPr>
                <w:rFonts w:ascii="Segoe UI Light" w:hAnsi="Segoe UI Light" w:cs="Segoe UI Light"/>
                <w:i/>
                <w:sz w:val="16"/>
                <w:szCs w:val="20"/>
              </w:rPr>
            </w:pPr>
            <w:r w:rsidRPr="00FE6668">
              <w:rPr>
                <w:rFonts w:ascii="Segoe UI Light" w:hAnsi="Segoe UI Light" w:cs="Segoe UI Light"/>
                <w:b/>
                <w:sz w:val="18"/>
                <w:szCs w:val="20"/>
              </w:rPr>
              <w:t xml:space="preserve">Produktivitātes, darbaspēka izmaksu un </w:t>
            </w:r>
            <w:r w:rsidRPr="00FE6668">
              <w:rPr>
                <w:rFonts w:ascii="Segoe UI Light" w:hAnsi="Segoe UI Light" w:cs="Segoe UI Light"/>
                <w:b/>
                <w:sz w:val="18"/>
                <w:szCs w:val="20"/>
              </w:rPr>
              <w:br/>
              <w:t>ULC izmaiņas Baltijas valstīs un ES</w:t>
            </w:r>
            <w:r w:rsidRPr="00FE6668">
              <w:rPr>
                <w:rFonts w:ascii="Segoe UI Light" w:hAnsi="Segoe UI Light" w:cs="Segoe UI Light"/>
                <w:b/>
                <w:sz w:val="18"/>
                <w:szCs w:val="20"/>
              </w:rPr>
              <w:br/>
            </w:r>
            <w:r w:rsidRPr="00FE6668">
              <w:rPr>
                <w:rFonts w:ascii="Segoe UI Light" w:hAnsi="Segoe UI Light" w:cs="Segoe UI Light"/>
                <w:i/>
                <w:sz w:val="16"/>
                <w:szCs w:val="20"/>
              </w:rPr>
              <w:t>2025.</w:t>
            </w:r>
            <w:r w:rsidR="005F5E29">
              <w:rPr>
                <w:rFonts w:ascii="Segoe UI Light" w:hAnsi="Segoe UI Light" w:cs="Segoe UI Light"/>
                <w:i/>
                <w:sz w:val="16"/>
                <w:szCs w:val="20"/>
              </w:rPr>
              <w:t> </w:t>
            </w:r>
            <w:r w:rsidRPr="00FE6668">
              <w:rPr>
                <w:rFonts w:ascii="Segoe UI Light" w:hAnsi="Segoe UI Light" w:cs="Segoe UI Light"/>
                <w:i/>
                <w:sz w:val="16"/>
                <w:szCs w:val="20"/>
              </w:rPr>
              <w:t>gads pret 2022.</w:t>
            </w:r>
            <w:r w:rsidR="005F5E29">
              <w:rPr>
                <w:rFonts w:ascii="Segoe UI Light" w:hAnsi="Segoe UI Light" w:cs="Segoe UI Light"/>
                <w:i/>
                <w:sz w:val="16"/>
                <w:szCs w:val="20"/>
              </w:rPr>
              <w:t> </w:t>
            </w:r>
            <w:r w:rsidRPr="00FE6668">
              <w:rPr>
                <w:rFonts w:ascii="Segoe UI Light" w:hAnsi="Segoe UI Light" w:cs="Segoe UI Light"/>
                <w:i/>
                <w:sz w:val="16"/>
                <w:szCs w:val="20"/>
              </w:rPr>
              <w:t>gadu, procentos</w:t>
            </w:r>
          </w:p>
        </w:tc>
        <w:tc>
          <w:tcPr>
            <w:tcW w:w="4553" w:type="dxa"/>
          </w:tcPr>
          <w:p w14:paraId="1EB0E018" w14:textId="77777777" w:rsidR="00FE6668" w:rsidRPr="00FE6668" w:rsidRDefault="00FE6668" w:rsidP="00FE6668">
            <w:pPr>
              <w:tabs>
                <w:tab w:val="center" w:pos="2268"/>
                <w:tab w:val="center" w:pos="6804"/>
              </w:tabs>
              <w:spacing w:after="120"/>
              <w:jc w:val="center"/>
              <w:rPr>
                <w:rFonts w:ascii="Segoe UI Light" w:hAnsi="Segoe UI Light" w:cs="Segoe UI Light"/>
                <w:b/>
                <w:sz w:val="18"/>
                <w:szCs w:val="20"/>
              </w:rPr>
            </w:pPr>
            <w:r w:rsidRPr="00FE6668">
              <w:rPr>
                <w:rFonts w:ascii="Segoe UI Light" w:hAnsi="Segoe UI Light" w:cs="Segoe UI Light"/>
                <w:b/>
                <w:sz w:val="18"/>
                <w:szCs w:val="20"/>
              </w:rPr>
              <w:t>Darbaspēka izmaksu un produktivitātes dinamika</w:t>
            </w:r>
            <w:r w:rsidRPr="00FE6668">
              <w:rPr>
                <w:rFonts w:ascii="Segoe UI Light" w:hAnsi="Segoe UI Light" w:cs="Segoe UI Light"/>
                <w:b/>
                <w:sz w:val="18"/>
                <w:szCs w:val="20"/>
              </w:rPr>
              <w:br/>
            </w:r>
            <w:r w:rsidRPr="00FE6668">
              <w:rPr>
                <w:rFonts w:ascii="Segoe UI Light" w:hAnsi="Segoe UI Light" w:cs="Segoe UI Light"/>
                <w:i/>
                <w:sz w:val="16"/>
                <w:szCs w:val="20"/>
              </w:rPr>
              <w:t>procentos</w:t>
            </w:r>
          </w:p>
        </w:tc>
      </w:tr>
    </w:tbl>
    <w:p w14:paraId="497EE22F" w14:textId="213B7AB1" w:rsidR="003559A3" w:rsidRPr="00D829F0" w:rsidRDefault="003559A3" w:rsidP="00034A9D">
      <w:pPr>
        <w:tabs>
          <w:tab w:val="center" w:pos="4643"/>
        </w:tabs>
        <w:spacing w:after="120"/>
        <w:ind w:left="108" w:right="-143"/>
        <w:rPr>
          <w:rFonts w:ascii="Source Sans Pro" w:hAnsi="Source Sans Pro"/>
          <w:b/>
          <w:sz w:val="18"/>
          <w:szCs w:val="18"/>
        </w:rPr>
      </w:pPr>
      <w:r w:rsidRPr="00D829F0">
        <w:rPr>
          <w:rFonts w:ascii="Source Sans Pro" w:hAnsi="Source Sans Pro"/>
          <w:noProof/>
          <w:szCs w:val="20"/>
          <w:lang w:eastAsia="lv-LV"/>
        </w:rPr>
        <w:drawing>
          <wp:inline distT="0" distB="0" distL="0" distR="0" wp14:anchorId="23B80D14" wp14:editId="718DC6AE">
            <wp:extent cx="2880000" cy="2160000"/>
            <wp:effectExtent l="0" t="0" r="0" b="0"/>
            <wp:docPr id="1521474634" name="Chart 15214746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D829F0">
        <w:rPr>
          <w:rFonts w:ascii="Source Sans Pro" w:hAnsi="Source Sans Pro"/>
          <w:noProof/>
          <w:szCs w:val="20"/>
          <w:lang w:eastAsia="lv-LV"/>
        </w:rPr>
        <w:drawing>
          <wp:inline distT="0" distB="0" distL="0" distR="0" wp14:anchorId="6510A1EF" wp14:editId="2785154E">
            <wp:extent cx="2880000" cy="2160000"/>
            <wp:effectExtent l="0" t="0" r="0" b="0"/>
            <wp:docPr id="1339522146" name="Chart 1339522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D38FC6C" w14:textId="77777777" w:rsidR="00FE6668" w:rsidRPr="00D829F0" w:rsidRDefault="00FE6668" w:rsidP="00FE6668">
      <w:pPr>
        <w:spacing w:after="120"/>
        <w:jc w:val="both"/>
        <w:rPr>
          <w:rFonts w:ascii="Source Sans Pro" w:hAnsi="Source Sans Pro"/>
          <w:sz w:val="16"/>
          <w:szCs w:val="16"/>
        </w:rPr>
      </w:pPr>
      <w:r w:rsidRPr="00D829F0">
        <w:rPr>
          <w:rFonts w:ascii="Source Sans Pro" w:hAnsi="Source Sans Pro"/>
          <w:sz w:val="16"/>
          <w:szCs w:val="16"/>
        </w:rPr>
        <w:t xml:space="preserve">Avots: </w:t>
      </w:r>
      <w:r w:rsidRPr="00D829F0">
        <w:rPr>
          <w:rFonts w:ascii="Source Sans Pro" w:hAnsi="Source Sans Pro"/>
          <w:i/>
          <w:sz w:val="16"/>
          <w:szCs w:val="16"/>
        </w:rPr>
        <w:t>Eurostat</w:t>
      </w:r>
    </w:p>
    <w:p w14:paraId="0E38C1E2" w14:textId="77777777" w:rsidR="00FE6668" w:rsidRPr="00D829F0" w:rsidRDefault="00FE6668" w:rsidP="00FE6668">
      <w:pPr>
        <w:spacing w:after="120"/>
        <w:jc w:val="both"/>
        <w:rPr>
          <w:rFonts w:ascii="Source Sans Pro" w:hAnsi="Source Sans Pro" w:cs="Calibri Light"/>
          <w:szCs w:val="20"/>
        </w:rPr>
      </w:pPr>
    </w:p>
    <w:p w14:paraId="3272BE50" w14:textId="0ECF352D" w:rsidR="00FE6668" w:rsidRPr="00D829F0" w:rsidRDefault="005F5E29" w:rsidP="00FE6668">
      <w:pPr>
        <w:spacing w:after="120"/>
        <w:jc w:val="both"/>
        <w:rPr>
          <w:rFonts w:ascii="Source Sans Pro" w:hAnsi="Source Sans Pro" w:cs="Calibri Light"/>
          <w:szCs w:val="20"/>
        </w:rPr>
      </w:pPr>
      <w:r>
        <w:rPr>
          <w:rFonts w:ascii="Source Sans Pro" w:hAnsi="Source Sans Pro" w:cs="Calibri Light"/>
          <w:bCs/>
          <w:szCs w:val="20"/>
        </w:rPr>
        <w:t>P</w:t>
      </w:r>
      <w:r w:rsidR="00FE6668" w:rsidRPr="00D829F0">
        <w:rPr>
          <w:rFonts w:ascii="Source Sans Pro" w:hAnsi="Source Sans Pro" w:cs="Calibri Light"/>
          <w:bCs/>
          <w:szCs w:val="20"/>
        </w:rPr>
        <w:t>irms</w:t>
      </w:r>
      <w:r w:rsidR="00FE6668" w:rsidRPr="00D829F0">
        <w:rPr>
          <w:rFonts w:ascii="Source Sans Pro" w:hAnsi="Source Sans Pro" w:cs="Calibri Light"/>
          <w:szCs w:val="20"/>
        </w:rPr>
        <w:t xml:space="preserve"> Covid-19 pandēmijas bija vērojama īpaši spēcīga nominālā ULC dinamika. 2019.</w:t>
      </w:r>
      <w:r>
        <w:rPr>
          <w:rFonts w:ascii="Source Sans Pro" w:hAnsi="Source Sans Pro" w:cs="Calibri Light"/>
          <w:bCs/>
          <w:szCs w:val="20"/>
        </w:rPr>
        <w:t> </w:t>
      </w:r>
      <w:r w:rsidR="00FE6668" w:rsidRPr="00D829F0">
        <w:rPr>
          <w:rFonts w:ascii="Source Sans Pro" w:hAnsi="Source Sans Pro" w:cs="Calibri Light"/>
          <w:szCs w:val="20"/>
        </w:rPr>
        <w:t>gadā, salīdzinot ar 2015.</w:t>
      </w:r>
      <w:r>
        <w:rPr>
          <w:rFonts w:ascii="Source Sans Pro" w:hAnsi="Source Sans Pro" w:cs="Calibri Light"/>
          <w:bCs/>
          <w:szCs w:val="20"/>
        </w:rPr>
        <w:t> </w:t>
      </w:r>
      <w:r w:rsidR="00FE6668" w:rsidRPr="00D829F0">
        <w:rPr>
          <w:rFonts w:ascii="Source Sans Pro" w:hAnsi="Source Sans Pro" w:cs="Calibri Light"/>
          <w:szCs w:val="20"/>
        </w:rPr>
        <w:t>gadu, ULC palielinājās vidēji gadā par 4,9%, ko noteica gandrīz četras reizes straujāks darbaspēka izmaksu (nominālā izteiksmē) kāpums iepretim produktivitātes pieaugumam. Darbaspēka izmaksu kāpumu līdz 2019.</w:t>
      </w:r>
      <w:r w:rsidR="00667EE5">
        <w:rPr>
          <w:rFonts w:ascii="Source Sans Pro" w:hAnsi="Source Sans Pro" w:cs="Calibri Light"/>
          <w:bCs/>
          <w:szCs w:val="20"/>
        </w:rPr>
        <w:t> </w:t>
      </w:r>
      <w:r w:rsidR="00FE6668" w:rsidRPr="00D829F0">
        <w:rPr>
          <w:rFonts w:ascii="Source Sans Pro" w:hAnsi="Source Sans Pro" w:cs="Calibri Light"/>
          <w:szCs w:val="20"/>
        </w:rPr>
        <w:t>gadam ietekmēja gan algu konverģences procesi ES darba tirgū, gan arī kopumā saspīlētā situācija Latvijas darba tirgū, kas veidojās pieaugošās darbaspēka nepietiekamības dēļ.</w:t>
      </w:r>
    </w:p>
    <w:p w14:paraId="36F1C01E" w14:textId="77777777" w:rsidR="00FE6668" w:rsidRPr="003D1F3D" w:rsidRDefault="00FE6668" w:rsidP="00FE6668">
      <w:pPr>
        <w:spacing w:after="120"/>
        <w:jc w:val="both"/>
        <w:rPr>
          <w:rFonts w:ascii="Source Sans Pro" w:hAnsi="Source Sans Pro" w:cs="Calibri Light"/>
          <w:szCs w:val="20"/>
        </w:rPr>
      </w:pPr>
      <w:r w:rsidRPr="003D1F3D">
        <w:rPr>
          <w:rFonts w:ascii="Source Sans Pro" w:hAnsi="Source Sans Pro" w:cs="Calibri Light"/>
          <w:szCs w:val="20"/>
        </w:rPr>
        <w:t>Ārējo šoku izraisītās korekcijas būtiski nav mainījušas ilgtermiņa tendences darbaspēka izmaksu dinamikā. Periodā no 2021. līdz 2025. gadam darbaspēka izmaksas Latvijā pieaugušas par 43,3 %, kas ir gandrīz divreiz straujāk nekā pirms Covid-19 pandēmijas. Produktivitātes dinamika šajā periodā bija ievērojami mērenāka – pieaugums tikai par 3,1 %. Atšķirība starp darbaspēka izmaksu un produktivitātes pieauguma tempiem būtiski pasliktinājusi izmaksu konkurētspējas rādītājus.</w:t>
      </w:r>
    </w:p>
    <w:p w14:paraId="73640F25" w14:textId="6A9F9652" w:rsidR="00FE6668" w:rsidRPr="003D1F3D" w:rsidRDefault="00FE6668" w:rsidP="00FE6668">
      <w:pPr>
        <w:spacing w:after="120"/>
        <w:jc w:val="both"/>
        <w:rPr>
          <w:rFonts w:ascii="Source Sans Pro" w:hAnsi="Source Sans Pro" w:cs="Calibri Light"/>
          <w:szCs w:val="20"/>
        </w:rPr>
      </w:pPr>
      <w:r w:rsidRPr="003D1F3D">
        <w:rPr>
          <w:rFonts w:ascii="Source Sans Pro" w:hAnsi="Source Sans Pro" w:cs="Calibri Light"/>
          <w:szCs w:val="20"/>
        </w:rPr>
        <w:lastRenderedPageBreak/>
        <w:t>Nominālais vienības darbaspēka izmaksu (ULC) indekss 2025. gadā, salīdzinot ar 2021. gadu, palielinājās par 38,9 %, tostarp 2025. gadā – par 5,5 %, kas ir bijis straujāk nekā Igaunijā (3,3 %), bet nedaudz lēnāk nekā Lietuvā (5,6 %). Baltijas valstīs ULC pieaugums pārsniedzis gan vidējo ES līmeni, gan arī ES makroekonomisko nelīdzsvarotību novēršanas procedūras (MIP) brīdinājuma slieksni – 9 % trīs gadu periodā.</w:t>
      </w:r>
    </w:p>
    <w:p w14:paraId="60A5ECE2" w14:textId="6A1BCD13" w:rsidR="00FE6668" w:rsidRPr="00D829F0" w:rsidRDefault="00FE6668" w:rsidP="00FE6668">
      <w:pPr>
        <w:spacing w:after="120"/>
        <w:jc w:val="both"/>
        <w:rPr>
          <w:rFonts w:ascii="Source Sans Pro" w:hAnsi="Source Sans Pro" w:cs="Calibri Light"/>
          <w:szCs w:val="20"/>
        </w:rPr>
      </w:pPr>
      <w:r w:rsidRPr="00D829F0">
        <w:rPr>
          <w:rFonts w:ascii="Source Sans Pro" w:hAnsi="Source Sans Pro" w:cs="Calibri Light"/>
          <w:szCs w:val="20"/>
        </w:rPr>
        <w:t>Izmaksu konkurētspējas mazināšanas riski vērojami ražošanas</w:t>
      </w:r>
      <w:r w:rsidR="001C71FD">
        <w:rPr>
          <w:rFonts w:ascii="Source Sans Pro" w:hAnsi="Source Sans Pro" w:cs="Calibri Light"/>
          <w:bCs/>
          <w:szCs w:val="20"/>
        </w:rPr>
        <w:t xml:space="preserve"> un </w:t>
      </w:r>
      <w:r w:rsidRPr="00D829F0">
        <w:rPr>
          <w:rFonts w:ascii="Source Sans Pro" w:hAnsi="Source Sans Pro" w:cs="Calibri Light"/>
          <w:szCs w:val="20"/>
        </w:rPr>
        <w:t>tirgus pakalpojumu nozarēs. Darbaspēka izmaksu dinamika periodā no 2015. līdz 2019.</w:t>
      </w:r>
      <w:r w:rsidR="001C71FD">
        <w:rPr>
          <w:rFonts w:ascii="Source Sans Pro" w:hAnsi="Source Sans Pro" w:cs="Calibri Light"/>
          <w:bCs/>
          <w:szCs w:val="20"/>
        </w:rPr>
        <w:t> </w:t>
      </w:r>
      <w:r w:rsidRPr="00D829F0">
        <w:rPr>
          <w:rFonts w:ascii="Source Sans Pro" w:hAnsi="Source Sans Pro" w:cs="Calibri Light"/>
          <w:szCs w:val="20"/>
        </w:rPr>
        <w:t>gadam (pirms Covid-19 pandēmijas) abās minētajās nozaru grupās bija līdzīga – ik gadu vidēji par gandrīz 8,3 % un 6,2 %, tomēr produktivitāte ražošanas nozarēs pieauga straujāk nekā pakalpojumu nozarēs – attiecīgi par 3,6 % un 0,7 %. Tāpēc arī nominālais ULC pieaugums ražošanas nozarēs bija mērenāks.</w:t>
      </w:r>
    </w:p>
    <w:p w14:paraId="587D906A" w14:textId="04A27FD6" w:rsidR="00FE6668" w:rsidRPr="00D829F0" w:rsidRDefault="00564B7B" w:rsidP="00FE6668">
      <w:pPr>
        <w:spacing w:after="120"/>
        <w:jc w:val="both"/>
        <w:rPr>
          <w:rFonts w:ascii="Source Sans Pro" w:hAnsi="Source Sans Pro" w:cs="Calibri Light"/>
          <w:szCs w:val="20"/>
        </w:rPr>
      </w:pPr>
      <w:r w:rsidRPr="00D829F0">
        <w:rPr>
          <w:rFonts w:ascii="Source Sans Pro" w:hAnsi="Source Sans Pro" w:cs="Calibri Light"/>
        </w:rPr>
        <w:t>Pēdējos četros gados</w:t>
      </w:r>
      <w:r w:rsidRPr="00D829F0">
        <w:rPr>
          <w:rFonts w:ascii="Source Sans Pro" w:hAnsi="Source Sans Pro" w:cs="Calibri Light"/>
          <w:szCs w:val="20"/>
        </w:rPr>
        <w:t xml:space="preserve"> </w:t>
      </w:r>
      <w:r w:rsidR="00FE6668" w:rsidRPr="00D829F0">
        <w:rPr>
          <w:rFonts w:ascii="Source Sans Pro" w:hAnsi="Source Sans Pro" w:cs="Calibri Light"/>
          <w:szCs w:val="20"/>
        </w:rPr>
        <w:t>(2022.–2025.</w:t>
      </w:r>
      <w:r w:rsidR="00FE6668" w:rsidRPr="00D829F0">
        <w:rPr>
          <w:rFonts w:ascii="Source Sans Pro" w:hAnsi="Source Sans Pro" w:cs="Calibri Light"/>
        </w:rPr>
        <w:t xml:space="preserve"> </w:t>
      </w:r>
      <w:r w:rsidRPr="00D829F0">
        <w:rPr>
          <w:rFonts w:ascii="Source Sans Pro" w:hAnsi="Source Sans Pro" w:cs="Calibri Light"/>
          <w:szCs w:val="20"/>
        </w:rPr>
        <w:t xml:space="preserve">gadā) </w:t>
      </w:r>
      <w:r w:rsidRPr="00D829F0">
        <w:rPr>
          <w:rFonts w:ascii="Source Sans Pro" w:hAnsi="Source Sans Pro" w:cs="Calibri Light"/>
        </w:rPr>
        <w:t>produktivitātes gada vidējie pieauguma tempi bija negatīvi savukārt darbaspēka izmaksas strauju pieauga – vidēji par 7,6%, palielinot produkcijas vienības nominālās darbaspēka izmaksas ik gadu par gandrīz 10 %.</w:t>
      </w:r>
      <w:r w:rsidR="003C1450">
        <w:rPr>
          <w:rFonts w:ascii="Source Sans Pro" w:hAnsi="Source Sans Pro" w:cs="Calibri Light"/>
        </w:rPr>
        <w:t xml:space="preserve"> Šajā periodā</w:t>
      </w:r>
      <w:r w:rsidR="00FE6668">
        <w:rPr>
          <w:rFonts w:ascii="Source Sans Pro" w:hAnsi="Source Sans Pro" w:cs="Calibri Light"/>
        </w:rPr>
        <w:t xml:space="preserve"> </w:t>
      </w:r>
      <w:r w:rsidR="00FE6668" w:rsidRPr="00D829F0">
        <w:rPr>
          <w:rFonts w:ascii="Source Sans Pro" w:hAnsi="Source Sans Pro" w:cs="Calibri Light"/>
          <w:szCs w:val="20"/>
        </w:rPr>
        <w:t>darbaspēka izmaksas (rēķinot faktiskajās cenās) ražošanas nozarēs pieauga par 34</w:t>
      </w:r>
      <w:r w:rsidR="001C71FD">
        <w:rPr>
          <w:rFonts w:ascii="Source Sans Pro" w:hAnsi="Source Sans Pro" w:cs="Calibri Light"/>
          <w:bCs/>
          <w:szCs w:val="20"/>
        </w:rPr>
        <w:t> </w:t>
      </w:r>
      <w:r w:rsidR="00FE6668" w:rsidRPr="00D829F0">
        <w:rPr>
          <w:rFonts w:ascii="Source Sans Pro" w:hAnsi="Source Sans Pro" w:cs="Calibri Light"/>
          <w:szCs w:val="20"/>
        </w:rPr>
        <w:t>%, bet tirgus pakalpojumu nozarēs pieauga par 49</w:t>
      </w:r>
      <w:r w:rsidR="001C71FD">
        <w:rPr>
          <w:rFonts w:ascii="Source Sans Pro" w:hAnsi="Source Sans Pro" w:cs="Calibri Light"/>
          <w:bCs/>
          <w:szCs w:val="20"/>
        </w:rPr>
        <w:t> </w:t>
      </w:r>
      <w:r w:rsidR="00FE6668" w:rsidRPr="00D829F0">
        <w:rPr>
          <w:rFonts w:ascii="Source Sans Pro" w:hAnsi="Source Sans Pro" w:cs="Calibri Light"/>
          <w:bCs/>
          <w:szCs w:val="20"/>
        </w:rPr>
        <w:t xml:space="preserve">%. </w:t>
      </w:r>
      <w:r w:rsidR="00CC2E87" w:rsidRPr="00D829F0">
        <w:rPr>
          <w:rFonts w:ascii="Source Sans Pro" w:hAnsi="Source Sans Pro" w:cs="Calibri Light"/>
          <w:bCs/>
          <w:szCs w:val="20"/>
        </w:rPr>
        <w:t xml:space="preserve">Lielākais nominālā ULC kāpums </w:t>
      </w:r>
      <w:r w:rsidR="003C1450">
        <w:rPr>
          <w:rFonts w:ascii="Source Sans Pro" w:hAnsi="Source Sans Pro" w:cs="Calibri Light"/>
          <w:bCs/>
          <w:szCs w:val="20"/>
        </w:rPr>
        <w:t>savukārt</w:t>
      </w:r>
      <w:r w:rsidR="00CC2E87" w:rsidRPr="00D829F0">
        <w:rPr>
          <w:rFonts w:ascii="Source Sans Pro" w:hAnsi="Source Sans Pro" w:cs="Calibri Light"/>
          <w:bCs/>
          <w:szCs w:val="20"/>
        </w:rPr>
        <w:t xml:space="preserve"> bija rūpniecības nozarēs, finanšu pakalpojumos un zinātnisko, administratīvo un tehnisko pakalpojumu nozarēs.</w:t>
      </w:r>
      <w:r w:rsidR="00FE6668" w:rsidRPr="00D829F0">
        <w:rPr>
          <w:rFonts w:ascii="Source Sans Pro" w:hAnsi="Source Sans Pro" w:cs="Calibri Light"/>
          <w:szCs w:val="20"/>
        </w:rPr>
        <w:t xml:space="preserve"> Produktivitātes dinamika ražošanas nozarēs bija vāja un nevarēja kompensēt darbaspēka izmaksu kāpumu. Nominālās darbaspēka vienības izmaksas 2025.</w:t>
      </w:r>
      <w:r w:rsidR="00CC2E87">
        <w:rPr>
          <w:rFonts w:ascii="Source Sans Pro" w:hAnsi="Source Sans Pro" w:cs="Calibri Light"/>
          <w:bCs/>
          <w:szCs w:val="20"/>
        </w:rPr>
        <w:t> </w:t>
      </w:r>
      <w:r w:rsidR="00FE6668" w:rsidRPr="00D829F0">
        <w:rPr>
          <w:rFonts w:ascii="Source Sans Pro" w:hAnsi="Source Sans Pro" w:cs="Calibri Light"/>
          <w:szCs w:val="20"/>
        </w:rPr>
        <w:t>gadā, salīdzinot ar 2021.</w:t>
      </w:r>
      <w:r w:rsidR="00CC2E87">
        <w:rPr>
          <w:rFonts w:ascii="Source Sans Pro" w:hAnsi="Source Sans Pro" w:cs="Calibri Light"/>
          <w:bCs/>
          <w:szCs w:val="20"/>
        </w:rPr>
        <w:t> </w:t>
      </w:r>
      <w:r w:rsidR="00FE6668" w:rsidRPr="00D829F0">
        <w:rPr>
          <w:rFonts w:ascii="Source Sans Pro" w:hAnsi="Source Sans Pro" w:cs="Calibri Light"/>
          <w:szCs w:val="20"/>
        </w:rPr>
        <w:t>gadu, palielinājās par 45,9</w:t>
      </w:r>
      <w:r w:rsidR="00CC2E87">
        <w:rPr>
          <w:rFonts w:ascii="Source Sans Pro" w:hAnsi="Source Sans Pro" w:cs="Calibri Light"/>
          <w:bCs/>
          <w:szCs w:val="20"/>
        </w:rPr>
        <w:t> </w:t>
      </w:r>
      <w:r w:rsidR="00FE6668" w:rsidRPr="00D829F0">
        <w:rPr>
          <w:rFonts w:ascii="Source Sans Pro" w:hAnsi="Source Sans Pro" w:cs="Calibri Light"/>
          <w:szCs w:val="20"/>
        </w:rPr>
        <w:t>%. Savukārt tirgus pakalpojumu nozarēs produktivitātes pieauguma tempu atpalicība no darbaspēka izmaksu dinamikas bija mērenāka nekā ražošanas nozarēs, un arī ULC pieauga nedaudz lēnāk (par 40,3 </w:t>
      </w:r>
      <w:r w:rsidR="00FE6668" w:rsidRPr="00D829F0">
        <w:rPr>
          <w:rFonts w:ascii="Source Sans Pro" w:hAnsi="Source Sans Pro" w:cs="Calibri Light"/>
          <w:bCs/>
          <w:szCs w:val="20"/>
        </w:rPr>
        <w:t xml:space="preserve">%). </w:t>
      </w:r>
    </w:p>
    <w:p w14:paraId="641A0514" w14:textId="77777777" w:rsidR="00FE6668" w:rsidRPr="00D829F0" w:rsidRDefault="00FE6668" w:rsidP="00FE6668">
      <w:pPr>
        <w:spacing w:after="120"/>
        <w:jc w:val="both"/>
        <w:rPr>
          <w:rFonts w:ascii="Source Sans Pro" w:hAnsi="Source Sans Pro" w:cs="Calibri Light"/>
        </w:rPr>
      </w:pPr>
      <w:r w:rsidRPr="00D829F0">
        <w:rPr>
          <w:rFonts w:ascii="Source Sans Pro" w:hAnsi="Source Sans Pro" w:cs="Calibri Light"/>
        </w:rPr>
        <w:t>Apstrādes rūpniecībā produktivitātes un darbaspēka izmaksu pieauguma tempu plaisa ir nedaudz mērenāka nekā vidēji tautsaimniecībā. Tomēr nominālā ULC ikgadējās izmaiņas ir visai svārstīgas, ko lielā mērā ietekmē preču tirgus konjunktūras faktori, turpretī darbaspēka izmaksām ir noturīga augšup vērsta dinamika.</w:t>
      </w:r>
    </w:p>
    <w:p w14:paraId="5541B08C" w14:textId="77777777" w:rsidR="00AA2E25" w:rsidRPr="00D829F0" w:rsidRDefault="00AA2E25" w:rsidP="00867A48">
      <w:pPr>
        <w:spacing w:after="120"/>
        <w:jc w:val="right"/>
        <w:rPr>
          <w:rFonts w:ascii="Source Sans Pro" w:hAnsi="Source Sans Pro"/>
          <w:szCs w:val="20"/>
        </w:rPr>
      </w:pPr>
      <w:bookmarkStart w:id="19" w:name="_Hlk40640995"/>
      <w:r w:rsidRPr="00D829F0">
        <w:rPr>
          <w:rFonts w:ascii="Source Sans Pro" w:hAnsi="Source Sans Pro"/>
          <w:szCs w:val="20"/>
        </w:rPr>
        <w:t>1.16. attēls</w:t>
      </w:r>
    </w:p>
    <w:tbl>
      <w:tblPr>
        <w:tblW w:w="9388" w:type="dxa"/>
        <w:jc w:val="center"/>
        <w:shd w:val="clear" w:color="auto" w:fill="FFFFFF"/>
        <w:tblLook w:val="0420" w:firstRow="1" w:lastRow="0" w:firstColumn="0" w:lastColumn="0" w:noHBand="0" w:noVBand="1"/>
      </w:tblPr>
      <w:tblGrid>
        <w:gridCol w:w="4756"/>
        <w:gridCol w:w="4694"/>
      </w:tblGrid>
      <w:tr w:rsidR="00FE6668" w:rsidRPr="00D829F0" w14:paraId="3DC59DAC" w14:textId="77777777">
        <w:trPr>
          <w:trHeight w:val="22"/>
          <w:jc w:val="center"/>
        </w:trPr>
        <w:tc>
          <w:tcPr>
            <w:tcW w:w="9388" w:type="dxa"/>
            <w:gridSpan w:val="2"/>
            <w:shd w:val="clear" w:color="auto" w:fill="FFFFFF"/>
            <w:hideMark/>
          </w:tcPr>
          <w:p w14:paraId="541ED45C" w14:textId="77777777" w:rsidR="00FE6668" w:rsidRPr="00FE6668" w:rsidRDefault="00FE6668" w:rsidP="00FE6668">
            <w:pPr>
              <w:spacing w:after="120"/>
              <w:jc w:val="center"/>
              <w:rPr>
                <w:rFonts w:ascii="Segoe UI Light" w:hAnsi="Segoe UI Light" w:cs="Segoe UI Light"/>
                <w:b/>
                <w:bCs/>
                <w:sz w:val="18"/>
                <w:szCs w:val="18"/>
              </w:rPr>
            </w:pPr>
            <w:r w:rsidRPr="00FE6668">
              <w:rPr>
                <w:rFonts w:ascii="Segoe UI Light" w:hAnsi="Segoe UI Light" w:cs="Segoe UI Light"/>
                <w:b/>
                <w:bCs/>
                <w:sz w:val="18"/>
                <w:szCs w:val="18"/>
              </w:rPr>
              <w:t>ULC, darbaspēka izmaksas un produktivitāte</w:t>
            </w:r>
          </w:p>
        </w:tc>
      </w:tr>
      <w:tr w:rsidR="00FE6668" w:rsidRPr="00D829F0" w14:paraId="4FC6BDF4" w14:textId="77777777">
        <w:trPr>
          <w:trHeight w:val="22"/>
          <w:jc w:val="center"/>
        </w:trPr>
        <w:tc>
          <w:tcPr>
            <w:tcW w:w="4694" w:type="dxa"/>
            <w:shd w:val="clear" w:color="auto" w:fill="FFFFFF"/>
            <w:vAlign w:val="center"/>
            <w:hideMark/>
          </w:tcPr>
          <w:p w14:paraId="613E9790" w14:textId="77777777" w:rsidR="00FE6668" w:rsidRPr="00FE6668" w:rsidRDefault="00FE6668" w:rsidP="00FE6668">
            <w:pPr>
              <w:spacing w:after="120"/>
              <w:jc w:val="center"/>
              <w:rPr>
                <w:rFonts w:ascii="Segoe UI Light" w:hAnsi="Segoe UI Light" w:cs="Segoe UI Light"/>
                <w:sz w:val="16"/>
                <w:szCs w:val="16"/>
              </w:rPr>
            </w:pPr>
            <w:r w:rsidRPr="00FE6668">
              <w:rPr>
                <w:rFonts w:ascii="Segoe UI Light" w:hAnsi="Segoe UI Light" w:cs="Segoe UI Light"/>
                <w:b/>
                <w:bCs/>
                <w:sz w:val="18"/>
                <w:szCs w:val="18"/>
              </w:rPr>
              <w:t>Tautsaimniecības nozarēs</w:t>
            </w:r>
            <w:r w:rsidRPr="00FE6668">
              <w:rPr>
                <w:rFonts w:ascii="Segoe UI Light" w:hAnsi="Segoe UI Light" w:cs="Segoe UI Light"/>
                <w:b/>
                <w:bCs/>
                <w:sz w:val="18"/>
                <w:szCs w:val="18"/>
              </w:rPr>
              <w:br/>
            </w:r>
            <w:r w:rsidRPr="00FE6668">
              <w:rPr>
                <w:rFonts w:ascii="Segoe UI Light" w:hAnsi="Segoe UI Light" w:cs="Segoe UI Light"/>
                <w:i/>
                <w:sz w:val="16"/>
                <w:szCs w:val="16"/>
              </w:rPr>
              <w:t>pieaugums vidēji gadā, procentos</w:t>
            </w:r>
          </w:p>
        </w:tc>
        <w:tc>
          <w:tcPr>
            <w:tcW w:w="4694" w:type="dxa"/>
            <w:shd w:val="clear" w:color="auto" w:fill="FFFFFF"/>
            <w:vAlign w:val="center"/>
            <w:hideMark/>
          </w:tcPr>
          <w:p w14:paraId="3949657A" w14:textId="77777777" w:rsidR="00FE6668" w:rsidRPr="00FE6668" w:rsidRDefault="00FE6668" w:rsidP="00FE6668">
            <w:pPr>
              <w:spacing w:before="40" w:after="120"/>
              <w:jc w:val="center"/>
              <w:rPr>
                <w:rFonts w:ascii="Segoe UI Light" w:hAnsi="Segoe UI Light" w:cs="Segoe UI Light"/>
                <w:b/>
                <w:bCs/>
                <w:sz w:val="18"/>
                <w:szCs w:val="18"/>
              </w:rPr>
            </w:pPr>
            <w:r w:rsidRPr="00FE6668">
              <w:rPr>
                <w:rFonts w:ascii="Segoe UI Light" w:hAnsi="Segoe UI Light" w:cs="Segoe UI Light"/>
                <w:b/>
                <w:bCs/>
                <w:sz w:val="18"/>
                <w:szCs w:val="18"/>
              </w:rPr>
              <w:t>Apstrādes rūpniecībā</w:t>
            </w:r>
          </w:p>
        </w:tc>
      </w:tr>
      <w:tr w:rsidR="00FE6668" w:rsidRPr="00D829F0" w14:paraId="0B75BA06" w14:textId="77777777">
        <w:trPr>
          <w:trHeight w:val="22"/>
          <w:jc w:val="center"/>
        </w:trPr>
        <w:tc>
          <w:tcPr>
            <w:tcW w:w="4694" w:type="dxa"/>
            <w:shd w:val="clear" w:color="auto" w:fill="FFFFFF"/>
            <w:hideMark/>
          </w:tcPr>
          <w:p w14:paraId="1672222B" w14:textId="77777777" w:rsidR="00FE6668" w:rsidRPr="00FE6668" w:rsidRDefault="00FE6668" w:rsidP="00FE6668">
            <w:pPr>
              <w:tabs>
                <w:tab w:val="center" w:pos="1314"/>
                <w:tab w:val="center" w:pos="3298"/>
              </w:tabs>
              <w:spacing w:before="40" w:after="120"/>
              <w:rPr>
                <w:rFonts w:ascii="Segoe UI Light" w:hAnsi="Segoe UI Light" w:cs="Segoe UI Light"/>
                <w:sz w:val="16"/>
                <w:szCs w:val="16"/>
              </w:rPr>
            </w:pPr>
            <w:r w:rsidRPr="00FE6668">
              <w:rPr>
                <w:rFonts w:ascii="Segoe UI Light" w:hAnsi="Segoe UI Light" w:cs="Segoe UI Light"/>
                <w:noProof/>
                <w:sz w:val="16"/>
                <w:szCs w:val="16"/>
                <w:lang w:eastAsia="lv-LV"/>
              </w:rPr>
              <w:drawing>
                <wp:inline distT="0" distB="0" distL="0" distR="0" wp14:anchorId="6F2893E2" wp14:editId="7FE0EE55">
                  <wp:extent cx="2882900" cy="180000"/>
                  <wp:effectExtent l="0" t="0" r="0" b="0"/>
                  <wp:docPr id="52"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FE6668">
              <w:rPr>
                <w:rFonts w:ascii="Segoe UI Light" w:hAnsi="Segoe UI Light" w:cs="Segoe UI Light"/>
                <w:noProof/>
                <w:sz w:val="16"/>
                <w:szCs w:val="16"/>
                <w:lang w:eastAsia="lv-LV"/>
              </w:rPr>
              <w:t xml:space="preserve"> </w:t>
            </w:r>
            <w:r w:rsidRPr="00FE6668">
              <w:rPr>
                <w:rFonts w:ascii="Segoe UI Light" w:hAnsi="Segoe UI Light" w:cs="Segoe UI Light"/>
                <w:noProof/>
                <w:sz w:val="16"/>
                <w:szCs w:val="16"/>
                <w:lang w:eastAsia="lv-LV"/>
              </w:rPr>
              <w:drawing>
                <wp:inline distT="0" distB="0" distL="0" distR="0" wp14:anchorId="53960B36" wp14:editId="46B178E8">
                  <wp:extent cx="1440000" cy="1836000"/>
                  <wp:effectExtent l="0" t="0" r="8255" b="0"/>
                  <wp:docPr id="68" name="Chart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FE6668">
              <w:rPr>
                <w:rFonts w:ascii="Segoe UI Light" w:hAnsi="Segoe UI Light" w:cs="Segoe UI Light"/>
                <w:noProof/>
                <w:sz w:val="16"/>
                <w:szCs w:val="16"/>
                <w:lang w:eastAsia="lv-LV"/>
              </w:rPr>
              <w:drawing>
                <wp:inline distT="0" distB="0" distL="0" distR="0" wp14:anchorId="283A0F05" wp14:editId="44268159">
                  <wp:extent cx="1260000" cy="1836000"/>
                  <wp:effectExtent l="0" t="0" r="0" b="0"/>
                  <wp:docPr id="72" name="Chart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FE6668">
              <w:rPr>
                <w:rFonts w:ascii="Segoe UI Light" w:hAnsi="Segoe UI Light" w:cs="Segoe UI Light"/>
                <w:sz w:val="16"/>
                <w:szCs w:val="16"/>
              </w:rPr>
              <w:br/>
            </w:r>
            <w:r w:rsidRPr="00FE6668">
              <w:rPr>
                <w:rFonts w:ascii="Segoe UI Light" w:hAnsi="Segoe UI Light" w:cs="Segoe UI Light"/>
                <w:sz w:val="16"/>
                <w:szCs w:val="16"/>
              </w:rPr>
              <w:tab/>
              <w:t>Ražošanas nozares</w:t>
            </w:r>
            <w:r w:rsidRPr="00FE6668">
              <w:rPr>
                <w:rFonts w:ascii="Segoe UI Light" w:hAnsi="Segoe UI Light" w:cs="Segoe UI Light"/>
                <w:sz w:val="16"/>
                <w:szCs w:val="16"/>
              </w:rPr>
              <w:tab/>
              <w:t>Tirgus pakalpojumu nozares</w:t>
            </w:r>
          </w:p>
        </w:tc>
        <w:tc>
          <w:tcPr>
            <w:tcW w:w="4694" w:type="dxa"/>
          </w:tcPr>
          <w:p w14:paraId="33958E02" w14:textId="77777777" w:rsidR="00FE6668" w:rsidRPr="00FE6668" w:rsidRDefault="00FE6668" w:rsidP="00FE6668">
            <w:pPr>
              <w:spacing w:before="40" w:after="120"/>
              <w:jc w:val="center"/>
              <w:rPr>
                <w:rFonts w:ascii="Segoe UI Light" w:hAnsi="Segoe UI Light" w:cs="Segoe UI Light"/>
                <w:sz w:val="16"/>
                <w:szCs w:val="16"/>
              </w:rPr>
            </w:pPr>
            <w:r w:rsidRPr="00FE6668">
              <w:rPr>
                <w:rFonts w:ascii="Segoe UI Light" w:hAnsi="Segoe UI Light" w:cs="Segoe UI Light"/>
                <w:b/>
                <w:noProof/>
                <w:sz w:val="16"/>
                <w:szCs w:val="16"/>
                <w:lang w:eastAsia="lv-LV"/>
              </w:rPr>
              <w:drawing>
                <wp:inline distT="0" distB="0" distL="0" distR="0" wp14:anchorId="131FCCA0" wp14:editId="302C01A8">
                  <wp:extent cx="2844000" cy="2160000"/>
                  <wp:effectExtent l="0" t="0" r="0" b="0"/>
                  <wp:docPr id="82" name="Char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bl>
    <w:p w14:paraId="3E6E1CBF" w14:textId="77777777" w:rsidR="00AA2E25" w:rsidRPr="00D829F0" w:rsidRDefault="00AA2E25" w:rsidP="00867A48">
      <w:pPr>
        <w:spacing w:before="120" w:after="120"/>
        <w:jc w:val="both"/>
        <w:rPr>
          <w:rFonts w:ascii="Source Sans Pro" w:hAnsi="Source Sans Pro" w:cs="Calibri Light"/>
          <w:sz w:val="16"/>
          <w:szCs w:val="16"/>
        </w:rPr>
      </w:pPr>
      <w:r w:rsidRPr="00D829F0">
        <w:rPr>
          <w:rFonts w:ascii="Source Sans Pro" w:hAnsi="Source Sans Pro" w:cs="Calibri Light"/>
          <w:sz w:val="16"/>
          <w:szCs w:val="16"/>
        </w:rPr>
        <w:t xml:space="preserve">Avots: </w:t>
      </w:r>
      <w:r w:rsidRPr="00D829F0">
        <w:rPr>
          <w:rFonts w:ascii="Source Sans Pro" w:hAnsi="Source Sans Pro" w:cs="Calibri Light"/>
          <w:i/>
          <w:sz w:val="16"/>
          <w:szCs w:val="16"/>
        </w:rPr>
        <w:t>Eurostat</w:t>
      </w:r>
    </w:p>
    <w:p w14:paraId="2A8D531A" w14:textId="77777777" w:rsidR="001724BC" w:rsidRDefault="001724BC" w:rsidP="00FE6668">
      <w:pPr>
        <w:spacing w:after="120"/>
        <w:jc w:val="both"/>
        <w:rPr>
          <w:rFonts w:ascii="Source Sans Pro" w:hAnsi="Source Sans Pro" w:cs="Calibri Light"/>
        </w:rPr>
      </w:pPr>
    </w:p>
    <w:p w14:paraId="4DCF206C" w14:textId="53199EC3" w:rsidR="004A7152" w:rsidRPr="00D829F0" w:rsidRDefault="00FE6668" w:rsidP="00D1558E">
      <w:pPr>
        <w:spacing w:after="120"/>
        <w:jc w:val="both"/>
        <w:rPr>
          <w:rFonts w:ascii="Source Sans Pro" w:hAnsi="Source Sans Pro" w:cs="Calibri Light"/>
          <w:szCs w:val="20"/>
        </w:rPr>
      </w:pPr>
      <w:r w:rsidRPr="00D829F0">
        <w:rPr>
          <w:rFonts w:ascii="Source Sans Pro" w:hAnsi="Source Sans Pro" w:cs="Calibri Light"/>
        </w:rPr>
        <w:t>Darbaspēka izmaksu dinamika Latvijas apstrādes rūpniecībā būtiski pārsniedz ES vidējos darbaspēka izmaksu un nominālā ULC pieauguma tempus. Ņemot vērā to, ka ES valstis ir Latvijas galvenie tirdzniecības partneri, šādas tendences mazina Latvijas ražotāju konkurētspēju izmaksu jomā.</w:t>
      </w:r>
      <w:r w:rsidR="00D1558E">
        <w:rPr>
          <w:rFonts w:ascii="Source Sans Pro" w:hAnsi="Source Sans Pro" w:cs="Calibri Light"/>
        </w:rPr>
        <w:t xml:space="preserve"> </w:t>
      </w:r>
      <w:r w:rsidR="004A7152" w:rsidRPr="00D829F0">
        <w:rPr>
          <w:rFonts w:ascii="Source Sans Pro" w:hAnsi="Source Sans Pro" w:cs="Calibri Light"/>
          <w:szCs w:val="20"/>
        </w:rPr>
        <w:t>Ilgtermiņā darbaspēka izmaksu pieaugums, kas netiks kompensēts ar atbilstošu produktivitātes kāpumu, var negatīvi ietekmēt uzņēmumu konkurētspēju un samazināt peļņas daļu, ko uzņēmēji būs spiesti koriģēt, lai saglabātu cenu konkurētspēju ārējos tirgos.</w:t>
      </w:r>
    </w:p>
    <w:p w14:paraId="1E1BBD28" w14:textId="70433473" w:rsidR="004A7152" w:rsidRPr="00D829F0" w:rsidRDefault="004A7152" w:rsidP="00867A48">
      <w:pPr>
        <w:spacing w:after="120"/>
        <w:jc w:val="both"/>
        <w:rPr>
          <w:rFonts w:ascii="Source Sans Pro" w:hAnsi="Source Sans Pro" w:cs="Calibri Light"/>
        </w:rPr>
      </w:pPr>
      <w:r w:rsidRPr="00D829F0">
        <w:rPr>
          <w:rFonts w:ascii="Source Sans Pro" w:hAnsi="Source Sans Pro" w:cs="Calibri Light"/>
        </w:rPr>
        <w:t xml:space="preserve">Darbaspēka izmaksas Latvijā ir vienas no zemākajām ES dalībvalstīs. </w:t>
      </w:r>
      <w:r w:rsidR="00FE6668" w:rsidRPr="00D829F0">
        <w:rPr>
          <w:rFonts w:ascii="Source Sans Pro" w:hAnsi="Source Sans Pro" w:cs="Calibri Light"/>
        </w:rPr>
        <w:t>2025.</w:t>
      </w:r>
      <w:r w:rsidR="00D1558E">
        <w:rPr>
          <w:rFonts w:ascii="Source Sans Pro" w:hAnsi="Source Sans Pro" w:cs="Calibri Light"/>
        </w:rPr>
        <w:t> </w:t>
      </w:r>
      <w:r w:rsidR="00FE6668" w:rsidRPr="00D829F0">
        <w:rPr>
          <w:rFonts w:ascii="Source Sans Pro" w:hAnsi="Source Sans Pro" w:cs="Calibri Light"/>
        </w:rPr>
        <w:t>gadā darbaspēka izmaksas uz vienu nodarbināto tautsaimniecībā kopumā Latvijā bija gandrīz 61</w:t>
      </w:r>
      <w:r w:rsidR="00D1558E">
        <w:rPr>
          <w:rFonts w:ascii="Source Sans Pro" w:hAnsi="Source Sans Pro" w:cs="Calibri Light"/>
        </w:rPr>
        <w:t> </w:t>
      </w:r>
      <w:r w:rsidR="00FE6668" w:rsidRPr="00D829F0">
        <w:rPr>
          <w:rFonts w:ascii="Source Sans Pro" w:hAnsi="Source Sans Pro" w:cs="Calibri Light"/>
        </w:rPr>
        <w:t>% (76,5</w:t>
      </w:r>
      <w:r w:rsidR="00D1558E">
        <w:rPr>
          <w:rFonts w:ascii="Source Sans Pro" w:hAnsi="Source Sans Pro" w:cs="Calibri Light"/>
        </w:rPr>
        <w:t> </w:t>
      </w:r>
      <w:r w:rsidR="00FE6668" w:rsidRPr="00D829F0">
        <w:rPr>
          <w:rFonts w:ascii="Source Sans Pro" w:hAnsi="Source Sans Pro" w:cs="Calibri Light"/>
        </w:rPr>
        <w:t>% pēc PPS) no ES vidējā līmeņa, tostarp apstrādes rūpniecībā – 52,5</w:t>
      </w:r>
      <w:r w:rsidR="00D1558E">
        <w:rPr>
          <w:rFonts w:ascii="Source Sans Pro" w:hAnsi="Source Sans Pro" w:cs="Calibri Light"/>
        </w:rPr>
        <w:t> </w:t>
      </w:r>
      <w:r w:rsidR="00FE6668" w:rsidRPr="00D829F0">
        <w:rPr>
          <w:rFonts w:ascii="Source Sans Pro" w:hAnsi="Source Sans Pro" w:cs="Calibri Light"/>
        </w:rPr>
        <w:t>% (66,2</w:t>
      </w:r>
      <w:r w:rsidR="00D1558E">
        <w:rPr>
          <w:rFonts w:ascii="Source Sans Pro" w:hAnsi="Source Sans Pro" w:cs="Calibri Light"/>
        </w:rPr>
        <w:t> </w:t>
      </w:r>
      <w:r w:rsidR="00FE6668" w:rsidRPr="00D829F0">
        <w:rPr>
          <w:rFonts w:ascii="Source Sans Pro" w:hAnsi="Source Sans Pro" w:cs="Calibri Light"/>
        </w:rPr>
        <w:t xml:space="preserve">% pēc PPS). Savukārt produktivitāte uz vienu nodarbināto </w:t>
      </w:r>
      <w:r w:rsidR="00FE6668" w:rsidRPr="00D829F0">
        <w:rPr>
          <w:rFonts w:ascii="Source Sans Pro" w:hAnsi="Source Sans Pro" w:cs="Calibri Light"/>
        </w:rPr>
        <w:lastRenderedPageBreak/>
        <w:t>tautsaimniecībā kopumā Latvijā bija gandrīz 56</w:t>
      </w:r>
      <w:r w:rsidR="00D1558E">
        <w:rPr>
          <w:rFonts w:ascii="Source Sans Pro" w:hAnsi="Source Sans Pro" w:cs="Calibri Light"/>
        </w:rPr>
        <w:t> </w:t>
      </w:r>
      <w:r w:rsidR="00FE6668" w:rsidRPr="00D829F0">
        <w:rPr>
          <w:rFonts w:ascii="Source Sans Pro" w:hAnsi="Source Sans Pro" w:cs="Calibri Light"/>
        </w:rPr>
        <w:t>% (70,4</w:t>
      </w:r>
      <w:r w:rsidR="00D1558E">
        <w:rPr>
          <w:rFonts w:ascii="Source Sans Pro" w:hAnsi="Source Sans Pro" w:cs="Calibri Light"/>
        </w:rPr>
        <w:t> </w:t>
      </w:r>
      <w:r w:rsidR="00FE6668" w:rsidRPr="00D829F0">
        <w:rPr>
          <w:rFonts w:ascii="Source Sans Pro" w:hAnsi="Source Sans Pro" w:cs="Calibri Light"/>
        </w:rPr>
        <w:t>% pēc PPS) no ES vidējā līmeņa, tostarp apstrādes rūpniecībā – 43,5</w:t>
      </w:r>
      <w:r w:rsidR="00D1558E">
        <w:rPr>
          <w:rFonts w:ascii="Source Sans Pro" w:hAnsi="Source Sans Pro" w:cs="Calibri Light"/>
        </w:rPr>
        <w:t> </w:t>
      </w:r>
      <w:r w:rsidR="00FE6668" w:rsidRPr="00D829F0">
        <w:rPr>
          <w:rFonts w:ascii="Source Sans Pro" w:hAnsi="Source Sans Pro" w:cs="Calibri Light"/>
        </w:rPr>
        <w:t>% (55</w:t>
      </w:r>
      <w:r w:rsidR="00D1558E">
        <w:rPr>
          <w:rFonts w:ascii="Source Sans Pro" w:hAnsi="Source Sans Pro" w:cs="Calibri Light"/>
        </w:rPr>
        <w:t> </w:t>
      </w:r>
      <w:r w:rsidR="00FE6668" w:rsidRPr="00D829F0">
        <w:rPr>
          <w:rFonts w:ascii="Source Sans Pro" w:hAnsi="Source Sans Pro" w:cs="Calibri Light"/>
        </w:rPr>
        <w:t>% pēc PPS).</w:t>
      </w:r>
    </w:p>
    <w:p w14:paraId="29346CEB" w14:textId="041D00AF" w:rsidR="00FE6668" w:rsidRPr="00D829F0" w:rsidRDefault="00FE6668" w:rsidP="00FE6668">
      <w:pPr>
        <w:spacing w:after="120"/>
        <w:jc w:val="both"/>
        <w:rPr>
          <w:rFonts w:ascii="Source Sans Pro" w:hAnsi="Source Sans Pro" w:cs="Calibri Light"/>
        </w:rPr>
      </w:pPr>
      <w:r w:rsidRPr="00D829F0">
        <w:rPr>
          <w:rFonts w:ascii="Source Sans Pro" w:hAnsi="Source Sans Pro" w:cs="Calibri Light"/>
        </w:rPr>
        <w:t xml:space="preserve"> Salīdzinot ar 2019.</w:t>
      </w:r>
      <w:r w:rsidR="003C7DFD">
        <w:rPr>
          <w:rFonts w:ascii="Source Sans Pro" w:hAnsi="Source Sans Pro" w:cs="Calibri Light"/>
        </w:rPr>
        <w:t> </w:t>
      </w:r>
      <w:r w:rsidRPr="00D829F0">
        <w:rPr>
          <w:rFonts w:ascii="Source Sans Pro" w:hAnsi="Source Sans Pro" w:cs="Calibri Light"/>
        </w:rPr>
        <w:t>gadu, 2025.</w:t>
      </w:r>
      <w:r w:rsidR="003C7DFD">
        <w:rPr>
          <w:rFonts w:ascii="Source Sans Pro" w:hAnsi="Source Sans Pro" w:cs="Calibri Light"/>
        </w:rPr>
        <w:t> </w:t>
      </w:r>
      <w:r w:rsidRPr="00D829F0">
        <w:rPr>
          <w:rFonts w:ascii="Source Sans Pro" w:hAnsi="Source Sans Pro" w:cs="Calibri Light"/>
        </w:rPr>
        <w:t>gadā darbaspēka izmaksu plaisa ir samazinājusies par 12 procentpunktiem (apstrādes rūpniecībā – par 9,7 procentpunktiem), savukārt pēc produktivitātes rādītāja tautsaimniecībā kopumā tā samazinājās par 8,2 procentpunktiem (apstrādes rūpniecībā – par 2,5 procentpunktiem). T</w:t>
      </w:r>
      <w:r w:rsidR="003C7DFD">
        <w:rPr>
          <w:rFonts w:ascii="Source Sans Pro" w:hAnsi="Source Sans Pro" w:cs="Calibri Light"/>
        </w:rPr>
        <w:t>ādējādi</w:t>
      </w:r>
      <w:r w:rsidRPr="00D829F0">
        <w:rPr>
          <w:rFonts w:ascii="Source Sans Pro" w:hAnsi="Source Sans Pro" w:cs="Calibri Light"/>
        </w:rPr>
        <w:t xml:space="preserve"> algu konverģences process tautsaimniecībā kopumā un apstrādes rūpniecībā ir straujāks nekā produktivitātes konverģences process.</w:t>
      </w:r>
    </w:p>
    <w:p w14:paraId="5B432E7D" w14:textId="61A78E98" w:rsidR="00AA2E25" w:rsidRPr="00FE6668" w:rsidRDefault="00AA2E25" w:rsidP="00867A48">
      <w:pPr>
        <w:spacing w:after="120"/>
        <w:jc w:val="right"/>
        <w:rPr>
          <w:rFonts w:ascii="Verdana Pro Cond Light" w:hAnsi="Verdana Pro Cond Light"/>
          <w:sz w:val="18"/>
          <w:szCs w:val="18"/>
        </w:rPr>
      </w:pPr>
      <w:r w:rsidRPr="00FE6668">
        <w:rPr>
          <w:rFonts w:ascii="Verdana Pro Cond Light" w:hAnsi="Verdana Pro Cond Light"/>
          <w:sz w:val="18"/>
          <w:szCs w:val="18"/>
        </w:rPr>
        <w:t>1.17.</w:t>
      </w:r>
      <w:r w:rsidR="003C7DFD">
        <w:rPr>
          <w:rFonts w:ascii="Verdana Pro Cond Light" w:hAnsi="Verdana Pro Cond Light"/>
          <w:sz w:val="18"/>
          <w:szCs w:val="18"/>
        </w:rPr>
        <w:t> </w:t>
      </w:r>
      <w:r w:rsidRPr="00FE6668">
        <w:rPr>
          <w:rFonts w:ascii="Verdana Pro Cond Light" w:hAnsi="Verdana Pro Cond Light"/>
          <w:sz w:val="18"/>
          <w:szCs w:val="18"/>
        </w:rPr>
        <w:t>attēls</w:t>
      </w:r>
    </w:p>
    <w:tbl>
      <w:tblPr>
        <w:tblW w:w="9634" w:type="dxa"/>
        <w:jc w:val="center"/>
        <w:shd w:val="clear" w:color="auto" w:fill="FFFFFF"/>
        <w:tblLook w:val="0420" w:firstRow="1" w:lastRow="0" w:firstColumn="0" w:lastColumn="0" w:noHBand="0" w:noVBand="1"/>
      </w:tblPr>
      <w:tblGrid>
        <w:gridCol w:w="4816"/>
        <w:gridCol w:w="4818"/>
      </w:tblGrid>
      <w:tr w:rsidR="00FE6668" w:rsidRPr="00D829F0" w14:paraId="3A31731A" w14:textId="77777777">
        <w:trPr>
          <w:trHeight w:val="392"/>
          <w:jc w:val="center"/>
        </w:trPr>
        <w:tc>
          <w:tcPr>
            <w:tcW w:w="9634" w:type="dxa"/>
            <w:gridSpan w:val="2"/>
            <w:shd w:val="clear" w:color="auto" w:fill="FFFFFF"/>
            <w:hideMark/>
          </w:tcPr>
          <w:bookmarkEnd w:id="19"/>
          <w:p w14:paraId="3B5B5750" w14:textId="77777777" w:rsidR="00FE6668" w:rsidRPr="00FE6668" w:rsidRDefault="00FE6668" w:rsidP="00FE6668">
            <w:pPr>
              <w:spacing w:after="120"/>
              <w:jc w:val="center"/>
              <w:rPr>
                <w:rFonts w:ascii="Segoe UI Light" w:hAnsi="Segoe UI Light" w:cs="Segoe UI Light"/>
                <w:b/>
                <w:bCs/>
                <w:sz w:val="18"/>
                <w:szCs w:val="18"/>
              </w:rPr>
            </w:pPr>
            <w:r w:rsidRPr="00FE6668">
              <w:rPr>
                <w:rFonts w:ascii="Segoe UI Light" w:hAnsi="Segoe UI Light" w:cs="Segoe UI Light"/>
                <w:b/>
                <w:bCs/>
                <w:sz w:val="18"/>
                <w:szCs w:val="18"/>
              </w:rPr>
              <w:t>Produktivitātes un darbaspēka izmaksu konverģence ar ES vidējo līmeni</w:t>
            </w:r>
            <w:r w:rsidRPr="00FE6668">
              <w:rPr>
                <w:rFonts w:ascii="Segoe UI Light" w:hAnsi="Segoe UI Light" w:cs="Segoe UI Light"/>
                <w:b/>
                <w:bCs/>
                <w:sz w:val="18"/>
                <w:szCs w:val="18"/>
              </w:rPr>
              <w:br/>
            </w:r>
            <w:r w:rsidRPr="00FE6668">
              <w:rPr>
                <w:rFonts w:ascii="Segoe UI Light" w:hAnsi="Segoe UI Light" w:cs="Segoe UI Light"/>
                <w:i/>
                <w:sz w:val="16"/>
                <w:szCs w:val="18"/>
              </w:rPr>
              <w:t>procentos no ES-27 vidējā līmeņa</w:t>
            </w:r>
          </w:p>
        </w:tc>
      </w:tr>
      <w:tr w:rsidR="00FE6668" w:rsidRPr="00FE6668" w14:paraId="044AF05C" w14:textId="77777777">
        <w:trPr>
          <w:trHeight w:val="213"/>
          <w:jc w:val="center"/>
        </w:trPr>
        <w:tc>
          <w:tcPr>
            <w:tcW w:w="4816" w:type="dxa"/>
            <w:shd w:val="clear" w:color="auto" w:fill="FFFFFF"/>
            <w:vAlign w:val="center"/>
            <w:hideMark/>
          </w:tcPr>
          <w:p w14:paraId="16197A86" w14:textId="77777777" w:rsidR="00FE6668" w:rsidRPr="00FE6668" w:rsidRDefault="00FE6668" w:rsidP="00FE6668">
            <w:pPr>
              <w:spacing w:after="120"/>
              <w:jc w:val="center"/>
              <w:rPr>
                <w:rFonts w:ascii="Segoe UI Light" w:hAnsi="Segoe UI Light" w:cs="Segoe UI Light"/>
                <w:sz w:val="16"/>
                <w:szCs w:val="16"/>
              </w:rPr>
            </w:pPr>
            <w:r w:rsidRPr="00FE6668">
              <w:rPr>
                <w:rFonts w:ascii="Segoe UI Light" w:hAnsi="Segoe UI Light" w:cs="Segoe UI Light"/>
                <w:sz w:val="16"/>
                <w:szCs w:val="16"/>
              </w:rPr>
              <w:t>Produktivitāte</w:t>
            </w:r>
          </w:p>
        </w:tc>
        <w:tc>
          <w:tcPr>
            <w:tcW w:w="4818" w:type="dxa"/>
            <w:shd w:val="clear" w:color="auto" w:fill="FFFFFF"/>
            <w:vAlign w:val="center"/>
            <w:hideMark/>
          </w:tcPr>
          <w:p w14:paraId="6A7E247E" w14:textId="77777777" w:rsidR="00FE6668" w:rsidRPr="00FE6668" w:rsidRDefault="00FE6668" w:rsidP="00FE6668">
            <w:pPr>
              <w:spacing w:after="120"/>
              <w:jc w:val="center"/>
              <w:rPr>
                <w:rFonts w:ascii="Segoe UI Light" w:hAnsi="Segoe UI Light" w:cs="Segoe UI Light"/>
                <w:sz w:val="16"/>
                <w:szCs w:val="16"/>
              </w:rPr>
            </w:pPr>
            <w:r w:rsidRPr="00FE6668">
              <w:rPr>
                <w:rFonts w:ascii="Segoe UI Light" w:hAnsi="Segoe UI Light" w:cs="Segoe UI Light"/>
                <w:sz w:val="16"/>
                <w:szCs w:val="16"/>
              </w:rPr>
              <w:t>Darbaspēka izmaksas</w:t>
            </w:r>
          </w:p>
        </w:tc>
      </w:tr>
      <w:tr w:rsidR="00FE6668" w:rsidRPr="00D829F0" w14:paraId="252E3A5D" w14:textId="77777777">
        <w:trPr>
          <w:trHeight w:val="2626"/>
          <w:jc w:val="center"/>
        </w:trPr>
        <w:tc>
          <w:tcPr>
            <w:tcW w:w="9634" w:type="dxa"/>
            <w:gridSpan w:val="2"/>
            <w:shd w:val="clear" w:color="auto" w:fill="FFFFFF"/>
            <w:hideMark/>
          </w:tcPr>
          <w:p w14:paraId="49F3B331" w14:textId="77777777" w:rsidR="00FE6668" w:rsidRPr="00D829F0" w:rsidRDefault="00FE6668" w:rsidP="00FE6668">
            <w:pPr>
              <w:spacing w:before="40" w:after="120"/>
              <w:jc w:val="center"/>
              <w:rPr>
                <w:rFonts w:ascii="Source Sans Pro" w:hAnsi="Source Sans Pro" w:cs="Calibri Light"/>
                <w:sz w:val="18"/>
                <w:szCs w:val="18"/>
              </w:rPr>
            </w:pPr>
            <w:r w:rsidRPr="00D829F0">
              <w:rPr>
                <w:rFonts w:ascii="Source Sans Pro" w:hAnsi="Source Sans Pro" w:cs="Calibri Light"/>
                <w:b/>
                <w:noProof/>
                <w:sz w:val="18"/>
                <w:szCs w:val="18"/>
                <w:lang w:eastAsia="lv-LV"/>
              </w:rPr>
              <w:drawing>
                <wp:inline distT="0" distB="0" distL="0" distR="0" wp14:anchorId="1D52CC9E" wp14:editId="7080985F">
                  <wp:extent cx="2844000" cy="2160000"/>
                  <wp:effectExtent l="0" t="0" r="0" b="0"/>
                  <wp:docPr id="83" name="Chart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D829F0">
              <w:rPr>
                <w:rFonts w:ascii="Source Sans Pro" w:hAnsi="Source Sans Pro" w:cs="Calibri Light"/>
                <w:b/>
                <w:noProof/>
                <w:sz w:val="18"/>
                <w:szCs w:val="18"/>
                <w:lang w:eastAsia="lv-LV"/>
              </w:rPr>
              <w:drawing>
                <wp:inline distT="0" distB="0" distL="0" distR="0" wp14:anchorId="38A52AA7" wp14:editId="5DB47F32">
                  <wp:extent cx="2844000" cy="2160000"/>
                  <wp:effectExtent l="0" t="0" r="0" b="0"/>
                  <wp:docPr id="86" name="Chart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14:paraId="7981DA46" w14:textId="77777777" w:rsidR="00FE6668" w:rsidRPr="00D829F0" w:rsidRDefault="00FE6668" w:rsidP="00FE6668">
      <w:pPr>
        <w:spacing w:before="120" w:after="120"/>
        <w:jc w:val="both"/>
        <w:rPr>
          <w:rFonts w:ascii="Source Sans Pro" w:hAnsi="Source Sans Pro" w:cs="Calibri Light"/>
          <w:sz w:val="16"/>
          <w:szCs w:val="16"/>
        </w:rPr>
      </w:pPr>
      <w:r w:rsidRPr="00D829F0">
        <w:rPr>
          <w:rFonts w:ascii="Source Sans Pro" w:hAnsi="Source Sans Pro" w:cs="Calibri Light"/>
          <w:sz w:val="16"/>
          <w:szCs w:val="16"/>
        </w:rPr>
        <w:t xml:space="preserve">Avots: </w:t>
      </w:r>
      <w:r w:rsidRPr="00D829F0">
        <w:rPr>
          <w:rFonts w:ascii="Source Sans Pro" w:hAnsi="Source Sans Pro" w:cs="Calibri Light"/>
          <w:i/>
          <w:sz w:val="16"/>
          <w:szCs w:val="16"/>
        </w:rPr>
        <w:t>Eurostat</w:t>
      </w:r>
    </w:p>
    <w:p w14:paraId="059F9D21" w14:textId="77777777" w:rsidR="00FE6668" w:rsidRPr="00D829F0" w:rsidRDefault="00FE6668" w:rsidP="00FE6668">
      <w:pPr>
        <w:spacing w:after="120"/>
        <w:jc w:val="both"/>
        <w:rPr>
          <w:rFonts w:ascii="Source Sans Pro" w:hAnsi="Source Sans Pro" w:cs="Calibri Light"/>
          <w:szCs w:val="20"/>
        </w:rPr>
      </w:pPr>
    </w:p>
    <w:p w14:paraId="575BAB77" w14:textId="3AC4C38E" w:rsidR="00FE6668" w:rsidRPr="00D829F0" w:rsidRDefault="00FE6668" w:rsidP="00FE6668">
      <w:pPr>
        <w:spacing w:after="120"/>
        <w:jc w:val="both"/>
        <w:rPr>
          <w:rFonts w:ascii="Source Sans Pro" w:hAnsi="Source Sans Pro" w:cs="Calibri Light"/>
          <w:szCs w:val="20"/>
        </w:rPr>
      </w:pPr>
      <w:r w:rsidRPr="00D829F0">
        <w:rPr>
          <w:rFonts w:ascii="Source Sans Pro" w:hAnsi="Source Sans Pro" w:cs="Calibri Light"/>
          <w:szCs w:val="20"/>
        </w:rPr>
        <w:t xml:space="preserve">Produktivitātes lēnās dinamikas apstākļos darbaspēka izmaksu kāpums rada būtisku spiedienu uz Latvijas uzņēmēju izmaksu konkurētspēju. Ekonomisko aktivitāšu vājināšanās ir maz ietekmējusi stāvokli darba tirgū. Tas liecina, ka darbaspēka </w:t>
      </w:r>
      <w:r w:rsidRPr="00D829F0">
        <w:rPr>
          <w:rFonts w:ascii="Source Sans Pro" w:hAnsi="Source Sans Pro" w:cs="Calibri Light"/>
          <w:bCs/>
          <w:szCs w:val="20"/>
        </w:rPr>
        <w:t>trūkum</w:t>
      </w:r>
      <w:r w:rsidR="003C7DFD">
        <w:rPr>
          <w:rFonts w:ascii="Source Sans Pro" w:hAnsi="Source Sans Pro" w:cs="Calibri Light"/>
          <w:bCs/>
          <w:szCs w:val="20"/>
        </w:rPr>
        <w:t>s</w:t>
      </w:r>
      <w:r w:rsidRPr="00D829F0">
        <w:rPr>
          <w:rFonts w:ascii="Source Sans Pro" w:hAnsi="Source Sans Pro" w:cs="Calibri Light"/>
          <w:szCs w:val="20"/>
        </w:rPr>
        <w:t xml:space="preserve"> ir </w:t>
      </w:r>
      <w:r w:rsidRPr="00D829F0">
        <w:rPr>
          <w:rFonts w:ascii="Source Sans Pro" w:hAnsi="Source Sans Pro" w:cs="Calibri Light"/>
          <w:bCs/>
          <w:szCs w:val="20"/>
        </w:rPr>
        <w:t>aktuāl</w:t>
      </w:r>
      <w:r w:rsidR="003C7DFD">
        <w:rPr>
          <w:rFonts w:ascii="Source Sans Pro" w:hAnsi="Source Sans Pro" w:cs="Calibri Light"/>
          <w:bCs/>
          <w:szCs w:val="20"/>
        </w:rPr>
        <w:t>s</w:t>
      </w:r>
      <w:r w:rsidRPr="00D829F0">
        <w:rPr>
          <w:rFonts w:ascii="Source Sans Pro" w:hAnsi="Source Sans Pro" w:cs="Calibri Light"/>
          <w:szCs w:val="20"/>
        </w:rPr>
        <w:t xml:space="preserve"> uzņēmējiem un, neraugoties uz ekonomisko aktivitāšu palēnināšanos, </w:t>
      </w:r>
      <w:r w:rsidRPr="00D829F0">
        <w:rPr>
          <w:rFonts w:ascii="Source Sans Pro" w:hAnsi="Source Sans Pro" w:cs="Calibri Light"/>
          <w:bCs/>
          <w:szCs w:val="20"/>
        </w:rPr>
        <w:t>darbavietas</w:t>
      </w:r>
      <w:r w:rsidR="006129FA" w:rsidRPr="006129FA">
        <w:rPr>
          <w:rFonts w:ascii="Source Sans Pro" w:hAnsi="Source Sans Pro" w:cs="Calibri Light"/>
          <w:bCs/>
          <w:szCs w:val="20"/>
        </w:rPr>
        <w:t xml:space="preserve"> </w:t>
      </w:r>
      <w:r w:rsidRPr="00D829F0">
        <w:rPr>
          <w:rFonts w:ascii="Source Sans Pro" w:hAnsi="Source Sans Pro" w:cs="Calibri Light"/>
          <w:szCs w:val="20"/>
        </w:rPr>
        <w:t>tiek saglabātas</w:t>
      </w:r>
      <w:r w:rsidRPr="00D829F0">
        <w:rPr>
          <w:rFonts w:ascii="Source Sans Pro" w:hAnsi="Source Sans Pro" w:cs="Calibri Light"/>
          <w:bCs/>
          <w:szCs w:val="20"/>
        </w:rPr>
        <w:t>.</w:t>
      </w:r>
      <w:r w:rsidRPr="00D829F0">
        <w:rPr>
          <w:rFonts w:ascii="Source Sans Pro" w:hAnsi="Source Sans Pro" w:cs="Calibri Light"/>
          <w:szCs w:val="20"/>
        </w:rPr>
        <w:t xml:space="preserve"> Savukārt inflācijas ietekmē algas turpina pieaugt. Šīs tendences arvien vairāk palielina plaisu starp produktivitātes un darbaspēka izmaksām. Produktivitātes palielināšana ir galvenais konkurētspēju noteicošais faktors, un tās noturīgi pozitīvo dinamiku lielā mērā noteiks strukturālās izmaiņas Latvijas tautsaimniecībā virzībā uz augstākas pievienotās vērtības aktivitātēm un zināšanu ietilpīgām nozarēm.</w:t>
      </w:r>
    </w:p>
    <w:p w14:paraId="2A3F392B" w14:textId="3796E1DC" w:rsidR="00620421" w:rsidRPr="00D829F0" w:rsidRDefault="00620421" w:rsidP="00867A48">
      <w:pPr>
        <w:spacing w:after="120"/>
        <w:rPr>
          <w:rFonts w:ascii="Source Sans Pro" w:hAnsi="Source Sans Pro"/>
        </w:rPr>
      </w:pPr>
    </w:p>
    <w:p w14:paraId="2F2F4E9C" w14:textId="77777777" w:rsidR="00C075DC" w:rsidRPr="00D829F0" w:rsidRDefault="00C075DC" w:rsidP="00867A48">
      <w:pPr>
        <w:spacing w:after="120"/>
        <w:rPr>
          <w:rFonts w:ascii="Source Sans Pro" w:hAnsi="Source Sans Pro"/>
        </w:rPr>
      </w:pPr>
    </w:p>
    <w:p w14:paraId="00E23750" w14:textId="77777777" w:rsidR="00C075DC" w:rsidRPr="00EF7F3C" w:rsidRDefault="00C075DC">
      <w:pPr>
        <w:spacing w:after="0"/>
        <w:rPr>
          <w:rFonts w:ascii="Aptos Narrow" w:hAnsi="Aptos Narrow"/>
          <w:b/>
          <w:caps/>
          <w:color w:val="000000" w:themeColor="text1"/>
          <w:sz w:val="36"/>
          <w:highlight w:val="yellow"/>
        </w:rPr>
      </w:pPr>
      <w:bookmarkStart w:id="20" w:name="_Toc517876429"/>
      <w:r w:rsidRPr="00D829F0">
        <w:rPr>
          <w:rFonts w:ascii="Source Sans Pro" w:hAnsi="Source Sans Pro"/>
          <w:color w:val="000000" w:themeColor="text1"/>
        </w:rPr>
        <w:br w:type="page"/>
      </w:r>
    </w:p>
    <w:p w14:paraId="5527CA88" w14:textId="38D3FE05" w:rsidR="00CD313C" w:rsidRPr="00D829F0" w:rsidRDefault="00CD313C" w:rsidP="00CD313C">
      <w:pPr>
        <w:pStyle w:val="BodyTextIndent2"/>
        <w:spacing w:line="240" w:lineRule="auto"/>
        <w:ind w:left="0"/>
        <w:jc w:val="both"/>
        <w:rPr>
          <w:rFonts w:ascii="Source Sans Pro" w:hAnsi="Source Sans Pro"/>
          <w:sz w:val="20"/>
          <w:szCs w:val="20"/>
        </w:rPr>
      </w:pPr>
      <w:r w:rsidRPr="00EF7F3C">
        <w:rPr>
          <w:noProof/>
          <w:highlight w:val="yellow"/>
        </w:rPr>
        <w:lastRenderedPageBreak/>
        <w:drawing>
          <wp:anchor distT="0" distB="0" distL="114300" distR="114300" simplePos="0" relativeHeight="251658409" behindDoc="1" locked="0" layoutInCell="1" allowOverlap="1" wp14:anchorId="37C4D59E" wp14:editId="10627458">
            <wp:simplePos x="0" y="0"/>
            <wp:positionH relativeFrom="page">
              <wp:posOffset>0</wp:posOffset>
            </wp:positionH>
            <wp:positionV relativeFrom="page">
              <wp:posOffset>0</wp:posOffset>
            </wp:positionV>
            <wp:extent cx="7560000" cy="5040000"/>
            <wp:effectExtent l="0" t="0" r="3175" b="8255"/>
            <wp:wrapNone/>
            <wp:docPr id="1397" name="Picture 1397" descr="Office worker with coffee mug at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Picture 1397" descr="Office worker with coffee mug at desk"/>
                    <pic:cNvPicPr/>
                  </pic:nvPicPr>
                  <pic:blipFill>
                    <a:blip r:embed="rId46" cstate="print">
                      <a:alphaModFix amt="5000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60000" cy="5040000"/>
                    </a:xfrm>
                    <a:prstGeom prst="rect">
                      <a:avLst/>
                    </a:prstGeom>
                  </pic:spPr>
                </pic:pic>
              </a:graphicData>
            </a:graphic>
            <wp14:sizeRelH relativeFrom="page">
              <wp14:pctWidth>0</wp14:pctWidth>
            </wp14:sizeRelH>
            <wp14:sizeRelV relativeFrom="page">
              <wp14:pctHeight>0</wp14:pctHeight>
            </wp14:sizeRelV>
          </wp:anchor>
        </w:drawing>
      </w:r>
    </w:p>
    <w:p w14:paraId="7291B153"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5A4CA8E6"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49F86130"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58B53BEA"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3BC852CE"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0F1D77AA"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78846B87"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0B1E11C8"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1B9CE353"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6CC9AD6F"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100F63B4"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3970A4EB"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31738B83"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38BBE6A6"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1B8C41C7"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6EC4301A"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77765A37"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126FEB17"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6A9A959D" w14:textId="77777777" w:rsidR="00CD313C" w:rsidRPr="00D829F0" w:rsidRDefault="00CD313C" w:rsidP="00CD313C">
      <w:pPr>
        <w:pStyle w:val="BodyTextIndent2"/>
        <w:spacing w:line="240" w:lineRule="auto"/>
        <w:ind w:left="0"/>
        <w:jc w:val="both"/>
        <w:rPr>
          <w:rFonts w:ascii="Source Sans Pro" w:hAnsi="Source Sans Pro"/>
          <w:sz w:val="20"/>
          <w:szCs w:val="20"/>
        </w:rPr>
      </w:pPr>
    </w:p>
    <w:p w14:paraId="4A460A4F" w14:textId="77777777" w:rsidR="0077767D" w:rsidRPr="00D829F0" w:rsidRDefault="0077767D" w:rsidP="00CD313C">
      <w:pPr>
        <w:pStyle w:val="BodyTextIndent2"/>
        <w:spacing w:line="240" w:lineRule="auto"/>
        <w:ind w:left="0"/>
        <w:jc w:val="both"/>
        <w:rPr>
          <w:rFonts w:ascii="Source Sans Pro" w:hAnsi="Source Sans Pro"/>
          <w:sz w:val="20"/>
          <w:szCs w:val="20"/>
        </w:rPr>
      </w:pPr>
    </w:p>
    <w:p w14:paraId="3EEF5868" w14:textId="77777777" w:rsidR="0077767D" w:rsidRPr="00D829F0" w:rsidRDefault="0077767D" w:rsidP="00CD313C">
      <w:pPr>
        <w:pStyle w:val="BodyTextIndent2"/>
        <w:spacing w:line="240" w:lineRule="auto"/>
        <w:ind w:left="0"/>
        <w:jc w:val="both"/>
        <w:rPr>
          <w:rFonts w:ascii="Source Sans Pro" w:hAnsi="Source Sans Pro"/>
          <w:sz w:val="20"/>
          <w:szCs w:val="20"/>
        </w:rPr>
      </w:pPr>
    </w:p>
    <w:p w14:paraId="726F9516" w14:textId="77777777" w:rsidR="0077767D" w:rsidRPr="00D829F0" w:rsidRDefault="0077767D" w:rsidP="00CD313C">
      <w:pPr>
        <w:pStyle w:val="BodyTextIndent2"/>
        <w:spacing w:line="240" w:lineRule="auto"/>
        <w:ind w:left="0"/>
        <w:jc w:val="both"/>
        <w:rPr>
          <w:rFonts w:ascii="Source Sans Pro" w:hAnsi="Source Sans Pro"/>
          <w:sz w:val="20"/>
          <w:szCs w:val="20"/>
        </w:rPr>
      </w:pPr>
    </w:p>
    <w:p w14:paraId="4015F239" w14:textId="77777777" w:rsidR="0077767D" w:rsidRPr="00D829F0" w:rsidRDefault="0077767D" w:rsidP="00CD313C">
      <w:pPr>
        <w:pStyle w:val="BodyTextIndent2"/>
        <w:spacing w:line="240" w:lineRule="auto"/>
        <w:ind w:left="0"/>
        <w:jc w:val="both"/>
        <w:rPr>
          <w:rFonts w:ascii="Source Sans Pro" w:hAnsi="Source Sans Pro"/>
          <w:sz w:val="20"/>
          <w:szCs w:val="20"/>
        </w:rPr>
      </w:pPr>
    </w:p>
    <w:p w14:paraId="6A83785F" w14:textId="44E784E6" w:rsidR="00620421" w:rsidRPr="002A7173" w:rsidRDefault="00620421" w:rsidP="00080A71">
      <w:pPr>
        <w:pStyle w:val="Heading1"/>
      </w:pPr>
      <w:bookmarkStart w:id="21" w:name="_Toc2077962380"/>
      <w:r w:rsidRPr="002A7173">
        <w:t>2. DARBASPĒKA PIEPRASĪJUMS UN PIEDĀVĀJUMS</w:t>
      </w:r>
      <w:bookmarkEnd w:id="20"/>
      <w:bookmarkEnd w:id="21"/>
    </w:p>
    <w:p w14:paraId="5EBFC09E" w14:textId="77777777" w:rsidR="00CD313C" w:rsidRPr="002A7173" w:rsidRDefault="00CD313C">
      <w:pPr>
        <w:spacing w:after="0"/>
        <w:rPr>
          <w:rFonts w:ascii="Aptos Narrow" w:hAnsi="Aptos Narrow"/>
          <w:b/>
          <w:caps/>
          <w:color w:val="5F497A" w:themeColor="accent4" w:themeShade="BF"/>
          <w:sz w:val="28"/>
        </w:rPr>
      </w:pPr>
      <w:bookmarkStart w:id="22" w:name="_Toc517876430"/>
      <w:r w:rsidRPr="00D829F0">
        <w:rPr>
          <w:rFonts w:ascii="Source Sans Pro" w:hAnsi="Source Sans Pro"/>
        </w:rPr>
        <w:br w:type="page"/>
      </w:r>
    </w:p>
    <w:p w14:paraId="0A1328F9" w14:textId="77777777" w:rsidR="00F53D57" w:rsidRPr="00983AF9" w:rsidRDefault="00F53D57" w:rsidP="00F53D57">
      <w:pPr>
        <w:pStyle w:val="BodyTextIndent2"/>
        <w:spacing w:line="240" w:lineRule="auto"/>
        <w:ind w:left="0"/>
        <w:jc w:val="both"/>
        <w:rPr>
          <w:rFonts w:ascii="Source Sans Pro" w:hAnsi="Source Sans Pro"/>
          <w:sz w:val="20"/>
          <w:szCs w:val="20"/>
        </w:rPr>
      </w:pPr>
    </w:p>
    <w:p w14:paraId="1C179F1E" w14:textId="77777777" w:rsidR="00F53D57" w:rsidRPr="00983AF9" w:rsidRDefault="00F53D57" w:rsidP="00F53D57">
      <w:pPr>
        <w:pStyle w:val="BodyTextIndent2"/>
        <w:spacing w:line="240" w:lineRule="auto"/>
        <w:ind w:left="0"/>
        <w:jc w:val="both"/>
        <w:rPr>
          <w:rFonts w:ascii="Source Sans Pro" w:hAnsi="Source Sans Pro"/>
          <w:sz w:val="20"/>
          <w:szCs w:val="20"/>
        </w:rPr>
      </w:pPr>
    </w:p>
    <w:p w14:paraId="51400063" w14:textId="6EE91F00" w:rsidR="00F53D57" w:rsidRPr="00771C47" w:rsidRDefault="003D7288" w:rsidP="006129FA">
      <w:pPr>
        <w:pBdr>
          <w:left w:val="single" w:sz="24" w:space="10" w:color="0E5A69"/>
        </w:pBdr>
        <w:spacing w:after="120"/>
        <w:jc w:val="both"/>
        <w:rPr>
          <w:rFonts w:ascii="Aptos Narrow" w:hAnsi="Aptos Narrow"/>
          <w:i/>
          <w:sz w:val="42"/>
          <w:szCs w:val="36"/>
        </w:rPr>
      </w:pPr>
      <w:r w:rsidRPr="00771C47">
        <w:rPr>
          <w:rFonts w:ascii="Aptos Narrow" w:hAnsi="Aptos Narrow"/>
          <w:i/>
          <w:color w:val="0E5A69"/>
          <w:sz w:val="40"/>
          <w:szCs w:val="40"/>
        </w:rPr>
        <w:t xml:space="preserve">Darbaspēka pieprasījums pārstrukturējas par labu augstākas kvalifikācijas profesijām, savukārt piedāvājumu arvien vairāk ierobežo </w:t>
      </w:r>
      <w:r w:rsidRPr="00771C47">
        <w:rPr>
          <w:rFonts w:ascii="Aptos Narrow" w:hAnsi="Aptos Narrow"/>
          <w:i/>
          <w:iCs/>
          <w:color w:val="0E5A69"/>
          <w:sz w:val="40"/>
          <w:szCs w:val="40"/>
        </w:rPr>
        <w:t>demogrāfi</w:t>
      </w:r>
      <w:r w:rsidR="00C07A70">
        <w:rPr>
          <w:rFonts w:ascii="Aptos Narrow" w:hAnsi="Aptos Narrow"/>
          <w:i/>
          <w:iCs/>
          <w:color w:val="0E5A69"/>
          <w:sz w:val="40"/>
          <w:szCs w:val="40"/>
        </w:rPr>
        <w:t>skie</w:t>
      </w:r>
      <w:r w:rsidR="006129FA">
        <w:rPr>
          <w:rFonts w:ascii="Aptos Narrow" w:hAnsi="Aptos Narrow"/>
          <w:i/>
          <w:iCs/>
          <w:color w:val="0E5A69"/>
          <w:sz w:val="40"/>
          <w:szCs w:val="40"/>
        </w:rPr>
        <w:t xml:space="preserve"> </w:t>
      </w:r>
      <w:r w:rsidR="00C07A70">
        <w:rPr>
          <w:rFonts w:ascii="Aptos Narrow" w:hAnsi="Aptos Narrow"/>
          <w:i/>
          <w:iCs/>
          <w:color w:val="0E5A69"/>
          <w:sz w:val="40"/>
          <w:szCs w:val="40"/>
        </w:rPr>
        <w:t>izaicinājumi,</w:t>
      </w:r>
      <w:r>
        <w:rPr>
          <w:rFonts w:ascii="Aptos Narrow" w:hAnsi="Aptos Narrow"/>
          <w:i/>
          <w:color w:val="0E5A69"/>
          <w:sz w:val="40"/>
          <w:szCs w:val="40"/>
        </w:rPr>
        <w:t xml:space="preserve"> </w:t>
      </w:r>
      <w:r w:rsidRPr="00771C47">
        <w:rPr>
          <w:rFonts w:ascii="Aptos Narrow" w:hAnsi="Aptos Narrow" w:cs="Verdana"/>
          <w:i/>
          <w:color w:val="0E5A69"/>
          <w:sz w:val="40"/>
          <w:szCs w:val="40"/>
        </w:rPr>
        <w:t>darbspējas vecuma iedzīvotāju skaita sarukums</w:t>
      </w:r>
      <w:r w:rsidR="00EB1279">
        <w:rPr>
          <w:rFonts w:ascii="Aptos Narrow" w:hAnsi="Aptos Narrow" w:cs="Verdana"/>
          <w:i/>
          <w:iCs/>
          <w:color w:val="0E5A69"/>
          <w:sz w:val="40"/>
          <w:szCs w:val="40"/>
        </w:rPr>
        <w:t>,</w:t>
      </w:r>
      <w:r w:rsidRPr="00771C47">
        <w:rPr>
          <w:rFonts w:ascii="Aptos Narrow" w:hAnsi="Aptos Narrow" w:cs="Verdana"/>
          <w:i/>
          <w:color w:val="0E5A69"/>
          <w:sz w:val="40"/>
          <w:szCs w:val="40"/>
        </w:rPr>
        <w:t xml:space="preserve"> prasmju un reģionālās neatbilstības</w:t>
      </w:r>
    </w:p>
    <w:p w14:paraId="1F5BC28A" w14:textId="77777777" w:rsidR="00F53D57" w:rsidRDefault="00F53D57" w:rsidP="00F53D57">
      <w:pPr>
        <w:pStyle w:val="BodyTextIndent2"/>
        <w:spacing w:line="240" w:lineRule="auto"/>
        <w:ind w:left="0"/>
        <w:jc w:val="both"/>
        <w:rPr>
          <w:rFonts w:ascii="Source Sans Pro" w:hAnsi="Source Sans Pro"/>
          <w:sz w:val="20"/>
          <w:szCs w:val="20"/>
        </w:rPr>
      </w:pPr>
    </w:p>
    <w:p w14:paraId="1E42E32E" w14:textId="77777777" w:rsidR="00F53D57" w:rsidRDefault="00F53D57" w:rsidP="00F53D57">
      <w:pPr>
        <w:pStyle w:val="BodyTextIndent2"/>
        <w:spacing w:line="240" w:lineRule="auto"/>
        <w:ind w:left="0"/>
        <w:jc w:val="both"/>
        <w:rPr>
          <w:rFonts w:ascii="Source Sans Pro" w:hAnsi="Source Sans Pro"/>
          <w:sz w:val="20"/>
          <w:szCs w:val="20"/>
        </w:rPr>
      </w:pPr>
    </w:p>
    <w:p w14:paraId="07121449" w14:textId="77777777" w:rsidR="00F53D57" w:rsidRDefault="00F53D57" w:rsidP="00F53D57">
      <w:pPr>
        <w:pStyle w:val="BodyTextIndent2"/>
        <w:spacing w:line="240" w:lineRule="auto"/>
        <w:ind w:left="0"/>
        <w:jc w:val="both"/>
        <w:rPr>
          <w:rFonts w:ascii="Source Sans Pro" w:hAnsi="Source Sans Pro"/>
          <w:sz w:val="20"/>
          <w:szCs w:val="20"/>
        </w:rPr>
      </w:pPr>
    </w:p>
    <w:p w14:paraId="5BA0ED50" w14:textId="77777777" w:rsidR="00F53D57" w:rsidRPr="001644DC" w:rsidRDefault="00F53D57" w:rsidP="00F53D57">
      <w:pPr>
        <w:pStyle w:val="BodyTextIndent2"/>
        <w:spacing w:line="240" w:lineRule="auto"/>
        <w:ind w:left="0"/>
        <w:jc w:val="both"/>
        <w:rPr>
          <w:rFonts w:ascii="Source Sans Pro" w:hAnsi="Source Sans Pro"/>
          <w:sz w:val="20"/>
          <w:szCs w:val="20"/>
        </w:rPr>
      </w:pPr>
    </w:p>
    <w:p w14:paraId="50ADCCD9" w14:textId="10E45A1E" w:rsidR="00620421" w:rsidRPr="009E7243" w:rsidRDefault="00620421" w:rsidP="00080A71">
      <w:pPr>
        <w:pStyle w:val="Heading2"/>
      </w:pPr>
      <w:bookmarkStart w:id="23" w:name="_Toc67228652"/>
      <w:r w:rsidRPr="009E7243">
        <w:t>2.1. Darbaspēka pieprasījuma izmaiņas un struktūra</w:t>
      </w:r>
      <w:bookmarkEnd w:id="22"/>
      <w:bookmarkEnd w:id="23"/>
    </w:p>
    <w:p w14:paraId="418961AE" w14:textId="77777777" w:rsidR="003D7288" w:rsidRDefault="003D7288" w:rsidP="00867A48">
      <w:pPr>
        <w:spacing w:after="120"/>
        <w:jc w:val="both"/>
        <w:rPr>
          <w:rFonts w:ascii="Source Sans Pro" w:hAnsi="Source Sans Pro"/>
        </w:rPr>
      </w:pPr>
    </w:p>
    <w:p w14:paraId="6B647426" w14:textId="77777777" w:rsidR="003D7288" w:rsidRPr="004B39FD" w:rsidRDefault="003D7288" w:rsidP="001B57D6">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567BD6B8" w14:textId="086B82E2" w:rsidR="00A003DA" w:rsidRPr="00A003DA" w:rsidRDefault="003D7288"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A003DA" w:rsidRPr="00A003DA">
        <w:rPr>
          <w:rFonts w:ascii="Aptos Narrow" w:hAnsi="Aptos Narrow" w:cs="Verdana"/>
          <w:color w:val="262626"/>
          <w:sz w:val="22"/>
        </w:rPr>
        <w:t>Kopējais nodarbināto skaits saglabājas tuvu iepriekšējo gadu līmenim, tomēr aiz šķietamās stabilitātes slēpjas būtiskas pārbīdes starp nozarēm – nodarbinātība pieaug komercpakalpojumos un</w:t>
      </w:r>
      <w:r w:rsidR="005B02C4">
        <w:rPr>
          <w:rFonts w:ascii="Aptos Narrow" w:hAnsi="Aptos Narrow" w:cs="Verdana"/>
          <w:color w:val="262626"/>
          <w:sz w:val="22"/>
        </w:rPr>
        <w:t xml:space="preserve"> </w:t>
      </w:r>
      <w:r w:rsidR="00A003DA" w:rsidRPr="00A003DA">
        <w:rPr>
          <w:rFonts w:ascii="Aptos Narrow" w:hAnsi="Aptos Narrow" w:cs="Verdana"/>
          <w:color w:val="262626"/>
          <w:sz w:val="22"/>
        </w:rPr>
        <w:t xml:space="preserve">sabiedriskajos pakalpojumos, bet sarūk </w:t>
      </w:r>
      <w:r w:rsidR="001B57D6" w:rsidRPr="001B57D6">
        <w:rPr>
          <w:rFonts w:ascii="Aptos Narrow" w:hAnsi="Aptos Narrow" w:cs="Verdana"/>
          <w:color w:val="262626"/>
          <w:sz w:val="22"/>
        </w:rPr>
        <w:t>transport</w:t>
      </w:r>
      <w:r w:rsidR="00C07A70">
        <w:rPr>
          <w:rFonts w:ascii="Aptos Narrow" w:hAnsi="Aptos Narrow" w:cs="Verdana"/>
          <w:color w:val="262626"/>
          <w:sz w:val="22"/>
        </w:rPr>
        <w:t>a</w:t>
      </w:r>
      <w:r w:rsidR="001B57D6" w:rsidRPr="001B57D6">
        <w:rPr>
          <w:rFonts w:ascii="Aptos Narrow" w:hAnsi="Aptos Narrow" w:cs="Verdana"/>
          <w:color w:val="262626"/>
          <w:sz w:val="22"/>
        </w:rPr>
        <w:t>, būvniecīb</w:t>
      </w:r>
      <w:r w:rsidR="00C07A70">
        <w:rPr>
          <w:rFonts w:ascii="Aptos Narrow" w:hAnsi="Aptos Narrow" w:cs="Verdana"/>
          <w:color w:val="262626"/>
          <w:sz w:val="22"/>
        </w:rPr>
        <w:t>as</w:t>
      </w:r>
      <w:r w:rsidR="00A003DA" w:rsidRPr="00A003DA">
        <w:rPr>
          <w:rFonts w:ascii="Aptos Narrow" w:hAnsi="Aptos Narrow" w:cs="Verdana"/>
          <w:color w:val="262626"/>
          <w:sz w:val="22"/>
        </w:rPr>
        <w:t xml:space="preserve"> un apstrādes </w:t>
      </w:r>
      <w:r w:rsidR="001B57D6" w:rsidRPr="001B57D6">
        <w:rPr>
          <w:rFonts w:ascii="Aptos Narrow" w:hAnsi="Aptos Narrow" w:cs="Verdana"/>
          <w:color w:val="262626"/>
          <w:sz w:val="22"/>
        </w:rPr>
        <w:t>rūpniecīb</w:t>
      </w:r>
      <w:r w:rsidR="00C07A70">
        <w:rPr>
          <w:rFonts w:ascii="Aptos Narrow" w:hAnsi="Aptos Narrow" w:cs="Verdana"/>
          <w:color w:val="262626"/>
          <w:sz w:val="22"/>
        </w:rPr>
        <w:t>as nozarēs</w:t>
      </w:r>
      <w:r w:rsidR="00A003DA" w:rsidRPr="00A003DA">
        <w:rPr>
          <w:rFonts w:ascii="Aptos Narrow" w:hAnsi="Aptos Narrow" w:cs="Verdana"/>
          <w:color w:val="262626"/>
          <w:sz w:val="22"/>
        </w:rPr>
        <w:t>.</w:t>
      </w:r>
    </w:p>
    <w:p w14:paraId="67E92AFB" w14:textId="72379C55" w:rsidR="00A003DA" w:rsidRPr="00A003DA" w:rsidRDefault="00A003DA"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A003DA">
        <w:rPr>
          <w:rFonts w:ascii="Aptos Narrow" w:hAnsi="Aptos Narrow" w:cs="Verdana"/>
          <w:color w:val="262626"/>
          <w:sz w:val="22"/>
        </w:rPr>
        <w:t xml:space="preserve">Darbaspēka pieprasījums pakāpeniski pārstrukturējas </w:t>
      </w:r>
      <w:r w:rsidR="00EB1279">
        <w:rPr>
          <w:rFonts w:ascii="Aptos Narrow" w:hAnsi="Aptos Narrow" w:cs="Verdana"/>
          <w:color w:val="262626"/>
          <w:sz w:val="22"/>
        </w:rPr>
        <w:t>uz</w:t>
      </w:r>
      <w:r w:rsidRPr="00A003DA">
        <w:rPr>
          <w:rFonts w:ascii="Aptos Narrow" w:hAnsi="Aptos Narrow" w:cs="Verdana"/>
          <w:color w:val="262626"/>
          <w:sz w:val="22"/>
        </w:rPr>
        <w:t xml:space="preserve"> augstākas kvalifikācijas profesijām un darbiniekiem ar augstāko izglītību, atspoguļojot tautsaimniecības virzību uz zināšanu ietilpīgākām darbībām.</w:t>
      </w:r>
    </w:p>
    <w:p w14:paraId="5FB0087F" w14:textId="6BEDDFF5" w:rsidR="003D7288" w:rsidRPr="004B39FD" w:rsidRDefault="00A003DA"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Pr="00A003DA">
        <w:rPr>
          <w:rFonts w:ascii="Aptos Narrow" w:hAnsi="Aptos Narrow" w:cs="Verdana"/>
          <w:color w:val="262626"/>
          <w:sz w:val="22"/>
        </w:rPr>
        <w:t xml:space="preserve">CSP </w:t>
      </w:r>
      <w:r w:rsidR="00735364">
        <w:rPr>
          <w:rFonts w:ascii="Aptos Narrow" w:hAnsi="Aptos Narrow" w:cs="Verdana"/>
          <w:color w:val="262626"/>
          <w:sz w:val="22"/>
        </w:rPr>
        <w:t>veiktais</w:t>
      </w:r>
      <w:r w:rsidRPr="00A003DA">
        <w:rPr>
          <w:rFonts w:ascii="Aptos Narrow" w:hAnsi="Aptos Narrow" w:cs="Verdana"/>
          <w:color w:val="262626"/>
          <w:sz w:val="22"/>
        </w:rPr>
        <w:t xml:space="preserve"> vakanču monitorings rāda, ka ikdienas pieprasījums joprojām koncentrējas praktiskās un pakalpojumu profesijās, savukārt augstākas kvalifikācijas darba iespējas ir izteikti koncentrētas Rīgā.</w:t>
      </w:r>
    </w:p>
    <w:p w14:paraId="000064B8" w14:textId="77777777" w:rsidR="003D7288" w:rsidRDefault="003D7288" w:rsidP="00867A48">
      <w:pPr>
        <w:spacing w:after="120"/>
        <w:jc w:val="both"/>
        <w:rPr>
          <w:rFonts w:ascii="Source Sans Pro" w:hAnsi="Source Sans Pro"/>
        </w:rPr>
      </w:pPr>
    </w:p>
    <w:p w14:paraId="418698A0" w14:textId="77777777" w:rsidR="008A17B1" w:rsidRDefault="00AE6839" w:rsidP="00867A48">
      <w:pPr>
        <w:spacing w:after="120"/>
        <w:jc w:val="both"/>
        <w:rPr>
          <w:rFonts w:ascii="Source Sans Pro" w:hAnsi="Source Sans Pro"/>
        </w:rPr>
      </w:pPr>
      <w:r w:rsidRPr="00D829F0">
        <w:rPr>
          <w:rFonts w:ascii="Source Sans Pro" w:hAnsi="Source Sans Pro"/>
        </w:rPr>
        <w:t>Laika posmā no 2011. līdz 2019.</w:t>
      </w:r>
      <w:r w:rsidR="00BD21E8">
        <w:rPr>
          <w:rFonts w:ascii="Source Sans Pro" w:hAnsi="Source Sans Pro"/>
        </w:rPr>
        <w:t> </w:t>
      </w:r>
      <w:r w:rsidRPr="00D829F0">
        <w:rPr>
          <w:rFonts w:ascii="Source Sans Pro" w:hAnsi="Source Sans Pro"/>
        </w:rPr>
        <w:t>gadam, pēc 2008.</w:t>
      </w:r>
      <w:r w:rsidR="00BD21E8">
        <w:rPr>
          <w:rFonts w:ascii="Source Sans Pro" w:hAnsi="Source Sans Pro"/>
        </w:rPr>
        <w:t> </w:t>
      </w:r>
      <w:r w:rsidRPr="00D829F0">
        <w:rPr>
          <w:rFonts w:ascii="Source Sans Pro" w:hAnsi="Source Sans Pro"/>
        </w:rPr>
        <w:t>gada finanšu krīzes pārvarēšanas, nodarbināto skaits pieauga gandrīz visās tautsaimniecības pamatnozarēs. Covid-19 pandēmija 2020.–2021.</w:t>
      </w:r>
      <w:r w:rsidR="00EB1279">
        <w:rPr>
          <w:rFonts w:ascii="Source Sans Pro" w:hAnsi="Source Sans Pro"/>
        </w:rPr>
        <w:t> </w:t>
      </w:r>
      <w:r w:rsidRPr="00D829F0">
        <w:rPr>
          <w:rFonts w:ascii="Source Sans Pro" w:hAnsi="Source Sans Pro"/>
        </w:rPr>
        <w:t>gadā šo izaugsmi pārtrauca, īpaši ietekmējot darbaspēka intensīvās nozares. Pēc straujākas darba tirgus atkopšanās 2022.</w:t>
      </w:r>
      <w:r w:rsidR="00BD21E8">
        <w:rPr>
          <w:rFonts w:ascii="Source Sans Pro" w:hAnsi="Source Sans Pro"/>
        </w:rPr>
        <w:t> </w:t>
      </w:r>
      <w:r w:rsidRPr="00D829F0">
        <w:rPr>
          <w:rFonts w:ascii="Source Sans Pro" w:hAnsi="Source Sans Pro"/>
        </w:rPr>
        <w:t xml:space="preserve">gadā, ko veicināja ekonomiskās aktivitātes normalizēšanās pēc pandēmijas, </w:t>
      </w:r>
      <w:r w:rsidR="008A17B1">
        <w:rPr>
          <w:rFonts w:ascii="Source Sans Pro" w:hAnsi="Source Sans Pro"/>
        </w:rPr>
        <w:t>kā arī</w:t>
      </w:r>
      <w:r w:rsidRPr="00D829F0">
        <w:rPr>
          <w:rFonts w:ascii="Source Sans Pro" w:hAnsi="Source Sans Pro"/>
        </w:rPr>
        <w:t xml:space="preserve"> Ukrainas civiliedzīvotāju iesaiste Latvijas darba tirgū, 2023.</w:t>
      </w:r>
      <w:r w:rsidR="00BD21E8">
        <w:rPr>
          <w:rFonts w:ascii="Source Sans Pro" w:hAnsi="Source Sans Pro"/>
        </w:rPr>
        <w:t> </w:t>
      </w:r>
      <w:r w:rsidRPr="00D829F0">
        <w:rPr>
          <w:rFonts w:ascii="Source Sans Pro" w:hAnsi="Source Sans Pro"/>
        </w:rPr>
        <w:t xml:space="preserve">gadā situācija darba tirgū kopumā saglabājās stabila. </w:t>
      </w:r>
    </w:p>
    <w:p w14:paraId="29426376" w14:textId="77777777" w:rsidR="008A17B1" w:rsidRDefault="00AE6839" w:rsidP="00867A48">
      <w:pPr>
        <w:spacing w:after="120"/>
        <w:jc w:val="both"/>
        <w:rPr>
          <w:rFonts w:ascii="Source Sans Pro" w:hAnsi="Source Sans Pro"/>
        </w:rPr>
      </w:pPr>
      <w:r w:rsidRPr="00D829F0">
        <w:rPr>
          <w:rFonts w:ascii="Source Sans Pro" w:hAnsi="Source Sans Pro"/>
        </w:rPr>
        <w:t>2024.</w:t>
      </w:r>
      <w:r w:rsidR="008A17B1">
        <w:rPr>
          <w:rFonts w:ascii="Source Sans Pro" w:hAnsi="Source Sans Pro"/>
        </w:rPr>
        <w:t> </w:t>
      </w:r>
      <w:r w:rsidRPr="00D829F0">
        <w:rPr>
          <w:rFonts w:ascii="Source Sans Pro" w:hAnsi="Source Sans Pro"/>
        </w:rPr>
        <w:t xml:space="preserve">gadā nodarbināto skaits samazinājās, ko galvenokārt noteica vājāka ekonomiskā aktivitāte un pieprasījuma mazināšanās vairākās privātā sektora nozarēs. </w:t>
      </w:r>
    </w:p>
    <w:p w14:paraId="42508C18" w14:textId="0299453C" w:rsidR="00F81D4B" w:rsidRPr="00D829F0" w:rsidRDefault="00AE6839" w:rsidP="00867A48">
      <w:pPr>
        <w:spacing w:after="120"/>
        <w:jc w:val="both"/>
        <w:rPr>
          <w:rFonts w:ascii="Source Sans Pro" w:hAnsi="Source Sans Pro"/>
          <w:color w:val="000000" w:themeColor="text1"/>
        </w:rPr>
      </w:pPr>
      <w:r w:rsidRPr="00D829F0">
        <w:rPr>
          <w:rFonts w:ascii="Source Sans Pro" w:hAnsi="Source Sans Pro"/>
        </w:rPr>
        <w:t>Savukārt 2025.</w:t>
      </w:r>
      <w:r w:rsidR="00BD21E8">
        <w:rPr>
          <w:rFonts w:ascii="Source Sans Pro" w:hAnsi="Source Sans Pro"/>
        </w:rPr>
        <w:t> </w:t>
      </w:r>
      <w:r w:rsidRPr="00D829F0">
        <w:rPr>
          <w:rFonts w:ascii="Source Sans Pro" w:hAnsi="Source Sans Pro"/>
        </w:rPr>
        <w:t>gadā nodarbināto skaits atkal pieauga, kopumā saglabā</w:t>
      </w:r>
      <w:r w:rsidR="008A17B1">
        <w:rPr>
          <w:rFonts w:ascii="Source Sans Pro" w:hAnsi="Source Sans Pro"/>
        </w:rPr>
        <w:t>joties</w:t>
      </w:r>
      <w:r w:rsidRPr="00D829F0">
        <w:rPr>
          <w:rFonts w:ascii="Source Sans Pro" w:hAnsi="Source Sans Pro"/>
        </w:rPr>
        <w:t xml:space="preserve"> iepriekšējo gadu līmen</w:t>
      </w:r>
      <w:r w:rsidR="008A17B1">
        <w:rPr>
          <w:rFonts w:ascii="Source Sans Pro" w:hAnsi="Source Sans Pro"/>
        </w:rPr>
        <w:t>ī</w:t>
      </w:r>
      <w:r w:rsidRPr="00D829F0">
        <w:rPr>
          <w:rFonts w:ascii="Source Sans Pro" w:hAnsi="Source Sans Pro"/>
        </w:rPr>
        <w:t>. Pieaugumu veicināja pakalpojumu nozaru noturība un darbaspēka pieprasījuma saglabāšanās.</w:t>
      </w:r>
    </w:p>
    <w:p w14:paraId="6A66AFA9" w14:textId="77777777" w:rsidR="006E0D9F" w:rsidRDefault="006E0D9F">
      <w:pPr>
        <w:spacing w:after="0"/>
        <w:rPr>
          <w:rFonts w:ascii="Source Sans Pro" w:hAnsi="Source Sans Pro"/>
        </w:rPr>
      </w:pPr>
      <w:r>
        <w:rPr>
          <w:rFonts w:ascii="Source Sans Pro" w:hAnsi="Source Sans Pro"/>
        </w:rPr>
        <w:br w:type="page"/>
      </w:r>
    </w:p>
    <w:p w14:paraId="1AB05F4F" w14:textId="20AEBBC8" w:rsidR="0066279C" w:rsidRPr="00D829F0" w:rsidRDefault="0066279C" w:rsidP="00867A48">
      <w:pPr>
        <w:spacing w:after="120"/>
        <w:jc w:val="right"/>
        <w:rPr>
          <w:rFonts w:ascii="Source Sans Pro" w:hAnsi="Source Sans Pro"/>
        </w:rPr>
      </w:pPr>
      <w:r w:rsidRPr="00D829F0">
        <w:rPr>
          <w:rFonts w:ascii="Source Sans Pro" w:hAnsi="Source Sans Pro"/>
        </w:rPr>
        <w:lastRenderedPageBreak/>
        <w:t>2.1. tabula</w:t>
      </w:r>
    </w:p>
    <w:p w14:paraId="7B4511D1" w14:textId="77777777" w:rsidR="0066279C" w:rsidRPr="009E7243" w:rsidRDefault="0066279C" w:rsidP="00867A48">
      <w:pPr>
        <w:pStyle w:val="ListParagraph"/>
        <w:spacing w:after="120"/>
        <w:ind w:left="0"/>
        <w:jc w:val="center"/>
        <w:rPr>
          <w:rFonts w:ascii="Segoe UI Light" w:hAnsi="Segoe UI Light"/>
          <w:i/>
          <w:sz w:val="16"/>
          <w:szCs w:val="24"/>
        </w:rPr>
      </w:pPr>
      <w:r w:rsidRPr="009E7243">
        <w:rPr>
          <w:rFonts w:ascii="Segoe UI Light" w:hAnsi="Segoe UI Light"/>
          <w:b/>
          <w:sz w:val="18"/>
          <w:szCs w:val="24"/>
        </w:rPr>
        <w:t>Nodarbināto skaits tautsaimniecības nozarēs</w:t>
      </w:r>
      <w:r w:rsidRPr="009E7243">
        <w:rPr>
          <w:rFonts w:ascii="Segoe UI Light" w:hAnsi="Segoe UI Light"/>
          <w:b/>
          <w:sz w:val="18"/>
          <w:szCs w:val="24"/>
        </w:rPr>
        <w:br/>
      </w:r>
      <w:r w:rsidRPr="009E7243">
        <w:rPr>
          <w:rFonts w:ascii="Segoe UI Light" w:hAnsi="Segoe UI Light"/>
          <w:i/>
          <w:sz w:val="16"/>
          <w:szCs w:val="24"/>
        </w:rPr>
        <w:t>tūkstošos</w:t>
      </w:r>
    </w:p>
    <w:tbl>
      <w:tblPr>
        <w:tblStyle w:val="GridTable4-Accent4"/>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8"/>
        <w:gridCol w:w="737"/>
        <w:gridCol w:w="737"/>
        <w:gridCol w:w="737"/>
        <w:gridCol w:w="737"/>
        <w:gridCol w:w="737"/>
        <w:gridCol w:w="737"/>
        <w:gridCol w:w="737"/>
        <w:gridCol w:w="737"/>
        <w:gridCol w:w="737"/>
      </w:tblGrid>
      <w:tr w:rsidR="00AF5961" w:rsidRPr="00D829F0" w14:paraId="6FBC73F9" w14:textId="77777777" w:rsidTr="0057168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38" w:type="dxa"/>
            <w:shd w:val="clear" w:color="auto" w:fill="0E5A69"/>
            <w:noWrap/>
            <w:vAlign w:val="center"/>
            <w:hideMark/>
          </w:tcPr>
          <w:p w14:paraId="0466C36E" w14:textId="577377E1" w:rsidR="0066279C" w:rsidRPr="009E7243" w:rsidRDefault="0066279C" w:rsidP="0057168A">
            <w:pPr>
              <w:spacing w:before="40" w:after="40"/>
              <w:jc w:val="center"/>
              <w:rPr>
                <w:rFonts w:ascii="Segoe UI Light" w:eastAsia="Times New Roman" w:hAnsi="Segoe UI Light" w:cs="Segoe UI Light"/>
                <w:color w:val="000000"/>
                <w:sz w:val="16"/>
                <w:szCs w:val="16"/>
              </w:rPr>
            </w:pPr>
          </w:p>
        </w:tc>
        <w:tc>
          <w:tcPr>
            <w:tcW w:w="737" w:type="dxa"/>
            <w:shd w:val="clear" w:color="auto" w:fill="0E5A69"/>
            <w:noWrap/>
            <w:vAlign w:val="center"/>
            <w:hideMark/>
          </w:tcPr>
          <w:p w14:paraId="7564120C" w14:textId="77777777" w:rsidR="0066279C" w:rsidRPr="009E7243"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9E7243">
              <w:rPr>
                <w:rFonts w:ascii="Segoe UI Light" w:eastAsia="Times New Roman" w:hAnsi="Segoe UI Light" w:cs="Segoe UI Light"/>
                <w:sz w:val="16"/>
                <w:szCs w:val="16"/>
                <w:lang w:val="en-US"/>
              </w:rPr>
              <w:t>2010</w:t>
            </w:r>
          </w:p>
        </w:tc>
        <w:tc>
          <w:tcPr>
            <w:tcW w:w="737" w:type="dxa"/>
            <w:shd w:val="clear" w:color="auto" w:fill="0E5A69"/>
            <w:noWrap/>
            <w:vAlign w:val="center"/>
            <w:hideMark/>
          </w:tcPr>
          <w:p w14:paraId="1B155451" w14:textId="7EA778ED" w:rsidR="0066279C" w:rsidRPr="009E7243" w:rsidRDefault="0069098A"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1037E7">
              <w:rPr>
                <w:rFonts w:ascii="Segoe UI Light" w:eastAsia="Times New Roman" w:hAnsi="Segoe UI Light" w:cs="Segoe UI Light"/>
                <w:sz w:val="16"/>
                <w:szCs w:val="16"/>
                <w:lang w:val="en-US"/>
              </w:rPr>
              <w:t>201</w:t>
            </w:r>
            <w:r>
              <w:rPr>
                <w:rFonts w:ascii="Segoe UI Light" w:eastAsia="Times New Roman" w:hAnsi="Segoe UI Light" w:cs="Segoe UI Light"/>
                <w:sz w:val="16"/>
                <w:szCs w:val="16"/>
                <w:lang w:val="en-US"/>
              </w:rPr>
              <w:t>5</w:t>
            </w:r>
          </w:p>
        </w:tc>
        <w:tc>
          <w:tcPr>
            <w:tcW w:w="737" w:type="dxa"/>
            <w:shd w:val="clear" w:color="auto" w:fill="0E5A69"/>
            <w:noWrap/>
            <w:vAlign w:val="center"/>
            <w:hideMark/>
          </w:tcPr>
          <w:p w14:paraId="1C5067F1" w14:textId="4E70B02E" w:rsidR="0066279C" w:rsidRPr="009E7243" w:rsidRDefault="0069098A"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1037E7">
              <w:rPr>
                <w:rFonts w:ascii="Segoe UI Light" w:eastAsia="Times New Roman" w:hAnsi="Segoe UI Light" w:cs="Segoe UI Light"/>
                <w:sz w:val="16"/>
                <w:szCs w:val="16"/>
                <w:lang w:val="en-US"/>
              </w:rPr>
              <w:t>2019</w:t>
            </w:r>
          </w:p>
        </w:tc>
        <w:tc>
          <w:tcPr>
            <w:tcW w:w="737" w:type="dxa"/>
            <w:shd w:val="clear" w:color="auto" w:fill="0E5A69"/>
            <w:noWrap/>
            <w:vAlign w:val="center"/>
            <w:hideMark/>
          </w:tcPr>
          <w:p w14:paraId="53B04B16" w14:textId="7B7E3FC4" w:rsidR="0066279C" w:rsidRPr="009E7243" w:rsidRDefault="0069098A"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1037E7">
              <w:rPr>
                <w:rFonts w:ascii="Segoe UI Light" w:eastAsia="Times New Roman" w:hAnsi="Segoe UI Light" w:cs="Segoe UI Light"/>
                <w:sz w:val="16"/>
                <w:szCs w:val="16"/>
                <w:lang w:val="en-US"/>
              </w:rPr>
              <w:t>2020</w:t>
            </w:r>
          </w:p>
        </w:tc>
        <w:tc>
          <w:tcPr>
            <w:tcW w:w="737" w:type="dxa"/>
            <w:shd w:val="clear" w:color="auto" w:fill="0E5A69"/>
            <w:noWrap/>
            <w:vAlign w:val="center"/>
            <w:hideMark/>
          </w:tcPr>
          <w:p w14:paraId="2D3D7039" w14:textId="6E406CE8" w:rsidR="0066279C" w:rsidRPr="009E7243" w:rsidRDefault="0069098A"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1037E7">
              <w:rPr>
                <w:rFonts w:ascii="Segoe UI Light" w:eastAsia="Times New Roman" w:hAnsi="Segoe UI Light" w:cs="Segoe UI Light"/>
                <w:sz w:val="16"/>
                <w:szCs w:val="16"/>
                <w:lang w:val="en-US"/>
              </w:rPr>
              <w:t>2021</w:t>
            </w:r>
          </w:p>
        </w:tc>
        <w:tc>
          <w:tcPr>
            <w:tcW w:w="737" w:type="dxa"/>
            <w:shd w:val="clear" w:color="auto" w:fill="0E5A69"/>
            <w:noWrap/>
            <w:vAlign w:val="center"/>
            <w:hideMark/>
          </w:tcPr>
          <w:p w14:paraId="2906FD65" w14:textId="44B79FD4" w:rsidR="0066279C" w:rsidRPr="009E7243" w:rsidRDefault="0069098A"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1037E7">
              <w:rPr>
                <w:rFonts w:ascii="Segoe UI Light" w:eastAsia="Times New Roman" w:hAnsi="Segoe UI Light" w:cs="Segoe UI Light"/>
                <w:sz w:val="16"/>
                <w:szCs w:val="16"/>
                <w:lang w:val="en-US"/>
              </w:rPr>
              <w:t>2022</w:t>
            </w:r>
          </w:p>
        </w:tc>
        <w:tc>
          <w:tcPr>
            <w:tcW w:w="737" w:type="dxa"/>
            <w:shd w:val="clear" w:color="auto" w:fill="0E5A69"/>
            <w:noWrap/>
            <w:vAlign w:val="center"/>
            <w:hideMark/>
          </w:tcPr>
          <w:p w14:paraId="0C33D87F" w14:textId="3FE17AAB" w:rsidR="0066279C" w:rsidRPr="009E7243" w:rsidRDefault="0069098A"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1037E7">
              <w:rPr>
                <w:rFonts w:ascii="Segoe UI Light" w:eastAsia="Times New Roman" w:hAnsi="Segoe UI Light" w:cs="Segoe UI Light"/>
                <w:sz w:val="16"/>
                <w:szCs w:val="16"/>
                <w:lang w:val="en-US"/>
              </w:rPr>
              <w:t>2023</w:t>
            </w:r>
          </w:p>
        </w:tc>
        <w:tc>
          <w:tcPr>
            <w:tcW w:w="737" w:type="dxa"/>
            <w:shd w:val="clear" w:color="auto" w:fill="0E5A69"/>
            <w:noWrap/>
            <w:vAlign w:val="center"/>
            <w:hideMark/>
          </w:tcPr>
          <w:p w14:paraId="3C053A95" w14:textId="555BB598" w:rsidR="0066279C" w:rsidRPr="009E7243" w:rsidRDefault="0069098A"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1037E7">
              <w:rPr>
                <w:rFonts w:ascii="Segoe UI Light" w:eastAsia="Times New Roman" w:hAnsi="Segoe UI Light" w:cs="Segoe UI Light"/>
                <w:sz w:val="16"/>
                <w:szCs w:val="16"/>
                <w:lang w:val="en-US"/>
              </w:rPr>
              <w:t>202</w:t>
            </w:r>
            <w:r>
              <w:rPr>
                <w:rFonts w:ascii="Segoe UI Light" w:eastAsia="Times New Roman" w:hAnsi="Segoe UI Light" w:cs="Segoe UI Light"/>
                <w:sz w:val="16"/>
                <w:szCs w:val="16"/>
                <w:lang w:val="en-US"/>
              </w:rPr>
              <w:t>4</w:t>
            </w:r>
          </w:p>
        </w:tc>
        <w:tc>
          <w:tcPr>
            <w:tcW w:w="737" w:type="dxa"/>
            <w:shd w:val="clear" w:color="auto" w:fill="0E5A69"/>
            <w:noWrap/>
            <w:vAlign w:val="center"/>
            <w:hideMark/>
          </w:tcPr>
          <w:p w14:paraId="2FA533AE" w14:textId="09799DBB" w:rsidR="0066279C" w:rsidRPr="009E7243" w:rsidRDefault="0069098A"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1037E7">
              <w:rPr>
                <w:rFonts w:ascii="Segoe UI Light" w:eastAsia="Times New Roman" w:hAnsi="Segoe UI Light" w:cs="Segoe UI Light"/>
                <w:sz w:val="16"/>
                <w:szCs w:val="16"/>
                <w:lang w:val="en-US"/>
              </w:rPr>
              <w:t>202</w:t>
            </w:r>
            <w:r>
              <w:rPr>
                <w:rFonts w:ascii="Segoe UI Light" w:eastAsia="Times New Roman" w:hAnsi="Segoe UI Light" w:cs="Segoe UI Light"/>
                <w:sz w:val="16"/>
                <w:szCs w:val="16"/>
                <w:lang w:val="en-US"/>
              </w:rPr>
              <w:t>5</w:t>
            </w:r>
          </w:p>
        </w:tc>
      </w:tr>
      <w:tr w:rsidR="00AF5961" w:rsidRPr="00D829F0" w14:paraId="7C30BB8A"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shd w:val="clear" w:color="auto" w:fill="DCE7EB"/>
            <w:noWrap/>
            <w:hideMark/>
          </w:tcPr>
          <w:p w14:paraId="2BBA0887" w14:textId="77777777" w:rsidR="0066279C" w:rsidRPr="009E7243" w:rsidRDefault="0066279C" w:rsidP="00867A48">
            <w:pPr>
              <w:spacing w:before="40" w:after="40"/>
              <w:rPr>
                <w:rFonts w:ascii="Segoe UI Light" w:eastAsia="Times New Roman" w:hAnsi="Segoe UI Light" w:cs="Segoe UI Light"/>
                <w:color w:val="000000"/>
                <w:sz w:val="16"/>
                <w:szCs w:val="16"/>
              </w:rPr>
            </w:pPr>
            <w:r w:rsidRPr="009E7243">
              <w:rPr>
                <w:rFonts w:ascii="Segoe UI Light" w:eastAsia="Times New Roman" w:hAnsi="Segoe UI Light" w:cs="Segoe UI Light"/>
                <w:color w:val="000000"/>
                <w:sz w:val="16"/>
                <w:szCs w:val="16"/>
              </w:rPr>
              <w:t>Pavisam</w:t>
            </w:r>
          </w:p>
        </w:tc>
        <w:tc>
          <w:tcPr>
            <w:tcW w:w="737" w:type="dxa"/>
            <w:shd w:val="clear" w:color="auto" w:fill="DCE7EB"/>
            <w:noWrap/>
            <w:vAlign w:val="center"/>
            <w:hideMark/>
          </w:tcPr>
          <w:p w14:paraId="1AE5DA45" w14:textId="77777777" w:rsidR="0066279C" w:rsidRPr="009E7243"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9E7243">
              <w:rPr>
                <w:rFonts w:ascii="Segoe UI Light" w:eastAsia="Times New Roman" w:hAnsi="Segoe UI Light" w:cs="Segoe UI Light"/>
                <w:b/>
                <w:color w:val="000000"/>
                <w:sz w:val="16"/>
                <w:szCs w:val="16"/>
                <w:lang w:val="en-US"/>
              </w:rPr>
              <w:t>850,7</w:t>
            </w:r>
          </w:p>
        </w:tc>
        <w:tc>
          <w:tcPr>
            <w:tcW w:w="737" w:type="dxa"/>
            <w:shd w:val="clear" w:color="auto" w:fill="DCE7EB"/>
            <w:noWrap/>
            <w:vAlign w:val="center"/>
            <w:hideMark/>
          </w:tcPr>
          <w:p w14:paraId="7EF33785" w14:textId="67F2F1A5"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1037E7">
              <w:rPr>
                <w:rFonts w:ascii="Segoe UI Light" w:eastAsia="Times New Roman" w:hAnsi="Segoe UI Light" w:cs="Segoe UI Light"/>
                <w:b/>
                <w:bCs/>
                <w:color w:val="000000"/>
                <w:sz w:val="16"/>
                <w:szCs w:val="16"/>
                <w:lang w:val="en-US"/>
              </w:rPr>
              <w:t>8</w:t>
            </w:r>
            <w:r>
              <w:rPr>
                <w:rFonts w:ascii="Segoe UI Light" w:eastAsia="Times New Roman" w:hAnsi="Segoe UI Light" w:cs="Segoe UI Light"/>
                <w:b/>
                <w:bCs/>
                <w:color w:val="000000"/>
                <w:sz w:val="16"/>
                <w:szCs w:val="16"/>
                <w:lang w:val="en-US"/>
              </w:rPr>
              <w:t>96</w:t>
            </w:r>
            <w:r w:rsidRPr="001037E7">
              <w:rPr>
                <w:rFonts w:ascii="Segoe UI Light" w:eastAsia="Times New Roman" w:hAnsi="Segoe UI Light" w:cs="Segoe UI Light"/>
                <w:b/>
                <w:bCs/>
                <w:color w:val="000000"/>
                <w:sz w:val="16"/>
                <w:szCs w:val="16"/>
                <w:lang w:val="en-US"/>
              </w:rPr>
              <w:t>,</w:t>
            </w:r>
            <w:r>
              <w:rPr>
                <w:rFonts w:ascii="Segoe UI Light" w:eastAsia="Times New Roman" w:hAnsi="Segoe UI Light" w:cs="Segoe UI Light"/>
                <w:b/>
                <w:bCs/>
                <w:color w:val="000000"/>
                <w:sz w:val="16"/>
                <w:szCs w:val="16"/>
                <w:lang w:val="en-US"/>
              </w:rPr>
              <w:t>1</w:t>
            </w:r>
          </w:p>
        </w:tc>
        <w:tc>
          <w:tcPr>
            <w:tcW w:w="737" w:type="dxa"/>
            <w:shd w:val="clear" w:color="auto" w:fill="DCE7EB"/>
            <w:noWrap/>
            <w:vAlign w:val="center"/>
            <w:hideMark/>
          </w:tcPr>
          <w:p w14:paraId="53A5DAD5" w14:textId="55D658BD"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1037E7">
              <w:rPr>
                <w:rFonts w:ascii="Segoe UI Light" w:eastAsia="Times New Roman" w:hAnsi="Segoe UI Light" w:cs="Segoe UI Light"/>
                <w:b/>
                <w:bCs/>
                <w:color w:val="000000"/>
                <w:sz w:val="16"/>
                <w:szCs w:val="16"/>
                <w:lang w:val="en-US"/>
              </w:rPr>
              <w:t>910,0</w:t>
            </w:r>
          </w:p>
        </w:tc>
        <w:tc>
          <w:tcPr>
            <w:tcW w:w="737" w:type="dxa"/>
            <w:shd w:val="clear" w:color="auto" w:fill="DCE7EB"/>
            <w:noWrap/>
            <w:vAlign w:val="center"/>
            <w:hideMark/>
          </w:tcPr>
          <w:p w14:paraId="1CC8FE6A" w14:textId="64137AD2" w:rsidR="0066279C" w:rsidRPr="009E7243"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9E7243">
              <w:rPr>
                <w:rFonts w:ascii="Segoe UI Light" w:eastAsia="Times New Roman" w:hAnsi="Segoe UI Light" w:cs="Segoe UI Light"/>
                <w:b/>
                <w:color w:val="000000"/>
                <w:sz w:val="16"/>
                <w:szCs w:val="16"/>
                <w:lang w:val="en-US"/>
              </w:rPr>
              <w:t>893,</w:t>
            </w:r>
            <w:r w:rsidR="0069098A" w:rsidRPr="001037E7">
              <w:rPr>
                <w:rFonts w:ascii="Segoe UI Light" w:eastAsia="Times New Roman" w:hAnsi="Segoe UI Light" w:cs="Segoe UI Light"/>
                <w:b/>
                <w:bCs/>
                <w:color w:val="000000"/>
                <w:sz w:val="16"/>
                <w:szCs w:val="16"/>
                <w:lang w:val="en-US"/>
              </w:rPr>
              <w:t>0</w:t>
            </w:r>
          </w:p>
        </w:tc>
        <w:tc>
          <w:tcPr>
            <w:tcW w:w="737" w:type="dxa"/>
            <w:shd w:val="clear" w:color="auto" w:fill="DCE7EB"/>
            <w:noWrap/>
            <w:vAlign w:val="center"/>
            <w:hideMark/>
          </w:tcPr>
          <w:p w14:paraId="65D4E499" w14:textId="0E1259D9"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1037E7">
              <w:rPr>
                <w:rFonts w:ascii="Segoe UI Light" w:eastAsia="Times New Roman" w:hAnsi="Segoe UI Light" w:cs="Segoe UI Light"/>
                <w:b/>
                <w:bCs/>
                <w:color w:val="000000"/>
                <w:sz w:val="16"/>
                <w:szCs w:val="16"/>
                <w:lang w:val="en-US"/>
              </w:rPr>
              <w:t>864</w:t>
            </w:r>
            <w:r w:rsidR="0066279C" w:rsidRPr="009E7243">
              <w:rPr>
                <w:rFonts w:ascii="Segoe UI Light" w:eastAsia="Times New Roman" w:hAnsi="Segoe UI Light" w:cs="Segoe UI Light"/>
                <w:b/>
                <w:color w:val="000000"/>
                <w:sz w:val="16"/>
                <w:szCs w:val="16"/>
                <w:lang w:val="en-US"/>
              </w:rPr>
              <w:t>,0</w:t>
            </w:r>
          </w:p>
        </w:tc>
        <w:tc>
          <w:tcPr>
            <w:tcW w:w="737" w:type="dxa"/>
            <w:shd w:val="clear" w:color="auto" w:fill="DCE7EB"/>
            <w:noWrap/>
            <w:vAlign w:val="center"/>
            <w:hideMark/>
          </w:tcPr>
          <w:p w14:paraId="3352B559" w14:textId="2DE1F92B"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1037E7">
              <w:rPr>
                <w:rFonts w:ascii="Segoe UI Light" w:eastAsia="Times New Roman" w:hAnsi="Segoe UI Light" w:cs="Segoe UI Light"/>
                <w:b/>
                <w:bCs/>
                <w:color w:val="000000"/>
                <w:sz w:val="16"/>
                <w:szCs w:val="16"/>
                <w:lang w:val="en-US"/>
              </w:rPr>
              <w:t>886,2</w:t>
            </w:r>
          </w:p>
        </w:tc>
        <w:tc>
          <w:tcPr>
            <w:tcW w:w="737" w:type="dxa"/>
            <w:shd w:val="clear" w:color="auto" w:fill="DCE7EB"/>
            <w:noWrap/>
            <w:vAlign w:val="center"/>
            <w:hideMark/>
          </w:tcPr>
          <w:p w14:paraId="0703E32A" w14:textId="6F1FD093"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1F67EB">
              <w:rPr>
                <w:rFonts w:ascii="Segoe UI Light" w:eastAsia="Times New Roman" w:hAnsi="Segoe UI Light" w:cs="Segoe UI Light"/>
                <w:b/>
                <w:bCs/>
                <w:color w:val="000000"/>
                <w:sz w:val="16"/>
                <w:szCs w:val="16"/>
                <w:lang w:val="en-US"/>
              </w:rPr>
              <w:t>884,2</w:t>
            </w:r>
          </w:p>
        </w:tc>
        <w:tc>
          <w:tcPr>
            <w:tcW w:w="737" w:type="dxa"/>
            <w:shd w:val="clear" w:color="auto" w:fill="DCE7EB"/>
            <w:noWrap/>
            <w:vAlign w:val="center"/>
            <w:hideMark/>
          </w:tcPr>
          <w:p w14:paraId="3B2E6ED7" w14:textId="127854D7"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1F67EB">
              <w:rPr>
                <w:rFonts w:ascii="Segoe UI Light" w:eastAsia="Times New Roman" w:hAnsi="Segoe UI Light" w:cs="Segoe UI Light"/>
                <w:b/>
                <w:bCs/>
                <w:color w:val="000000"/>
                <w:sz w:val="16"/>
                <w:szCs w:val="16"/>
                <w:lang w:val="en-US"/>
              </w:rPr>
              <w:t>877,4</w:t>
            </w:r>
          </w:p>
        </w:tc>
        <w:tc>
          <w:tcPr>
            <w:tcW w:w="737" w:type="dxa"/>
            <w:shd w:val="clear" w:color="auto" w:fill="DCE7EB"/>
            <w:noWrap/>
            <w:vAlign w:val="center"/>
            <w:hideMark/>
          </w:tcPr>
          <w:p w14:paraId="7F5F0ADD" w14:textId="28F6CBBE"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1F67EB">
              <w:rPr>
                <w:rFonts w:ascii="Segoe UI Light" w:eastAsia="Times New Roman" w:hAnsi="Segoe UI Light" w:cs="Segoe UI Light"/>
                <w:b/>
                <w:bCs/>
                <w:color w:val="000000"/>
                <w:sz w:val="16"/>
                <w:szCs w:val="16"/>
                <w:lang w:val="en-US"/>
              </w:rPr>
              <w:t>883,1</w:t>
            </w:r>
          </w:p>
        </w:tc>
      </w:tr>
      <w:tr w:rsidR="0066279C" w:rsidRPr="00D829F0" w14:paraId="62231DD5" w14:textId="77777777" w:rsidTr="0069098A">
        <w:trPr>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749795B1" w14:textId="77777777" w:rsidR="0066279C" w:rsidRPr="009E7243" w:rsidRDefault="0066279C" w:rsidP="00867A48">
            <w:pPr>
              <w:spacing w:before="40" w:after="40"/>
              <w:rPr>
                <w:rFonts w:ascii="Segoe UI Light" w:eastAsia="Times New Roman" w:hAnsi="Segoe UI Light" w:cs="Segoe UI Light"/>
                <w:b w:val="0"/>
                <w:color w:val="000000"/>
                <w:sz w:val="16"/>
                <w:szCs w:val="16"/>
              </w:rPr>
            </w:pPr>
            <w:r w:rsidRPr="009E7243">
              <w:rPr>
                <w:rFonts w:ascii="Segoe UI Light" w:eastAsia="Times New Roman" w:hAnsi="Segoe UI Light" w:cs="Segoe UI Light"/>
                <w:b w:val="0"/>
                <w:color w:val="000000"/>
                <w:sz w:val="16"/>
                <w:szCs w:val="16"/>
              </w:rPr>
              <w:t>Lauksaimniecība, mežsaimniecība, zivsaimniecība</w:t>
            </w:r>
          </w:p>
        </w:tc>
        <w:tc>
          <w:tcPr>
            <w:tcW w:w="737" w:type="dxa"/>
            <w:noWrap/>
            <w:vAlign w:val="bottom"/>
            <w:hideMark/>
          </w:tcPr>
          <w:p w14:paraId="76568B2D" w14:textId="77777777" w:rsidR="0066279C" w:rsidRPr="009E7243"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73,3</w:t>
            </w:r>
          </w:p>
        </w:tc>
        <w:tc>
          <w:tcPr>
            <w:tcW w:w="737" w:type="dxa"/>
            <w:noWrap/>
            <w:vAlign w:val="bottom"/>
            <w:hideMark/>
          </w:tcPr>
          <w:p w14:paraId="7126427E" w14:textId="0E8E88DE"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7</w:t>
            </w:r>
            <w:r>
              <w:rPr>
                <w:rFonts w:ascii="Segoe UI Light" w:eastAsia="Times New Roman" w:hAnsi="Segoe UI Light" w:cs="Segoe UI Light"/>
                <w:color w:val="000000"/>
                <w:sz w:val="16"/>
                <w:szCs w:val="16"/>
                <w:lang w:val="en-US"/>
              </w:rPr>
              <w:t>1</w:t>
            </w:r>
            <w:r w:rsidRPr="001037E7">
              <w:rPr>
                <w:rFonts w:ascii="Segoe UI Light" w:eastAsia="Times New Roman" w:hAnsi="Segoe UI Light" w:cs="Segoe UI Light"/>
                <w:color w:val="000000"/>
                <w:sz w:val="16"/>
                <w:szCs w:val="16"/>
                <w:lang w:val="en-US"/>
              </w:rPr>
              <w:t>,</w:t>
            </w:r>
            <w:r>
              <w:rPr>
                <w:rFonts w:ascii="Segoe UI Light" w:eastAsia="Times New Roman" w:hAnsi="Segoe UI Light" w:cs="Segoe UI Light"/>
                <w:color w:val="000000"/>
                <w:sz w:val="16"/>
                <w:szCs w:val="16"/>
                <w:lang w:val="en-US"/>
              </w:rPr>
              <w:t>1</w:t>
            </w:r>
          </w:p>
        </w:tc>
        <w:tc>
          <w:tcPr>
            <w:tcW w:w="737" w:type="dxa"/>
            <w:noWrap/>
            <w:vAlign w:val="bottom"/>
            <w:hideMark/>
          </w:tcPr>
          <w:p w14:paraId="63D1D36F" w14:textId="6BE2F472" w:rsidR="0066279C" w:rsidRPr="009E7243"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66,</w:t>
            </w:r>
            <w:r w:rsidR="0069098A" w:rsidRPr="001037E7">
              <w:rPr>
                <w:rFonts w:ascii="Segoe UI Light" w:eastAsia="Times New Roman" w:hAnsi="Segoe UI Light" w:cs="Segoe UI Light"/>
                <w:color w:val="000000"/>
                <w:sz w:val="16"/>
                <w:szCs w:val="16"/>
                <w:lang w:val="en-US"/>
              </w:rPr>
              <w:t>3</w:t>
            </w:r>
          </w:p>
        </w:tc>
        <w:tc>
          <w:tcPr>
            <w:tcW w:w="737" w:type="dxa"/>
            <w:noWrap/>
            <w:vAlign w:val="bottom"/>
            <w:hideMark/>
          </w:tcPr>
          <w:p w14:paraId="03A92650" w14:textId="37050815"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64,3</w:t>
            </w:r>
          </w:p>
        </w:tc>
        <w:tc>
          <w:tcPr>
            <w:tcW w:w="737" w:type="dxa"/>
            <w:noWrap/>
            <w:vAlign w:val="bottom"/>
            <w:hideMark/>
          </w:tcPr>
          <w:p w14:paraId="0B2F8E80" w14:textId="2E5C5E08"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58,5</w:t>
            </w:r>
          </w:p>
        </w:tc>
        <w:tc>
          <w:tcPr>
            <w:tcW w:w="737" w:type="dxa"/>
            <w:noWrap/>
            <w:vAlign w:val="bottom"/>
            <w:hideMark/>
          </w:tcPr>
          <w:p w14:paraId="3A7A8A42" w14:textId="3B4305BD"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59,9</w:t>
            </w:r>
          </w:p>
        </w:tc>
        <w:tc>
          <w:tcPr>
            <w:tcW w:w="737" w:type="dxa"/>
            <w:noWrap/>
            <w:vAlign w:val="bottom"/>
            <w:hideMark/>
          </w:tcPr>
          <w:p w14:paraId="0A16E3F1" w14:textId="4FB10E6B"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59,3</w:t>
            </w:r>
          </w:p>
        </w:tc>
        <w:tc>
          <w:tcPr>
            <w:tcW w:w="737" w:type="dxa"/>
            <w:noWrap/>
            <w:vAlign w:val="bottom"/>
            <w:hideMark/>
          </w:tcPr>
          <w:p w14:paraId="2B333F7C" w14:textId="791EF4B3"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60,3</w:t>
            </w:r>
          </w:p>
        </w:tc>
        <w:tc>
          <w:tcPr>
            <w:tcW w:w="737" w:type="dxa"/>
            <w:noWrap/>
            <w:vAlign w:val="bottom"/>
            <w:hideMark/>
          </w:tcPr>
          <w:p w14:paraId="681754F5" w14:textId="61B85F86"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60,1</w:t>
            </w:r>
          </w:p>
        </w:tc>
      </w:tr>
      <w:tr w:rsidR="00AF5961" w:rsidRPr="00D829F0" w14:paraId="071D089C"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shd w:val="clear" w:color="auto" w:fill="DCE7EB"/>
            <w:noWrap/>
            <w:hideMark/>
          </w:tcPr>
          <w:p w14:paraId="783C649E" w14:textId="77777777" w:rsidR="0066279C" w:rsidRPr="009E7243" w:rsidRDefault="0066279C" w:rsidP="00867A48">
            <w:pPr>
              <w:spacing w:before="40" w:after="40"/>
              <w:rPr>
                <w:rFonts w:ascii="Segoe UI Light" w:eastAsia="Times New Roman" w:hAnsi="Segoe UI Light" w:cs="Segoe UI Light"/>
                <w:b w:val="0"/>
                <w:color w:val="000000"/>
                <w:sz w:val="16"/>
                <w:szCs w:val="16"/>
              </w:rPr>
            </w:pPr>
            <w:r w:rsidRPr="009E7243">
              <w:rPr>
                <w:rFonts w:ascii="Segoe UI Light" w:eastAsia="Times New Roman" w:hAnsi="Segoe UI Light" w:cs="Segoe UI Light"/>
                <w:b w:val="0"/>
                <w:color w:val="000000"/>
                <w:sz w:val="16"/>
                <w:szCs w:val="16"/>
              </w:rPr>
              <w:t>Apstrādes rūpniecība</w:t>
            </w:r>
          </w:p>
        </w:tc>
        <w:tc>
          <w:tcPr>
            <w:tcW w:w="737" w:type="dxa"/>
            <w:shd w:val="clear" w:color="auto" w:fill="DCE7EB"/>
            <w:noWrap/>
            <w:vAlign w:val="bottom"/>
            <w:hideMark/>
          </w:tcPr>
          <w:p w14:paraId="3FED0559" w14:textId="77777777" w:rsidR="0066279C" w:rsidRPr="009E7243"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112,2</w:t>
            </w:r>
          </w:p>
        </w:tc>
        <w:tc>
          <w:tcPr>
            <w:tcW w:w="737" w:type="dxa"/>
            <w:shd w:val="clear" w:color="auto" w:fill="DCE7EB"/>
            <w:noWrap/>
            <w:vAlign w:val="bottom"/>
            <w:hideMark/>
          </w:tcPr>
          <w:p w14:paraId="02F2FC3B" w14:textId="19D08BD6"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w:t>
            </w:r>
            <w:r>
              <w:rPr>
                <w:rFonts w:ascii="Segoe UI Light" w:eastAsia="Times New Roman" w:hAnsi="Segoe UI Light" w:cs="Segoe UI Light"/>
                <w:color w:val="000000"/>
                <w:sz w:val="16"/>
                <w:szCs w:val="16"/>
                <w:lang w:val="en-US"/>
              </w:rPr>
              <w:t>16</w:t>
            </w:r>
            <w:r w:rsidRPr="001037E7">
              <w:rPr>
                <w:rFonts w:ascii="Segoe UI Light" w:eastAsia="Times New Roman" w:hAnsi="Segoe UI Light" w:cs="Segoe UI Light"/>
                <w:color w:val="000000"/>
                <w:sz w:val="16"/>
                <w:szCs w:val="16"/>
                <w:lang w:val="en-US"/>
              </w:rPr>
              <w:t>,</w:t>
            </w:r>
            <w:r>
              <w:rPr>
                <w:rFonts w:ascii="Segoe UI Light" w:eastAsia="Times New Roman" w:hAnsi="Segoe UI Light" w:cs="Segoe UI Light"/>
                <w:color w:val="000000"/>
                <w:sz w:val="16"/>
                <w:szCs w:val="16"/>
                <w:lang w:val="en-US"/>
              </w:rPr>
              <w:t>4</w:t>
            </w:r>
          </w:p>
        </w:tc>
        <w:tc>
          <w:tcPr>
            <w:tcW w:w="737" w:type="dxa"/>
            <w:shd w:val="clear" w:color="auto" w:fill="DCE7EB"/>
            <w:noWrap/>
            <w:vAlign w:val="bottom"/>
            <w:hideMark/>
          </w:tcPr>
          <w:p w14:paraId="3EC30F31" w14:textId="13C43E0C"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115,1</w:t>
            </w:r>
          </w:p>
        </w:tc>
        <w:tc>
          <w:tcPr>
            <w:tcW w:w="737" w:type="dxa"/>
            <w:shd w:val="clear" w:color="auto" w:fill="DCE7EB"/>
            <w:noWrap/>
            <w:vAlign w:val="bottom"/>
            <w:hideMark/>
          </w:tcPr>
          <w:p w14:paraId="5C2AA7A3" w14:textId="41D79560"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114</w:t>
            </w:r>
            <w:r w:rsidR="0066279C" w:rsidRPr="009E7243">
              <w:rPr>
                <w:rFonts w:ascii="Segoe UI Light" w:eastAsia="Times New Roman" w:hAnsi="Segoe UI Light" w:cs="Segoe UI Light"/>
                <w:color w:val="000000"/>
                <w:sz w:val="16"/>
                <w:szCs w:val="16"/>
                <w:lang w:val="en-US"/>
              </w:rPr>
              <w:t>,5</w:t>
            </w:r>
          </w:p>
        </w:tc>
        <w:tc>
          <w:tcPr>
            <w:tcW w:w="737" w:type="dxa"/>
            <w:shd w:val="clear" w:color="auto" w:fill="DCE7EB"/>
            <w:noWrap/>
            <w:vAlign w:val="bottom"/>
            <w:hideMark/>
          </w:tcPr>
          <w:p w14:paraId="6B6E0B14" w14:textId="066AB973"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109,2</w:t>
            </w:r>
          </w:p>
        </w:tc>
        <w:tc>
          <w:tcPr>
            <w:tcW w:w="737" w:type="dxa"/>
            <w:shd w:val="clear" w:color="auto" w:fill="DCE7EB"/>
            <w:noWrap/>
            <w:vAlign w:val="bottom"/>
            <w:hideMark/>
          </w:tcPr>
          <w:p w14:paraId="77ABE98F" w14:textId="3F863DAB" w:rsidR="0066279C" w:rsidRPr="009E7243"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114,</w:t>
            </w:r>
            <w:r w:rsidR="0069098A" w:rsidRPr="001037E7">
              <w:rPr>
                <w:rFonts w:ascii="Segoe UI Light" w:eastAsia="Times New Roman" w:hAnsi="Segoe UI Light" w:cs="Segoe UI Light"/>
                <w:color w:val="000000"/>
                <w:sz w:val="16"/>
                <w:szCs w:val="16"/>
                <w:lang w:val="en-US"/>
              </w:rPr>
              <w:t>4</w:t>
            </w:r>
          </w:p>
        </w:tc>
        <w:tc>
          <w:tcPr>
            <w:tcW w:w="737" w:type="dxa"/>
            <w:shd w:val="clear" w:color="auto" w:fill="DCE7EB"/>
            <w:noWrap/>
            <w:vAlign w:val="bottom"/>
            <w:hideMark/>
          </w:tcPr>
          <w:p w14:paraId="192C175A" w14:textId="2C00CF82"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111,7</w:t>
            </w:r>
          </w:p>
        </w:tc>
        <w:tc>
          <w:tcPr>
            <w:tcW w:w="737" w:type="dxa"/>
            <w:shd w:val="clear" w:color="auto" w:fill="DCE7EB"/>
            <w:noWrap/>
            <w:vAlign w:val="bottom"/>
            <w:hideMark/>
          </w:tcPr>
          <w:p w14:paraId="4B8889AC" w14:textId="5532F044"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107,1</w:t>
            </w:r>
          </w:p>
        </w:tc>
        <w:tc>
          <w:tcPr>
            <w:tcW w:w="737" w:type="dxa"/>
            <w:shd w:val="clear" w:color="auto" w:fill="DCE7EB"/>
            <w:noWrap/>
            <w:vAlign w:val="bottom"/>
            <w:hideMark/>
          </w:tcPr>
          <w:p w14:paraId="50166B3E" w14:textId="6F72696C"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108</w:t>
            </w:r>
            <w:r w:rsidR="0066279C" w:rsidRPr="009E7243">
              <w:rPr>
                <w:rFonts w:ascii="Segoe UI Light" w:eastAsia="Times New Roman" w:hAnsi="Segoe UI Light" w:cs="Segoe UI Light"/>
                <w:color w:val="000000"/>
                <w:sz w:val="16"/>
                <w:szCs w:val="16"/>
                <w:lang w:val="en-US"/>
              </w:rPr>
              <w:t>,7</w:t>
            </w:r>
          </w:p>
        </w:tc>
      </w:tr>
      <w:tr w:rsidR="0066279C" w:rsidRPr="00D829F0" w14:paraId="429F5900" w14:textId="77777777" w:rsidTr="0069098A">
        <w:trPr>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7FE00F67" w14:textId="77777777" w:rsidR="0066279C" w:rsidRPr="009E7243" w:rsidRDefault="0066279C" w:rsidP="00867A48">
            <w:pPr>
              <w:spacing w:before="40" w:after="40"/>
              <w:rPr>
                <w:rFonts w:ascii="Segoe UI Light" w:eastAsia="Times New Roman" w:hAnsi="Segoe UI Light" w:cs="Segoe UI Light"/>
                <w:b w:val="0"/>
                <w:color w:val="000000"/>
                <w:sz w:val="16"/>
                <w:szCs w:val="16"/>
              </w:rPr>
            </w:pPr>
            <w:r w:rsidRPr="009E7243">
              <w:rPr>
                <w:rFonts w:ascii="Segoe UI Light" w:eastAsia="Times New Roman" w:hAnsi="Segoe UI Light" w:cs="Segoe UI Light"/>
                <w:b w:val="0"/>
                <w:color w:val="000000"/>
                <w:sz w:val="16"/>
                <w:szCs w:val="16"/>
              </w:rPr>
              <w:t>Pārējā rūpniecība</w:t>
            </w:r>
          </w:p>
        </w:tc>
        <w:tc>
          <w:tcPr>
            <w:tcW w:w="737" w:type="dxa"/>
            <w:noWrap/>
            <w:vAlign w:val="bottom"/>
            <w:hideMark/>
          </w:tcPr>
          <w:p w14:paraId="51BBCE3D" w14:textId="77777777" w:rsidR="0066279C" w:rsidRPr="009E7243"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26,5</w:t>
            </w:r>
          </w:p>
        </w:tc>
        <w:tc>
          <w:tcPr>
            <w:tcW w:w="737" w:type="dxa"/>
            <w:noWrap/>
            <w:vAlign w:val="bottom"/>
            <w:hideMark/>
          </w:tcPr>
          <w:p w14:paraId="2CE3E2B0" w14:textId="2ABC9849"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2</w:t>
            </w:r>
            <w:r>
              <w:rPr>
                <w:rFonts w:ascii="Segoe UI Light" w:eastAsia="Times New Roman" w:hAnsi="Segoe UI Light" w:cs="Segoe UI Light"/>
                <w:color w:val="000000"/>
                <w:sz w:val="16"/>
                <w:szCs w:val="16"/>
                <w:lang w:val="en-US"/>
              </w:rPr>
              <w:t>3</w:t>
            </w:r>
            <w:r w:rsidRPr="001037E7">
              <w:rPr>
                <w:rFonts w:ascii="Segoe UI Light" w:eastAsia="Times New Roman" w:hAnsi="Segoe UI Light" w:cs="Segoe UI Light"/>
                <w:color w:val="000000"/>
                <w:sz w:val="16"/>
                <w:szCs w:val="16"/>
                <w:lang w:val="en-US"/>
              </w:rPr>
              <w:t>,</w:t>
            </w:r>
            <w:r>
              <w:rPr>
                <w:rFonts w:ascii="Segoe UI Light" w:eastAsia="Times New Roman" w:hAnsi="Segoe UI Light" w:cs="Segoe UI Light"/>
                <w:color w:val="000000"/>
                <w:sz w:val="16"/>
                <w:szCs w:val="16"/>
                <w:lang w:val="en-US"/>
              </w:rPr>
              <w:t>5</w:t>
            </w:r>
          </w:p>
        </w:tc>
        <w:tc>
          <w:tcPr>
            <w:tcW w:w="737" w:type="dxa"/>
            <w:noWrap/>
            <w:vAlign w:val="bottom"/>
            <w:hideMark/>
          </w:tcPr>
          <w:p w14:paraId="3D7C3C53" w14:textId="27D0911A"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19,3</w:t>
            </w:r>
          </w:p>
        </w:tc>
        <w:tc>
          <w:tcPr>
            <w:tcW w:w="737" w:type="dxa"/>
            <w:noWrap/>
            <w:vAlign w:val="bottom"/>
            <w:hideMark/>
          </w:tcPr>
          <w:p w14:paraId="62231371" w14:textId="585EC950"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19,6</w:t>
            </w:r>
          </w:p>
        </w:tc>
        <w:tc>
          <w:tcPr>
            <w:tcW w:w="737" w:type="dxa"/>
            <w:noWrap/>
            <w:vAlign w:val="bottom"/>
            <w:hideMark/>
          </w:tcPr>
          <w:p w14:paraId="76ADC757" w14:textId="78176F96"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22,1</w:t>
            </w:r>
          </w:p>
        </w:tc>
        <w:tc>
          <w:tcPr>
            <w:tcW w:w="737" w:type="dxa"/>
            <w:noWrap/>
            <w:vAlign w:val="bottom"/>
            <w:hideMark/>
          </w:tcPr>
          <w:p w14:paraId="03C54706" w14:textId="20C856B6"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23,4</w:t>
            </w:r>
          </w:p>
        </w:tc>
        <w:tc>
          <w:tcPr>
            <w:tcW w:w="737" w:type="dxa"/>
            <w:noWrap/>
            <w:vAlign w:val="bottom"/>
            <w:hideMark/>
          </w:tcPr>
          <w:p w14:paraId="424272BE" w14:textId="375CE8E6"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20,8</w:t>
            </w:r>
          </w:p>
        </w:tc>
        <w:tc>
          <w:tcPr>
            <w:tcW w:w="737" w:type="dxa"/>
            <w:noWrap/>
            <w:vAlign w:val="bottom"/>
            <w:hideMark/>
          </w:tcPr>
          <w:p w14:paraId="0A38BA65" w14:textId="27BAB2CE"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20,3</w:t>
            </w:r>
          </w:p>
        </w:tc>
        <w:tc>
          <w:tcPr>
            <w:tcW w:w="737" w:type="dxa"/>
            <w:noWrap/>
            <w:vAlign w:val="bottom"/>
            <w:hideMark/>
          </w:tcPr>
          <w:p w14:paraId="3D53603A" w14:textId="4B5E5AC6" w:rsidR="0066279C" w:rsidRPr="009E7243"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20,</w:t>
            </w:r>
            <w:r w:rsidR="0069098A" w:rsidRPr="001F67EB">
              <w:rPr>
                <w:rFonts w:ascii="Segoe UI Light" w:eastAsia="Times New Roman" w:hAnsi="Segoe UI Light" w:cs="Segoe UI Light"/>
                <w:color w:val="000000"/>
                <w:sz w:val="16"/>
                <w:szCs w:val="16"/>
                <w:lang w:val="en-US"/>
              </w:rPr>
              <w:t>0</w:t>
            </w:r>
          </w:p>
        </w:tc>
      </w:tr>
      <w:tr w:rsidR="00AF5961" w:rsidRPr="00D829F0" w14:paraId="28A722CC"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shd w:val="clear" w:color="auto" w:fill="DCE7EB"/>
            <w:noWrap/>
            <w:hideMark/>
          </w:tcPr>
          <w:p w14:paraId="76263D39" w14:textId="77777777" w:rsidR="0066279C" w:rsidRPr="009E7243" w:rsidRDefault="0066279C" w:rsidP="00867A48">
            <w:pPr>
              <w:spacing w:before="40" w:after="40"/>
              <w:rPr>
                <w:rFonts w:ascii="Segoe UI Light" w:eastAsia="Times New Roman" w:hAnsi="Segoe UI Light" w:cs="Segoe UI Light"/>
                <w:b w:val="0"/>
                <w:color w:val="000000"/>
                <w:sz w:val="16"/>
                <w:szCs w:val="16"/>
              </w:rPr>
            </w:pPr>
            <w:r w:rsidRPr="009E7243">
              <w:rPr>
                <w:rFonts w:ascii="Segoe UI Light" w:eastAsia="Times New Roman" w:hAnsi="Segoe UI Light" w:cs="Segoe UI Light"/>
                <w:b w:val="0"/>
                <w:color w:val="000000"/>
                <w:sz w:val="16"/>
                <w:szCs w:val="16"/>
              </w:rPr>
              <w:t>Būvniecība</w:t>
            </w:r>
          </w:p>
        </w:tc>
        <w:tc>
          <w:tcPr>
            <w:tcW w:w="737" w:type="dxa"/>
            <w:shd w:val="clear" w:color="auto" w:fill="DCE7EB"/>
            <w:noWrap/>
            <w:vAlign w:val="bottom"/>
            <w:hideMark/>
          </w:tcPr>
          <w:p w14:paraId="3407A6F3" w14:textId="77777777" w:rsidR="0066279C" w:rsidRPr="009E7243"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57,6</w:t>
            </w:r>
          </w:p>
        </w:tc>
        <w:tc>
          <w:tcPr>
            <w:tcW w:w="737" w:type="dxa"/>
            <w:shd w:val="clear" w:color="auto" w:fill="DCE7EB"/>
            <w:noWrap/>
            <w:vAlign w:val="bottom"/>
            <w:hideMark/>
          </w:tcPr>
          <w:p w14:paraId="249C79D7" w14:textId="1A2C53C8"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71</w:t>
            </w:r>
            <w:r w:rsidRPr="001037E7">
              <w:rPr>
                <w:rFonts w:ascii="Segoe UI Light" w:eastAsia="Times New Roman" w:hAnsi="Segoe UI Light" w:cs="Segoe UI Light"/>
                <w:color w:val="000000"/>
                <w:sz w:val="16"/>
                <w:szCs w:val="16"/>
                <w:lang w:val="en-US"/>
              </w:rPr>
              <w:t>,</w:t>
            </w:r>
            <w:r>
              <w:rPr>
                <w:rFonts w:ascii="Segoe UI Light" w:eastAsia="Times New Roman" w:hAnsi="Segoe UI Light" w:cs="Segoe UI Light"/>
                <w:color w:val="000000"/>
                <w:sz w:val="16"/>
                <w:szCs w:val="16"/>
                <w:lang w:val="en-US"/>
              </w:rPr>
              <w:t>9</w:t>
            </w:r>
          </w:p>
        </w:tc>
        <w:tc>
          <w:tcPr>
            <w:tcW w:w="737" w:type="dxa"/>
            <w:shd w:val="clear" w:color="auto" w:fill="DCE7EB"/>
            <w:noWrap/>
            <w:vAlign w:val="bottom"/>
            <w:hideMark/>
          </w:tcPr>
          <w:p w14:paraId="21FB0479" w14:textId="06D1BB9E"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81,1</w:t>
            </w:r>
          </w:p>
        </w:tc>
        <w:tc>
          <w:tcPr>
            <w:tcW w:w="737" w:type="dxa"/>
            <w:shd w:val="clear" w:color="auto" w:fill="DCE7EB"/>
            <w:noWrap/>
            <w:vAlign w:val="bottom"/>
            <w:hideMark/>
          </w:tcPr>
          <w:p w14:paraId="35E767DB" w14:textId="12354F03"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76,5</w:t>
            </w:r>
          </w:p>
        </w:tc>
        <w:tc>
          <w:tcPr>
            <w:tcW w:w="737" w:type="dxa"/>
            <w:shd w:val="clear" w:color="auto" w:fill="DCE7EB"/>
            <w:noWrap/>
            <w:vAlign w:val="bottom"/>
            <w:hideMark/>
          </w:tcPr>
          <w:p w14:paraId="0988047E" w14:textId="792053D7"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72,3</w:t>
            </w:r>
          </w:p>
        </w:tc>
        <w:tc>
          <w:tcPr>
            <w:tcW w:w="737" w:type="dxa"/>
            <w:shd w:val="clear" w:color="auto" w:fill="DCE7EB"/>
            <w:noWrap/>
            <w:vAlign w:val="bottom"/>
            <w:hideMark/>
          </w:tcPr>
          <w:p w14:paraId="422117A3" w14:textId="11C0F697"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72,1</w:t>
            </w:r>
          </w:p>
        </w:tc>
        <w:tc>
          <w:tcPr>
            <w:tcW w:w="737" w:type="dxa"/>
            <w:shd w:val="clear" w:color="auto" w:fill="DCE7EB"/>
            <w:noWrap/>
            <w:vAlign w:val="bottom"/>
            <w:hideMark/>
          </w:tcPr>
          <w:p w14:paraId="0A949518" w14:textId="263B5068"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70</w:t>
            </w:r>
            <w:r w:rsidR="0066279C" w:rsidRPr="009E7243">
              <w:rPr>
                <w:rFonts w:ascii="Segoe UI Light" w:eastAsia="Times New Roman" w:hAnsi="Segoe UI Light" w:cs="Segoe UI Light"/>
                <w:color w:val="000000"/>
                <w:sz w:val="16"/>
                <w:szCs w:val="16"/>
                <w:lang w:val="en-US"/>
              </w:rPr>
              <w:t>,3</w:t>
            </w:r>
          </w:p>
        </w:tc>
        <w:tc>
          <w:tcPr>
            <w:tcW w:w="737" w:type="dxa"/>
            <w:shd w:val="clear" w:color="auto" w:fill="DCE7EB"/>
            <w:noWrap/>
            <w:vAlign w:val="bottom"/>
            <w:hideMark/>
          </w:tcPr>
          <w:p w14:paraId="01287B23" w14:textId="2719DC09"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64,8</w:t>
            </w:r>
          </w:p>
        </w:tc>
        <w:tc>
          <w:tcPr>
            <w:tcW w:w="737" w:type="dxa"/>
            <w:shd w:val="clear" w:color="auto" w:fill="DCE7EB"/>
            <w:noWrap/>
            <w:vAlign w:val="bottom"/>
            <w:hideMark/>
          </w:tcPr>
          <w:p w14:paraId="090890C9" w14:textId="78A7F0CC"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62,1</w:t>
            </w:r>
          </w:p>
        </w:tc>
      </w:tr>
      <w:tr w:rsidR="0066279C" w:rsidRPr="00D829F0" w14:paraId="1DA2D07F" w14:textId="77777777" w:rsidTr="0069098A">
        <w:trPr>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2EEEBECB" w14:textId="77777777" w:rsidR="0066279C" w:rsidRPr="009E7243" w:rsidRDefault="0066279C" w:rsidP="00867A48">
            <w:pPr>
              <w:spacing w:before="40" w:after="40"/>
              <w:rPr>
                <w:rFonts w:ascii="Segoe UI Light" w:eastAsia="Times New Roman" w:hAnsi="Segoe UI Light" w:cs="Segoe UI Light"/>
                <w:b w:val="0"/>
                <w:color w:val="000000"/>
                <w:sz w:val="16"/>
                <w:szCs w:val="16"/>
              </w:rPr>
            </w:pPr>
            <w:r w:rsidRPr="009E7243">
              <w:rPr>
                <w:rFonts w:ascii="Segoe UI Light" w:eastAsia="Times New Roman" w:hAnsi="Segoe UI Light" w:cs="Segoe UI Light"/>
                <w:b w:val="0"/>
                <w:color w:val="000000"/>
                <w:sz w:val="16"/>
                <w:szCs w:val="16"/>
              </w:rPr>
              <w:t>Tirdzniecība, izmitināšana</w:t>
            </w:r>
          </w:p>
        </w:tc>
        <w:tc>
          <w:tcPr>
            <w:tcW w:w="737" w:type="dxa"/>
            <w:noWrap/>
            <w:vAlign w:val="bottom"/>
            <w:hideMark/>
          </w:tcPr>
          <w:p w14:paraId="181A494D" w14:textId="77777777" w:rsidR="0066279C" w:rsidRPr="009E7243"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162</w:t>
            </w:r>
          </w:p>
        </w:tc>
        <w:tc>
          <w:tcPr>
            <w:tcW w:w="737" w:type="dxa"/>
            <w:noWrap/>
            <w:vAlign w:val="bottom"/>
            <w:hideMark/>
          </w:tcPr>
          <w:p w14:paraId="437ADF1C" w14:textId="4F0C5BA0"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15</w:t>
            </w:r>
            <w:r>
              <w:rPr>
                <w:rFonts w:ascii="Segoe UI Light" w:eastAsia="Times New Roman" w:hAnsi="Segoe UI Light" w:cs="Segoe UI Light"/>
                <w:color w:val="000000"/>
                <w:sz w:val="16"/>
                <w:szCs w:val="16"/>
                <w:lang w:val="en-US"/>
              </w:rPr>
              <w:t>9</w:t>
            </w:r>
            <w:r w:rsidRPr="001037E7">
              <w:rPr>
                <w:rFonts w:ascii="Segoe UI Light" w:eastAsia="Times New Roman" w:hAnsi="Segoe UI Light" w:cs="Segoe UI Light"/>
                <w:color w:val="000000"/>
                <w:sz w:val="16"/>
                <w:szCs w:val="16"/>
                <w:lang w:val="en-US"/>
              </w:rPr>
              <w:t>,</w:t>
            </w:r>
            <w:r>
              <w:rPr>
                <w:rFonts w:ascii="Segoe UI Light" w:eastAsia="Times New Roman" w:hAnsi="Segoe UI Light" w:cs="Segoe UI Light"/>
                <w:color w:val="000000"/>
                <w:sz w:val="16"/>
                <w:szCs w:val="16"/>
                <w:lang w:val="en-US"/>
              </w:rPr>
              <w:t>2</w:t>
            </w:r>
          </w:p>
        </w:tc>
        <w:tc>
          <w:tcPr>
            <w:tcW w:w="737" w:type="dxa"/>
            <w:noWrap/>
            <w:vAlign w:val="bottom"/>
            <w:hideMark/>
          </w:tcPr>
          <w:p w14:paraId="5BCE05FB" w14:textId="01ECA4BF"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169</w:t>
            </w:r>
            <w:r w:rsidR="0066279C" w:rsidRPr="009E7243">
              <w:rPr>
                <w:rFonts w:ascii="Segoe UI Light" w:eastAsia="Times New Roman" w:hAnsi="Segoe UI Light" w:cs="Segoe UI Light"/>
                <w:color w:val="000000"/>
                <w:sz w:val="16"/>
                <w:szCs w:val="16"/>
                <w:lang w:val="en-US"/>
              </w:rPr>
              <w:t>,6</w:t>
            </w:r>
          </w:p>
        </w:tc>
        <w:tc>
          <w:tcPr>
            <w:tcW w:w="737" w:type="dxa"/>
            <w:noWrap/>
            <w:vAlign w:val="bottom"/>
            <w:hideMark/>
          </w:tcPr>
          <w:p w14:paraId="09C85763" w14:textId="2D96F0F9"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160,2</w:t>
            </w:r>
          </w:p>
        </w:tc>
        <w:tc>
          <w:tcPr>
            <w:tcW w:w="737" w:type="dxa"/>
            <w:noWrap/>
            <w:vAlign w:val="bottom"/>
            <w:hideMark/>
          </w:tcPr>
          <w:p w14:paraId="65CD2556" w14:textId="35ADD068"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157,9</w:t>
            </w:r>
          </w:p>
        </w:tc>
        <w:tc>
          <w:tcPr>
            <w:tcW w:w="737" w:type="dxa"/>
            <w:noWrap/>
            <w:vAlign w:val="bottom"/>
            <w:hideMark/>
          </w:tcPr>
          <w:p w14:paraId="0A1E532D" w14:textId="55D5BE9B"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166</w:t>
            </w:r>
            <w:r w:rsidR="0066279C" w:rsidRPr="009E7243">
              <w:rPr>
                <w:rFonts w:ascii="Segoe UI Light" w:eastAsia="Times New Roman" w:hAnsi="Segoe UI Light" w:cs="Segoe UI Light"/>
                <w:color w:val="000000"/>
                <w:sz w:val="16"/>
                <w:szCs w:val="16"/>
                <w:lang w:val="en-US"/>
              </w:rPr>
              <w:t>,2</w:t>
            </w:r>
          </w:p>
        </w:tc>
        <w:tc>
          <w:tcPr>
            <w:tcW w:w="737" w:type="dxa"/>
            <w:noWrap/>
            <w:vAlign w:val="bottom"/>
            <w:hideMark/>
          </w:tcPr>
          <w:p w14:paraId="48698D49" w14:textId="453B411E"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156,6</w:t>
            </w:r>
          </w:p>
        </w:tc>
        <w:tc>
          <w:tcPr>
            <w:tcW w:w="737" w:type="dxa"/>
            <w:noWrap/>
            <w:vAlign w:val="bottom"/>
            <w:hideMark/>
          </w:tcPr>
          <w:p w14:paraId="145DFC3E" w14:textId="1B0F3C19"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150,5</w:t>
            </w:r>
          </w:p>
        </w:tc>
        <w:tc>
          <w:tcPr>
            <w:tcW w:w="737" w:type="dxa"/>
            <w:noWrap/>
            <w:vAlign w:val="bottom"/>
            <w:hideMark/>
          </w:tcPr>
          <w:p w14:paraId="74A29E60" w14:textId="22AE8C9B" w:rsidR="0066279C" w:rsidRPr="009E7243"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156,</w:t>
            </w:r>
            <w:r w:rsidR="0069098A" w:rsidRPr="001F67EB">
              <w:rPr>
                <w:rFonts w:ascii="Segoe UI Light" w:eastAsia="Times New Roman" w:hAnsi="Segoe UI Light" w:cs="Segoe UI Light"/>
                <w:color w:val="000000"/>
                <w:sz w:val="16"/>
                <w:szCs w:val="16"/>
                <w:lang w:val="en-US"/>
              </w:rPr>
              <w:t>2</w:t>
            </w:r>
          </w:p>
        </w:tc>
      </w:tr>
      <w:tr w:rsidR="00AF5961" w:rsidRPr="00D829F0" w14:paraId="78C14691"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shd w:val="clear" w:color="auto" w:fill="DCE7EB"/>
            <w:noWrap/>
            <w:hideMark/>
          </w:tcPr>
          <w:p w14:paraId="0A25694A" w14:textId="77777777" w:rsidR="0066279C" w:rsidRPr="009E7243" w:rsidRDefault="0066279C" w:rsidP="00867A48">
            <w:pPr>
              <w:spacing w:before="40" w:after="40"/>
              <w:rPr>
                <w:rFonts w:ascii="Segoe UI Light" w:eastAsia="Times New Roman" w:hAnsi="Segoe UI Light" w:cs="Segoe UI Light"/>
                <w:b w:val="0"/>
                <w:color w:val="000000"/>
                <w:sz w:val="16"/>
                <w:szCs w:val="16"/>
              </w:rPr>
            </w:pPr>
            <w:r w:rsidRPr="009E7243">
              <w:rPr>
                <w:rFonts w:ascii="Segoe UI Light" w:eastAsia="Times New Roman" w:hAnsi="Segoe UI Light" w:cs="Segoe UI Light"/>
                <w:b w:val="0"/>
                <w:color w:val="000000"/>
                <w:sz w:val="16"/>
                <w:szCs w:val="16"/>
              </w:rPr>
              <w:t>Transports un uzglabāšana</w:t>
            </w:r>
          </w:p>
        </w:tc>
        <w:tc>
          <w:tcPr>
            <w:tcW w:w="737" w:type="dxa"/>
            <w:shd w:val="clear" w:color="auto" w:fill="DCE7EB"/>
            <w:noWrap/>
            <w:vAlign w:val="bottom"/>
            <w:hideMark/>
          </w:tcPr>
          <w:p w14:paraId="5844E47E" w14:textId="77777777" w:rsidR="0066279C" w:rsidRPr="009E7243"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71,4</w:t>
            </w:r>
          </w:p>
        </w:tc>
        <w:tc>
          <w:tcPr>
            <w:tcW w:w="737" w:type="dxa"/>
            <w:shd w:val="clear" w:color="auto" w:fill="DCE7EB"/>
            <w:noWrap/>
            <w:vAlign w:val="bottom"/>
            <w:hideMark/>
          </w:tcPr>
          <w:p w14:paraId="65FEA0D8" w14:textId="3A09F64A"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8</w:t>
            </w:r>
            <w:r w:rsidRPr="001037E7">
              <w:rPr>
                <w:rFonts w:ascii="Segoe UI Light" w:eastAsia="Times New Roman" w:hAnsi="Segoe UI Light" w:cs="Segoe UI Light"/>
                <w:color w:val="000000"/>
                <w:sz w:val="16"/>
                <w:szCs w:val="16"/>
                <w:lang w:val="en-US"/>
              </w:rPr>
              <w:t>5,</w:t>
            </w:r>
            <w:r>
              <w:rPr>
                <w:rFonts w:ascii="Segoe UI Light" w:eastAsia="Times New Roman" w:hAnsi="Segoe UI Light" w:cs="Segoe UI Light"/>
                <w:color w:val="000000"/>
                <w:sz w:val="16"/>
                <w:szCs w:val="16"/>
                <w:lang w:val="en-US"/>
              </w:rPr>
              <w:t>3</w:t>
            </w:r>
          </w:p>
        </w:tc>
        <w:tc>
          <w:tcPr>
            <w:tcW w:w="737" w:type="dxa"/>
            <w:shd w:val="clear" w:color="auto" w:fill="DCE7EB"/>
            <w:noWrap/>
            <w:vAlign w:val="bottom"/>
            <w:hideMark/>
          </w:tcPr>
          <w:p w14:paraId="746D6DF6" w14:textId="7666A6D3"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74,3</w:t>
            </w:r>
          </w:p>
        </w:tc>
        <w:tc>
          <w:tcPr>
            <w:tcW w:w="737" w:type="dxa"/>
            <w:shd w:val="clear" w:color="auto" w:fill="DCE7EB"/>
            <w:noWrap/>
            <w:vAlign w:val="bottom"/>
            <w:hideMark/>
          </w:tcPr>
          <w:p w14:paraId="25205AFF" w14:textId="3295E3F6"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69</w:t>
            </w:r>
            <w:r w:rsidR="0066279C" w:rsidRPr="009E7243">
              <w:rPr>
                <w:rFonts w:ascii="Segoe UI Light" w:eastAsia="Times New Roman" w:hAnsi="Segoe UI Light" w:cs="Segoe UI Light"/>
                <w:color w:val="000000"/>
                <w:sz w:val="16"/>
                <w:szCs w:val="16"/>
                <w:lang w:val="en-US"/>
              </w:rPr>
              <w:t>,3</w:t>
            </w:r>
          </w:p>
        </w:tc>
        <w:tc>
          <w:tcPr>
            <w:tcW w:w="737" w:type="dxa"/>
            <w:shd w:val="clear" w:color="auto" w:fill="DCE7EB"/>
            <w:noWrap/>
            <w:vAlign w:val="bottom"/>
            <w:hideMark/>
          </w:tcPr>
          <w:p w14:paraId="654FC060" w14:textId="1ACB1679"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66,7</w:t>
            </w:r>
          </w:p>
        </w:tc>
        <w:tc>
          <w:tcPr>
            <w:tcW w:w="737" w:type="dxa"/>
            <w:shd w:val="clear" w:color="auto" w:fill="DCE7EB"/>
            <w:noWrap/>
            <w:vAlign w:val="bottom"/>
            <w:hideMark/>
          </w:tcPr>
          <w:p w14:paraId="3F94179D" w14:textId="6B537E7C"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65,9</w:t>
            </w:r>
          </w:p>
        </w:tc>
        <w:tc>
          <w:tcPr>
            <w:tcW w:w="737" w:type="dxa"/>
            <w:shd w:val="clear" w:color="auto" w:fill="DCE7EB"/>
            <w:noWrap/>
            <w:vAlign w:val="bottom"/>
            <w:hideMark/>
          </w:tcPr>
          <w:p w14:paraId="2F5ABBBA" w14:textId="0FA07F3E"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73,2</w:t>
            </w:r>
          </w:p>
        </w:tc>
        <w:tc>
          <w:tcPr>
            <w:tcW w:w="737" w:type="dxa"/>
            <w:shd w:val="clear" w:color="auto" w:fill="DCE7EB"/>
            <w:noWrap/>
            <w:vAlign w:val="bottom"/>
            <w:hideMark/>
          </w:tcPr>
          <w:p w14:paraId="46E0924E" w14:textId="3A98C242"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68,5</w:t>
            </w:r>
          </w:p>
        </w:tc>
        <w:tc>
          <w:tcPr>
            <w:tcW w:w="737" w:type="dxa"/>
            <w:shd w:val="clear" w:color="auto" w:fill="DCE7EB"/>
            <w:noWrap/>
            <w:vAlign w:val="bottom"/>
            <w:hideMark/>
          </w:tcPr>
          <w:p w14:paraId="30599BF8" w14:textId="57C9F411"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63,4</w:t>
            </w:r>
          </w:p>
        </w:tc>
      </w:tr>
      <w:tr w:rsidR="0066279C" w:rsidRPr="00D829F0" w14:paraId="649FC005" w14:textId="77777777" w:rsidTr="0069098A">
        <w:trPr>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29BD21D6" w14:textId="77777777" w:rsidR="0066279C" w:rsidRPr="009E7243" w:rsidRDefault="0066279C" w:rsidP="00867A48">
            <w:pPr>
              <w:spacing w:before="40" w:after="40"/>
              <w:rPr>
                <w:rFonts w:ascii="Segoe UI Light" w:eastAsia="Times New Roman" w:hAnsi="Segoe UI Light" w:cs="Segoe UI Light"/>
                <w:b w:val="0"/>
                <w:color w:val="000000"/>
                <w:sz w:val="16"/>
                <w:szCs w:val="16"/>
              </w:rPr>
            </w:pPr>
            <w:r w:rsidRPr="009E7243">
              <w:rPr>
                <w:rFonts w:ascii="Segoe UI Light" w:eastAsia="Times New Roman" w:hAnsi="Segoe UI Light" w:cs="Segoe UI Light"/>
                <w:b w:val="0"/>
                <w:color w:val="000000"/>
                <w:sz w:val="16"/>
                <w:szCs w:val="16"/>
              </w:rPr>
              <w:t>Citi komercpakalpojumi</w:t>
            </w:r>
          </w:p>
        </w:tc>
        <w:tc>
          <w:tcPr>
            <w:tcW w:w="737" w:type="dxa"/>
            <w:noWrap/>
            <w:vAlign w:val="bottom"/>
            <w:hideMark/>
          </w:tcPr>
          <w:p w14:paraId="57C7DDA4" w14:textId="77777777" w:rsidR="0066279C" w:rsidRPr="009E7243"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154</w:t>
            </w:r>
          </w:p>
        </w:tc>
        <w:tc>
          <w:tcPr>
            <w:tcW w:w="737" w:type="dxa"/>
            <w:noWrap/>
            <w:vAlign w:val="bottom"/>
            <w:hideMark/>
          </w:tcPr>
          <w:p w14:paraId="298EC0AF" w14:textId="0311BFBA"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w:t>
            </w:r>
            <w:r>
              <w:rPr>
                <w:rFonts w:ascii="Segoe UI Light" w:eastAsia="Times New Roman" w:hAnsi="Segoe UI Light" w:cs="Segoe UI Light"/>
                <w:color w:val="000000"/>
                <w:sz w:val="16"/>
                <w:szCs w:val="16"/>
                <w:lang w:val="en-US"/>
              </w:rPr>
              <w:t>70</w:t>
            </w:r>
            <w:r w:rsidRPr="001037E7">
              <w:rPr>
                <w:rFonts w:ascii="Segoe UI Light" w:eastAsia="Times New Roman" w:hAnsi="Segoe UI Light" w:cs="Segoe UI Light"/>
                <w:color w:val="000000"/>
                <w:sz w:val="16"/>
                <w:szCs w:val="16"/>
                <w:lang w:val="en-US"/>
              </w:rPr>
              <w:t>,</w:t>
            </w:r>
            <w:r>
              <w:rPr>
                <w:rFonts w:ascii="Segoe UI Light" w:eastAsia="Times New Roman" w:hAnsi="Segoe UI Light" w:cs="Segoe UI Light"/>
                <w:color w:val="000000"/>
                <w:sz w:val="16"/>
                <w:szCs w:val="16"/>
                <w:lang w:val="en-US"/>
              </w:rPr>
              <w:t>4</w:t>
            </w:r>
          </w:p>
        </w:tc>
        <w:tc>
          <w:tcPr>
            <w:tcW w:w="737" w:type="dxa"/>
            <w:noWrap/>
            <w:vAlign w:val="bottom"/>
            <w:hideMark/>
          </w:tcPr>
          <w:p w14:paraId="6482C6D3" w14:textId="7FBB9C9F"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179,7</w:t>
            </w:r>
          </w:p>
        </w:tc>
        <w:tc>
          <w:tcPr>
            <w:tcW w:w="737" w:type="dxa"/>
            <w:noWrap/>
            <w:vAlign w:val="bottom"/>
            <w:hideMark/>
          </w:tcPr>
          <w:p w14:paraId="081270E9" w14:textId="1D66EF09"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187,2</w:t>
            </w:r>
          </w:p>
        </w:tc>
        <w:tc>
          <w:tcPr>
            <w:tcW w:w="737" w:type="dxa"/>
            <w:noWrap/>
            <w:vAlign w:val="bottom"/>
            <w:hideMark/>
          </w:tcPr>
          <w:p w14:paraId="46824F78" w14:textId="6ED6DFF0"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174</w:t>
            </w:r>
          </w:p>
        </w:tc>
        <w:tc>
          <w:tcPr>
            <w:tcW w:w="737" w:type="dxa"/>
            <w:noWrap/>
            <w:vAlign w:val="bottom"/>
            <w:hideMark/>
          </w:tcPr>
          <w:p w14:paraId="102F8A9C" w14:textId="492A140C"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179,5</w:t>
            </w:r>
          </w:p>
        </w:tc>
        <w:tc>
          <w:tcPr>
            <w:tcW w:w="737" w:type="dxa"/>
            <w:noWrap/>
            <w:vAlign w:val="bottom"/>
            <w:hideMark/>
          </w:tcPr>
          <w:p w14:paraId="0AE53840" w14:textId="08C4B021"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188,1</w:t>
            </w:r>
          </w:p>
        </w:tc>
        <w:tc>
          <w:tcPr>
            <w:tcW w:w="737" w:type="dxa"/>
            <w:noWrap/>
            <w:vAlign w:val="bottom"/>
            <w:hideMark/>
          </w:tcPr>
          <w:p w14:paraId="16AB9DDC" w14:textId="769A90F4"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193,9</w:t>
            </w:r>
          </w:p>
        </w:tc>
        <w:tc>
          <w:tcPr>
            <w:tcW w:w="737" w:type="dxa"/>
            <w:noWrap/>
            <w:vAlign w:val="bottom"/>
            <w:hideMark/>
          </w:tcPr>
          <w:p w14:paraId="50D3B3A6" w14:textId="006530CF" w:rsidR="0066279C" w:rsidRPr="009E7243" w:rsidRDefault="0069098A"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198,6</w:t>
            </w:r>
          </w:p>
        </w:tc>
      </w:tr>
      <w:tr w:rsidR="00AF5961" w:rsidRPr="00D829F0" w14:paraId="044CE521"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shd w:val="clear" w:color="auto" w:fill="DCE7EB"/>
            <w:noWrap/>
            <w:hideMark/>
          </w:tcPr>
          <w:p w14:paraId="5F965C0D" w14:textId="77777777" w:rsidR="0066279C" w:rsidRPr="009E7243" w:rsidRDefault="0066279C" w:rsidP="00867A48">
            <w:pPr>
              <w:spacing w:before="40" w:after="40"/>
              <w:rPr>
                <w:rFonts w:ascii="Segoe UI Light" w:eastAsia="Times New Roman" w:hAnsi="Segoe UI Light" w:cs="Segoe UI Light"/>
                <w:b w:val="0"/>
                <w:color w:val="000000"/>
                <w:sz w:val="16"/>
                <w:szCs w:val="16"/>
              </w:rPr>
            </w:pPr>
            <w:r w:rsidRPr="009E7243">
              <w:rPr>
                <w:rFonts w:ascii="Segoe UI Light" w:eastAsia="Times New Roman" w:hAnsi="Segoe UI Light" w:cs="Segoe UI Light"/>
                <w:b w:val="0"/>
                <w:color w:val="000000"/>
                <w:sz w:val="16"/>
                <w:szCs w:val="16"/>
              </w:rPr>
              <w:t>Sabiedriskie pakalpojumi</w:t>
            </w:r>
          </w:p>
        </w:tc>
        <w:tc>
          <w:tcPr>
            <w:tcW w:w="737" w:type="dxa"/>
            <w:shd w:val="clear" w:color="auto" w:fill="DCE7EB"/>
            <w:noWrap/>
            <w:vAlign w:val="bottom"/>
            <w:hideMark/>
          </w:tcPr>
          <w:p w14:paraId="26564F91" w14:textId="77777777" w:rsidR="0066279C" w:rsidRPr="009E7243"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9E7243">
              <w:rPr>
                <w:rFonts w:ascii="Segoe UI Light" w:eastAsia="Times New Roman" w:hAnsi="Segoe UI Light" w:cs="Segoe UI Light"/>
                <w:color w:val="000000"/>
                <w:sz w:val="16"/>
                <w:szCs w:val="16"/>
                <w:lang w:val="en-US"/>
              </w:rPr>
              <w:t>193,7</w:t>
            </w:r>
          </w:p>
        </w:tc>
        <w:tc>
          <w:tcPr>
            <w:tcW w:w="737" w:type="dxa"/>
            <w:shd w:val="clear" w:color="auto" w:fill="DCE7EB"/>
            <w:noWrap/>
            <w:vAlign w:val="bottom"/>
            <w:hideMark/>
          </w:tcPr>
          <w:p w14:paraId="58373648" w14:textId="064AF5BE"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198</w:t>
            </w:r>
            <w:r w:rsidR="0066279C" w:rsidRPr="009E7243">
              <w:rPr>
                <w:rFonts w:ascii="Segoe UI Light" w:eastAsia="Times New Roman" w:hAnsi="Segoe UI Light" w:cs="Segoe UI Light"/>
                <w:color w:val="000000"/>
                <w:sz w:val="16"/>
                <w:szCs w:val="16"/>
                <w:lang w:val="en-US"/>
              </w:rPr>
              <w:t>,3</w:t>
            </w:r>
          </w:p>
        </w:tc>
        <w:tc>
          <w:tcPr>
            <w:tcW w:w="737" w:type="dxa"/>
            <w:shd w:val="clear" w:color="auto" w:fill="DCE7EB"/>
            <w:noWrap/>
            <w:vAlign w:val="bottom"/>
            <w:hideMark/>
          </w:tcPr>
          <w:p w14:paraId="592A425E" w14:textId="27EDFDF5"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204,6</w:t>
            </w:r>
          </w:p>
        </w:tc>
        <w:tc>
          <w:tcPr>
            <w:tcW w:w="737" w:type="dxa"/>
            <w:shd w:val="clear" w:color="auto" w:fill="DCE7EB"/>
            <w:noWrap/>
            <w:vAlign w:val="bottom"/>
            <w:hideMark/>
          </w:tcPr>
          <w:p w14:paraId="454104A9" w14:textId="27FC8799"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201,4</w:t>
            </w:r>
          </w:p>
        </w:tc>
        <w:tc>
          <w:tcPr>
            <w:tcW w:w="737" w:type="dxa"/>
            <w:shd w:val="clear" w:color="auto" w:fill="DCE7EB"/>
            <w:noWrap/>
            <w:vAlign w:val="bottom"/>
            <w:hideMark/>
          </w:tcPr>
          <w:p w14:paraId="6A5CB28A" w14:textId="54C548D6"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203,3</w:t>
            </w:r>
          </w:p>
        </w:tc>
        <w:tc>
          <w:tcPr>
            <w:tcW w:w="737" w:type="dxa"/>
            <w:shd w:val="clear" w:color="auto" w:fill="DCE7EB"/>
            <w:noWrap/>
            <w:vAlign w:val="bottom"/>
            <w:hideMark/>
          </w:tcPr>
          <w:p w14:paraId="013A4E99" w14:textId="13F0BAF5"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037E7">
              <w:rPr>
                <w:rFonts w:ascii="Segoe UI Light" w:eastAsia="Times New Roman" w:hAnsi="Segoe UI Light" w:cs="Segoe UI Light"/>
                <w:color w:val="000000"/>
                <w:sz w:val="16"/>
                <w:szCs w:val="16"/>
                <w:lang w:val="en-US"/>
              </w:rPr>
              <w:t>204,8</w:t>
            </w:r>
          </w:p>
        </w:tc>
        <w:tc>
          <w:tcPr>
            <w:tcW w:w="737" w:type="dxa"/>
            <w:shd w:val="clear" w:color="auto" w:fill="DCE7EB"/>
            <w:noWrap/>
            <w:vAlign w:val="bottom"/>
            <w:hideMark/>
          </w:tcPr>
          <w:p w14:paraId="34E5FDBA" w14:textId="7A14417D"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204,2</w:t>
            </w:r>
          </w:p>
        </w:tc>
        <w:tc>
          <w:tcPr>
            <w:tcW w:w="737" w:type="dxa"/>
            <w:shd w:val="clear" w:color="auto" w:fill="DCE7EB"/>
            <w:noWrap/>
            <w:vAlign w:val="bottom"/>
            <w:hideMark/>
          </w:tcPr>
          <w:p w14:paraId="7643A09C" w14:textId="781D931B"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212,0</w:t>
            </w:r>
          </w:p>
        </w:tc>
        <w:tc>
          <w:tcPr>
            <w:tcW w:w="737" w:type="dxa"/>
            <w:shd w:val="clear" w:color="auto" w:fill="DCE7EB"/>
            <w:noWrap/>
            <w:vAlign w:val="bottom"/>
            <w:hideMark/>
          </w:tcPr>
          <w:p w14:paraId="1B75766D" w14:textId="4A6144DA" w:rsidR="0066279C" w:rsidRPr="009E7243" w:rsidRDefault="0069098A"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1F67EB">
              <w:rPr>
                <w:rFonts w:ascii="Segoe UI Light" w:eastAsia="Times New Roman" w:hAnsi="Segoe UI Light" w:cs="Segoe UI Light"/>
                <w:color w:val="000000"/>
                <w:sz w:val="16"/>
                <w:szCs w:val="16"/>
                <w:lang w:val="en-US"/>
              </w:rPr>
              <w:t>214,0</w:t>
            </w:r>
          </w:p>
        </w:tc>
      </w:tr>
    </w:tbl>
    <w:p w14:paraId="0FD540A3" w14:textId="7A16DBC6" w:rsidR="0066279C" w:rsidRPr="00D829F0" w:rsidRDefault="0066279C" w:rsidP="00F11EA0">
      <w:pPr>
        <w:spacing w:before="60" w:after="60"/>
        <w:jc w:val="both"/>
        <w:rPr>
          <w:rFonts w:ascii="Source Sans Pro" w:hAnsi="Source Sans Pro"/>
          <w:sz w:val="16"/>
          <w:szCs w:val="16"/>
        </w:rPr>
      </w:pPr>
      <w:r w:rsidRPr="00D829F0">
        <w:rPr>
          <w:rFonts w:ascii="Source Sans Pro" w:hAnsi="Source Sans Pro"/>
          <w:sz w:val="16"/>
          <w:szCs w:val="16"/>
        </w:rPr>
        <w:t>Sākot ar 2014.</w:t>
      </w:r>
      <w:r w:rsidR="00F11EA0">
        <w:rPr>
          <w:rFonts w:ascii="Source Sans Pro" w:hAnsi="Source Sans Pro"/>
          <w:sz w:val="16"/>
          <w:szCs w:val="16"/>
        </w:rPr>
        <w:t> </w:t>
      </w:r>
      <w:r w:rsidR="0080669C" w:rsidRPr="00D829F0">
        <w:rPr>
          <w:rFonts w:ascii="Source Sans Pro" w:hAnsi="Source Sans Pro"/>
          <w:sz w:val="16"/>
          <w:szCs w:val="16"/>
        </w:rPr>
        <w:t>gad</w:t>
      </w:r>
      <w:r w:rsidRPr="00D829F0">
        <w:rPr>
          <w:rFonts w:ascii="Source Sans Pro" w:hAnsi="Source Sans Pro"/>
          <w:sz w:val="16"/>
          <w:szCs w:val="16"/>
        </w:rPr>
        <w:t>u izmaiņas darbaspēka apsekojuma</w:t>
      </w:r>
      <w:r w:rsidR="00737B41" w:rsidRPr="00D829F0">
        <w:rPr>
          <w:rFonts w:ascii="Source Sans Pro" w:hAnsi="Source Sans Pro"/>
          <w:sz w:val="16"/>
          <w:szCs w:val="16"/>
        </w:rPr>
        <w:t xml:space="preserve"> (DSA)</w:t>
      </w:r>
      <w:r w:rsidRPr="00D829F0">
        <w:rPr>
          <w:rFonts w:ascii="Source Sans Pro" w:hAnsi="Source Sans Pro"/>
          <w:sz w:val="16"/>
          <w:szCs w:val="16"/>
        </w:rPr>
        <w:t xml:space="preserve"> metodoloģijā – ceturkšņa datu vispārināšanai tiek izmantots ceturkšņa vidējais privātajās mājsaimniecībās dzīvojošo iedzīvotāju skaits (iepriekš – iedzīvotāju skaits</w:t>
      </w:r>
      <w:r w:rsidR="00AF5961" w:rsidRPr="00D829F0">
        <w:rPr>
          <w:rFonts w:ascii="Source Sans Pro" w:hAnsi="Source Sans Pro"/>
          <w:sz w:val="16"/>
          <w:szCs w:val="16"/>
        </w:rPr>
        <w:t xml:space="preserve"> </w:t>
      </w:r>
      <w:r w:rsidR="0080669C" w:rsidRPr="00D829F0">
        <w:rPr>
          <w:rFonts w:ascii="Source Sans Pro" w:hAnsi="Source Sans Pro"/>
          <w:sz w:val="16"/>
          <w:szCs w:val="16"/>
        </w:rPr>
        <w:t>gad</w:t>
      </w:r>
      <w:r w:rsidRPr="00D829F0">
        <w:rPr>
          <w:rFonts w:ascii="Source Sans Pro" w:hAnsi="Source Sans Pro"/>
          <w:sz w:val="16"/>
          <w:szCs w:val="16"/>
        </w:rPr>
        <w:t>a sākumā)</w:t>
      </w:r>
    </w:p>
    <w:p w14:paraId="5103153D" w14:textId="422EFA3C" w:rsidR="0043535E" w:rsidRPr="00D829F0" w:rsidRDefault="0043535E" w:rsidP="0043535E">
      <w:pPr>
        <w:spacing w:after="0"/>
        <w:jc w:val="both"/>
        <w:rPr>
          <w:rFonts w:ascii="Source Sans Pro" w:hAnsi="Source Sans Pro"/>
          <w:sz w:val="16"/>
          <w:szCs w:val="16"/>
        </w:rPr>
      </w:pPr>
      <w:r w:rsidRPr="00D829F0">
        <w:rPr>
          <w:rFonts w:ascii="Source Sans Pro" w:hAnsi="Source Sans Pro"/>
          <w:sz w:val="16"/>
          <w:szCs w:val="16"/>
        </w:rPr>
        <w:t>Avots: CSP</w:t>
      </w:r>
      <w:r>
        <w:rPr>
          <w:rFonts w:ascii="Source Sans Pro" w:hAnsi="Source Sans Pro"/>
          <w:sz w:val="16"/>
          <w:szCs w:val="16"/>
        </w:rPr>
        <w:t>.</w:t>
      </w:r>
    </w:p>
    <w:p w14:paraId="031D71B4" w14:textId="77777777" w:rsidR="0066279C" w:rsidRPr="00D829F0" w:rsidRDefault="0066279C" w:rsidP="00867A48">
      <w:pPr>
        <w:spacing w:after="120"/>
        <w:jc w:val="both"/>
        <w:rPr>
          <w:rFonts w:ascii="Source Sans Pro" w:hAnsi="Source Sans Pro"/>
        </w:rPr>
      </w:pPr>
    </w:p>
    <w:p w14:paraId="65A2C9B0" w14:textId="3B7548E3" w:rsidR="00AF5961" w:rsidRPr="00D829F0" w:rsidRDefault="00210501" w:rsidP="006872AA">
      <w:pPr>
        <w:spacing w:after="120"/>
        <w:jc w:val="both"/>
        <w:rPr>
          <w:rFonts w:ascii="Source Sans Pro" w:hAnsi="Source Sans Pro"/>
          <w:szCs w:val="20"/>
        </w:rPr>
      </w:pPr>
      <w:r w:rsidRPr="00D829F0">
        <w:rPr>
          <w:rFonts w:ascii="Source Sans Pro" w:hAnsi="Source Sans Pro"/>
        </w:rPr>
        <w:t>2025.</w:t>
      </w:r>
      <w:r w:rsidR="00F11EA0">
        <w:rPr>
          <w:rFonts w:ascii="Source Sans Pro" w:hAnsi="Source Sans Pro"/>
        </w:rPr>
        <w:t> </w:t>
      </w:r>
      <w:r w:rsidRPr="00D829F0">
        <w:rPr>
          <w:rFonts w:ascii="Source Sans Pro" w:hAnsi="Source Sans Pro"/>
        </w:rPr>
        <w:t>gadā, pēc DSA datiem, nodarbināto skaits bija 883,1</w:t>
      </w:r>
      <w:r w:rsidR="00F11EA0">
        <w:rPr>
          <w:rFonts w:ascii="Source Sans Pro" w:hAnsi="Source Sans Pro"/>
        </w:rPr>
        <w:t> </w:t>
      </w:r>
      <w:r w:rsidRPr="00D829F0">
        <w:rPr>
          <w:rFonts w:ascii="Source Sans Pro" w:hAnsi="Source Sans Pro"/>
        </w:rPr>
        <w:t>tūkst., kas ir par 1,1</w:t>
      </w:r>
      <w:r w:rsidR="00F11EA0">
        <w:rPr>
          <w:rFonts w:ascii="Source Sans Pro" w:hAnsi="Source Sans Pro"/>
        </w:rPr>
        <w:t> </w:t>
      </w:r>
      <w:r w:rsidRPr="00D829F0">
        <w:rPr>
          <w:rFonts w:ascii="Source Sans Pro" w:hAnsi="Source Sans Pro"/>
        </w:rPr>
        <w:t>tūkst. jeb 0,1% mazāk nekā 2023.</w:t>
      </w:r>
      <w:r w:rsidR="00BD21E8">
        <w:rPr>
          <w:rFonts w:ascii="Source Sans Pro" w:hAnsi="Source Sans Pro"/>
        </w:rPr>
        <w:t> </w:t>
      </w:r>
      <w:r w:rsidRPr="00D829F0">
        <w:rPr>
          <w:rFonts w:ascii="Source Sans Pro" w:hAnsi="Source Sans Pro"/>
        </w:rPr>
        <w:t>gadā. Tādējādi kopējais nodarbināto skaits praktiski saglabājies 2023.</w:t>
      </w:r>
      <w:r w:rsidR="00F11EA0">
        <w:rPr>
          <w:rFonts w:ascii="Source Sans Pro" w:hAnsi="Source Sans Pro"/>
        </w:rPr>
        <w:t> </w:t>
      </w:r>
      <w:r w:rsidRPr="00D829F0">
        <w:rPr>
          <w:rFonts w:ascii="Source Sans Pro" w:hAnsi="Source Sans Pro"/>
        </w:rPr>
        <w:t>gada līmenī, bet izmaiņas starp nozarēm bijušas atšķirīgas – nodarbināto skaits visvairāk palielinājās citos komercpakalpojumos un sabiedriskajos pakalpojumos, savukārt lielākais samazinājums bija transportā un uzglabāšanā, būvniecībā un apstrādes rūpniecībā, bet tirdzniecībā, izmitināšanā un ēdināšanā kopumā saglabājās tuvu 2023.</w:t>
      </w:r>
      <w:r w:rsidR="005636B3">
        <w:rPr>
          <w:rFonts w:ascii="Source Sans Pro" w:hAnsi="Source Sans Pro"/>
        </w:rPr>
        <w:t> </w:t>
      </w:r>
      <w:r w:rsidRPr="00D829F0">
        <w:rPr>
          <w:rFonts w:ascii="Source Sans Pro" w:hAnsi="Source Sans Pro"/>
        </w:rPr>
        <w:t>gada līmenim.</w:t>
      </w:r>
    </w:p>
    <w:p w14:paraId="59C70A07" w14:textId="03AB81E4" w:rsidR="0066279C" w:rsidRPr="00D829F0" w:rsidRDefault="0066279C" w:rsidP="00867A48">
      <w:pPr>
        <w:pStyle w:val="BodyTextIndent"/>
        <w:numPr>
          <w:ilvl w:val="12"/>
          <w:numId w:val="0"/>
        </w:numPr>
        <w:jc w:val="right"/>
        <w:rPr>
          <w:rFonts w:ascii="Source Sans Pro" w:hAnsi="Source Sans Pro"/>
          <w:color w:val="000000"/>
          <w:szCs w:val="26"/>
        </w:rPr>
      </w:pPr>
      <w:r w:rsidRPr="00D829F0">
        <w:rPr>
          <w:rFonts w:ascii="Source Sans Pro" w:hAnsi="Source Sans Pro"/>
          <w:color w:val="000000"/>
          <w:szCs w:val="26"/>
        </w:rPr>
        <w:t>2.1. attēls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66279C" w:rsidRPr="00D829F0" w14:paraId="67E8E742" w14:textId="77777777">
        <w:trPr>
          <w:trHeight w:val="256"/>
        </w:trPr>
        <w:tc>
          <w:tcPr>
            <w:tcW w:w="9061" w:type="dxa"/>
          </w:tcPr>
          <w:p w14:paraId="43D89C17" w14:textId="2875DA37" w:rsidR="0066279C" w:rsidRPr="009A4DA0" w:rsidRDefault="0066279C" w:rsidP="00867A48">
            <w:pPr>
              <w:spacing w:after="120"/>
              <w:jc w:val="center"/>
              <w:rPr>
                <w:rFonts w:ascii="Segoe UI Light" w:hAnsi="Segoe UI Light" w:cs="Segoe UI Light"/>
                <w:color w:val="FF0000"/>
                <w:szCs w:val="20"/>
              </w:rPr>
            </w:pPr>
            <w:r w:rsidRPr="009A4DA0">
              <w:rPr>
                <w:rFonts w:ascii="Segoe UI Light" w:hAnsi="Segoe UI Light" w:cs="Segoe UI Light"/>
                <w:b/>
                <w:color w:val="000000"/>
                <w:sz w:val="18"/>
                <w:szCs w:val="26"/>
              </w:rPr>
              <w:t>Nodarbināto struktūra tautsaimniecības nozarēs</w:t>
            </w:r>
            <w:r w:rsidR="00E75E20" w:rsidRPr="009A4DA0">
              <w:rPr>
                <w:rFonts w:ascii="Segoe UI Light" w:hAnsi="Segoe UI Light" w:cs="Segoe UI Light"/>
                <w:b/>
                <w:color w:val="000000"/>
                <w:sz w:val="18"/>
                <w:szCs w:val="26"/>
              </w:rPr>
              <w:br/>
            </w:r>
            <w:r w:rsidR="00E75E20" w:rsidRPr="009A4DA0">
              <w:rPr>
                <w:rFonts w:ascii="Segoe UI Light" w:hAnsi="Segoe UI Light" w:cs="Segoe UI Light"/>
                <w:i/>
                <w:color w:val="000000"/>
                <w:sz w:val="16"/>
              </w:rPr>
              <w:t>procentos</w:t>
            </w:r>
          </w:p>
        </w:tc>
      </w:tr>
    </w:tbl>
    <w:p w14:paraId="5F3FED99" w14:textId="69A1DA6D" w:rsidR="009A4DA0" w:rsidRPr="001037E7" w:rsidRDefault="009A4DA0" w:rsidP="009A4DA0">
      <w:pPr>
        <w:tabs>
          <w:tab w:val="center" w:pos="1418"/>
          <w:tab w:val="center" w:pos="7655"/>
        </w:tabs>
        <w:spacing w:after="120"/>
        <w:rPr>
          <w:rFonts w:ascii="Segoe UI Light" w:hAnsi="Segoe UI Light" w:cs="Segoe UI Light"/>
          <w:i/>
          <w:noProof/>
          <w:sz w:val="16"/>
          <w:szCs w:val="16"/>
          <w:lang w:val="en-US"/>
        </w:rPr>
      </w:pPr>
      <w:r w:rsidRPr="001037E7">
        <w:rPr>
          <w:rFonts w:ascii="Segoe UI Light" w:hAnsi="Segoe UI Light" w:cs="Segoe UI Light"/>
          <w:i/>
          <w:noProof/>
          <w:sz w:val="16"/>
          <w:szCs w:val="16"/>
          <w:lang w:val="sv-SE"/>
        </w:rPr>
        <w:tab/>
      </w:r>
      <w:r w:rsidRPr="001037E7">
        <w:rPr>
          <w:rFonts w:ascii="Segoe UI Light" w:hAnsi="Segoe UI Light" w:cs="Segoe UI Light"/>
          <w:i/>
          <w:noProof/>
          <w:sz w:val="16"/>
          <w:szCs w:val="16"/>
          <w:lang w:val="en-US"/>
        </w:rPr>
        <w:t>202</w:t>
      </w:r>
      <w:r>
        <w:rPr>
          <w:rFonts w:ascii="Segoe UI Light" w:hAnsi="Segoe UI Light" w:cs="Segoe UI Light"/>
          <w:i/>
          <w:noProof/>
          <w:sz w:val="16"/>
          <w:szCs w:val="16"/>
          <w:lang w:val="en-US"/>
        </w:rPr>
        <w:t>3</w:t>
      </w:r>
      <w:r w:rsidRPr="001037E7">
        <w:rPr>
          <w:rFonts w:ascii="Segoe UI Light" w:hAnsi="Segoe UI Light" w:cs="Segoe UI Light"/>
          <w:i/>
          <w:noProof/>
          <w:sz w:val="16"/>
          <w:szCs w:val="16"/>
          <w:lang w:val="en-US"/>
        </w:rPr>
        <w:t>.</w:t>
      </w:r>
      <w:r w:rsidR="00F11EA0">
        <w:rPr>
          <w:rFonts w:ascii="Segoe UI Light" w:hAnsi="Segoe UI Light" w:cs="Segoe UI Light"/>
          <w:i/>
          <w:noProof/>
          <w:sz w:val="16"/>
          <w:szCs w:val="16"/>
          <w:lang w:val="en-US"/>
        </w:rPr>
        <w:t> </w:t>
      </w:r>
      <w:r w:rsidRPr="001037E7">
        <w:rPr>
          <w:rFonts w:ascii="Segoe UI Light" w:hAnsi="Segoe UI Light" w:cs="Segoe UI Light"/>
          <w:i/>
          <w:noProof/>
          <w:sz w:val="16"/>
          <w:szCs w:val="16"/>
          <w:lang w:val="en-US"/>
        </w:rPr>
        <w:t>gads</w:t>
      </w:r>
      <w:r w:rsidRPr="001037E7">
        <w:rPr>
          <w:rFonts w:ascii="Segoe UI Light" w:hAnsi="Segoe UI Light" w:cs="Segoe UI Light"/>
          <w:color w:val="FF0000"/>
          <w:sz w:val="16"/>
          <w:szCs w:val="16"/>
        </w:rPr>
        <w:tab/>
      </w:r>
      <w:r w:rsidRPr="001037E7">
        <w:rPr>
          <w:rFonts w:ascii="Segoe UI Light" w:hAnsi="Segoe UI Light" w:cs="Segoe UI Light"/>
          <w:i/>
          <w:noProof/>
          <w:sz w:val="16"/>
          <w:szCs w:val="16"/>
          <w:lang w:val="en-US"/>
        </w:rPr>
        <w:t>202</w:t>
      </w:r>
      <w:r>
        <w:rPr>
          <w:rFonts w:ascii="Segoe UI Light" w:hAnsi="Segoe UI Light" w:cs="Segoe UI Light"/>
          <w:i/>
          <w:noProof/>
          <w:sz w:val="16"/>
          <w:szCs w:val="16"/>
          <w:lang w:val="en-US"/>
        </w:rPr>
        <w:t>5</w:t>
      </w:r>
      <w:r w:rsidRPr="001037E7">
        <w:rPr>
          <w:rFonts w:ascii="Segoe UI Light" w:hAnsi="Segoe UI Light" w:cs="Segoe UI Light"/>
          <w:i/>
          <w:noProof/>
          <w:sz w:val="16"/>
          <w:szCs w:val="16"/>
          <w:lang w:val="en-US"/>
        </w:rPr>
        <w:t>.</w:t>
      </w:r>
      <w:r w:rsidR="00F11EA0">
        <w:rPr>
          <w:rFonts w:ascii="Segoe UI Light" w:hAnsi="Segoe UI Light" w:cs="Segoe UI Light"/>
          <w:i/>
          <w:noProof/>
          <w:sz w:val="16"/>
          <w:szCs w:val="16"/>
          <w:lang w:val="en-US"/>
        </w:rPr>
        <w:t> </w:t>
      </w:r>
      <w:r w:rsidRPr="001037E7">
        <w:rPr>
          <w:rFonts w:ascii="Segoe UI Light" w:hAnsi="Segoe UI Light" w:cs="Segoe UI Light"/>
          <w:i/>
          <w:noProof/>
          <w:sz w:val="16"/>
          <w:szCs w:val="16"/>
          <w:lang w:val="en-US"/>
        </w:rPr>
        <w:t>gads</w:t>
      </w:r>
    </w:p>
    <w:p w14:paraId="0B5B235A" w14:textId="57CB1B53" w:rsidR="00AF5961" w:rsidRPr="001037E7" w:rsidRDefault="009A4DA0" w:rsidP="00867A48">
      <w:pPr>
        <w:tabs>
          <w:tab w:val="left" w:pos="3279"/>
          <w:tab w:val="left" w:pos="6057"/>
        </w:tabs>
        <w:spacing w:after="120"/>
        <w:ind w:left="108"/>
        <w:rPr>
          <w:rFonts w:ascii="Segoe UI Light" w:hAnsi="Segoe UI Light" w:cs="Segoe UI Light"/>
          <w:b/>
        </w:rPr>
      </w:pPr>
      <w:r w:rsidRPr="001037E7">
        <w:rPr>
          <w:rFonts w:ascii="Segoe UI Light" w:hAnsi="Segoe UI Light" w:cs="Segoe UI Light"/>
          <w:b/>
          <w:bCs/>
          <w:noProof/>
          <w:szCs w:val="20"/>
          <w:lang w:val="en-US"/>
        </w:rPr>
        <w:drawing>
          <wp:inline distT="0" distB="0" distL="0" distR="0" wp14:anchorId="1814DB46" wp14:editId="732CDBDA">
            <wp:extent cx="1620000" cy="18000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1037E7">
        <w:rPr>
          <w:rFonts w:ascii="Segoe UI Light" w:hAnsi="Segoe UI Light" w:cs="Segoe UI Light"/>
          <w:b/>
          <w:bCs/>
          <w:noProof/>
          <w:szCs w:val="20"/>
          <w:lang w:val="en-US"/>
        </w:rPr>
        <w:drawing>
          <wp:inline distT="0" distB="0" distL="0" distR="0" wp14:anchorId="1AFB28B8" wp14:editId="3055CB53">
            <wp:extent cx="2412000" cy="1800000"/>
            <wp:effectExtent l="0" t="0" r="7620" b="0"/>
            <wp:docPr id="1350" name="Chart 1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1037E7">
        <w:rPr>
          <w:rFonts w:ascii="Segoe UI Light" w:hAnsi="Segoe UI Light" w:cs="Segoe UI Light"/>
          <w:b/>
          <w:bCs/>
          <w:noProof/>
          <w:szCs w:val="20"/>
          <w:lang w:val="en-US"/>
        </w:rPr>
        <w:drawing>
          <wp:inline distT="0" distB="0" distL="0" distR="0" wp14:anchorId="6665F6A2" wp14:editId="70B389A1">
            <wp:extent cx="1620000" cy="180000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2ED71CE" w14:textId="77777777" w:rsidR="0066279C" w:rsidRPr="00D829F0" w:rsidRDefault="0066279C" w:rsidP="00867A48">
      <w:pPr>
        <w:spacing w:after="120"/>
        <w:jc w:val="both"/>
        <w:rPr>
          <w:rFonts w:ascii="Source Sans Pro" w:hAnsi="Source Sans Pro"/>
          <w:sz w:val="16"/>
          <w:szCs w:val="16"/>
        </w:rPr>
      </w:pPr>
      <w:r w:rsidRPr="00D829F0">
        <w:rPr>
          <w:rFonts w:ascii="Source Sans Pro" w:hAnsi="Source Sans Pro"/>
          <w:sz w:val="16"/>
          <w:szCs w:val="16"/>
        </w:rPr>
        <w:t>Avots: CSP</w:t>
      </w:r>
    </w:p>
    <w:p w14:paraId="4DB80B1A" w14:textId="77777777" w:rsidR="00E75E20" w:rsidRPr="00D829F0" w:rsidRDefault="00E75E20" w:rsidP="00867A48">
      <w:pPr>
        <w:spacing w:after="120"/>
        <w:jc w:val="both"/>
        <w:rPr>
          <w:rFonts w:ascii="Source Sans Pro" w:hAnsi="Source Sans Pro"/>
          <w:szCs w:val="20"/>
        </w:rPr>
      </w:pPr>
    </w:p>
    <w:p w14:paraId="6A33A6F4" w14:textId="51CE0CE3" w:rsidR="0066279C" w:rsidRPr="00D829F0" w:rsidRDefault="0066279C" w:rsidP="00867A48">
      <w:pPr>
        <w:spacing w:after="120"/>
        <w:jc w:val="both"/>
        <w:rPr>
          <w:rFonts w:ascii="Source Sans Pro" w:hAnsi="Source Sans Pro"/>
          <w:szCs w:val="20"/>
        </w:rPr>
      </w:pPr>
      <w:r w:rsidRPr="00D829F0">
        <w:rPr>
          <w:rFonts w:ascii="Source Sans Pro" w:hAnsi="Source Sans Pro"/>
          <w:szCs w:val="20"/>
        </w:rPr>
        <w:t xml:space="preserve">Vislielākais nodarbināto īpatsvars </w:t>
      </w:r>
      <w:r w:rsidR="000118E8" w:rsidRPr="00D829F0">
        <w:rPr>
          <w:rFonts w:ascii="Source Sans Pro" w:hAnsi="Source Sans Pro"/>
          <w:szCs w:val="20"/>
        </w:rPr>
        <w:t>2025.</w:t>
      </w:r>
      <w:r w:rsidR="005F2B8F">
        <w:rPr>
          <w:rFonts w:ascii="Source Sans Pro" w:hAnsi="Source Sans Pro"/>
          <w:szCs w:val="20"/>
        </w:rPr>
        <w:t> </w:t>
      </w:r>
      <w:r w:rsidR="0080669C" w:rsidRPr="00D829F0">
        <w:rPr>
          <w:rFonts w:ascii="Source Sans Pro" w:hAnsi="Source Sans Pro"/>
          <w:szCs w:val="20"/>
        </w:rPr>
        <w:t>gad</w:t>
      </w:r>
      <w:r w:rsidRPr="00D829F0">
        <w:rPr>
          <w:rFonts w:ascii="Source Sans Pro" w:hAnsi="Source Sans Pro"/>
          <w:szCs w:val="20"/>
        </w:rPr>
        <w:t>ā bija sabiedrisko pakalpojumu nozarēs (</w:t>
      </w:r>
      <w:r w:rsidR="000118E8" w:rsidRPr="00D829F0">
        <w:rPr>
          <w:rFonts w:ascii="Source Sans Pro" w:hAnsi="Source Sans Pro"/>
          <w:szCs w:val="20"/>
        </w:rPr>
        <w:t>24</w:t>
      </w:r>
      <w:r w:rsidR="00F11EA0">
        <w:rPr>
          <w:rFonts w:ascii="Source Sans Pro" w:hAnsi="Source Sans Pro"/>
          <w:szCs w:val="20"/>
        </w:rPr>
        <w:t> </w:t>
      </w:r>
      <w:r w:rsidR="0080669C" w:rsidRPr="00D829F0">
        <w:rPr>
          <w:rFonts w:ascii="Source Sans Pro" w:hAnsi="Source Sans Pro"/>
          <w:szCs w:val="20"/>
        </w:rPr>
        <w:t>%</w:t>
      </w:r>
      <w:r w:rsidRPr="00D829F0">
        <w:rPr>
          <w:rFonts w:ascii="Source Sans Pro" w:hAnsi="Source Sans Pro"/>
          <w:szCs w:val="20"/>
        </w:rPr>
        <w:t>), komercpakalpojumos (</w:t>
      </w:r>
      <w:r w:rsidR="000118E8" w:rsidRPr="00D829F0">
        <w:rPr>
          <w:rFonts w:ascii="Source Sans Pro" w:hAnsi="Source Sans Pro"/>
          <w:szCs w:val="20"/>
        </w:rPr>
        <w:t>22</w:t>
      </w:r>
      <w:r w:rsidR="00F11EA0">
        <w:rPr>
          <w:rFonts w:ascii="Source Sans Pro" w:hAnsi="Source Sans Pro"/>
          <w:szCs w:val="20"/>
        </w:rPr>
        <w:t> </w:t>
      </w:r>
      <w:r w:rsidR="0080669C" w:rsidRPr="00D829F0">
        <w:rPr>
          <w:rFonts w:ascii="Source Sans Pro" w:hAnsi="Source Sans Pro"/>
          <w:szCs w:val="20"/>
        </w:rPr>
        <w:t>%</w:t>
      </w:r>
      <w:r w:rsidRPr="00D829F0">
        <w:rPr>
          <w:rFonts w:ascii="Source Sans Pro" w:hAnsi="Source Sans Pro"/>
          <w:szCs w:val="20"/>
        </w:rPr>
        <w:t>), tirdzniecībā un izmitināšanā (18</w:t>
      </w:r>
      <w:r w:rsidR="00F11EA0">
        <w:rPr>
          <w:rFonts w:ascii="Source Sans Pro" w:hAnsi="Source Sans Pro"/>
          <w:szCs w:val="20"/>
        </w:rPr>
        <w:t> </w:t>
      </w:r>
      <w:r w:rsidR="0080669C" w:rsidRPr="00D829F0">
        <w:rPr>
          <w:rFonts w:ascii="Source Sans Pro" w:hAnsi="Source Sans Pro"/>
          <w:szCs w:val="20"/>
        </w:rPr>
        <w:t>%</w:t>
      </w:r>
      <w:r w:rsidRPr="00D829F0">
        <w:rPr>
          <w:rFonts w:ascii="Source Sans Pro" w:hAnsi="Source Sans Pro"/>
          <w:szCs w:val="20"/>
        </w:rPr>
        <w:t>), kā arī apstrādes rūpniecībā (</w:t>
      </w:r>
      <w:r w:rsidR="000118E8" w:rsidRPr="00D829F0">
        <w:rPr>
          <w:rFonts w:ascii="Source Sans Pro" w:hAnsi="Source Sans Pro"/>
          <w:szCs w:val="20"/>
        </w:rPr>
        <w:t>12</w:t>
      </w:r>
      <w:r w:rsidR="00F11EA0">
        <w:rPr>
          <w:rFonts w:ascii="Source Sans Pro" w:hAnsi="Source Sans Pro"/>
          <w:szCs w:val="20"/>
        </w:rPr>
        <w:t> </w:t>
      </w:r>
      <w:r w:rsidR="0080669C" w:rsidRPr="00D829F0">
        <w:rPr>
          <w:rFonts w:ascii="Source Sans Pro" w:hAnsi="Source Sans Pro"/>
          <w:szCs w:val="20"/>
        </w:rPr>
        <w:t>%</w:t>
      </w:r>
      <w:r w:rsidRPr="00D829F0">
        <w:rPr>
          <w:rFonts w:ascii="Source Sans Pro" w:hAnsi="Source Sans Pro"/>
          <w:szCs w:val="20"/>
        </w:rPr>
        <w:t xml:space="preserve">). Salīdzinot ar </w:t>
      </w:r>
      <w:r w:rsidR="000118E8" w:rsidRPr="00D829F0">
        <w:rPr>
          <w:rFonts w:ascii="Source Sans Pro" w:hAnsi="Source Sans Pro"/>
          <w:szCs w:val="20"/>
        </w:rPr>
        <w:t>2023.</w:t>
      </w:r>
      <w:r w:rsidR="00F11EA0">
        <w:rPr>
          <w:rFonts w:ascii="Source Sans Pro" w:hAnsi="Source Sans Pro"/>
          <w:szCs w:val="20"/>
        </w:rPr>
        <w:t> </w:t>
      </w:r>
      <w:r w:rsidR="000118E8" w:rsidRPr="00D829F0">
        <w:rPr>
          <w:rFonts w:ascii="Source Sans Pro" w:hAnsi="Source Sans Pro"/>
          <w:szCs w:val="20"/>
        </w:rPr>
        <w:t>gadu, nodarbināto īpatsvars pieaudzis citos komercpakalpojumos un sabiedriskajos pakalpojumos, bet sarucis apstrādes rūpniecībā, būvniecībā un transportā. Tirdzniecībā</w:t>
      </w:r>
      <w:r w:rsidRPr="00D829F0">
        <w:rPr>
          <w:rFonts w:ascii="Source Sans Pro" w:hAnsi="Source Sans Pro"/>
          <w:szCs w:val="20"/>
        </w:rPr>
        <w:t xml:space="preserve"> un izmitināšanā, lauksaimniecībā </w:t>
      </w:r>
      <w:r w:rsidR="000118E8" w:rsidRPr="00D829F0">
        <w:rPr>
          <w:rFonts w:ascii="Source Sans Pro" w:hAnsi="Source Sans Pro"/>
          <w:szCs w:val="20"/>
        </w:rPr>
        <w:t xml:space="preserve">un pārējā rūpniecībā </w:t>
      </w:r>
      <w:r w:rsidRPr="00D829F0">
        <w:rPr>
          <w:rFonts w:ascii="Source Sans Pro" w:hAnsi="Source Sans Pro"/>
          <w:szCs w:val="20"/>
        </w:rPr>
        <w:t>nodarbināto īpatsvars saglabājas nemainīgs.</w:t>
      </w:r>
      <w:r w:rsidR="00622F75" w:rsidRPr="00D829F0">
        <w:rPr>
          <w:rFonts w:ascii="Source Sans Pro" w:hAnsi="Source Sans Pro"/>
          <w:szCs w:val="20"/>
        </w:rPr>
        <w:t xml:space="preserve"> </w:t>
      </w:r>
    </w:p>
    <w:p w14:paraId="220E62A9" w14:textId="006DD598" w:rsidR="00867A48" w:rsidRPr="00D829F0" w:rsidRDefault="006E0D9F">
      <w:pPr>
        <w:spacing w:after="0"/>
        <w:rPr>
          <w:rFonts w:ascii="Source Sans Pro" w:hAnsi="Source Sans Pro"/>
          <w:szCs w:val="20"/>
        </w:rPr>
      </w:pPr>
      <w:r>
        <w:rPr>
          <w:rFonts w:ascii="Source Sans Pro" w:hAnsi="Source Sans Pro"/>
          <w:szCs w:val="20"/>
        </w:rPr>
        <w:br w:type="page"/>
      </w:r>
    </w:p>
    <w:p w14:paraId="5A98C48B" w14:textId="77777777" w:rsidR="0066279C" w:rsidRPr="005B6505" w:rsidRDefault="0066279C" w:rsidP="009773FB">
      <w:pPr>
        <w:pBdr>
          <w:top w:val="single" w:sz="4" w:space="6" w:color="auto" w:shadow="1"/>
          <w:left w:val="single" w:sz="4" w:space="6" w:color="auto" w:shadow="1"/>
          <w:bottom w:val="single" w:sz="4" w:space="6" w:color="auto" w:shadow="1"/>
          <w:right w:val="single" w:sz="4" w:space="6" w:color="auto" w:shadow="1"/>
        </w:pBdr>
        <w:shd w:val="clear" w:color="auto" w:fill="DCE7EB"/>
        <w:jc w:val="right"/>
        <w:rPr>
          <w:rFonts w:ascii="Segoe UI Light" w:hAnsi="Segoe UI Light"/>
          <w:b/>
          <w:sz w:val="16"/>
          <w:szCs w:val="16"/>
        </w:rPr>
      </w:pPr>
      <w:r w:rsidRPr="005B6505">
        <w:rPr>
          <w:rFonts w:ascii="Segoe UI Light" w:hAnsi="Segoe UI Light"/>
          <w:b/>
          <w:sz w:val="16"/>
          <w:szCs w:val="16"/>
        </w:rPr>
        <w:lastRenderedPageBreak/>
        <w:t>Darbaspēka pieprasījums augsto tehnoloģiju un zināšanu ietilpīgo pakalpojumu nozarēs ES valstīs</w:t>
      </w:r>
    </w:p>
    <w:p w14:paraId="20704525" w14:textId="7556AA79" w:rsidR="0066279C" w:rsidRPr="00EF7F3C" w:rsidRDefault="0066279C" w:rsidP="009773F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bCs/>
          <w:sz w:val="16"/>
          <w:szCs w:val="18"/>
          <w:highlight w:val="yellow"/>
        </w:rPr>
      </w:pPr>
      <w:r w:rsidRPr="005B6505">
        <w:rPr>
          <w:rFonts w:ascii="Segoe UI Light" w:hAnsi="Segoe UI Light"/>
          <w:sz w:val="16"/>
          <w:szCs w:val="18"/>
        </w:rPr>
        <w:t>EK specializēšanos augstajās tehnoloģijās un zināšanu ietilpīgās jomās ir nosaukusi kā vienu no galvenajām ES konkurētspējas priekšrocībām pasaules tirgos. No ES valstīm lielākais nodarbināto īpatsvars augsto tehnoloģiju ekonomikā 2022.</w:t>
      </w:r>
      <w:r w:rsidR="003F526D">
        <w:rPr>
          <w:rFonts w:ascii="Segoe UI Light" w:hAnsi="Segoe UI Light"/>
          <w:sz w:val="16"/>
          <w:szCs w:val="18"/>
        </w:rPr>
        <w:t> </w:t>
      </w:r>
      <w:r w:rsidR="0080669C" w:rsidRPr="005B6505">
        <w:rPr>
          <w:rFonts w:ascii="Segoe UI Light" w:hAnsi="Segoe UI Light"/>
          <w:sz w:val="16"/>
          <w:szCs w:val="18"/>
        </w:rPr>
        <w:t>gad</w:t>
      </w:r>
      <w:r w:rsidRPr="005B6505">
        <w:rPr>
          <w:rFonts w:ascii="Segoe UI Light" w:hAnsi="Segoe UI Light"/>
          <w:sz w:val="16"/>
          <w:szCs w:val="18"/>
        </w:rPr>
        <w:t>ā bija Čehijā (14,</w:t>
      </w:r>
      <w:r w:rsidR="005B6505" w:rsidRPr="005B6505">
        <w:rPr>
          <w:rFonts w:ascii="Segoe UI Light" w:hAnsi="Segoe UI Light"/>
          <w:bCs/>
          <w:sz w:val="16"/>
          <w:szCs w:val="18"/>
        </w:rPr>
        <w:t>1</w:t>
      </w:r>
      <w:r w:rsidR="003F526D">
        <w:rPr>
          <w:rFonts w:ascii="Segoe UI Light" w:hAnsi="Segoe UI Light"/>
          <w:bCs/>
          <w:sz w:val="16"/>
          <w:szCs w:val="18"/>
        </w:rPr>
        <w:t> </w:t>
      </w:r>
      <w:r w:rsidR="0080669C" w:rsidRPr="005B6505">
        <w:rPr>
          <w:rFonts w:ascii="Segoe UI Light" w:hAnsi="Segoe UI Light"/>
          <w:sz w:val="16"/>
          <w:szCs w:val="18"/>
        </w:rPr>
        <w:t>%</w:t>
      </w:r>
      <w:r w:rsidRPr="005B6505">
        <w:rPr>
          <w:rFonts w:ascii="Segoe UI Light" w:hAnsi="Segoe UI Light"/>
          <w:sz w:val="16"/>
          <w:szCs w:val="18"/>
        </w:rPr>
        <w:t xml:space="preserve"> no kopējā nodarbināto skaita), Ungārijā (11,</w:t>
      </w:r>
      <w:r w:rsidR="005B6505" w:rsidRPr="005B6505">
        <w:rPr>
          <w:rFonts w:ascii="Segoe UI Light" w:hAnsi="Segoe UI Light"/>
          <w:bCs/>
          <w:sz w:val="16"/>
          <w:szCs w:val="18"/>
        </w:rPr>
        <w:t>8</w:t>
      </w:r>
      <w:r w:rsidR="003F526D">
        <w:rPr>
          <w:rFonts w:ascii="Segoe UI Light" w:hAnsi="Segoe UI Light"/>
          <w:bCs/>
          <w:sz w:val="16"/>
          <w:szCs w:val="18"/>
        </w:rPr>
        <w:t> </w:t>
      </w:r>
      <w:r w:rsidR="0080669C" w:rsidRPr="005B6505">
        <w:rPr>
          <w:rFonts w:ascii="Segoe UI Light" w:hAnsi="Segoe UI Light"/>
          <w:sz w:val="16"/>
          <w:szCs w:val="18"/>
        </w:rPr>
        <w:t>%</w:t>
      </w:r>
      <w:r w:rsidRPr="005B6505">
        <w:rPr>
          <w:rFonts w:ascii="Segoe UI Light" w:hAnsi="Segoe UI Light"/>
          <w:sz w:val="16"/>
          <w:szCs w:val="18"/>
        </w:rPr>
        <w:t>), Slovēnijā (11,5</w:t>
      </w:r>
      <w:r w:rsidR="003F526D">
        <w:rPr>
          <w:rFonts w:ascii="Segoe UI Light" w:hAnsi="Segoe UI Light"/>
          <w:sz w:val="16"/>
          <w:szCs w:val="18"/>
        </w:rPr>
        <w:t xml:space="preserve"> </w:t>
      </w:r>
      <w:r w:rsidR="0080669C" w:rsidRPr="005B6505">
        <w:rPr>
          <w:rFonts w:ascii="Segoe UI Light" w:hAnsi="Segoe UI Light"/>
          <w:sz w:val="16"/>
          <w:szCs w:val="18"/>
        </w:rPr>
        <w:t>%</w:t>
      </w:r>
      <w:r w:rsidRPr="005B6505">
        <w:rPr>
          <w:rFonts w:ascii="Segoe UI Light" w:hAnsi="Segoe UI Light"/>
          <w:sz w:val="16"/>
          <w:szCs w:val="18"/>
        </w:rPr>
        <w:t xml:space="preserve">), </w:t>
      </w:r>
      <w:r w:rsidR="005B6505" w:rsidRPr="005B6505">
        <w:rPr>
          <w:rFonts w:ascii="Segoe UI Light" w:hAnsi="Segoe UI Light"/>
          <w:bCs/>
          <w:sz w:val="16"/>
          <w:szCs w:val="18"/>
        </w:rPr>
        <w:t>Vācijā (11,3</w:t>
      </w:r>
      <w:r w:rsidR="003F526D">
        <w:rPr>
          <w:rFonts w:ascii="Segoe UI Light" w:hAnsi="Segoe UI Light"/>
          <w:bCs/>
          <w:sz w:val="16"/>
          <w:szCs w:val="18"/>
        </w:rPr>
        <w:t xml:space="preserve"> </w:t>
      </w:r>
      <w:r w:rsidR="005B6505" w:rsidRPr="005B6505">
        <w:rPr>
          <w:rFonts w:ascii="Segoe UI Light" w:hAnsi="Segoe UI Light"/>
          <w:bCs/>
          <w:sz w:val="16"/>
          <w:szCs w:val="18"/>
        </w:rPr>
        <w:t xml:space="preserve">%) un </w:t>
      </w:r>
      <w:r w:rsidRPr="005B6505">
        <w:rPr>
          <w:rFonts w:ascii="Segoe UI Light" w:hAnsi="Segoe UI Light"/>
          <w:sz w:val="16"/>
          <w:szCs w:val="18"/>
        </w:rPr>
        <w:t>Slovākijā (11,</w:t>
      </w:r>
      <w:r w:rsidR="005B6505" w:rsidRPr="005B6505">
        <w:rPr>
          <w:rFonts w:ascii="Segoe UI Light" w:hAnsi="Segoe UI Light"/>
          <w:bCs/>
          <w:sz w:val="16"/>
          <w:szCs w:val="18"/>
        </w:rPr>
        <w:t>1</w:t>
      </w:r>
      <w:r w:rsidR="003F526D">
        <w:rPr>
          <w:rFonts w:ascii="Segoe UI Light" w:hAnsi="Segoe UI Light"/>
          <w:bCs/>
          <w:sz w:val="16"/>
          <w:szCs w:val="18"/>
        </w:rPr>
        <w:t> </w:t>
      </w:r>
      <w:r w:rsidR="0080669C" w:rsidRPr="005B6505">
        <w:rPr>
          <w:rFonts w:ascii="Segoe UI Light" w:hAnsi="Segoe UI Light"/>
          <w:sz w:val="16"/>
          <w:szCs w:val="18"/>
        </w:rPr>
        <w:t>%</w:t>
      </w:r>
      <w:r w:rsidRPr="005B6505">
        <w:rPr>
          <w:rFonts w:ascii="Segoe UI Light" w:hAnsi="Segoe UI Light"/>
          <w:sz w:val="16"/>
          <w:szCs w:val="18"/>
        </w:rPr>
        <w:t>), savukārt viszemākais Grieķijā (3,5</w:t>
      </w:r>
      <w:r w:rsidR="003F526D">
        <w:rPr>
          <w:rFonts w:ascii="Segoe UI Light" w:hAnsi="Segoe UI Light"/>
          <w:sz w:val="16"/>
          <w:szCs w:val="18"/>
        </w:rPr>
        <w:t> </w:t>
      </w:r>
      <w:r w:rsidR="0080669C" w:rsidRPr="005B6505">
        <w:rPr>
          <w:rFonts w:ascii="Segoe UI Light" w:hAnsi="Segoe UI Light"/>
          <w:sz w:val="16"/>
          <w:szCs w:val="18"/>
        </w:rPr>
        <w:t>%</w:t>
      </w:r>
      <w:r w:rsidRPr="005B6505">
        <w:rPr>
          <w:rFonts w:ascii="Segoe UI Light" w:hAnsi="Segoe UI Light"/>
          <w:sz w:val="16"/>
          <w:szCs w:val="18"/>
        </w:rPr>
        <w:t>), Kiprā (</w:t>
      </w:r>
      <w:r w:rsidR="005B6505" w:rsidRPr="005B6505">
        <w:rPr>
          <w:rFonts w:ascii="Segoe UI Light" w:hAnsi="Segoe UI Light"/>
          <w:bCs/>
          <w:sz w:val="16"/>
          <w:szCs w:val="18"/>
        </w:rPr>
        <w:t>4,2</w:t>
      </w:r>
      <w:r w:rsidR="003F526D">
        <w:rPr>
          <w:rFonts w:ascii="Segoe UI Light" w:hAnsi="Segoe UI Light"/>
          <w:bCs/>
          <w:sz w:val="16"/>
          <w:szCs w:val="18"/>
        </w:rPr>
        <w:t> </w:t>
      </w:r>
      <w:r w:rsidR="0080669C" w:rsidRPr="005B6505">
        <w:rPr>
          <w:rFonts w:ascii="Segoe UI Light" w:hAnsi="Segoe UI Light"/>
          <w:sz w:val="16"/>
          <w:szCs w:val="18"/>
        </w:rPr>
        <w:t>%</w:t>
      </w:r>
      <w:r w:rsidRPr="005B6505">
        <w:rPr>
          <w:rFonts w:ascii="Segoe UI Light" w:hAnsi="Segoe UI Light"/>
          <w:sz w:val="16"/>
          <w:szCs w:val="18"/>
        </w:rPr>
        <w:t>) un Portugālē (5,</w:t>
      </w:r>
      <w:r w:rsidR="005B6505" w:rsidRPr="005B6505">
        <w:rPr>
          <w:rFonts w:ascii="Segoe UI Light" w:hAnsi="Segoe UI Light"/>
          <w:bCs/>
          <w:sz w:val="16"/>
          <w:szCs w:val="18"/>
        </w:rPr>
        <w:t>5</w:t>
      </w:r>
      <w:r w:rsidR="003F526D">
        <w:rPr>
          <w:rFonts w:ascii="Segoe UI Light" w:hAnsi="Segoe UI Light"/>
          <w:bCs/>
          <w:sz w:val="16"/>
          <w:szCs w:val="18"/>
        </w:rPr>
        <w:t> </w:t>
      </w:r>
      <w:r w:rsidR="0080669C" w:rsidRPr="005B6505">
        <w:rPr>
          <w:rFonts w:ascii="Segoe UI Light" w:hAnsi="Segoe UI Light"/>
          <w:sz w:val="16"/>
          <w:szCs w:val="18"/>
        </w:rPr>
        <w:t>%</w:t>
      </w:r>
      <w:r w:rsidRPr="005B6505">
        <w:rPr>
          <w:rFonts w:ascii="Segoe UI Light" w:hAnsi="Segoe UI Light"/>
          <w:sz w:val="16"/>
          <w:szCs w:val="18"/>
        </w:rPr>
        <w:t xml:space="preserve">). Latvijā nodarbināto īpatsvars augsto tehnoloģiju nozarēs kopumā veido </w:t>
      </w:r>
      <w:r w:rsidR="005B6505" w:rsidRPr="005B6505">
        <w:rPr>
          <w:rFonts w:ascii="Segoe UI Light" w:hAnsi="Segoe UI Light"/>
          <w:bCs/>
          <w:sz w:val="16"/>
          <w:szCs w:val="18"/>
        </w:rPr>
        <w:t>7</w:t>
      </w:r>
      <w:r w:rsidR="003F526D">
        <w:rPr>
          <w:rFonts w:ascii="Segoe UI Light" w:hAnsi="Segoe UI Light"/>
          <w:bCs/>
          <w:sz w:val="16"/>
          <w:szCs w:val="18"/>
        </w:rPr>
        <w:t> </w:t>
      </w:r>
      <w:r w:rsidR="0080669C" w:rsidRPr="005B6505">
        <w:rPr>
          <w:rFonts w:ascii="Segoe UI Light" w:hAnsi="Segoe UI Light"/>
          <w:sz w:val="16"/>
          <w:szCs w:val="18"/>
        </w:rPr>
        <w:t>%</w:t>
      </w:r>
      <w:r w:rsidRPr="005B6505">
        <w:rPr>
          <w:rFonts w:ascii="Segoe UI Light" w:hAnsi="Segoe UI Light"/>
          <w:sz w:val="16"/>
          <w:szCs w:val="18"/>
        </w:rPr>
        <w:t xml:space="preserve">, tādējādi pēc nodarbināto īpatsvara augsto tehnoloģiju nozarēs ierindojoties vien </w:t>
      </w:r>
      <w:r w:rsidR="005B6505" w:rsidRPr="005B6505">
        <w:rPr>
          <w:rFonts w:ascii="Segoe UI Light" w:hAnsi="Segoe UI Light"/>
          <w:bCs/>
          <w:sz w:val="16"/>
          <w:szCs w:val="18"/>
        </w:rPr>
        <w:t>16</w:t>
      </w:r>
      <w:r w:rsidR="005266A1" w:rsidRPr="005B6505">
        <w:rPr>
          <w:rFonts w:ascii="Segoe UI Light" w:hAnsi="Segoe UI Light"/>
          <w:sz w:val="16"/>
          <w:szCs w:val="18"/>
        </w:rPr>
        <w:t>.</w:t>
      </w:r>
      <w:r w:rsidRPr="005B6505">
        <w:rPr>
          <w:rFonts w:ascii="Segoe UI Light" w:hAnsi="Segoe UI Light"/>
          <w:sz w:val="16"/>
          <w:szCs w:val="18"/>
        </w:rPr>
        <w:t xml:space="preserve"> vietā no 27 Eiropas valstīm.</w:t>
      </w:r>
    </w:p>
    <w:p w14:paraId="00D37DAF" w14:textId="77777777" w:rsidR="002963A9" w:rsidRPr="00EF7F3C" w:rsidRDefault="002963A9" w:rsidP="009773F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bCs/>
          <w:sz w:val="16"/>
          <w:szCs w:val="18"/>
          <w:highlight w:val="yellow"/>
        </w:rPr>
      </w:pPr>
    </w:p>
    <w:p w14:paraId="0A5A5ED7" w14:textId="7DCFA0ED" w:rsidR="0089465B" w:rsidRPr="008824FB" w:rsidRDefault="0089465B" w:rsidP="009773F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center"/>
        <w:rPr>
          <w:rFonts w:ascii="Segoe UI Light" w:hAnsi="Segoe UI Light"/>
          <w:sz w:val="16"/>
          <w:szCs w:val="18"/>
        </w:rPr>
      </w:pPr>
      <w:r w:rsidRPr="008824FB">
        <w:rPr>
          <w:rFonts w:ascii="Segoe UI Light" w:hAnsi="Segoe UI Light"/>
          <w:b/>
          <w:sz w:val="16"/>
          <w:szCs w:val="18"/>
        </w:rPr>
        <w:t>Nodarbinātība augsto tehnoloģiju ekonomikā ES-27 valstīs</w:t>
      </w:r>
      <w:r w:rsidRPr="008824FB">
        <w:rPr>
          <w:rFonts w:ascii="Segoe UI Light" w:hAnsi="Segoe UI Light"/>
          <w:sz w:val="16"/>
          <w:szCs w:val="18"/>
        </w:rPr>
        <w:t xml:space="preserve"> </w:t>
      </w:r>
      <w:r w:rsidRPr="008824FB">
        <w:rPr>
          <w:rFonts w:ascii="Segoe UI Light" w:hAnsi="Segoe UI Light"/>
          <w:sz w:val="16"/>
          <w:szCs w:val="18"/>
        </w:rPr>
        <w:br/>
        <w:t>2022.gads, procentos no kopējās nodarbinātības</w:t>
      </w:r>
    </w:p>
    <w:p w14:paraId="0E195B16" w14:textId="4793D40A" w:rsidR="0066279C" w:rsidRPr="008824FB" w:rsidRDefault="008824FB" w:rsidP="009773F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b/>
          <w:color w:val="000000" w:themeColor="text1"/>
          <w:sz w:val="16"/>
          <w:szCs w:val="16"/>
        </w:rPr>
      </w:pPr>
      <w:r w:rsidRPr="008824FB">
        <w:rPr>
          <w:rFonts w:ascii="Segoe UI Light" w:hAnsi="Segoe UI Light"/>
          <w:b/>
          <w:noProof/>
          <w:color w:val="FF0000"/>
          <w:sz w:val="16"/>
          <w:szCs w:val="18"/>
          <w:lang w:val="en-US"/>
        </w:rPr>
        <w:drawing>
          <wp:inline distT="0" distB="0" distL="0" distR="0" wp14:anchorId="6ECF565F" wp14:editId="5943FA31">
            <wp:extent cx="5580000" cy="2160000"/>
            <wp:effectExtent l="0" t="0" r="1905" b="0"/>
            <wp:docPr id="1338072910" name="Chart 1338072910">
              <a:extLst xmlns:a="http://schemas.openxmlformats.org/drawingml/2006/main">
                <a:ext uri="{FF2B5EF4-FFF2-40B4-BE49-F238E27FC236}">
                  <a16:creationId xmlns:a16="http://schemas.microsoft.com/office/drawing/2014/main" id="{109C1A1C-101C-4019-B978-7088BEE7A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A51580F" w14:textId="4A8F63FE" w:rsidR="00F14377" w:rsidRPr="006872AA" w:rsidRDefault="0066279C" w:rsidP="009773F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sz w:val="4"/>
          <w:szCs w:val="6"/>
        </w:rPr>
      </w:pPr>
      <w:r w:rsidRPr="008824FB">
        <w:rPr>
          <w:rFonts w:ascii="Segoe UI Light" w:hAnsi="Segoe UI Light"/>
          <w:sz w:val="14"/>
          <w:szCs w:val="16"/>
        </w:rPr>
        <w:t xml:space="preserve">Avots: Cedefop, Skills Panorama, </w:t>
      </w:r>
      <w:hyperlink r:id="rId51" w:history="1">
        <w:r w:rsidRPr="008824FB">
          <w:rPr>
            <w:rStyle w:val="Hyperlink"/>
            <w:rFonts w:ascii="Segoe UI Light" w:hAnsi="Segoe UI Light"/>
            <w:color w:val="auto"/>
            <w:sz w:val="14"/>
            <w:szCs w:val="16"/>
          </w:rPr>
          <w:t>https://skillspanorama.cedefop.europa.eu/en/skills-themes/future-jobs#</w:t>
        </w:r>
      </w:hyperlink>
    </w:p>
    <w:p w14:paraId="52439149" w14:textId="77777777" w:rsidR="006E0D9F" w:rsidRPr="006E0D9F" w:rsidRDefault="006E0D9F" w:rsidP="005E0599">
      <w:pPr>
        <w:spacing w:after="120"/>
        <w:jc w:val="both"/>
        <w:rPr>
          <w:rFonts w:ascii="Source Sans Pro" w:hAnsi="Source Sans Pro"/>
        </w:rPr>
      </w:pPr>
    </w:p>
    <w:p w14:paraId="3137118E" w14:textId="79FBF71A" w:rsidR="0066279C" w:rsidRPr="009773FB" w:rsidRDefault="0066279C" w:rsidP="005E0599">
      <w:pPr>
        <w:spacing w:after="120"/>
        <w:jc w:val="both"/>
        <w:rPr>
          <w:rFonts w:ascii="Aptos Narrow" w:hAnsi="Aptos Narrow"/>
          <w:b/>
          <w:color w:val="003E4C"/>
          <w:sz w:val="28"/>
          <w:szCs w:val="28"/>
        </w:rPr>
      </w:pPr>
      <w:r w:rsidRPr="009773FB">
        <w:rPr>
          <w:rFonts w:ascii="Aptos Narrow" w:hAnsi="Aptos Narrow"/>
          <w:b/>
          <w:color w:val="003E4C"/>
          <w:sz w:val="28"/>
          <w:szCs w:val="28"/>
        </w:rPr>
        <w:t>Profesiju pieprasījums</w:t>
      </w:r>
    </w:p>
    <w:p w14:paraId="28A9345A" w14:textId="77777777" w:rsidR="0066279C" w:rsidRPr="00D829F0" w:rsidRDefault="0066279C" w:rsidP="00867A48">
      <w:pPr>
        <w:spacing w:after="120"/>
        <w:jc w:val="right"/>
        <w:rPr>
          <w:rFonts w:ascii="Source Sans Pro" w:hAnsi="Source Sans Pro"/>
          <w:szCs w:val="20"/>
        </w:rPr>
      </w:pPr>
      <w:r w:rsidRPr="00D829F0">
        <w:rPr>
          <w:rFonts w:ascii="Source Sans Pro" w:hAnsi="Source Sans Pro"/>
          <w:szCs w:val="20"/>
        </w:rPr>
        <w:t>2.2. tabula</w:t>
      </w:r>
    </w:p>
    <w:p w14:paraId="7E4A2A45" w14:textId="18D6CCDC" w:rsidR="0066279C" w:rsidRPr="00343DC3" w:rsidRDefault="0066279C" w:rsidP="00867A48">
      <w:pPr>
        <w:spacing w:after="120"/>
        <w:jc w:val="center"/>
        <w:rPr>
          <w:rFonts w:ascii="Segoe UI Light" w:hAnsi="Segoe UI Light"/>
          <w:i/>
          <w:sz w:val="16"/>
          <w:szCs w:val="26"/>
        </w:rPr>
      </w:pPr>
      <w:r w:rsidRPr="00343DC3">
        <w:rPr>
          <w:rFonts w:ascii="Segoe UI Light" w:hAnsi="Segoe UI Light"/>
          <w:b/>
          <w:sz w:val="18"/>
          <w:szCs w:val="26"/>
        </w:rPr>
        <w:t xml:space="preserve">Nodarbināto skaits tautsaimniecības nozarēs sadalījumā pa profesiju grupām </w:t>
      </w:r>
      <w:r w:rsidRPr="00343DC3">
        <w:rPr>
          <w:rFonts w:ascii="Segoe UI Light" w:hAnsi="Segoe UI Light"/>
          <w:sz w:val="16"/>
          <w:szCs w:val="26"/>
        </w:rPr>
        <w:br/>
      </w:r>
      <w:r w:rsidRPr="00343DC3">
        <w:rPr>
          <w:rFonts w:ascii="Segoe UI Light" w:hAnsi="Segoe UI Light"/>
          <w:i/>
          <w:sz w:val="16"/>
          <w:szCs w:val="26"/>
        </w:rPr>
        <w:t>202</w:t>
      </w:r>
      <w:r w:rsidR="00343DC3">
        <w:rPr>
          <w:rFonts w:ascii="Segoe UI Light" w:hAnsi="Segoe UI Light"/>
          <w:i/>
          <w:sz w:val="16"/>
          <w:szCs w:val="26"/>
        </w:rPr>
        <w:t>5</w:t>
      </w:r>
      <w:r w:rsidRPr="00343DC3">
        <w:rPr>
          <w:rFonts w:ascii="Segoe UI Light" w:hAnsi="Segoe UI Light"/>
          <w:i/>
          <w:sz w:val="16"/>
          <w:szCs w:val="26"/>
        </w:rPr>
        <w:t>.</w:t>
      </w:r>
      <w:r w:rsidR="003F526D">
        <w:rPr>
          <w:rFonts w:ascii="Segoe UI Light" w:hAnsi="Segoe UI Light"/>
          <w:i/>
          <w:sz w:val="16"/>
          <w:szCs w:val="26"/>
        </w:rPr>
        <w:t> </w:t>
      </w:r>
      <w:r w:rsidR="0080669C" w:rsidRPr="00343DC3">
        <w:rPr>
          <w:rFonts w:ascii="Segoe UI Light" w:hAnsi="Segoe UI Light"/>
          <w:i/>
          <w:sz w:val="16"/>
          <w:szCs w:val="26"/>
        </w:rPr>
        <w:t>gad</w:t>
      </w:r>
      <w:r w:rsidRPr="00343DC3">
        <w:rPr>
          <w:rFonts w:ascii="Segoe UI Light" w:hAnsi="Segoe UI Light"/>
          <w:i/>
          <w:sz w:val="16"/>
          <w:szCs w:val="26"/>
        </w:rPr>
        <w:t>s, tūkstošos</w:t>
      </w:r>
    </w:p>
    <w:tbl>
      <w:tblPr>
        <w:tblStyle w:val="GridTable4-Accent4"/>
        <w:tblW w:w="906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680"/>
        <w:gridCol w:w="680"/>
        <w:gridCol w:w="680"/>
        <w:gridCol w:w="680"/>
        <w:gridCol w:w="680"/>
        <w:gridCol w:w="680"/>
        <w:gridCol w:w="680"/>
        <w:gridCol w:w="680"/>
        <w:gridCol w:w="680"/>
      </w:tblGrid>
      <w:tr w:rsidR="006A3666" w:rsidRPr="00D829F0" w14:paraId="7D4333A2" w14:textId="77777777" w:rsidTr="009773FB">
        <w:trPr>
          <w:cnfStyle w:val="100000000000" w:firstRow="1" w:lastRow="0" w:firstColumn="0" w:lastColumn="0" w:oddVBand="0" w:evenVBand="0" w:oddHBand="0" w:evenHBand="0" w:firstRowFirstColumn="0" w:firstRowLastColumn="0" w:lastRowFirstColumn="0" w:lastRowLastColumn="0"/>
          <w:cantSplit/>
          <w:trHeight w:val="1587"/>
        </w:trPr>
        <w:tc>
          <w:tcPr>
            <w:cnfStyle w:val="001000000000" w:firstRow="0" w:lastRow="0" w:firstColumn="1" w:lastColumn="0" w:oddVBand="0" w:evenVBand="0" w:oddHBand="0" w:evenHBand="0" w:firstRowFirstColumn="0" w:firstRowLastColumn="0" w:lastRowFirstColumn="0" w:lastRowLastColumn="0"/>
            <w:tcW w:w="2948" w:type="dxa"/>
            <w:shd w:val="clear" w:color="auto" w:fill="0E5A69"/>
            <w:noWrap/>
            <w:hideMark/>
          </w:tcPr>
          <w:p w14:paraId="7E44A780" w14:textId="77777777" w:rsidR="0066279C" w:rsidRPr="00EF7F3C" w:rsidRDefault="0066279C" w:rsidP="00F14377">
            <w:pPr>
              <w:spacing w:before="40" w:after="40"/>
              <w:rPr>
                <w:rFonts w:ascii="Segoe UI Light" w:eastAsia="Times New Roman" w:hAnsi="Segoe UI Light" w:cs="Segoe UI Light"/>
                <w:color w:val="000000"/>
                <w:sz w:val="16"/>
                <w:szCs w:val="16"/>
                <w:highlight w:val="yellow"/>
              </w:rPr>
            </w:pPr>
            <w:r w:rsidRPr="001037E7">
              <w:rPr>
                <w:rFonts w:ascii="Segoe UI Light" w:eastAsia="Times New Roman" w:hAnsi="Segoe UI Light" w:cs="Segoe UI Light"/>
                <w:color w:val="000000"/>
                <w:sz w:val="16"/>
                <w:szCs w:val="16"/>
              </w:rPr>
              <w:t> </w:t>
            </w:r>
          </w:p>
        </w:tc>
        <w:tc>
          <w:tcPr>
            <w:tcW w:w="680" w:type="dxa"/>
            <w:shd w:val="clear" w:color="auto" w:fill="0E5A69"/>
            <w:noWrap/>
            <w:textDirection w:val="btLr"/>
            <w:vAlign w:val="center"/>
            <w:hideMark/>
          </w:tcPr>
          <w:p w14:paraId="2ADAE53E" w14:textId="77777777" w:rsidR="0066279C" w:rsidRPr="00EF7F3C" w:rsidRDefault="0066279C" w:rsidP="00F14377">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highlight w:val="yellow"/>
              </w:rPr>
            </w:pPr>
            <w:r w:rsidRPr="001037E7">
              <w:rPr>
                <w:rFonts w:ascii="Segoe UI Light" w:eastAsia="Times New Roman" w:hAnsi="Segoe UI Light"/>
                <w:sz w:val="16"/>
                <w:szCs w:val="16"/>
              </w:rPr>
              <w:t>Lauksaimniecība</w:t>
            </w:r>
          </w:p>
        </w:tc>
        <w:tc>
          <w:tcPr>
            <w:tcW w:w="680" w:type="dxa"/>
            <w:shd w:val="clear" w:color="auto" w:fill="0E5A69"/>
            <w:noWrap/>
            <w:textDirection w:val="btLr"/>
            <w:vAlign w:val="center"/>
            <w:hideMark/>
          </w:tcPr>
          <w:p w14:paraId="2A994C39" w14:textId="77777777" w:rsidR="0066279C" w:rsidRPr="00EF7F3C"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highlight w:val="yellow"/>
                <w:lang w:val="en-US"/>
              </w:rPr>
            </w:pPr>
            <w:r w:rsidRPr="001037E7">
              <w:rPr>
                <w:rFonts w:ascii="Segoe UI Light" w:eastAsia="Times New Roman" w:hAnsi="Segoe UI Light"/>
                <w:sz w:val="16"/>
                <w:szCs w:val="16"/>
              </w:rPr>
              <w:t xml:space="preserve">Apstrādes </w:t>
            </w:r>
            <w:r w:rsidRPr="001037E7">
              <w:rPr>
                <w:rFonts w:ascii="Segoe UI Light" w:eastAsia="Times New Roman" w:hAnsi="Segoe UI Light"/>
                <w:sz w:val="16"/>
                <w:szCs w:val="16"/>
              </w:rPr>
              <w:br/>
              <w:t>rūpniecība</w:t>
            </w:r>
          </w:p>
        </w:tc>
        <w:tc>
          <w:tcPr>
            <w:tcW w:w="680" w:type="dxa"/>
            <w:shd w:val="clear" w:color="auto" w:fill="0E5A69"/>
            <w:noWrap/>
            <w:textDirection w:val="btLr"/>
            <w:vAlign w:val="center"/>
            <w:hideMark/>
          </w:tcPr>
          <w:p w14:paraId="560DF23C" w14:textId="77777777" w:rsidR="0066279C" w:rsidRPr="00EF7F3C"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highlight w:val="yellow"/>
                <w:lang w:val="en-US"/>
              </w:rPr>
            </w:pPr>
            <w:r w:rsidRPr="001037E7">
              <w:rPr>
                <w:rFonts w:ascii="Segoe UI Light" w:eastAsia="Times New Roman" w:hAnsi="Segoe UI Light"/>
                <w:sz w:val="16"/>
                <w:szCs w:val="16"/>
              </w:rPr>
              <w:t xml:space="preserve">Pārējā </w:t>
            </w:r>
            <w:r w:rsidRPr="001037E7">
              <w:rPr>
                <w:rFonts w:ascii="Segoe UI Light" w:eastAsia="Times New Roman" w:hAnsi="Segoe UI Light"/>
                <w:sz w:val="16"/>
                <w:szCs w:val="16"/>
              </w:rPr>
              <w:br/>
              <w:t>rūpniecība</w:t>
            </w:r>
          </w:p>
        </w:tc>
        <w:tc>
          <w:tcPr>
            <w:tcW w:w="680" w:type="dxa"/>
            <w:shd w:val="clear" w:color="auto" w:fill="0E5A69"/>
            <w:noWrap/>
            <w:textDirection w:val="btLr"/>
            <w:vAlign w:val="center"/>
            <w:hideMark/>
          </w:tcPr>
          <w:p w14:paraId="7012C53B" w14:textId="77777777" w:rsidR="0066279C" w:rsidRPr="00EF7F3C"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highlight w:val="yellow"/>
                <w:lang w:val="en-US"/>
              </w:rPr>
            </w:pPr>
            <w:r w:rsidRPr="001037E7">
              <w:rPr>
                <w:rFonts w:ascii="Segoe UI Light" w:eastAsia="Times New Roman" w:hAnsi="Segoe UI Light"/>
                <w:sz w:val="16"/>
                <w:szCs w:val="16"/>
              </w:rPr>
              <w:t>Būvniecība</w:t>
            </w:r>
          </w:p>
        </w:tc>
        <w:tc>
          <w:tcPr>
            <w:tcW w:w="680" w:type="dxa"/>
            <w:shd w:val="clear" w:color="auto" w:fill="0E5A69"/>
            <w:noWrap/>
            <w:textDirection w:val="btLr"/>
            <w:vAlign w:val="center"/>
            <w:hideMark/>
          </w:tcPr>
          <w:p w14:paraId="1B2555AE" w14:textId="77777777" w:rsidR="0066279C" w:rsidRPr="00EF7F3C"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highlight w:val="yellow"/>
                <w:lang w:val="en-US"/>
              </w:rPr>
            </w:pPr>
            <w:r w:rsidRPr="001037E7">
              <w:rPr>
                <w:rFonts w:ascii="Segoe UI Light" w:eastAsia="Times New Roman" w:hAnsi="Segoe UI Light"/>
                <w:sz w:val="16"/>
                <w:szCs w:val="16"/>
              </w:rPr>
              <w:t>Tirdzniecība, izmitināšana</w:t>
            </w:r>
          </w:p>
        </w:tc>
        <w:tc>
          <w:tcPr>
            <w:tcW w:w="680" w:type="dxa"/>
            <w:shd w:val="clear" w:color="auto" w:fill="0E5A69"/>
            <w:noWrap/>
            <w:textDirection w:val="btLr"/>
            <w:vAlign w:val="center"/>
            <w:hideMark/>
          </w:tcPr>
          <w:p w14:paraId="0254C7C3" w14:textId="77777777" w:rsidR="0066279C" w:rsidRPr="00EF7F3C"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highlight w:val="yellow"/>
                <w:lang w:val="en-US"/>
              </w:rPr>
            </w:pPr>
            <w:r w:rsidRPr="001037E7">
              <w:rPr>
                <w:rFonts w:ascii="Segoe UI Light" w:eastAsia="Times New Roman" w:hAnsi="Segoe UI Light"/>
                <w:sz w:val="16"/>
                <w:szCs w:val="16"/>
              </w:rPr>
              <w:t>Transports un uzglabāšana</w:t>
            </w:r>
          </w:p>
        </w:tc>
        <w:tc>
          <w:tcPr>
            <w:tcW w:w="680" w:type="dxa"/>
            <w:shd w:val="clear" w:color="auto" w:fill="0E5A69"/>
            <w:noWrap/>
            <w:textDirection w:val="btLr"/>
            <w:vAlign w:val="center"/>
            <w:hideMark/>
          </w:tcPr>
          <w:p w14:paraId="09802543" w14:textId="77777777" w:rsidR="0066279C" w:rsidRPr="00EF7F3C"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highlight w:val="yellow"/>
                <w:lang w:val="en-US"/>
              </w:rPr>
            </w:pPr>
            <w:r w:rsidRPr="001037E7">
              <w:rPr>
                <w:rFonts w:ascii="Segoe UI Light" w:eastAsia="Times New Roman" w:hAnsi="Segoe UI Light"/>
                <w:sz w:val="16"/>
                <w:szCs w:val="16"/>
              </w:rPr>
              <w:t xml:space="preserve">Citi </w:t>
            </w:r>
            <w:r w:rsidRPr="001037E7">
              <w:rPr>
                <w:rFonts w:ascii="Segoe UI Light" w:eastAsia="Times New Roman" w:hAnsi="Segoe UI Light"/>
                <w:sz w:val="16"/>
                <w:szCs w:val="16"/>
              </w:rPr>
              <w:br/>
              <w:t>komercpakalpojumi</w:t>
            </w:r>
          </w:p>
        </w:tc>
        <w:tc>
          <w:tcPr>
            <w:tcW w:w="680" w:type="dxa"/>
            <w:shd w:val="clear" w:color="auto" w:fill="0E5A69"/>
            <w:noWrap/>
            <w:textDirection w:val="btLr"/>
            <w:vAlign w:val="center"/>
            <w:hideMark/>
          </w:tcPr>
          <w:p w14:paraId="14222F45" w14:textId="77777777" w:rsidR="0066279C" w:rsidRPr="00EF7F3C"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highlight w:val="yellow"/>
                <w:lang w:val="en-US"/>
              </w:rPr>
            </w:pPr>
            <w:r w:rsidRPr="001037E7">
              <w:rPr>
                <w:rFonts w:ascii="Segoe UI Light" w:eastAsia="Times New Roman" w:hAnsi="Segoe UI Light"/>
                <w:sz w:val="16"/>
                <w:szCs w:val="16"/>
              </w:rPr>
              <w:t>Sabiedriskie pakalpojumi</w:t>
            </w:r>
          </w:p>
        </w:tc>
        <w:tc>
          <w:tcPr>
            <w:tcW w:w="680" w:type="dxa"/>
            <w:shd w:val="clear" w:color="auto" w:fill="0E5A69"/>
            <w:noWrap/>
            <w:textDirection w:val="btLr"/>
            <w:vAlign w:val="center"/>
            <w:hideMark/>
          </w:tcPr>
          <w:p w14:paraId="7E7C2FD0" w14:textId="77777777" w:rsidR="0066279C" w:rsidRPr="00EF7F3C"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highlight w:val="yellow"/>
                <w:lang w:val="en-US"/>
              </w:rPr>
            </w:pPr>
            <w:r w:rsidRPr="001037E7">
              <w:rPr>
                <w:rFonts w:ascii="Segoe UI Light" w:eastAsia="Arial Unicode MS" w:hAnsi="Segoe UI Light"/>
                <w:sz w:val="16"/>
                <w:szCs w:val="16"/>
              </w:rPr>
              <w:t>Kopā</w:t>
            </w:r>
          </w:p>
        </w:tc>
      </w:tr>
      <w:tr w:rsidR="00972191" w:rsidRPr="00D829F0" w14:paraId="6059380C"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1620DA32" w14:textId="1933316F" w:rsidR="0066279C" w:rsidRPr="00EF7F3C" w:rsidRDefault="0066279C" w:rsidP="00F14377">
            <w:pPr>
              <w:spacing w:before="40" w:after="40"/>
              <w:rPr>
                <w:rFonts w:ascii="Segoe UI Light" w:eastAsia="Times New Roman" w:hAnsi="Segoe UI Light" w:cs="Segoe UI Light"/>
                <w:sz w:val="16"/>
                <w:szCs w:val="16"/>
                <w:highlight w:val="yellow"/>
              </w:rPr>
            </w:pPr>
            <w:r w:rsidRPr="001037E7">
              <w:rPr>
                <w:rFonts w:ascii="Segoe UI Light" w:eastAsia="Times New Roman" w:hAnsi="Segoe UI Light"/>
                <w:sz w:val="16"/>
                <w:szCs w:val="16"/>
              </w:rPr>
              <w:t>Augstas kvalifikācijas profesijas, tai skaitā:</w:t>
            </w:r>
          </w:p>
        </w:tc>
        <w:tc>
          <w:tcPr>
            <w:tcW w:w="680" w:type="dxa"/>
            <w:shd w:val="clear" w:color="auto" w:fill="DCE7EB"/>
            <w:noWrap/>
          </w:tcPr>
          <w:p w14:paraId="055F6BE3" w14:textId="4EC58041"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highlight w:val="yellow"/>
                <w:lang w:val="en-US"/>
              </w:rPr>
            </w:pPr>
            <w:r w:rsidRPr="004A4CF8">
              <w:rPr>
                <w:rFonts w:ascii="Segoe UI Light" w:hAnsi="Segoe UI Light" w:cs="Segoe UI Light"/>
                <w:b/>
                <w:bCs/>
                <w:sz w:val="16"/>
                <w:szCs w:val="16"/>
              </w:rPr>
              <w:t>13,3</w:t>
            </w:r>
          </w:p>
        </w:tc>
        <w:tc>
          <w:tcPr>
            <w:tcW w:w="680" w:type="dxa"/>
            <w:shd w:val="clear" w:color="auto" w:fill="DCE7EB"/>
            <w:noWrap/>
          </w:tcPr>
          <w:p w14:paraId="38BA8E06" w14:textId="758DCBF7"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highlight w:val="yellow"/>
                <w:lang w:val="en-US"/>
              </w:rPr>
            </w:pPr>
            <w:r w:rsidRPr="004A4CF8">
              <w:rPr>
                <w:rFonts w:ascii="Segoe UI Light" w:hAnsi="Segoe UI Light" w:cs="Segoe UI Light"/>
                <w:b/>
                <w:bCs/>
                <w:sz w:val="16"/>
                <w:szCs w:val="16"/>
              </w:rPr>
              <w:t>30,4</w:t>
            </w:r>
          </w:p>
        </w:tc>
        <w:tc>
          <w:tcPr>
            <w:tcW w:w="680" w:type="dxa"/>
            <w:shd w:val="clear" w:color="auto" w:fill="DCE7EB"/>
            <w:noWrap/>
          </w:tcPr>
          <w:p w14:paraId="67E75C9C" w14:textId="56D93567"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highlight w:val="yellow"/>
                <w:lang w:val="en-US"/>
              </w:rPr>
            </w:pPr>
            <w:r w:rsidRPr="004A4CF8">
              <w:rPr>
                <w:rFonts w:ascii="Segoe UI Light" w:hAnsi="Segoe UI Light" w:cs="Segoe UI Light"/>
                <w:b/>
                <w:bCs/>
                <w:sz w:val="16"/>
                <w:szCs w:val="16"/>
              </w:rPr>
              <w:t>7,6</w:t>
            </w:r>
          </w:p>
        </w:tc>
        <w:tc>
          <w:tcPr>
            <w:tcW w:w="680" w:type="dxa"/>
            <w:shd w:val="clear" w:color="auto" w:fill="DCE7EB"/>
            <w:noWrap/>
          </w:tcPr>
          <w:p w14:paraId="31D8C41C" w14:textId="3DB1053A"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highlight w:val="yellow"/>
                <w:lang w:val="en-US"/>
              </w:rPr>
            </w:pPr>
            <w:r w:rsidRPr="004A4CF8">
              <w:rPr>
                <w:rFonts w:ascii="Segoe UI Light" w:hAnsi="Segoe UI Light" w:cs="Segoe UI Light"/>
                <w:b/>
                <w:bCs/>
                <w:sz w:val="16"/>
                <w:szCs w:val="16"/>
              </w:rPr>
              <w:t>18,7</w:t>
            </w:r>
          </w:p>
        </w:tc>
        <w:tc>
          <w:tcPr>
            <w:tcW w:w="680" w:type="dxa"/>
            <w:shd w:val="clear" w:color="auto" w:fill="DCE7EB"/>
            <w:noWrap/>
          </w:tcPr>
          <w:p w14:paraId="63E82E2D" w14:textId="01B6999A"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highlight w:val="yellow"/>
                <w:lang w:val="en-US"/>
              </w:rPr>
            </w:pPr>
            <w:r w:rsidRPr="004A4CF8">
              <w:rPr>
                <w:rFonts w:ascii="Segoe UI Light" w:hAnsi="Segoe UI Light" w:cs="Segoe UI Light"/>
                <w:b/>
                <w:bCs/>
                <w:sz w:val="16"/>
                <w:szCs w:val="16"/>
              </w:rPr>
              <w:t>47,0</w:t>
            </w:r>
          </w:p>
        </w:tc>
        <w:tc>
          <w:tcPr>
            <w:tcW w:w="680" w:type="dxa"/>
            <w:shd w:val="clear" w:color="auto" w:fill="DCE7EB"/>
            <w:noWrap/>
          </w:tcPr>
          <w:p w14:paraId="5D40638A" w14:textId="1688FAEF"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highlight w:val="yellow"/>
                <w:lang w:val="en-US"/>
              </w:rPr>
            </w:pPr>
            <w:r w:rsidRPr="004A4CF8">
              <w:rPr>
                <w:rFonts w:ascii="Segoe UI Light" w:hAnsi="Segoe UI Light" w:cs="Segoe UI Light"/>
                <w:b/>
                <w:bCs/>
                <w:sz w:val="16"/>
                <w:szCs w:val="16"/>
              </w:rPr>
              <w:t>17</w:t>
            </w:r>
            <w:r w:rsidR="0066279C" w:rsidRPr="004A4CF8">
              <w:rPr>
                <w:rFonts w:ascii="Segoe UI Light" w:hAnsi="Segoe UI Light" w:cs="Segoe UI Light"/>
                <w:b/>
                <w:sz w:val="16"/>
                <w:szCs w:val="16"/>
              </w:rPr>
              <w:t>,5</w:t>
            </w:r>
          </w:p>
        </w:tc>
        <w:tc>
          <w:tcPr>
            <w:tcW w:w="680" w:type="dxa"/>
            <w:shd w:val="clear" w:color="auto" w:fill="DCE7EB"/>
            <w:noWrap/>
          </w:tcPr>
          <w:p w14:paraId="0A379441" w14:textId="0B346E32"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highlight w:val="yellow"/>
                <w:lang w:val="en-US"/>
              </w:rPr>
            </w:pPr>
            <w:r w:rsidRPr="004A4CF8">
              <w:rPr>
                <w:rFonts w:ascii="Segoe UI Light" w:hAnsi="Segoe UI Light" w:cs="Segoe UI Light"/>
                <w:b/>
                <w:bCs/>
                <w:sz w:val="16"/>
                <w:szCs w:val="16"/>
              </w:rPr>
              <w:t>122,0</w:t>
            </w:r>
          </w:p>
        </w:tc>
        <w:tc>
          <w:tcPr>
            <w:tcW w:w="680" w:type="dxa"/>
            <w:shd w:val="clear" w:color="auto" w:fill="DCE7EB"/>
            <w:noWrap/>
          </w:tcPr>
          <w:p w14:paraId="113F4367" w14:textId="0386573D"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highlight w:val="yellow"/>
                <w:lang w:val="en-US"/>
              </w:rPr>
            </w:pPr>
            <w:r w:rsidRPr="004A4CF8">
              <w:rPr>
                <w:rFonts w:ascii="Segoe UI Light" w:hAnsi="Segoe UI Light" w:cs="Segoe UI Light"/>
                <w:b/>
                <w:bCs/>
                <w:sz w:val="16"/>
                <w:szCs w:val="16"/>
              </w:rPr>
              <w:t>14</w:t>
            </w:r>
            <w:r>
              <w:rPr>
                <w:rFonts w:ascii="Segoe UI Light" w:hAnsi="Segoe UI Light" w:cs="Segoe UI Light"/>
                <w:b/>
                <w:bCs/>
                <w:sz w:val="16"/>
                <w:szCs w:val="16"/>
              </w:rPr>
              <w:t>3</w:t>
            </w:r>
            <w:r w:rsidR="0066279C" w:rsidRPr="004A4CF8">
              <w:rPr>
                <w:rFonts w:ascii="Segoe UI Light" w:hAnsi="Segoe UI Light" w:cs="Segoe UI Light"/>
                <w:b/>
                <w:sz w:val="16"/>
                <w:szCs w:val="16"/>
              </w:rPr>
              <w:t>,</w:t>
            </w:r>
            <w:r w:rsidR="0066279C">
              <w:rPr>
                <w:rFonts w:ascii="Segoe UI Light" w:hAnsi="Segoe UI Light" w:cs="Segoe UI Light"/>
                <w:b/>
                <w:sz w:val="16"/>
                <w:szCs w:val="16"/>
              </w:rPr>
              <w:t>9</w:t>
            </w:r>
          </w:p>
        </w:tc>
        <w:tc>
          <w:tcPr>
            <w:tcW w:w="680" w:type="dxa"/>
            <w:shd w:val="clear" w:color="auto" w:fill="DCE7EB"/>
            <w:noWrap/>
          </w:tcPr>
          <w:p w14:paraId="43098C54" w14:textId="0A7D36DC"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highlight w:val="yellow"/>
                <w:lang w:val="en-US"/>
              </w:rPr>
            </w:pPr>
            <w:r w:rsidRPr="004A4CF8">
              <w:rPr>
                <w:rFonts w:ascii="Segoe UI Light" w:hAnsi="Segoe UI Light" w:cs="Segoe UI Light"/>
                <w:b/>
                <w:bCs/>
                <w:sz w:val="16"/>
                <w:szCs w:val="16"/>
              </w:rPr>
              <w:t>40</w:t>
            </w:r>
            <w:r>
              <w:rPr>
                <w:rFonts w:ascii="Segoe UI Light" w:hAnsi="Segoe UI Light" w:cs="Segoe UI Light"/>
                <w:b/>
                <w:bCs/>
                <w:sz w:val="16"/>
                <w:szCs w:val="16"/>
              </w:rPr>
              <w:t>0</w:t>
            </w:r>
            <w:r w:rsidRPr="004A4CF8">
              <w:rPr>
                <w:rFonts w:ascii="Segoe UI Light" w:hAnsi="Segoe UI Light" w:cs="Segoe UI Light"/>
                <w:b/>
                <w:bCs/>
                <w:sz w:val="16"/>
                <w:szCs w:val="16"/>
              </w:rPr>
              <w:t>,4</w:t>
            </w:r>
          </w:p>
        </w:tc>
      </w:tr>
      <w:tr w:rsidR="00F14377" w:rsidRPr="00D829F0" w14:paraId="49F904AC"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59C813C7" w14:textId="77777777" w:rsidR="0066279C" w:rsidRPr="00EF7F3C" w:rsidRDefault="0066279C" w:rsidP="00F14377">
            <w:pPr>
              <w:spacing w:before="40" w:after="40"/>
              <w:rPr>
                <w:rFonts w:ascii="Segoe UI Light" w:eastAsia="Times New Roman" w:hAnsi="Segoe UI Light" w:cs="Segoe UI Light"/>
                <w:b w:val="0"/>
                <w:sz w:val="16"/>
                <w:szCs w:val="16"/>
                <w:highlight w:val="yellow"/>
              </w:rPr>
            </w:pPr>
            <w:r w:rsidRPr="001037E7">
              <w:rPr>
                <w:rFonts w:ascii="Segoe UI Light" w:eastAsia="Times New Roman" w:hAnsi="Segoe UI Light"/>
                <w:b w:val="0"/>
                <w:sz w:val="16"/>
                <w:szCs w:val="16"/>
              </w:rPr>
              <w:t>Vadītāji</w:t>
            </w:r>
          </w:p>
        </w:tc>
        <w:tc>
          <w:tcPr>
            <w:tcW w:w="680" w:type="dxa"/>
            <w:noWrap/>
          </w:tcPr>
          <w:p w14:paraId="6BAB96F3" w14:textId="15649B7A"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6,5</w:t>
            </w:r>
          </w:p>
        </w:tc>
        <w:tc>
          <w:tcPr>
            <w:tcW w:w="680" w:type="dxa"/>
            <w:noWrap/>
          </w:tcPr>
          <w:p w14:paraId="30CAEA6E" w14:textId="4A23375A"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9,4</w:t>
            </w:r>
          </w:p>
        </w:tc>
        <w:tc>
          <w:tcPr>
            <w:tcW w:w="680" w:type="dxa"/>
            <w:noWrap/>
          </w:tcPr>
          <w:p w14:paraId="73904511" w14:textId="1D278A61"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w:t>
            </w:r>
            <w:r w:rsidR="00343DC3" w:rsidRPr="004A4CF8">
              <w:rPr>
                <w:rFonts w:ascii="Segoe UI Light" w:hAnsi="Segoe UI Light" w:cs="Segoe UI Light"/>
                <w:sz w:val="16"/>
                <w:szCs w:val="16"/>
              </w:rPr>
              <w:t>5</w:t>
            </w:r>
          </w:p>
        </w:tc>
        <w:tc>
          <w:tcPr>
            <w:tcW w:w="680" w:type="dxa"/>
            <w:noWrap/>
          </w:tcPr>
          <w:p w14:paraId="00B6857B" w14:textId="0DC7D748"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9,</w:t>
            </w:r>
            <w:r w:rsidR="00343DC3" w:rsidRPr="004A4CF8">
              <w:rPr>
                <w:rFonts w:ascii="Segoe UI Light" w:hAnsi="Segoe UI Light" w:cs="Segoe UI Light"/>
                <w:sz w:val="16"/>
                <w:szCs w:val="16"/>
              </w:rPr>
              <w:t>9</w:t>
            </w:r>
          </w:p>
        </w:tc>
        <w:tc>
          <w:tcPr>
            <w:tcW w:w="680" w:type="dxa"/>
            <w:noWrap/>
          </w:tcPr>
          <w:p w14:paraId="752B6D2A" w14:textId="3237C389"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17,6</w:t>
            </w:r>
          </w:p>
        </w:tc>
        <w:tc>
          <w:tcPr>
            <w:tcW w:w="680" w:type="dxa"/>
            <w:noWrap/>
          </w:tcPr>
          <w:p w14:paraId="1E07C7EA" w14:textId="7F24B8F4"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4,4</w:t>
            </w:r>
          </w:p>
        </w:tc>
        <w:tc>
          <w:tcPr>
            <w:tcW w:w="680" w:type="dxa"/>
            <w:noWrap/>
          </w:tcPr>
          <w:p w14:paraId="2B8D315A" w14:textId="0FF5CFBD"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23,</w:t>
            </w:r>
            <w:r w:rsidR="00343DC3" w:rsidRPr="004A4CF8">
              <w:rPr>
                <w:rFonts w:ascii="Segoe UI Light" w:hAnsi="Segoe UI Light" w:cs="Segoe UI Light"/>
                <w:sz w:val="16"/>
                <w:szCs w:val="16"/>
              </w:rPr>
              <w:t>5</w:t>
            </w:r>
          </w:p>
        </w:tc>
        <w:tc>
          <w:tcPr>
            <w:tcW w:w="680" w:type="dxa"/>
            <w:noWrap/>
          </w:tcPr>
          <w:p w14:paraId="62AB1F43" w14:textId="02B86501"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15</w:t>
            </w:r>
            <w:r w:rsidR="0066279C" w:rsidRPr="004A4CF8">
              <w:rPr>
                <w:rFonts w:ascii="Segoe UI Light" w:hAnsi="Segoe UI Light" w:cs="Segoe UI Light"/>
                <w:sz w:val="16"/>
                <w:szCs w:val="16"/>
              </w:rPr>
              <w:t>,</w:t>
            </w:r>
            <w:r w:rsidR="0066279C">
              <w:rPr>
                <w:rFonts w:ascii="Segoe UI Light" w:hAnsi="Segoe UI Light" w:cs="Segoe UI Light"/>
                <w:sz w:val="16"/>
                <w:szCs w:val="16"/>
              </w:rPr>
              <w:t>7</w:t>
            </w:r>
          </w:p>
        </w:tc>
        <w:tc>
          <w:tcPr>
            <w:tcW w:w="680" w:type="dxa"/>
            <w:noWrap/>
          </w:tcPr>
          <w:p w14:paraId="59DB37D0" w14:textId="757AA1E4"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8</w:t>
            </w:r>
            <w:r>
              <w:rPr>
                <w:rFonts w:ascii="Segoe UI Light" w:hAnsi="Segoe UI Light" w:cs="Segoe UI Light"/>
                <w:sz w:val="16"/>
                <w:szCs w:val="16"/>
              </w:rPr>
              <w:t>9</w:t>
            </w:r>
            <w:r w:rsidRPr="004A4CF8">
              <w:rPr>
                <w:rFonts w:ascii="Segoe UI Light" w:hAnsi="Segoe UI Light" w:cs="Segoe UI Light"/>
                <w:sz w:val="16"/>
                <w:szCs w:val="16"/>
              </w:rPr>
              <w:t>,</w:t>
            </w:r>
            <w:r>
              <w:rPr>
                <w:rFonts w:ascii="Segoe UI Light" w:hAnsi="Segoe UI Light" w:cs="Segoe UI Light"/>
                <w:sz w:val="16"/>
                <w:szCs w:val="16"/>
              </w:rPr>
              <w:t>6</w:t>
            </w:r>
          </w:p>
        </w:tc>
      </w:tr>
      <w:tr w:rsidR="006A3666" w:rsidRPr="00D829F0" w14:paraId="4E728E1F"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713519B7" w14:textId="77777777" w:rsidR="0066279C" w:rsidRPr="00EF7F3C" w:rsidRDefault="0066279C" w:rsidP="00F14377">
            <w:pPr>
              <w:spacing w:before="40" w:after="40"/>
              <w:rPr>
                <w:rFonts w:ascii="Segoe UI Light" w:eastAsia="Times New Roman" w:hAnsi="Segoe UI Light" w:cs="Segoe UI Light"/>
                <w:b w:val="0"/>
                <w:sz w:val="16"/>
                <w:szCs w:val="16"/>
                <w:highlight w:val="yellow"/>
              </w:rPr>
            </w:pPr>
            <w:r w:rsidRPr="001037E7">
              <w:rPr>
                <w:rFonts w:ascii="Segoe UI Light" w:eastAsia="Times New Roman" w:hAnsi="Segoe UI Light"/>
                <w:b w:val="0"/>
                <w:sz w:val="16"/>
                <w:szCs w:val="16"/>
              </w:rPr>
              <w:t>Vecākie speciālisti</w:t>
            </w:r>
          </w:p>
        </w:tc>
        <w:tc>
          <w:tcPr>
            <w:tcW w:w="680" w:type="dxa"/>
            <w:shd w:val="clear" w:color="auto" w:fill="DCE7EB"/>
            <w:noWrap/>
          </w:tcPr>
          <w:p w14:paraId="1D287C84" w14:textId="14EE290F"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3,1</w:t>
            </w:r>
          </w:p>
        </w:tc>
        <w:tc>
          <w:tcPr>
            <w:tcW w:w="680" w:type="dxa"/>
            <w:shd w:val="clear" w:color="auto" w:fill="DCE7EB"/>
            <w:noWrap/>
          </w:tcPr>
          <w:p w14:paraId="353D9152" w14:textId="04FDCC0B"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9,</w:t>
            </w:r>
            <w:r w:rsidR="00343DC3" w:rsidRPr="004A4CF8">
              <w:rPr>
                <w:rFonts w:ascii="Segoe UI Light" w:hAnsi="Segoe UI Light" w:cs="Segoe UI Light"/>
                <w:sz w:val="16"/>
                <w:szCs w:val="16"/>
              </w:rPr>
              <w:t>4</w:t>
            </w:r>
          </w:p>
        </w:tc>
        <w:tc>
          <w:tcPr>
            <w:tcW w:w="680" w:type="dxa"/>
            <w:shd w:val="clear" w:color="auto" w:fill="DCE7EB"/>
            <w:noWrap/>
          </w:tcPr>
          <w:p w14:paraId="15FCC791" w14:textId="122F94D1"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2,5</w:t>
            </w:r>
          </w:p>
        </w:tc>
        <w:tc>
          <w:tcPr>
            <w:tcW w:w="680" w:type="dxa"/>
            <w:shd w:val="clear" w:color="auto" w:fill="DCE7EB"/>
            <w:noWrap/>
          </w:tcPr>
          <w:p w14:paraId="1D80B1D0" w14:textId="59B320D8"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3,6</w:t>
            </w:r>
          </w:p>
        </w:tc>
        <w:tc>
          <w:tcPr>
            <w:tcW w:w="680" w:type="dxa"/>
            <w:shd w:val="clear" w:color="auto" w:fill="DCE7EB"/>
            <w:noWrap/>
          </w:tcPr>
          <w:p w14:paraId="6D322B83" w14:textId="3D64DD02"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9,2</w:t>
            </w:r>
          </w:p>
        </w:tc>
        <w:tc>
          <w:tcPr>
            <w:tcW w:w="680" w:type="dxa"/>
            <w:shd w:val="clear" w:color="auto" w:fill="DCE7EB"/>
            <w:noWrap/>
          </w:tcPr>
          <w:p w14:paraId="38BC2E36" w14:textId="77777777"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3,6</w:t>
            </w:r>
          </w:p>
        </w:tc>
        <w:tc>
          <w:tcPr>
            <w:tcW w:w="680" w:type="dxa"/>
            <w:shd w:val="clear" w:color="auto" w:fill="DCE7EB"/>
            <w:noWrap/>
          </w:tcPr>
          <w:p w14:paraId="26459D91" w14:textId="572605C8"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60,9</w:t>
            </w:r>
          </w:p>
        </w:tc>
        <w:tc>
          <w:tcPr>
            <w:tcW w:w="680" w:type="dxa"/>
            <w:shd w:val="clear" w:color="auto" w:fill="DCE7EB"/>
            <w:noWrap/>
          </w:tcPr>
          <w:p w14:paraId="57BA963F" w14:textId="120B46C8"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9</w:t>
            </w:r>
            <w:r>
              <w:rPr>
                <w:rFonts w:ascii="Segoe UI Light" w:hAnsi="Segoe UI Light" w:cs="Segoe UI Light"/>
                <w:sz w:val="16"/>
                <w:szCs w:val="16"/>
              </w:rPr>
              <w:t>4</w:t>
            </w:r>
            <w:r w:rsidR="0066279C" w:rsidRPr="004A4CF8">
              <w:rPr>
                <w:rFonts w:ascii="Segoe UI Light" w:hAnsi="Segoe UI Light" w:cs="Segoe UI Light"/>
                <w:sz w:val="16"/>
                <w:szCs w:val="16"/>
              </w:rPr>
              <w:t>,</w:t>
            </w:r>
            <w:r w:rsidR="0066279C">
              <w:rPr>
                <w:rFonts w:ascii="Segoe UI Light" w:hAnsi="Segoe UI Light" w:cs="Segoe UI Light"/>
                <w:sz w:val="16"/>
                <w:szCs w:val="16"/>
              </w:rPr>
              <w:t>6</w:t>
            </w:r>
          </w:p>
        </w:tc>
        <w:tc>
          <w:tcPr>
            <w:tcW w:w="680" w:type="dxa"/>
            <w:shd w:val="clear" w:color="auto" w:fill="DCE7EB"/>
            <w:noWrap/>
          </w:tcPr>
          <w:p w14:paraId="2C22CF2C" w14:textId="071276FC"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18</w:t>
            </w:r>
            <w:r>
              <w:rPr>
                <w:rFonts w:ascii="Segoe UI Light" w:hAnsi="Segoe UI Light" w:cs="Segoe UI Light"/>
                <w:sz w:val="16"/>
                <w:szCs w:val="16"/>
              </w:rPr>
              <w:t>6</w:t>
            </w:r>
            <w:r w:rsidRPr="004A4CF8">
              <w:rPr>
                <w:rFonts w:ascii="Segoe UI Light" w:hAnsi="Segoe UI Light" w:cs="Segoe UI Light"/>
                <w:sz w:val="16"/>
                <w:szCs w:val="16"/>
              </w:rPr>
              <w:t>,</w:t>
            </w:r>
            <w:r>
              <w:rPr>
                <w:rFonts w:ascii="Segoe UI Light" w:hAnsi="Segoe UI Light" w:cs="Segoe UI Light"/>
                <w:sz w:val="16"/>
                <w:szCs w:val="16"/>
              </w:rPr>
              <w:t>8</w:t>
            </w:r>
          </w:p>
        </w:tc>
      </w:tr>
      <w:tr w:rsidR="00F14377" w:rsidRPr="00D829F0" w14:paraId="70721FB6"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1BC30B83" w14:textId="77777777" w:rsidR="0066279C" w:rsidRPr="00EF7F3C" w:rsidRDefault="0066279C" w:rsidP="00F14377">
            <w:pPr>
              <w:spacing w:before="40" w:after="40"/>
              <w:rPr>
                <w:rFonts w:ascii="Segoe UI Light" w:eastAsia="Times New Roman" w:hAnsi="Segoe UI Light" w:cs="Segoe UI Light"/>
                <w:b w:val="0"/>
                <w:sz w:val="16"/>
                <w:szCs w:val="16"/>
                <w:highlight w:val="yellow"/>
              </w:rPr>
            </w:pPr>
            <w:r w:rsidRPr="001037E7">
              <w:rPr>
                <w:rFonts w:ascii="Segoe UI Light" w:eastAsia="Times New Roman" w:hAnsi="Segoe UI Light"/>
                <w:b w:val="0"/>
                <w:sz w:val="16"/>
                <w:szCs w:val="16"/>
              </w:rPr>
              <w:t>Speciālisti</w:t>
            </w:r>
          </w:p>
        </w:tc>
        <w:tc>
          <w:tcPr>
            <w:tcW w:w="680" w:type="dxa"/>
            <w:noWrap/>
          </w:tcPr>
          <w:p w14:paraId="249D68AC" w14:textId="4CF04FD5"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w:t>
            </w:r>
            <w:r w:rsidR="00343DC3" w:rsidRPr="004A4CF8">
              <w:rPr>
                <w:rFonts w:ascii="Segoe UI Light" w:hAnsi="Segoe UI Light" w:cs="Segoe UI Light"/>
                <w:sz w:val="16"/>
                <w:szCs w:val="16"/>
              </w:rPr>
              <w:t>8</w:t>
            </w:r>
          </w:p>
        </w:tc>
        <w:tc>
          <w:tcPr>
            <w:tcW w:w="680" w:type="dxa"/>
            <w:noWrap/>
          </w:tcPr>
          <w:p w14:paraId="45C55E48" w14:textId="64192832"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11,6</w:t>
            </w:r>
          </w:p>
        </w:tc>
        <w:tc>
          <w:tcPr>
            <w:tcW w:w="680" w:type="dxa"/>
            <w:noWrap/>
          </w:tcPr>
          <w:p w14:paraId="3FBEDB27" w14:textId="79AC6DD1"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2,6</w:t>
            </w:r>
          </w:p>
        </w:tc>
        <w:tc>
          <w:tcPr>
            <w:tcW w:w="680" w:type="dxa"/>
            <w:noWrap/>
          </w:tcPr>
          <w:p w14:paraId="17EA4FB2" w14:textId="335523A4"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5</w:t>
            </w:r>
            <w:r w:rsidR="00343DC3" w:rsidRPr="004A4CF8">
              <w:rPr>
                <w:rFonts w:ascii="Segoe UI Light" w:hAnsi="Segoe UI Light" w:cs="Segoe UI Light"/>
                <w:sz w:val="16"/>
                <w:szCs w:val="16"/>
              </w:rPr>
              <w:t>,2</w:t>
            </w:r>
          </w:p>
        </w:tc>
        <w:tc>
          <w:tcPr>
            <w:tcW w:w="680" w:type="dxa"/>
            <w:noWrap/>
          </w:tcPr>
          <w:p w14:paraId="1300220E" w14:textId="4803B78A"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20,3</w:t>
            </w:r>
          </w:p>
        </w:tc>
        <w:tc>
          <w:tcPr>
            <w:tcW w:w="680" w:type="dxa"/>
            <w:noWrap/>
          </w:tcPr>
          <w:p w14:paraId="07272405" w14:textId="42AC396A"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9,6</w:t>
            </w:r>
          </w:p>
        </w:tc>
        <w:tc>
          <w:tcPr>
            <w:tcW w:w="680" w:type="dxa"/>
            <w:noWrap/>
          </w:tcPr>
          <w:p w14:paraId="039D7863" w14:textId="3D3666B9"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37,6</w:t>
            </w:r>
          </w:p>
        </w:tc>
        <w:tc>
          <w:tcPr>
            <w:tcW w:w="680" w:type="dxa"/>
            <w:noWrap/>
          </w:tcPr>
          <w:p w14:paraId="4B2013A7" w14:textId="4FF00E8F"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w:t>
            </w:r>
            <w:r>
              <w:rPr>
                <w:rFonts w:ascii="Segoe UI Light" w:hAnsi="Segoe UI Light" w:cs="Segoe UI Light"/>
                <w:sz w:val="16"/>
                <w:szCs w:val="16"/>
              </w:rPr>
              <w:t>3</w:t>
            </w:r>
            <w:r w:rsidR="0066279C" w:rsidRPr="004A4CF8">
              <w:rPr>
                <w:rFonts w:ascii="Segoe UI Light" w:hAnsi="Segoe UI Light" w:cs="Segoe UI Light"/>
                <w:sz w:val="16"/>
                <w:szCs w:val="16"/>
              </w:rPr>
              <w:t>,</w:t>
            </w:r>
            <w:r w:rsidR="0066279C">
              <w:rPr>
                <w:rFonts w:ascii="Segoe UI Light" w:hAnsi="Segoe UI Light" w:cs="Segoe UI Light"/>
                <w:sz w:val="16"/>
                <w:szCs w:val="16"/>
              </w:rPr>
              <w:t>6</w:t>
            </w:r>
          </w:p>
        </w:tc>
        <w:tc>
          <w:tcPr>
            <w:tcW w:w="680" w:type="dxa"/>
            <w:noWrap/>
          </w:tcPr>
          <w:p w14:paraId="289ED585" w14:textId="7E305216"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12</w:t>
            </w:r>
            <w:r>
              <w:rPr>
                <w:rFonts w:ascii="Segoe UI Light" w:hAnsi="Segoe UI Light" w:cs="Segoe UI Light"/>
                <w:sz w:val="16"/>
                <w:szCs w:val="16"/>
              </w:rPr>
              <w:t>4</w:t>
            </w:r>
            <w:r w:rsidRPr="004A4CF8">
              <w:rPr>
                <w:rFonts w:ascii="Segoe UI Light" w:hAnsi="Segoe UI Light" w:cs="Segoe UI Light"/>
                <w:sz w:val="16"/>
                <w:szCs w:val="16"/>
              </w:rPr>
              <w:t>,</w:t>
            </w:r>
            <w:r>
              <w:rPr>
                <w:rFonts w:ascii="Segoe UI Light" w:hAnsi="Segoe UI Light" w:cs="Segoe UI Light"/>
                <w:sz w:val="16"/>
                <w:szCs w:val="16"/>
              </w:rPr>
              <w:t>1</w:t>
            </w:r>
          </w:p>
        </w:tc>
      </w:tr>
      <w:tr w:rsidR="00972191" w:rsidRPr="00D829F0" w14:paraId="6F38B827"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6537857F" w14:textId="5BFC3262" w:rsidR="0066279C" w:rsidRPr="00EF7F3C" w:rsidRDefault="0066279C" w:rsidP="00F14377">
            <w:pPr>
              <w:spacing w:before="40" w:after="40"/>
              <w:rPr>
                <w:rFonts w:ascii="Segoe UI Light" w:eastAsia="Times New Roman" w:hAnsi="Segoe UI Light" w:cs="Segoe UI Light"/>
                <w:sz w:val="16"/>
                <w:szCs w:val="16"/>
                <w:highlight w:val="yellow"/>
              </w:rPr>
            </w:pPr>
            <w:r w:rsidRPr="001037E7">
              <w:rPr>
                <w:rFonts w:ascii="Segoe UI Light" w:eastAsia="Times New Roman" w:hAnsi="Segoe UI Light"/>
                <w:sz w:val="16"/>
                <w:szCs w:val="16"/>
              </w:rPr>
              <w:t>Vidējas kvalifikācijas profesijas, tai skaitā:</w:t>
            </w:r>
          </w:p>
        </w:tc>
        <w:tc>
          <w:tcPr>
            <w:tcW w:w="680" w:type="dxa"/>
            <w:shd w:val="clear" w:color="auto" w:fill="DCE7EB"/>
            <w:noWrap/>
          </w:tcPr>
          <w:p w14:paraId="1E09470F" w14:textId="5758C4CC"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36,5</w:t>
            </w:r>
          </w:p>
        </w:tc>
        <w:tc>
          <w:tcPr>
            <w:tcW w:w="680" w:type="dxa"/>
            <w:shd w:val="clear" w:color="auto" w:fill="DCE7EB"/>
            <w:noWrap/>
          </w:tcPr>
          <w:p w14:paraId="64F7CFD5" w14:textId="47F0DFE9"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59,6</w:t>
            </w:r>
          </w:p>
        </w:tc>
        <w:tc>
          <w:tcPr>
            <w:tcW w:w="680" w:type="dxa"/>
            <w:shd w:val="clear" w:color="auto" w:fill="DCE7EB"/>
            <w:noWrap/>
          </w:tcPr>
          <w:p w14:paraId="11ECFFDD" w14:textId="45846403"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sz w:val="16"/>
                <w:szCs w:val="16"/>
              </w:rPr>
              <w:t>9,</w:t>
            </w:r>
            <w:r w:rsidR="00343DC3" w:rsidRPr="004A4CF8">
              <w:rPr>
                <w:rFonts w:ascii="Segoe UI Light" w:hAnsi="Segoe UI Light" w:cs="Segoe UI Light"/>
                <w:b/>
                <w:bCs/>
                <w:sz w:val="16"/>
                <w:szCs w:val="16"/>
              </w:rPr>
              <w:t>3</w:t>
            </w:r>
          </w:p>
        </w:tc>
        <w:tc>
          <w:tcPr>
            <w:tcW w:w="680" w:type="dxa"/>
            <w:shd w:val="clear" w:color="auto" w:fill="DCE7EB"/>
            <w:noWrap/>
          </w:tcPr>
          <w:p w14:paraId="4C2080D3" w14:textId="54C93684"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32,1</w:t>
            </w:r>
          </w:p>
        </w:tc>
        <w:tc>
          <w:tcPr>
            <w:tcW w:w="680" w:type="dxa"/>
            <w:shd w:val="clear" w:color="auto" w:fill="DCE7EB"/>
            <w:noWrap/>
          </w:tcPr>
          <w:p w14:paraId="15FAF9B1" w14:textId="36357DE3"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89,1</w:t>
            </w:r>
          </w:p>
        </w:tc>
        <w:tc>
          <w:tcPr>
            <w:tcW w:w="680" w:type="dxa"/>
            <w:shd w:val="clear" w:color="auto" w:fill="DCE7EB"/>
            <w:noWrap/>
          </w:tcPr>
          <w:p w14:paraId="5849C960" w14:textId="411064DC"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40,7</w:t>
            </w:r>
          </w:p>
        </w:tc>
        <w:tc>
          <w:tcPr>
            <w:tcW w:w="680" w:type="dxa"/>
            <w:shd w:val="clear" w:color="auto" w:fill="DCE7EB"/>
            <w:noWrap/>
          </w:tcPr>
          <w:p w14:paraId="21BF4C0E" w14:textId="14CC4CE7"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53,3</w:t>
            </w:r>
          </w:p>
        </w:tc>
        <w:tc>
          <w:tcPr>
            <w:tcW w:w="680" w:type="dxa"/>
            <w:shd w:val="clear" w:color="auto" w:fill="DCE7EB"/>
            <w:noWrap/>
          </w:tcPr>
          <w:p w14:paraId="42D5894E" w14:textId="5CF8B752"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5</w:t>
            </w:r>
            <w:r>
              <w:rPr>
                <w:rFonts w:ascii="Segoe UI Light" w:hAnsi="Segoe UI Light" w:cs="Segoe UI Light"/>
                <w:b/>
                <w:bCs/>
                <w:sz w:val="16"/>
                <w:szCs w:val="16"/>
              </w:rPr>
              <w:t>3</w:t>
            </w:r>
            <w:r w:rsidRPr="004A4CF8">
              <w:rPr>
                <w:rFonts w:ascii="Segoe UI Light" w:hAnsi="Segoe UI Light" w:cs="Segoe UI Light"/>
                <w:b/>
                <w:bCs/>
                <w:sz w:val="16"/>
                <w:szCs w:val="16"/>
              </w:rPr>
              <w:t>,</w:t>
            </w:r>
            <w:r>
              <w:rPr>
                <w:rFonts w:ascii="Segoe UI Light" w:hAnsi="Segoe UI Light" w:cs="Segoe UI Light"/>
                <w:b/>
                <w:bCs/>
                <w:sz w:val="16"/>
                <w:szCs w:val="16"/>
              </w:rPr>
              <w:t>3</w:t>
            </w:r>
          </w:p>
        </w:tc>
        <w:tc>
          <w:tcPr>
            <w:tcW w:w="680" w:type="dxa"/>
            <w:shd w:val="clear" w:color="auto" w:fill="DCE7EB"/>
            <w:noWrap/>
          </w:tcPr>
          <w:p w14:paraId="15015579" w14:textId="575C86D4"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37</w:t>
            </w:r>
            <w:r>
              <w:rPr>
                <w:rFonts w:ascii="Segoe UI Light" w:hAnsi="Segoe UI Light" w:cs="Segoe UI Light"/>
                <w:b/>
                <w:bCs/>
                <w:sz w:val="16"/>
                <w:szCs w:val="16"/>
              </w:rPr>
              <w:t>3</w:t>
            </w:r>
            <w:r w:rsidRPr="004A4CF8">
              <w:rPr>
                <w:rFonts w:ascii="Segoe UI Light" w:hAnsi="Segoe UI Light" w:cs="Segoe UI Light"/>
                <w:b/>
                <w:bCs/>
                <w:sz w:val="16"/>
                <w:szCs w:val="16"/>
              </w:rPr>
              <w:t>,</w:t>
            </w:r>
            <w:r>
              <w:rPr>
                <w:rFonts w:ascii="Segoe UI Light" w:hAnsi="Segoe UI Light" w:cs="Segoe UI Light"/>
                <w:b/>
                <w:bCs/>
                <w:sz w:val="16"/>
                <w:szCs w:val="16"/>
              </w:rPr>
              <w:t>8</w:t>
            </w:r>
          </w:p>
        </w:tc>
      </w:tr>
      <w:tr w:rsidR="00F14377" w:rsidRPr="00D829F0" w14:paraId="676B8F2A"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6DFDAF05" w14:textId="77777777" w:rsidR="0066279C" w:rsidRPr="00EF7F3C" w:rsidRDefault="0066279C" w:rsidP="00F14377">
            <w:pPr>
              <w:spacing w:before="40" w:after="40"/>
              <w:rPr>
                <w:rFonts w:ascii="Segoe UI Light" w:eastAsia="Times New Roman" w:hAnsi="Segoe UI Light" w:cs="Segoe UI Light"/>
                <w:b w:val="0"/>
                <w:sz w:val="16"/>
                <w:szCs w:val="16"/>
                <w:highlight w:val="yellow"/>
              </w:rPr>
            </w:pPr>
            <w:r w:rsidRPr="001037E7">
              <w:rPr>
                <w:rFonts w:ascii="Segoe UI Light" w:eastAsia="Times New Roman" w:hAnsi="Segoe UI Light"/>
                <w:b w:val="0"/>
                <w:sz w:val="16"/>
                <w:szCs w:val="16"/>
              </w:rPr>
              <w:t>Iestāžu kalpotāji</w:t>
            </w:r>
          </w:p>
        </w:tc>
        <w:tc>
          <w:tcPr>
            <w:tcW w:w="680" w:type="dxa"/>
            <w:noWrap/>
          </w:tcPr>
          <w:p w14:paraId="38304096" w14:textId="23BB1198"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w:t>
            </w:r>
            <w:r w:rsidR="00343DC3" w:rsidRPr="004A4CF8">
              <w:rPr>
                <w:rFonts w:ascii="Segoe UI Light" w:hAnsi="Segoe UI Light" w:cs="Segoe UI Light"/>
                <w:sz w:val="16"/>
                <w:szCs w:val="16"/>
              </w:rPr>
              <w:t>6</w:t>
            </w:r>
          </w:p>
        </w:tc>
        <w:tc>
          <w:tcPr>
            <w:tcW w:w="680" w:type="dxa"/>
            <w:noWrap/>
          </w:tcPr>
          <w:p w14:paraId="2E2A9861" w14:textId="18CCCD34"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3,4</w:t>
            </w:r>
          </w:p>
        </w:tc>
        <w:tc>
          <w:tcPr>
            <w:tcW w:w="680" w:type="dxa"/>
            <w:noWrap/>
          </w:tcPr>
          <w:p w14:paraId="33248B91" w14:textId="1B9D405E"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0,8</w:t>
            </w:r>
          </w:p>
        </w:tc>
        <w:tc>
          <w:tcPr>
            <w:tcW w:w="680" w:type="dxa"/>
            <w:noWrap/>
          </w:tcPr>
          <w:p w14:paraId="1C0B1AB6" w14:textId="741F7449"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w:t>
            </w:r>
            <w:r w:rsidR="00343DC3" w:rsidRPr="004A4CF8">
              <w:rPr>
                <w:rFonts w:ascii="Segoe UI Light" w:hAnsi="Segoe UI Light" w:cs="Segoe UI Light"/>
                <w:sz w:val="16"/>
                <w:szCs w:val="16"/>
              </w:rPr>
              <w:t>2</w:t>
            </w:r>
          </w:p>
        </w:tc>
        <w:tc>
          <w:tcPr>
            <w:tcW w:w="680" w:type="dxa"/>
            <w:noWrap/>
          </w:tcPr>
          <w:p w14:paraId="710C7435" w14:textId="712FD632"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10,</w:t>
            </w:r>
            <w:r w:rsidR="00343DC3" w:rsidRPr="004A4CF8">
              <w:rPr>
                <w:rFonts w:ascii="Segoe UI Light" w:hAnsi="Segoe UI Light" w:cs="Segoe UI Light"/>
                <w:sz w:val="16"/>
                <w:szCs w:val="16"/>
              </w:rPr>
              <w:t>6</w:t>
            </w:r>
          </w:p>
        </w:tc>
        <w:tc>
          <w:tcPr>
            <w:tcW w:w="680" w:type="dxa"/>
            <w:noWrap/>
          </w:tcPr>
          <w:p w14:paraId="05D30906" w14:textId="5121E9B2"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7,</w:t>
            </w:r>
            <w:r w:rsidR="00343DC3" w:rsidRPr="004A4CF8">
              <w:rPr>
                <w:rFonts w:ascii="Segoe UI Light" w:hAnsi="Segoe UI Light" w:cs="Segoe UI Light"/>
                <w:sz w:val="16"/>
                <w:szCs w:val="16"/>
              </w:rPr>
              <w:t>2</w:t>
            </w:r>
          </w:p>
        </w:tc>
        <w:tc>
          <w:tcPr>
            <w:tcW w:w="680" w:type="dxa"/>
            <w:noWrap/>
          </w:tcPr>
          <w:p w14:paraId="0C0DD0B9" w14:textId="6932EEF9"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17,6</w:t>
            </w:r>
          </w:p>
        </w:tc>
        <w:tc>
          <w:tcPr>
            <w:tcW w:w="680" w:type="dxa"/>
            <w:noWrap/>
          </w:tcPr>
          <w:p w14:paraId="090CFCC3" w14:textId="3805FE52"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Pr>
                <w:rFonts w:ascii="Segoe UI Light" w:hAnsi="Segoe UI Light" w:cs="Segoe UI Light"/>
                <w:sz w:val="16"/>
                <w:szCs w:val="16"/>
              </w:rPr>
              <w:t>5,</w:t>
            </w:r>
            <w:r w:rsidR="00343DC3">
              <w:rPr>
                <w:rFonts w:ascii="Segoe UI Light" w:hAnsi="Segoe UI Light" w:cs="Segoe UI Light"/>
                <w:sz w:val="16"/>
                <w:szCs w:val="16"/>
              </w:rPr>
              <w:t>4</w:t>
            </w:r>
          </w:p>
        </w:tc>
        <w:tc>
          <w:tcPr>
            <w:tcW w:w="680" w:type="dxa"/>
            <w:noWrap/>
          </w:tcPr>
          <w:p w14:paraId="5249771E" w14:textId="15DEE343"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46,</w:t>
            </w:r>
            <w:r>
              <w:rPr>
                <w:rFonts w:ascii="Segoe UI Light" w:hAnsi="Segoe UI Light" w:cs="Segoe UI Light"/>
                <w:sz w:val="16"/>
                <w:szCs w:val="16"/>
              </w:rPr>
              <w:t>8</w:t>
            </w:r>
          </w:p>
        </w:tc>
      </w:tr>
      <w:tr w:rsidR="006A3666" w:rsidRPr="00D829F0" w14:paraId="1B60C451"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24603339" w14:textId="77777777" w:rsidR="0066279C" w:rsidRPr="00EF7F3C" w:rsidRDefault="0066279C" w:rsidP="00F14377">
            <w:pPr>
              <w:spacing w:before="40" w:after="40"/>
              <w:rPr>
                <w:rFonts w:ascii="Segoe UI Light" w:eastAsia="Times New Roman" w:hAnsi="Segoe UI Light" w:cs="Segoe UI Light"/>
                <w:b w:val="0"/>
                <w:sz w:val="16"/>
                <w:szCs w:val="16"/>
                <w:highlight w:val="yellow"/>
              </w:rPr>
            </w:pPr>
            <w:r w:rsidRPr="001037E7">
              <w:rPr>
                <w:rFonts w:ascii="Segoe UI Light" w:eastAsia="Times New Roman" w:hAnsi="Segoe UI Light"/>
                <w:b w:val="0"/>
                <w:sz w:val="16"/>
                <w:szCs w:val="16"/>
              </w:rPr>
              <w:t>Pakalpojumu un tirdzniecības darbinieki</w:t>
            </w:r>
          </w:p>
        </w:tc>
        <w:tc>
          <w:tcPr>
            <w:tcW w:w="680" w:type="dxa"/>
            <w:shd w:val="clear" w:color="auto" w:fill="DCE7EB"/>
            <w:noWrap/>
          </w:tcPr>
          <w:p w14:paraId="1999D9F1" w14:textId="5EF8DC1B"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w:t>
            </w:r>
            <w:r w:rsidR="00343DC3" w:rsidRPr="004A4CF8">
              <w:rPr>
                <w:rFonts w:ascii="Segoe UI Light" w:hAnsi="Segoe UI Light" w:cs="Segoe UI Light"/>
                <w:sz w:val="16"/>
                <w:szCs w:val="16"/>
              </w:rPr>
              <w:t>0</w:t>
            </w:r>
          </w:p>
        </w:tc>
        <w:tc>
          <w:tcPr>
            <w:tcW w:w="680" w:type="dxa"/>
            <w:shd w:val="clear" w:color="auto" w:fill="DCE7EB"/>
            <w:noWrap/>
          </w:tcPr>
          <w:p w14:paraId="3E4AA9EC" w14:textId="77777777"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1,1</w:t>
            </w:r>
          </w:p>
        </w:tc>
        <w:tc>
          <w:tcPr>
            <w:tcW w:w="680" w:type="dxa"/>
            <w:shd w:val="clear" w:color="auto" w:fill="DCE7EB"/>
            <w:noWrap/>
          </w:tcPr>
          <w:p w14:paraId="5165A57D" w14:textId="3440D0EA"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w:t>
            </w:r>
            <w:r w:rsidR="00343DC3" w:rsidRPr="004A4CF8">
              <w:rPr>
                <w:rFonts w:ascii="Segoe UI Light" w:hAnsi="Segoe UI Light" w:cs="Segoe UI Light"/>
                <w:sz w:val="16"/>
                <w:szCs w:val="16"/>
              </w:rPr>
              <w:t>3</w:t>
            </w:r>
          </w:p>
        </w:tc>
        <w:tc>
          <w:tcPr>
            <w:tcW w:w="680" w:type="dxa"/>
            <w:shd w:val="clear" w:color="auto" w:fill="DCE7EB"/>
            <w:noWrap/>
          </w:tcPr>
          <w:p w14:paraId="438A95AF" w14:textId="25E4C99D"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w:t>
            </w:r>
            <w:r w:rsidR="00343DC3" w:rsidRPr="004A4CF8">
              <w:rPr>
                <w:rFonts w:ascii="Segoe UI Light" w:hAnsi="Segoe UI Light" w:cs="Segoe UI Light"/>
                <w:sz w:val="16"/>
                <w:szCs w:val="16"/>
              </w:rPr>
              <w:t>1</w:t>
            </w:r>
          </w:p>
        </w:tc>
        <w:tc>
          <w:tcPr>
            <w:tcW w:w="680" w:type="dxa"/>
            <w:shd w:val="clear" w:color="auto" w:fill="DCE7EB"/>
            <w:noWrap/>
          </w:tcPr>
          <w:p w14:paraId="369D3C48" w14:textId="7ABAF5ED"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61,5</w:t>
            </w:r>
          </w:p>
        </w:tc>
        <w:tc>
          <w:tcPr>
            <w:tcW w:w="680" w:type="dxa"/>
            <w:shd w:val="clear" w:color="auto" w:fill="DCE7EB"/>
            <w:noWrap/>
          </w:tcPr>
          <w:p w14:paraId="491E6A9A" w14:textId="5EBF23EC"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w:t>
            </w:r>
            <w:r w:rsidR="00343DC3" w:rsidRPr="004A4CF8">
              <w:rPr>
                <w:rFonts w:ascii="Segoe UI Light" w:hAnsi="Segoe UI Light" w:cs="Segoe UI Light"/>
                <w:sz w:val="16"/>
                <w:szCs w:val="16"/>
              </w:rPr>
              <w:t>7</w:t>
            </w:r>
          </w:p>
        </w:tc>
        <w:tc>
          <w:tcPr>
            <w:tcW w:w="680" w:type="dxa"/>
            <w:shd w:val="clear" w:color="auto" w:fill="DCE7EB"/>
            <w:noWrap/>
          </w:tcPr>
          <w:p w14:paraId="2EEC649F" w14:textId="46B695A7"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26,4</w:t>
            </w:r>
          </w:p>
        </w:tc>
        <w:tc>
          <w:tcPr>
            <w:tcW w:w="680" w:type="dxa"/>
            <w:shd w:val="clear" w:color="auto" w:fill="DCE7EB"/>
            <w:noWrap/>
          </w:tcPr>
          <w:p w14:paraId="3DDCF6F6" w14:textId="152DD681"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4</w:t>
            </w:r>
            <w:r>
              <w:rPr>
                <w:rFonts w:ascii="Segoe UI Light" w:hAnsi="Segoe UI Light" w:cs="Segoe UI Light"/>
                <w:sz w:val="16"/>
                <w:szCs w:val="16"/>
              </w:rPr>
              <w:t>2</w:t>
            </w:r>
            <w:r w:rsidRPr="004A4CF8">
              <w:rPr>
                <w:rFonts w:ascii="Segoe UI Light" w:hAnsi="Segoe UI Light" w:cs="Segoe UI Light"/>
                <w:sz w:val="16"/>
                <w:szCs w:val="16"/>
              </w:rPr>
              <w:t>,</w:t>
            </w:r>
            <w:r>
              <w:rPr>
                <w:rFonts w:ascii="Segoe UI Light" w:hAnsi="Segoe UI Light" w:cs="Segoe UI Light"/>
                <w:sz w:val="16"/>
                <w:szCs w:val="16"/>
              </w:rPr>
              <w:t>4</w:t>
            </w:r>
          </w:p>
        </w:tc>
        <w:tc>
          <w:tcPr>
            <w:tcW w:w="680" w:type="dxa"/>
            <w:shd w:val="clear" w:color="auto" w:fill="DCE7EB"/>
            <w:noWrap/>
          </w:tcPr>
          <w:p w14:paraId="60FB14FB" w14:textId="582FD18E"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13</w:t>
            </w:r>
            <w:r>
              <w:rPr>
                <w:rFonts w:ascii="Segoe UI Light" w:hAnsi="Segoe UI Light" w:cs="Segoe UI Light"/>
                <w:sz w:val="16"/>
                <w:szCs w:val="16"/>
              </w:rPr>
              <w:t>5</w:t>
            </w:r>
            <w:r w:rsidRPr="004A4CF8">
              <w:rPr>
                <w:rFonts w:ascii="Segoe UI Light" w:hAnsi="Segoe UI Light" w:cs="Segoe UI Light"/>
                <w:sz w:val="16"/>
                <w:szCs w:val="16"/>
              </w:rPr>
              <w:t>,</w:t>
            </w:r>
            <w:r>
              <w:rPr>
                <w:rFonts w:ascii="Segoe UI Light" w:hAnsi="Segoe UI Light" w:cs="Segoe UI Light"/>
                <w:sz w:val="16"/>
                <w:szCs w:val="16"/>
              </w:rPr>
              <w:t>5</w:t>
            </w:r>
          </w:p>
        </w:tc>
      </w:tr>
      <w:tr w:rsidR="00F14377" w:rsidRPr="00D829F0" w14:paraId="3D4B2A76"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6A5816D0" w14:textId="77777777" w:rsidR="0066279C" w:rsidRPr="00EF7F3C" w:rsidRDefault="0066279C" w:rsidP="00F14377">
            <w:pPr>
              <w:spacing w:before="40" w:after="40"/>
              <w:rPr>
                <w:rFonts w:ascii="Segoe UI Light" w:eastAsia="Times New Roman" w:hAnsi="Segoe UI Light" w:cs="Segoe UI Light"/>
                <w:b w:val="0"/>
                <w:sz w:val="16"/>
                <w:szCs w:val="16"/>
                <w:highlight w:val="yellow"/>
              </w:rPr>
            </w:pPr>
            <w:r w:rsidRPr="001037E7">
              <w:rPr>
                <w:rFonts w:ascii="Segoe UI Light" w:eastAsia="Times New Roman" w:hAnsi="Segoe UI Light"/>
                <w:b w:val="0"/>
                <w:sz w:val="16"/>
                <w:szCs w:val="16"/>
              </w:rPr>
              <w:t>Kvalificēti lauksaimniecības darbinieki</w:t>
            </w:r>
          </w:p>
        </w:tc>
        <w:tc>
          <w:tcPr>
            <w:tcW w:w="680" w:type="dxa"/>
            <w:noWrap/>
          </w:tcPr>
          <w:p w14:paraId="50701D07" w14:textId="260EBD8A"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23,5</w:t>
            </w:r>
          </w:p>
        </w:tc>
        <w:tc>
          <w:tcPr>
            <w:tcW w:w="680" w:type="dxa"/>
            <w:noWrap/>
          </w:tcPr>
          <w:p w14:paraId="78166BDB" w14:textId="32D54C9D"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w:t>
            </w:r>
            <w:r w:rsidR="00343DC3" w:rsidRPr="004A4CF8">
              <w:rPr>
                <w:rFonts w:ascii="Segoe UI Light" w:hAnsi="Segoe UI Light" w:cs="Segoe UI Light"/>
                <w:sz w:val="16"/>
                <w:szCs w:val="16"/>
              </w:rPr>
              <w:t>2</w:t>
            </w:r>
          </w:p>
        </w:tc>
        <w:tc>
          <w:tcPr>
            <w:tcW w:w="680" w:type="dxa"/>
            <w:noWrap/>
          </w:tcPr>
          <w:p w14:paraId="0F34BA5B" w14:textId="77777777"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0,0</w:t>
            </w:r>
          </w:p>
        </w:tc>
        <w:tc>
          <w:tcPr>
            <w:tcW w:w="680" w:type="dxa"/>
            <w:noWrap/>
          </w:tcPr>
          <w:p w14:paraId="74DDEA08" w14:textId="77777777"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0,0</w:t>
            </w:r>
          </w:p>
        </w:tc>
        <w:tc>
          <w:tcPr>
            <w:tcW w:w="680" w:type="dxa"/>
            <w:noWrap/>
          </w:tcPr>
          <w:p w14:paraId="00681EDC" w14:textId="77777777"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0,1</w:t>
            </w:r>
          </w:p>
        </w:tc>
        <w:tc>
          <w:tcPr>
            <w:tcW w:w="680" w:type="dxa"/>
            <w:noWrap/>
          </w:tcPr>
          <w:p w14:paraId="35748B68" w14:textId="10A1C160"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w:t>
            </w:r>
            <w:r w:rsidR="00343DC3" w:rsidRPr="004A4CF8">
              <w:rPr>
                <w:rFonts w:ascii="Segoe UI Light" w:hAnsi="Segoe UI Light" w:cs="Segoe UI Light"/>
                <w:sz w:val="16"/>
                <w:szCs w:val="16"/>
              </w:rPr>
              <w:t>1</w:t>
            </w:r>
          </w:p>
        </w:tc>
        <w:tc>
          <w:tcPr>
            <w:tcW w:w="680" w:type="dxa"/>
            <w:noWrap/>
          </w:tcPr>
          <w:p w14:paraId="5314D213" w14:textId="71798376"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w:t>
            </w:r>
            <w:r w:rsidR="00343DC3" w:rsidRPr="004A4CF8">
              <w:rPr>
                <w:rFonts w:ascii="Segoe UI Light" w:hAnsi="Segoe UI Light" w:cs="Segoe UI Light"/>
                <w:sz w:val="16"/>
                <w:szCs w:val="16"/>
              </w:rPr>
              <w:t>5</w:t>
            </w:r>
          </w:p>
        </w:tc>
        <w:tc>
          <w:tcPr>
            <w:tcW w:w="680" w:type="dxa"/>
            <w:noWrap/>
          </w:tcPr>
          <w:p w14:paraId="60CBFB17" w14:textId="0C906643"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0,</w:t>
            </w:r>
            <w:r w:rsidR="00343DC3" w:rsidRPr="004A4CF8">
              <w:rPr>
                <w:rFonts w:ascii="Segoe UI Light" w:hAnsi="Segoe UI Light" w:cs="Segoe UI Light"/>
                <w:sz w:val="16"/>
                <w:szCs w:val="16"/>
              </w:rPr>
              <w:t>1</w:t>
            </w:r>
          </w:p>
        </w:tc>
        <w:tc>
          <w:tcPr>
            <w:tcW w:w="680" w:type="dxa"/>
            <w:noWrap/>
          </w:tcPr>
          <w:p w14:paraId="0C6C998B" w14:textId="63171A85"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24,6</w:t>
            </w:r>
          </w:p>
        </w:tc>
      </w:tr>
      <w:tr w:rsidR="006A3666" w:rsidRPr="00D829F0" w14:paraId="3AC75A66"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07A8B6DB" w14:textId="77777777" w:rsidR="0066279C" w:rsidRPr="00EF7F3C" w:rsidRDefault="0066279C" w:rsidP="00F14377">
            <w:pPr>
              <w:spacing w:before="40" w:after="40"/>
              <w:rPr>
                <w:rFonts w:ascii="Segoe UI Light" w:eastAsia="Times New Roman" w:hAnsi="Segoe UI Light" w:cs="Segoe UI Light"/>
                <w:b w:val="0"/>
                <w:sz w:val="16"/>
                <w:szCs w:val="16"/>
                <w:highlight w:val="yellow"/>
              </w:rPr>
            </w:pPr>
            <w:r w:rsidRPr="001037E7">
              <w:rPr>
                <w:rFonts w:ascii="Segoe UI Light" w:eastAsia="Times New Roman" w:hAnsi="Segoe UI Light"/>
                <w:b w:val="0"/>
                <w:sz w:val="16"/>
                <w:szCs w:val="16"/>
              </w:rPr>
              <w:t>Kvalificēti strādnieki</w:t>
            </w:r>
          </w:p>
        </w:tc>
        <w:tc>
          <w:tcPr>
            <w:tcW w:w="680" w:type="dxa"/>
            <w:shd w:val="clear" w:color="auto" w:fill="DCE7EB"/>
            <w:noWrap/>
          </w:tcPr>
          <w:p w14:paraId="6E7B95B2" w14:textId="72F0C7CC"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1,2</w:t>
            </w:r>
          </w:p>
        </w:tc>
        <w:tc>
          <w:tcPr>
            <w:tcW w:w="680" w:type="dxa"/>
            <w:shd w:val="clear" w:color="auto" w:fill="DCE7EB"/>
            <w:noWrap/>
          </w:tcPr>
          <w:p w14:paraId="162AB8F7" w14:textId="6D6D6DC6"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39,9</w:t>
            </w:r>
          </w:p>
        </w:tc>
        <w:tc>
          <w:tcPr>
            <w:tcW w:w="680" w:type="dxa"/>
            <w:shd w:val="clear" w:color="auto" w:fill="DCE7EB"/>
            <w:noWrap/>
          </w:tcPr>
          <w:p w14:paraId="00069368" w14:textId="54DD2DED"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4,4</w:t>
            </w:r>
          </w:p>
        </w:tc>
        <w:tc>
          <w:tcPr>
            <w:tcW w:w="680" w:type="dxa"/>
            <w:shd w:val="clear" w:color="auto" w:fill="DCE7EB"/>
            <w:noWrap/>
          </w:tcPr>
          <w:p w14:paraId="1751AEB0" w14:textId="28078BA5"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26,1</w:t>
            </w:r>
          </w:p>
        </w:tc>
        <w:tc>
          <w:tcPr>
            <w:tcW w:w="680" w:type="dxa"/>
            <w:shd w:val="clear" w:color="auto" w:fill="DCE7EB"/>
            <w:noWrap/>
          </w:tcPr>
          <w:p w14:paraId="33A7485E" w14:textId="3FF7B6C9"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13,3</w:t>
            </w:r>
          </w:p>
        </w:tc>
        <w:tc>
          <w:tcPr>
            <w:tcW w:w="680" w:type="dxa"/>
            <w:shd w:val="clear" w:color="auto" w:fill="DCE7EB"/>
            <w:noWrap/>
          </w:tcPr>
          <w:p w14:paraId="339008A6" w14:textId="3FA0E5A7"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4,</w:t>
            </w:r>
            <w:r w:rsidR="00343DC3" w:rsidRPr="004A4CF8">
              <w:rPr>
                <w:rFonts w:ascii="Segoe UI Light" w:hAnsi="Segoe UI Light" w:cs="Segoe UI Light"/>
                <w:sz w:val="16"/>
                <w:szCs w:val="16"/>
              </w:rPr>
              <w:t>4</w:t>
            </w:r>
          </w:p>
        </w:tc>
        <w:tc>
          <w:tcPr>
            <w:tcW w:w="680" w:type="dxa"/>
            <w:shd w:val="clear" w:color="auto" w:fill="DCE7EB"/>
            <w:noWrap/>
          </w:tcPr>
          <w:p w14:paraId="37A8890B" w14:textId="32B240F1"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5,3</w:t>
            </w:r>
          </w:p>
        </w:tc>
        <w:tc>
          <w:tcPr>
            <w:tcW w:w="680" w:type="dxa"/>
            <w:shd w:val="clear" w:color="auto" w:fill="DCE7EB"/>
            <w:noWrap/>
          </w:tcPr>
          <w:p w14:paraId="579E4270" w14:textId="637C9A45"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w:t>
            </w:r>
            <w:r>
              <w:rPr>
                <w:rFonts w:ascii="Segoe UI Light" w:hAnsi="Segoe UI Light" w:cs="Segoe UI Light"/>
                <w:sz w:val="16"/>
                <w:szCs w:val="16"/>
              </w:rPr>
              <w:t>1</w:t>
            </w:r>
          </w:p>
        </w:tc>
        <w:tc>
          <w:tcPr>
            <w:tcW w:w="680" w:type="dxa"/>
            <w:shd w:val="clear" w:color="auto" w:fill="DCE7EB"/>
            <w:noWrap/>
          </w:tcPr>
          <w:p w14:paraId="6D679B8D" w14:textId="6989F32B"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95,</w:t>
            </w:r>
            <w:r>
              <w:rPr>
                <w:rFonts w:ascii="Segoe UI Light" w:hAnsi="Segoe UI Light" w:cs="Segoe UI Light"/>
                <w:sz w:val="16"/>
                <w:szCs w:val="16"/>
              </w:rPr>
              <w:t>9</w:t>
            </w:r>
          </w:p>
        </w:tc>
      </w:tr>
      <w:tr w:rsidR="00F14377" w:rsidRPr="00D829F0" w14:paraId="6F27CFD5"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0CE3BD5F" w14:textId="77777777" w:rsidR="0066279C" w:rsidRPr="00EF7F3C" w:rsidRDefault="0066279C" w:rsidP="00F14377">
            <w:pPr>
              <w:spacing w:before="40" w:after="40"/>
              <w:rPr>
                <w:rFonts w:ascii="Segoe UI Light" w:eastAsia="Times New Roman" w:hAnsi="Segoe UI Light"/>
                <w:b w:val="0"/>
                <w:sz w:val="16"/>
                <w:szCs w:val="16"/>
                <w:highlight w:val="yellow"/>
              </w:rPr>
            </w:pPr>
            <w:r w:rsidRPr="001037E7">
              <w:rPr>
                <w:rFonts w:ascii="Segoe UI Light" w:eastAsia="Times New Roman" w:hAnsi="Segoe UI Light"/>
                <w:b w:val="0"/>
                <w:sz w:val="16"/>
                <w:szCs w:val="16"/>
              </w:rPr>
              <w:t>Iekārtu un mašīnu operatori</w:t>
            </w:r>
          </w:p>
        </w:tc>
        <w:tc>
          <w:tcPr>
            <w:tcW w:w="680" w:type="dxa"/>
            <w:noWrap/>
          </w:tcPr>
          <w:p w14:paraId="17E48F79" w14:textId="017E3B8F"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10</w:t>
            </w:r>
            <w:r w:rsidR="0066279C" w:rsidRPr="004A4CF8">
              <w:rPr>
                <w:rFonts w:ascii="Segoe UI Light" w:hAnsi="Segoe UI Light" w:cs="Segoe UI Light"/>
                <w:sz w:val="16"/>
                <w:szCs w:val="16"/>
              </w:rPr>
              <w:t>,1</w:t>
            </w:r>
          </w:p>
        </w:tc>
        <w:tc>
          <w:tcPr>
            <w:tcW w:w="680" w:type="dxa"/>
            <w:noWrap/>
          </w:tcPr>
          <w:p w14:paraId="3660E402" w14:textId="699BBCB3"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14,9</w:t>
            </w:r>
          </w:p>
        </w:tc>
        <w:tc>
          <w:tcPr>
            <w:tcW w:w="680" w:type="dxa"/>
            <w:noWrap/>
          </w:tcPr>
          <w:p w14:paraId="3E17EC68" w14:textId="09C9D96E"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3,8</w:t>
            </w:r>
          </w:p>
        </w:tc>
        <w:tc>
          <w:tcPr>
            <w:tcW w:w="680" w:type="dxa"/>
            <w:noWrap/>
          </w:tcPr>
          <w:p w14:paraId="36D516CB" w14:textId="65AFAADE"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4,</w:t>
            </w:r>
            <w:r w:rsidR="00343DC3" w:rsidRPr="004A4CF8">
              <w:rPr>
                <w:rFonts w:ascii="Segoe UI Light" w:hAnsi="Segoe UI Light" w:cs="Segoe UI Light"/>
                <w:sz w:val="16"/>
                <w:szCs w:val="16"/>
              </w:rPr>
              <w:t>6</w:t>
            </w:r>
          </w:p>
        </w:tc>
        <w:tc>
          <w:tcPr>
            <w:tcW w:w="680" w:type="dxa"/>
            <w:noWrap/>
          </w:tcPr>
          <w:p w14:paraId="27D82863" w14:textId="31444743"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3,6</w:t>
            </w:r>
          </w:p>
        </w:tc>
        <w:tc>
          <w:tcPr>
            <w:tcW w:w="680" w:type="dxa"/>
            <w:noWrap/>
          </w:tcPr>
          <w:p w14:paraId="2A92321C" w14:textId="69265F2A"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26,2</w:t>
            </w:r>
          </w:p>
        </w:tc>
        <w:tc>
          <w:tcPr>
            <w:tcW w:w="680" w:type="dxa"/>
            <w:noWrap/>
          </w:tcPr>
          <w:p w14:paraId="45993556" w14:textId="0FA95785"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3,</w:t>
            </w:r>
            <w:r w:rsidR="00343DC3" w:rsidRPr="004A4CF8">
              <w:rPr>
                <w:rFonts w:ascii="Segoe UI Light" w:hAnsi="Segoe UI Light" w:cs="Segoe UI Light"/>
                <w:sz w:val="16"/>
                <w:szCs w:val="16"/>
              </w:rPr>
              <w:t>5</w:t>
            </w:r>
          </w:p>
        </w:tc>
        <w:tc>
          <w:tcPr>
            <w:tcW w:w="680" w:type="dxa"/>
            <w:noWrap/>
          </w:tcPr>
          <w:p w14:paraId="21A003EE" w14:textId="0A4C9E92"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Pr>
                <w:rFonts w:ascii="Segoe UI Light" w:hAnsi="Segoe UI Light" w:cs="Segoe UI Light"/>
                <w:sz w:val="16"/>
                <w:szCs w:val="16"/>
              </w:rPr>
              <w:t>4</w:t>
            </w:r>
            <w:r w:rsidR="0066279C">
              <w:rPr>
                <w:rFonts w:ascii="Segoe UI Light" w:hAnsi="Segoe UI Light" w:cs="Segoe UI Light"/>
                <w:sz w:val="16"/>
                <w:szCs w:val="16"/>
              </w:rPr>
              <w:t>,3</w:t>
            </w:r>
          </w:p>
        </w:tc>
        <w:tc>
          <w:tcPr>
            <w:tcW w:w="680" w:type="dxa"/>
            <w:noWrap/>
          </w:tcPr>
          <w:p w14:paraId="12C37337" w14:textId="2228A39C"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val="en-US"/>
              </w:rPr>
            </w:pPr>
            <w:r w:rsidRPr="004A4CF8">
              <w:rPr>
                <w:rFonts w:ascii="Segoe UI Light" w:hAnsi="Segoe UI Light" w:cs="Segoe UI Light"/>
                <w:sz w:val="16"/>
                <w:szCs w:val="16"/>
              </w:rPr>
              <w:t>7</w:t>
            </w:r>
            <w:r>
              <w:rPr>
                <w:rFonts w:ascii="Segoe UI Light" w:hAnsi="Segoe UI Light" w:cs="Segoe UI Light"/>
                <w:sz w:val="16"/>
                <w:szCs w:val="16"/>
              </w:rPr>
              <w:t>1</w:t>
            </w:r>
            <w:r w:rsidR="0066279C" w:rsidRPr="004A4CF8">
              <w:rPr>
                <w:rFonts w:ascii="Segoe UI Light" w:hAnsi="Segoe UI Light" w:cs="Segoe UI Light"/>
                <w:sz w:val="16"/>
                <w:szCs w:val="16"/>
              </w:rPr>
              <w:t>,</w:t>
            </w:r>
            <w:r w:rsidR="0066279C">
              <w:rPr>
                <w:rFonts w:ascii="Segoe UI Light" w:hAnsi="Segoe UI Light" w:cs="Segoe UI Light"/>
                <w:sz w:val="16"/>
                <w:szCs w:val="16"/>
              </w:rPr>
              <w:t>0</w:t>
            </w:r>
          </w:p>
        </w:tc>
      </w:tr>
      <w:tr w:rsidR="006A3666" w:rsidRPr="00D829F0" w14:paraId="63152F9A"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655D09D3" w14:textId="77777777" w:rsidR="0066279C" w:rsidRPr="00EF7F3C" w:rsidRDefault="0066279C" w:rsidP="00F14377">
            <w:pPr>
              <w:spacing w:before="40" w:after="40"/>
              <w:rPr>
                <w:rFonts w:ascii="Segoe UI Light" w:eastAsia="Times New Roman" w:hAnsi="Segoe UI Light"/>
                <w:sz w:val="16"/>
                <w:szCs w:val="16"/>
                <w:highlight w:val="yellow"/>
              </w:rPr>
            </w:pPr>
            <w:r w:rsidRPr="001037E7">
              <w:rPr>
                <w:rFonts w:ascii="Segoe UI Light" w:eastAsia="Times New Roman" w:hAnsi="Segoe UI Light"/>
                <w:sz w:val="16"/>
                <w:szCs w:val="16"/>
              </w:rPr>
              <w:t>Zemas kvalifikācijas profesijas</w:t>
            </w:r>
          </w:p>
        </w:tc>
        <w:tc>
          <w:tcPr>
            <w:tcW w:w="680" w:type="dxa"/>
            <w:shd w:val="clear" w:color="auto" w:fill="DCE7EB"/>
            <w:noWrap/>
          </w:tcPr>
          <w:p w14:paraId="3D4ECFC6" w14:textId="37C80568"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sz w:val="16"/>
                <w:szCs w:val="16"/>
              </w:rPr>
              <w:t>10,</w:t>
            </w:r>
            <w:r w:rsidR="00343DC3" w:rsidRPr="004A4CF8">
              <w:rPr>
                <w:rFonts w:ascii="Segoe UI Light" w:hAnsi="Segoe UI Light" w:cs="Segoe UI Light"/>
                <w:b/>
                <w:bCs/>
                <w:sz w:val="16"/>
                <w:szCs w:val="16"/>
              </w:rPr>
              <w:t>3</w:t>
            </w:r>
          </w:p>
        </w:tc>
        <w:tc>
          <w:tcPr>
            <w:tcW w:w="680" w:type="dxa"/>
            <w:shd w:val="clear" w:color="auto" w:fill="DCE7EB"/>
            <w:noWrap/>
          </w:tcPr>
          <w:p w14:paraId="1385BCE5" w14:textId="60E65777"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sz w:val="16"/>
                <w:szCs w:val="16"/>
              </w:rPr>
              <w:t>18,</w:t>
            </w:r>
            <w:r w:rsidR="00343DC3" w:rsidRPr="004A4CF8">
              <w:rPr>
                <w:rFonts w:ascii="Segoe UI Light" w:hAnsi="Segoe UI Light" w:cs="Segoe UI Light"/>
                <w:b/>
                <w:bCs/>
                <w:sz w:val="16"/>
                <w:szCs w:val="16"/>
              </w:rPr>
              <w:t>8</w:t>
            </w:r>
          </w:p>
        </w:tc>
        <w:tc>
          <w:tcPr>
            <w:tcW w:w="680" w:type="dxa"/>
            <w:shd w:val="clear" w:color="auto" w:fill="DCE7EB"/>
            <w:noWrap/>
          </w:tcPr>
          <w:p w14:paraId="0CAC4821" w14:textId="117D8C9C"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3,1</w:t>
            </w:r>
          </w:p>
        </w:tc>
        <w:tc>
          <w:tcPr>
            <w:tcW w:w="680" w:type="dxa"/>
            <w:shd w:val="clear" w:color="auto" w:fill="DCE7EB"/>
            <w:noWrap/>
          </w:tcPr>
          <w:p w14:paraId="4857D089" w14:textId="3076C61A"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11</w:t>
            </w:r>
            <w:r w:rsidR="0066279C" w:rsidRPr="004A4CF8">
              <w:rPr>
                <w:rFonts w:ascii="Segoe UI Light" w:hAnsi="Segoe UI Light" w:cs="Segoe UI Light"/>
                <w:b/>
                <w:sz w:val="16"/>
                <w:szCs w:val="16"/>
              </w:rPr>
              <w:t>,4</w:t>
            </w:r>
          </w:p>
        </w:tc>
        <w:tc>
          <w:tcPr>
            <w:tcW w:w="680" w:type="dxa"/>
            <w:shd w:val="clear" w:color="auto" w:fill="DCE7EB"/>
            <w:noWrap/>
          </w:tcPr>
          <w:p w14:paraId="6BE7FA99" w14:textId="60D77F24"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20,1</w:t>
            </w:r>
          </w:p>
        </w:tc>
        <w:tc>
          <w:tcPr>
            <w:tcW w:w="680" w:type="dxa"/>
            <w:shd w:val="clear" w:color="auto" w:fill="DCE7EB"/>
            <w:noWrap/>
          </w:tcPr>
          <w:p w14:paraId="3D85AFD3" w14:textId="0DDF8DA9" w:rsidR="0066279C" w:rsidRPr="00EF7F3C"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sz w:val="16"/>
                <w:szCs w:val="16"/>
              </w:rPr>
              <w:t>5,</w:t>
            </w:r>
            <w:r w:rsidR="00343DC3" w:rsidRPr="004A4CF8">
              <w:rPr>
                <w:rFonts w:ascii="Segoe UI Light" w:hAnsi="Segoe UI Light" w:cs="Segoe UI Light"/>
                <w:b/>
                <w:bCs/>
                <w:sz w:val="16"/>
                <w:szCs w:val="16"/>
              </w:rPr>
              <w:t>2</w:t>
            </w:r>
          </w:p>
        </w:tc>
        <w:tc>
          <w:tcPr>
            <w:tcW w:w="680" w:type="dxa"/>
            <w:shd w:val="clear" w:color="auto" w:fill="DCE7EB"/>
            <w:noWrap/>
          </w:tcPr>
          <w:p w14:paraId="4CB70F63" w14:textId="40615599"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23,2</w:t>
            </w:r>
          </w:p>
        </w:tc>
        <w:tc>
          <w:tcPr>
            <w:tcW w:w="680" w:type="dxa"/>
            <w:shd w:val="clear" w:color="auto" w:fill="DCE7EB"/>
            <w:noWrap/>
          </w:tcPr>
          <w:p w14:paraId="25D62BB9" w14:textId="179422C6"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16</w:t>
            </w:r>
            <w:r w:rsidR="0066279C" w:rsidRPr="004A4CF8">
              <w:rPr>
                <w:rFonts w:ascii="Segoe UI Light" w:hAnsi="Segoe UI Light" w:cs="Segoe UI Light"/>
                <w:b/>
                <w:sz w:val="16"/>
                <w:szCs w:val="16"/>
              </w:rPr>
              <w:t>,</w:t>
            </w:r>
            <w:r w:rsidR="0066279C">
              <w:rPr>
                <w:rFonts w:ascii="Segoe UI Light" w:hAnsi="Segoe UI Light" w:cs="Segoe UI Light"/>
                <w:b/>
                <w:sz w:val="16"/>
                <w:szCs w:val="16"/>
              </w:rPr>
              <w:t>8</w:t>
            </w:r>
          </w:p>
        </w:tc>
        <w:tc>
          <w:tcPr>
            <w:tcW w:w="680" w:type="dxa"/>
            <w:shd w:val="clear" w:color="auto" w:fill="DCE7EB"/>
            <w:noWrap/>
          </w:tcPr>
          <w:p w14:paraId="24581B1F" w14:textId="04C0FCE7" w:rsidR="0066279C" w:rsidRPr="00EF7F3C" w:rsidRDefault="00343DC3"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108,</w:t>
            </w:r>
            <w:r>
              <w:rPr>
                <w:rFonts w:ascii="Segoe UI Light" w:hAnsi="Segoe UI Light" w:cs="Segoe UI Light"/>
                <w:b/>
                <w:bCs/>
                <w:sz w:val="16"/>
                <w:szCs w:val="16"/>
              </w:rPr>
              <w:t>8</w:t>
            </w:r>
          </w:p>
        </w:tc>
      </w:tr>
      <w:tr w:rsidR="00F14377" w:rsidRPr="00D829F0" w14:paraId="174B6322"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3ED021C1" w14:textId="77777777" w:rsidR="0066279C" w:rsidRPr="00EF7F3C" w:rsidRDefault="0066279C" w:rsidP="00F14377">
            <w:pPr>
              <w:spacing w:before="40" w:after="40"/>
              <w:rPr>
                <w:rFonts w:ascii="Segoe UI Light" w:eastAsia="Times New Roman" w:hAnsi="Segoe UI Light"/>
                <w:sz w:val="16"/>
                <w:szCs w:val="16"/>
                <w:highlight w:val="yellow"/>
              </w:rPr>
            </w:pPr>
            <w:r w:rsidRPr="001037E7">
              <w:rPr>
                <w:rFonts w:ascii="Segoe UI Light" w:eastAsia="Arial Unicode MS" w:hAnsi="Segoe UI Light"/>
                <w:sz w:val="16"/>
                <w:szCs w:val="16"/>
              </w:rPr>
              <w:t>Kopā</w:t>
            </w:r>
          </w:p>
        </w:tc>
        <w:tc>
          <w:tcPr>
            <w:tcW w:w="680" w:type="dxa"/>
            <w:noWrap/>
          </w:tcPr>
          <w:p w14:paraId="51ABB7CA" w14:textId="36E5BF75"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60,1</w:t>
            </w:r>
          </w:p>
        </w:tc>
        <w:tc>
          <w:tcPr>
            <w:tcW w:w="680" w:type="dxa"/>
            <w:noWrap/>
          </w:tcPr>
          <w:p w14:paraId="43B68F95" w14:textId="31A54C2D"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108</w:t>
            </w:r>
            <w:r w:rsidR="0066279C" w:rsidRPr="004A4CF8">
              <w:rPr>
                <w:rFonts w:ascii="Segoe UI Light" w:hAnsi="Segoe UI Light" w:cs="Segoe UI Light"/>
                <w:b/>
                <w:sz w:val="16"/>
                <w:szCs w:val="16"/>
              </w:rPr>
              <w:t>,7</w:t>
            </w:r>
          </w:p>
        </w:tc>
        <w:tc>
          <w:tcPr>
            <w:tcW w:w="680" w:type="dxa"/>
            <w:noWrap/>
          </w:tcPr>
          <w:p w14:paraId="4DAF20BE" w14:textId="0F738076"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sz w:val="16"/>
                <w:szCs w:val="16"/>
              </w:rPr>
              <w:t>20,</w:t>
            </w:r>
            <w:r w:rsidR="00343DC3" w:rsidRPr="004A4CF8">
              <w:rPr>
                <w:rFonts w:ascii="Segoe UI Light" w:hAnsi="Segoe UI Light" w:cs="Segoe UI Light"/>
                <w:b/>
                <w:bCs/>
                <w:sz w:val="16"/>
                <w:szCs w:val="16"/>
              </w:rPr>
              <w:t>0</w:t>
            </w:r>
          </w:p>
        </w:tc>
        <w:tc>
          <w:tcPr>
            <w:tcW w:w="680" w:type="dxa"/>
            <w:noWrap/>
          </w:tcPr>
          <w:p w14:paraId="5287FC27" w14:textId="5F1E58CB"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62,1</w:t>
            </w:r>
          </w:p>
        </w:tc>
        <w:tc>
          <w:tcPr>
            <w:tcW w:w="680" w:type="dxa"/>
            <w:noWrap/>
          </w:tcPr>
          <w:p w14:paraId="45E149EC" w14:textId="277C4BC8" w:rsidR="0066279C" w:rsidRPr="00EF7F3C"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sz w:val="16"/>
                <w:szCs w:val="16"/>
              </w:rPr>
              <w:t>156,</w:t>
            </w:r>
            <w:r w:rsidR="00343DC3" w:rsidRPr="004A4CF8">
              <w:rPr>
                <w:rFonts w:ascii="Segoe UI Light" w:hAnsi="Segoe UI Light" w:cs="Segoe UI Light"/>
                <w:b/>
                <w:bCs/>
                <w:sz w:val="16"/>
                <w:szCs w:val="16"/>
              </w:rPr>
              <w:t>2</w:t>
            </w:r>
          </w:p>
        </w:tc>
        <w:tc>
          <w:tcPr>
            <w:tcW w:w="680" w:type="dxa"/>
            <w:noWrap/>
          </w:tcPr>
          <w:p w14:paraId="6EDDAFD5" w14:textId="0B96E06B"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63,4</w:t>
            </w:r>
          </w:p>
        </w:tc>
        <w:tc>
          <w:tcPr>
            <w:tcW w:w="680" w:type="dxa"/>
            <w:noWrap/>
          </w:tcPr>
          <w:p w14:paraId="49AF7B0F" w14:textId="56C3C2EF"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198,5</w:t>
            </w:r>
          </w:p>
        </w:tc>
        <w:tc>
          <w:tcPr>
            <w:tcW w:w="680" w:type="dxa"/>
            <w:noWrap/>
          </w:tcPr>
          <w:p w14:paraId="6C10D1E0" w14:textId="17E3AC1B"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214,0</w:t>
            </w:r>
          </w:p>
        </w:tc>
        <w:tc>
          <w:tcPr>
            <w:tcW w:w="680" w:type="dxa"/>
            <w:noWrap/>
          </w:tcPr>
          <w:p w14:paraId="5C508000" w14:textId="1B3C0F0D" w:rsidR="0066279C" w:rsidRPr="00EF7F3C" w:rsidRDefault="00343DC3"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val="en-US"/>
              </w:rPr>
            </w:pPr>
            <w:r w:rsidRPr="004A4CF8">
              <w:rPr>
                <w:rFonts w:ascii="Segoe UI Light" w:hAnsi="Segoe UI Light" w:cs="Segoe UI Light"/>
                <w:b/>
                <w:bCs/>
                <w:sz w:val="16"/>
                <w:szCs w:val="16"/>
              </w:rPr>
              <w:t>883,1</w:t>
            </w:r>
          </w:p>
        </w:tc>
      </w:tr>
    </w:tbl>
    <w:p w14:paraId="4226CEBE" w14:textId="77777777" w:rsidR="0066279C" w:rsidRPr="00D829F0" w:rsidRDefault="0066279C" w:rsidP="00867A48">
      <w:pPr>
        <w:spacing w:before="120" w:after="120"/>
        <w:jc w:val="both"/>
        <w:rPr>
          <w:rFonts w:ascii="Source Sans Pro" w:hAnsi="Source Sans Pro"/>
          <w:sz w:val="16"/>
          <w:szCs w:val="16"/>
        </w:rPr>
      </w:pPr>
      <w:r w:rsidRPr="00D829F0">
        <w:rPr>
          <w:rFonts w:ascii="Source Sans Pro" w:hAnsi="Source Sans Pro"/>
          <w:sz w:val="16"/>
          <w:szCs w:val="16"/>
        </w:rPr>
        <w:t>Avots: CSP</w:t>
      </w:r>
    </w:p>
    <w:p w14:paraId="4E437128" w14:textId="77777777" w:rsidR="00F14377" w:rsidRPr="00D829F0" w:rsidRDefault="00F14377" w:rsidP="00867A48">
      <w:pPr>
        <w:spacing w:after="120"/>
        <w:jc w:val="both"/>
        <w:rPr>
          <w:rFonts w:ascii="Source Sans Pro" w:hAnsi="Source Sans Pro"/>
        </w:rPr>
      </w:pPr>
    </w:p>
    <w:p w14:paraId="08E1D26E" w14:textId="77777777" w:rsidR="006E0D9F" w:rsidRDefault="006E0D9F">
      <w:pPr>
        <w:spacing w:after="0"/>
        <w:rPr>
          <w:rFonts w:ascii="Source Sans Pro" w:hAnsi="Source Sans Pro"/>
        </w:rPr>
      </w:pPr>
      <w:r>
        <w:rPr>
          <w:rFonts w:ascii="Source Sans Pro" w:hAnsi="Source Sans Pro"/>
        </w:rPr>
        <w:br w:type="page"/>
      </w:r>
    </w:p>
    <w:p w14:paraId="7C4A103C" w14:textId="6362C0F3" w:rsidR="000A0498" w:rsidRPr="00D829F0" w:rsidRDefault="000A0498" w:rsidP="000A0498">
      <w:pPr>
        <w:spacing w:after="120"/>
        <w:jc w:val="both"/>
        <w:rPr>
          <w:rFonts w:ascii="Source Sans Pro" w:hAnsi="Source Sans Pro"/>
        </w:rPr>
      </w:pPr>
      <w:r w:rsidRPr="00D829F0">
        <w:rPr>
          <w:rFonts w:ascii="Source Sans Pro" w:hAnsi="Source Sans Pro"/>
        </w:rPr>
        <w:lastRenderedPageBreak/>
        <w:t>2025.</w:t>
      </w:r>
      <w:r w:rsidR="003F526D">
        <w:rPr>
          <w:rFonts w:ascii="Source Sans Pro" w:hAnsi="Source Sans Pro"/>
        </w:rPr>
        <w:t> </w:t>
      </w:r>
      <w:r w:rsidRPr="00D829F0">
        <w:rPr>
          <w:rFonts w:ascii="Source Sans Pro" w:hAnsi="Source Sans Pro"/>
        </w:rPr>
        <w:t>gadā lielākais nodarbināto skaits bija sabiedrisko pakalpojumu nozarē (214</w:t>
      </w:r>
      <w:r w:rsidR="003F526D">
        <w:rPr>
          <w:rFonts w:ascii="Source Sans Pro" w:hAnsi="Source Sans Pro"/>
        </w:rPr>
        <w:t> </w:t>
      </w:r>
      <w:r w:rsidRPr="00D829F0">
        <w:rPr>
          <w:rFonts w:ascii="Source Sans Pro" w:hAnsi="Source Sans Pro"/>
        </w:rPr>
        <w:t>tūkst.), komercpakalpojumos (198,5</w:t>
      </w:r>
      <w:r w:rsidR="003F526D">
        <w:rPr>
          <w:rFonts w:ascii="Source Sans Pro" w:hAnsi="Source Sans Pro"/>
        </w:rPr>
        <w:t> </w:t>
      </w:r>
      <w:r w:rsidRPr="00D829F0">
        <w:rPr>
          <w:rFonts w:ascii="Source Sans Pro" w:hAnsi="Source Sans Pro"/>
        </w:rPr>
        <w:t>tūkst.), tirdzniecībā un izmitināšanā (156,2</w:t>
      </w:r>
      <w:r w:rsidR="003F526D">
        <w:rPr>
          <w:rFonts w:ascii="Source Sans Pro" w:hAnsi="Source Sans Pro"/>
        </w:rPr>
        <w:t> </w:t>
      </w:r>
      <w:r w:rsidRPr="00D829F0">
        <w:rPr>
          <w:rFonts w:ascii="Source Sans Pro" w:hAnsi="Source Sans Pro"/>
        </w:rPr>
        <w:t>tūkst.) un apstrādes rūpniecībā (108,7</w:t>
      </w:r>
      <w:r w:rsidR="003F526D">
        <w:rPr>
          <w:rFonts w:ascii="Source Sans Pro" w:hAnsi="Source Sans Pro"/>
        </w:rPr>
        <w:t> </w:t>
      </w:r>
      <w:r w:rsidRPr="00D829F0">
        <w:rPr>
          <w:rFonts w:ascii="Source Sans Pro" w:hAnsi="Source Sans Pro"/>
        </w:rPr>
        <w:t>tūkst.), kopumā sastādot 77</w:t>
      </w:r>
      <w:r w:rsidR="003F526D">
        <w:rPr>
          <w:rFonts w:ascii="Source Sans Pro" w:hAnsi="Source Sans Pro"/>
        </w:rPr>
        <w:t> </w:t>
      </w:r>
      <w:r w:rsidRPr="00D829F0">
        <w:rPr>
          <w:rFonts w:ascii="Source Sans Pro" w:hAnsi="Source Sans Pro"/>
        </w:rPr>
        <w:t>% no visiem nodarbinātiem. Sadalījumā pēc profesiju kvalifikācijas augstas kvalifikācijas profesiju nodarbināto skaits bija 400</w:t>
      </w:r>
      <w:r w:rsidR="003F526D">
        <w:rPr>
          <w:rFonts w:ascii="Source Sans Pro" w:hAnsi="Source Sans Pro"/>
        </w:rPr>
        <w:t> </w:t>
      </w:r>
      <w:r w:rsidRPr="00D829F0">
        <w:rPr>
          <w:rFonts w:ascii="Source Sans Pro" w:hAnsi="Source Sans Pro"/>
        </w:rPr>
        <w:t>tūkst. (45</w:t>
      </w:r>
      <w:r w:rsidR="003F526D">
        <w:rPr>
          <w:rFonts w:ascii="Source Sans Pro" w:hAnsi="Source Sans Pro"/>
        </w:rPr>
        <w:t> </w:t>
      </w:r>
      <w:r w:rsidRPr="00D829F0">
        <w:rPr>
          <w:rFonts w:ascii="Source Sans Pro" w:hAnsi="Source Sans Pro"/>
        </w:rPr>
        <w:t>% no kopējā nodarbināto skaita), vidējas kvalifikācijas profesiju nodarbinātie – 374</w:t>
      </w:r>
      <w:r w:rsidR="003F526D">
        <w:rPr>
          <w:rFonts w:ascii="Source Sans Pro" w:hAnsi="Source Sans Pro"/>
        </w:rPr>
        <w:t> </w:t>
      </w:r>
      <w:r w:rsidRPr="00D829F0">
        <w:rPr>
          <w:rFonts w:ascii="Source Sans Pro" w:hAnsi="Source Sans Pro"/>
        </w:rPr>
        <w:t>tūkst. (42</w:t>
      </w:r>
      <w:r w:rsidR="003F526D">
        <w:rPr>
          <w:rFonts w:ascii="Source Sans Pro" w:hAnsi="Source Sans Pro"/>
        </w:rPr>
        <w:t> </w:t>
      </w:r>
      <w:r w:rsidRPr="00D829F0">
        <w:rPr>
          <w:rFonts w:ascii="Source Sans Pro" w:hAnsi="Source Sans Pro"/>
        </w:rPr>
        <w:t>% no kopējā) un zemo kvalifikācijas profesiju – 109</w:t>
      </w:r>
      <w:r w:rsidR="003F526D">
        <w:rPr>
          <w:rFonts w:ascii="Source Sans Pro" w:hAnsi="Source Sans Pro"/>
        </w:rPr>
        <w:t> </w:t>
      </w:r>
      <w:r w:rsidRPr="00D829F0">
        <w:rPr>
          <w:rFonts w:ascii="Source Sans Pro" w:hAnsi="Source Sans Pro"/>
        </w:rPr>
        <w:t>tūkst. nodarbināto (12</w:t>
      </w:r>
      <w:r w:rsidR="003F526D">
        <w:rPr>
          <w:rFonts w:ascii="Source Sans Pro" w:hAnsi="Source Sans Pro"/>
        </w:rPr>
        <w:t> </w:t>
      </w:r>
      <w:r w:rsidRPr="00D829F0">
        <w:rPr>
          <w:rFonts w:ascii="Source Sans Pro" w:hAnsi="Source Sans Pro"/>
        </w:rPr>
        <w:t>% no kopējā).</w:t>
      </w:r>
    </w:p>
    <w:p w14:paraId="405DC41C" w14:textId="0EA58521" w:rsidR="000A0498" w:rsidRPr="00D829F0" w:rsidRDefault="000A0498" w:rsidP="000A0498">
      <w:pPr>
        <w:spacing w:after="120"/>
        <w:jc w:val="both"/>
        <w:rPr>
          <w:rFonts w:ascii="Source Sans Pro" w:hAnsi="Source Sans Pro"/>
        </w:rPr>
      </w:pPr>
      <w:r w:rsidRPr="00D829F0">
        <w:rPr>
          <w:rFonts w:ascii="Source Sans Pro" w:hAnsi="Source Sans Pro"/>
        </w:rPr>
        <w:t>Lielākais augstās kvalifikācijas profesiju nodarbināto skaits bija vecākie speciālisti sabiedrības pakalpojumu nozarē (94,6</w:t>
      </w:r>
      <w:r w:rsidR="003F526D">
        <w:rPr>
          <w:rFonts w:ascii="Source Sans Pro" w:hAnsi="Source Sans Pro"/>
        </w:rPr>
        <w:t> </w:t>
      </w:r>
      <w:r w:rsidRPr="00D829F0">
        <w:rPr>
          <w:rFonts w:ascii="Source Sans Pro" w:hAnsi="Source Sans Pro"/>
        </w:rPr>
        <w:t>tūkst. jeb gandrīz 11</w:t>
      </w:r>
      <w:r w:rsidR="003F526D">
        <w:rPr>
          <w:rFonts w:ascii="Source Sans Pro" w:hAnsi="Source Sans Pro"/>
        </w:rPr>
        <w:t> </w:t>
      </w:r>
      <w:r w:rsidRPr="00D829F0">
        <w:rPr>
          <w:rFonts w:ascii="Source Sans Pro" w:hAnsi="Source Sans Pro"/>
        </w:rPr>
        <w:t>% no visiem nodarbinātiem). Vidējo profesiju lielākais nodarbināto skaits bija pakalpojumu un tirdzniecības darbinieki tirdzniecības nozarē (61,5</w:t>
      </w:r>
      <w:r w:rsidR="003F526D">
        <w:rPr>
          <w:rFonts w:ascii="Source Sans Pro" w:hAnsi="Source Sans Pro"/>
        </w:rPr>
        <w:t> </w:t>
      </w:r>
      <w:r w:rsidRPr="00D829F0">
        <w:rPr>
          <w:rFonts w:ascii="Source Sans Pro" w:hAnsi="Source Sans Pro"/>
        </w:rPr>
        <w:t>tūkst. jeb 7% no kopējā nodarbināto skaita).</w:t>
      </w:r>
    </w:p>
    <w:p w14:paraId="0D6D44E5" w14:textId="6D12B97E" w:rsidR="00F14377" w:rsidRPr="00D829F0" w:rsidRDefault="000A0498" w:rsidP="00867A48">
      <w:pPr>
        <w:spacing w:after="120"/>
        <w:jc w:val="both"/>
        <w:rPr>
          <w:rFonts w:ascii="Source Sans Pro" w:hAnsi="Source Sans Pro"/>
          <w:color w:val="000000" w:themeColor="text1"/>
        </w:rPr>
      </w:pPr>
      <w:r w:rsidRPr="00D829F0">
        <w:rPr>
          <w:rFonts w:ascii="Source Sans Pro" w:hAnsi="Source Sans Pro"/>
        </w:rPr>
        <w:t>Salīdzinot ar 2023.</w:t>
      </w:r>
      <w:r w:rsidR="003F526D">
        <w:rPr>
          <w:rFonts w:ascii="Source Sans Pro" w:hAnsi="Source Sans Pro"/>
        </w:rPr>
        <w:t> </w:t>
      </w:r>
      <w:r w:rsidRPr="00D829F0">
        <w:rPr>
          <w:rFonts w:ascii="Source Sans Pro" w:hAnsi="Source Sans Pro"/>
        </w:rPr>
        <w:t>gadu, augstākās kvalifikācijas profesijās 2025.</w:t>
      </w:r>
      <w:r w:rsidR="00052371">
        <w:rPr>
          <w:rFonts w:ascii="Source Sans Pro" w:hAnsi="Source Sans Pro"/>
        </w:rPr>
        <w:t> </w:t>
      </w:r>
      <w:r w:rsidRPr="00D829F0">
        <w:rPr>
          <w:rFonts w:ascii="Source Sans Pro" w:hAnsi="Source Sans Pro"/>
        </w:rPr>
        <w:t>gadā nodarbināto skaits pieauga par 8,4</w:t>
      </w:r>
      <w:r w:rsidR="00052371">
        <w:rPr>
          <w:rFonts w:ascii="Source Sans Pro" w:hAnsi="Source Sans Pro"/>
        </w:rPr>
        <w:t> </w:t>
      </w:r>
      <w:r w:rsidRPr="00D829F0">
        <w:rPr>
          <w:rFonts w:ascii="Source Sans Pro" w:hAnsi="Source Sans Pro"/>
        </w:rPr>
        <w:t>tūkst. jeb 2,1%. To galvenokārt noteica speciālistu skaita pieaugums par 10,3</w:t>
      </w:r>
      <w:r w:rsidR="00052371">
        <w:rPr>
          <w:rFonts w:ascii="Source Sans Pro" w:hAnsi="Source Sans Pro"/>
        </w:rPr>
        <w:t> </w:t>
      </w:r>
      <w:r w:rsidRPr="00D829F0">
        <w:rPr>
          <w:rFonts w:ascii="Source Sans Pro" w:hAnsi="Source Sans Pro"/>
        </w:rPr>
        <w:t>tūkst., kā arī neliels vecāko speciālistu skaita kāpums par 1,5</w:t>
      </w:r>
      <w:r w:rsidR="00052371">
        <w:rPr>
          <w:rFonts w:ascii="Source Sans Pro" w:hAnsi="Source Sans Pro"/>
        </w:rPr>
        <w:t> </w:t>
      </w:r>
      <w:r w:rsidRPr="00D829F0">
        <w:rPr>
          <w:rFonts w:ascii="Source Sans Pro" w:hAnsi="Source Sans Pro"/>
        </w:rPr>
        <w:t>tūkst., savukārt vadītāju skaits samazinājās par 3,4</w:t>
      </w:r>
      <w:r w:rsidR="00052371">
        <w:rPr>
          <w:rFonts w:ascii="Source Sans Pro" w:hAnsi="Source Sans Pro"/>
        </w:rPr>
        <w:t> </w:t>
      </w:r>
      <w:r w:rsidRPr="00D829F0">
        <w:rPr>
          <w:rFonts w:ascii="Source Sans Pro" w:hAnsi="Source Sans Pro"/>
        </w:rPr>
        <w:t>tūkst. Nozaru griezumā lielākais nodarbināto skaita pieaugums augstākās kvalifikācijas profesijās bija vērojams citos komercpakalpojumos. Pieaugums bija arī sabiedriskajos pakalpojumos, lauksaimniecībā, kā arī tirdzniecībā un izmitināšanā, savukārt būtiskākais samazinājums bija transporta un uzglabāšanas nozarē. Vidējas kvalifikācijas profesijās nodarbināto skaits samazinājās par 6,2</w:t>
      </w:r>
      <w:r w:rsidR="00052371">
        <w:rPr>
          <w:rFonts w:ascii="Source Sans Pro" w:hAnsi="Source Sans Pro"/>
        </w:rPr>
        <w:t> </w:t>
      </w:r>
      <w:r w:rsidRPr="00D829F0">
        <w:rPr>
          <w:rFonts w:ascii="Source Sans Pro" w:hAnsi="Source Sans Pro"/>
        </w:rPr>
        <w:t>tūkst. Kritums bija vērojams gandrīz visās profesiju grupās, īpaši iekārtu un mašīnu operatoru grupā, kur nodarbināto skaits saruka par 6</w:t>
      </w:r>
      <w:r w:rsidR="00052371">
        <w:rPr>
          <w:rFonts w:ascii="Source Sans Pro" w:hAnsi="Source Sans Pro"/>
        </w:rPr>
        <w:t> </w:t>
      </w:r>
      <w:r w:rsidRPr="00D829F0">
        <w:rPr>
          <w:rFonts w:ascii="Source Sans Pro" w:hAnsi="Source Sans Pro"/>
        </w:rPr>
        <w:t>tūkst. Vienlaikus pakalpojumu un tirdzniecības darbinieku skaits palielinājās par 6,4</w:t>
      </w:r>
      <w:r w:rsidR="00052371">
        <w:rPr>
          <w:rFonts w:ascii="Source Sans Pro" w:hAnsi="Source Sans Pro"/>
        </w:rPr>
        <w:t> </w:t>
      </w:r>
      <w:r w:rsidRPr="00D829F0">
        <w:rPr>
          <w:rFonts w:ascii="Source Sans Pro" w:hAnsi="Source Sans Pro"/>
        </w:rPr>
        <w:t>tūkst. Nozaru griezumā vidējas kvalifikācijas profesijās nodarbināto skaits samazinājās gandrīz visās nozarēs, izņemot citus komercpakalpojumus un sabiedriskos pakalpojumus. Lielākais samazinājums bija būvniecībā, kā arī transportā un uzglabāšanā. Zemas kvalifikācijas profesijās nodarbināto skaits samazinājās par 3,3</w:t>
      </w:r>
      <w:r w:rsidR="00052371">
        <w:rPr>
          <w:rFonts w:ascii="Source Sans Pro" w:hAnsi="Source Sans Pro"/>
        </w:rPr>
        <w:t> </w:t>
      </w:r>
      <w:r w:rsidRPr="00D829F0">
        <w:rPr>
          <w:rFonts w:ascii="Source Sans Pro" w:hAnsi="Source Sans Pro"/>
        </w:rPr>
        <w:t>tūkst. Pieaugums bija vērojams tirdzniecībā un izmitināšanā, apstrādes rūpniecībā un pārējā rūpniecībā, savukārt pārējās nozarēs nodarbināto skaits šajā profesiju grupā saruka.</w:t>
      </w:r>
    </w:p>
    <w:p w14:paraId="7CC26D71" w14:textId="33F8AEA1" w:rsidR="0066279C" w:rsidRPr="00D829F0" w:rsidRDefault="0066279C" w:rsidP="005349C0">
      <w:pPr>
        <w:spacing w:after="120"/>
        <w:jc w:val="right"/>
        <w:rPr>
          <w:rFonts w:ascii="Source Sans Pro" w:hAnsi="Source Sans Pro"/>
          <w:szCs w:val="20"/>
        </w:rPr>
      </w:pPr>
      <w:r w:rsidRPr="00D829F0">
        <w:rPr>
          <w:rFonts w:ascii="Source Sans Pro" w:hAnsi="Source Sans Pro"/>
          <w:szCs w:val="20"/>
        </w:rPr>
        <w:t>2.3. tabula</w:t>
      </w:r>
    </w:p>
    <w:p w14:paraId="49ED918B" w14:textId="299B7E70" w:rsidR="0066279C" w:rsidRPr="00574374" w:rsidRDefault="0066279C" w:rsidP="0066279C">
      <w:pPr>
        <w:spacing w:after="120"/>
        <w:jc w:val="center"/>
        <w:rPr>
          <w:rFonts w:ascii="Segoe UI Light" w:hAnsi="Segoe UI Light"/>
          <w:i/>
          <w:sz w:val="16"/>
          <w:szCs w:val="26"/>
        </w:rPr>
      </w:pPr>
      <w:r w:rsidRPr="00574374">
        <w:rPr>
          <w:rFonts w:ascii="Segoe UI Light" w:hAnsi="Segoe UI Light"/>
          <w:b/>
          <w:sz w:val="18"/>
          <w:szCs w:val="26"/>
        </w:rPr>
        <w:t xml:space="preserve">Nodarbināto skaits izmaiņas tautsaimniecības nozarēs sadalījumā pa profesiju grupām </w:t>
      </w:r>
      <w:r w:rsidRPr="00574374">
        <w:rPr>
          <w:rFonts w:ascii="Segoe UI Light" w:hAnsi="Segoe UI Light"/>
          <w:sz w:val="16"/>
          <w:szCs w:val="26"/>
        </w:rPr>
        <w:br/>
      </w:r>
      <w:r w:rsidR="005F5363" w:rsidRPr="00574374">
        <w:rPr>
          <w:rFonts w:ascii="Segoe UI Light" w:hAnsi="Segoe UI Light"/>
          <w:i/>
          <w:sz w:val="16"/>
          <w:szCs w:val="26"/>
        </w:rPr>
        <w:t>202</w:t>
      </w:r>
      <w:r w:rsidR="00574374" w:rsidRPr="00574374">
        <w:rPr>
          <w:rFonts w:ascii="Segoe UI Light" w:hAnsi="Segoe UI Light"/>
          <w:i/>
          <w:sz w:val="16"/>
          <w:szCs w:val="26"/>
        </w:rPr>
        <w:t>5</w:t>
      </w:r>
      <w:r w:rsidR="005F5363" w:rsidRPr="00574374">
        <w:rPr>
          <w:rFonts w:ascii="Segoe UI Light" w:hAnsi="Segoe UI Light"/>
          <w:i/>
          <w:sz w:val="16"/>
          <w:szCs w:val="26"/>
        </w:rPr>
        <w:t>.</w:t>
      </w:r>
      <w:r w:rsidR="00052371">
        <w:rPr>
          <w:rFonts w:ascii="Segoe UI Light" w:hAnsi="Segoe UI Light"/>
          <w:i/>
          <w:sz w:val="16"/>
          <w:szCs w:val="26"/>
        </w:rPr>
        <w:t> </w:t>
      </w:r>
      <w:r w:rsidR="005F5363" w:rsidRPr="00574374">
        <w:rPr>
          <w:rFonts w:ascii="Segoe UI Light" w:hAnsi="Segoe UI Light"/>
          <w:i/>
          <w:sz w:val="16"/>
          <w:szCs w:val="26"/>
        </w:rPr>
        <w:t>gads salīdzinājumā ar 202</w:t>
      </w:r>
      <w:r w:rsidR="00574374" w:rsidRPr="00574374">
        <w:rPr>
          <w:rFonts w:ascii="Segoe UI Light" w:hAnsi="Segoe UI Light"/>
          <w:i/>
          <w:sz w:val="16"/>
          <w:szCs w:val="26"/>
        </w:rPr>
        <w:t>3</w:t>
      </w:r>
      <w:r w:rsidR="005F5363" w:rsidRPr="00574374">
        <w:rPr>
          <w:rFonts w:ascii="Segoe UI Light" w:hAnsi="Segoe UI Light"/>
          <w:i/>
          <w:sz w:val="16"/>
          <w:szCs w:val="26"/>
        </w:rPr>
        <w:t>.</w:t>
      </w:r>
      <w:r w:rsidR="00052371">
        <w:rPr>
          <w:rFonts w:ascii="Segoe UI Light" w:hAnsi="Segoe UI Light"/>
          <w:i/>
          <w:sz w:val="16"/>
          <w:szCs w:val="26"/>
        </w:rPr>
        <w:t> </w:t>
      </w:r>
      <w:r w:rsidR="005F5363" w:rsidRPr="00574374">
        <w:rPr>
          <w:rFonts w:ascii="Segoe UI Light" w:hAnsi="Segoe UI Light"/>
          <w:i/>
          <w:sz w:val="16"/>
          <w:szCs w:val="26"/>
        </w:rPr>
        <w:t xml:space="preserve">gadu, </w:t>
      </w:r>
      <w:r w:rsidRPr="00574374">
        <w:rPr>
          <w:rFonts w:ascii="Segoe UI Light" w:hAnsi="Segoe UI Light"/>
          <w:i/>
          <w:sz w:val="16"/>
          <w:szCs w:val="26"/>
        </w:rPr>
        <w:t>tūkstošos</w:t>
      </w:r>
    </w:p>
    <w:tbl>
      <w:tblPr>
        <w:tblStyle w:val="GridTable4-Accent4"/>
        <w:tblW w:w="907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680"/>
        <w:gridCol w:w="680"/>
        <w:gridCol w:w="680"/>
        <w:gridCol w:w="680"/>
        <w:gridCol w:w="680"/>
        <w:gridCol w:w="680"/>
        <w:gridCol w:w="680"/>
        <w:gridCol w:w="680"/>
        <w:gridCol w:w="683"/>
      </w:tblGrid>
      <w:tr w:rsidR="006A3666" w:rsidRPr="00D829F0" w14:paraId="4A61B2D5" w14:textId="77777777" w:rsidTr="009773FB">
        <w:trPr>
          <w:cnfStyle w:val="100000000000" w:firstRow="1" w:lastRow="0" w:firstColumn="0" w:lastColumn="0" w:oddVBand="0" w:evenVBand="0" w:oddHBand="0" w:evenHBand="0" w:firstRowFirstColumn="0" w:firstRowLastColumn="0" w:lastRowFirstColumn="0" w:lastRowLastColumn="0"/>
          <w:cantSplit/>
          <w:trHeight w:val="1587"/>
        </w:trPr>
        <w:tc>
          <w:tcPr>
            <w:cnfStyle w:val="001000000000" w:firstRow="0" w:lastRow="0" w:firstColumn="1" w:lastColumn="0" w:oddVBand="0" w:evenVBand="0" w:oddHBand="0" w:evenHBand="0" w:firstRowFirstColumn="0" w:firstRowLastColumn="0" w:lastRowFirstColumn="0" w:lastRowLastColumn="0"/>
            <w:tcW w:w="2948" w:type="dxa"/>
            <w:shd w:val="clear" w:color="auto" w:fill="0E5A69"/>
            <w:noWrap/>
            <w:hideMark/>
          </w:tcPr>
          <w:p w14:paraId="39F56753" w14:textId="77777777" w:rsidR="0066279C" w:rsidRPr="00574374" w:rsidRDefault="0066279C">
            <w:pPr>
              <w:spacing w:after="0"/>
              <w:rPr>
                <w:rFonts w:ascii="Segoe UI Light" w:eastAsia="Times New Roman" w:hAnsi="Segoe UI Light" w:cs="Segoe UI Light"/>
                <w:color w:val="000000"/>
                <w:sz w:val="16"/>
                <w:szCs w:val="16"/>
              </w:rPr>
            </w:pPr>
            <w:r w:rsidRPr="00574374">
              <w:rPr>
                <w:rFonts w:ascii="Segoe UI Light" w:eastAsia="Times New Roman" w:hAnsi="Segoe UI Light" w:cs="Segoe UI Light"/>
                <w:color w:val="000000"/>
                <w:sz w:val="16"/>
                <w:szCs w:val="16"/>
              </w:rPr>
              <w:t> </w:t>
            </w:r>
          </w:p>
        </w:tc>
        <w:tc>
          <w:tcPr>
            <w:tcW w:w="680" w:type="dxa"/>
            <w:shd w:val="clear" w:color="auto" w:fill="0E5A69"/>
            <w:noWrap/>
            <w:textDirection w:val="btLr"/>
            <w:vAlign w:val="center"/>
            <w:hideMark/>
          </w:tcPr>
          <w:p w14:paraId="1689AF3A" w14:textId="77777777" w:rsidR="0066279C" w:rsidRPr="00574374" w:rsidRDefault="0066279C" w:rsidP="005349C0">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574374">
              <w:rPr>
                <w:rFonts w:ascii="Segoe UI Light" w:eastAsia="Times New Roman" w:hAnsi="Segoe UI Light"/>
                <w:sz w:val="16"/>
                <w:szCs w:val="16"/>
              </w:rPr>
              <w:t>Lauksaimniecība</w:t>
            </w:r>
          </w:p>
        </w:tc>
        <w:tc>
          <w:tcPr>
            <w:tcW w:w="680" w:type="dxa"/>
            <w:shd w:val="clear" w:color="auto" w:fill="0E5A69"/>
            <w:noWrap/>
            <w:textDirection w:val="btLr"/>
            <w:vAlign w:val="center"/>
            <w:hideMark/>
          </w:tcPr>
          <w:p w14:paraId="3B13EFE7" w14:textId="77777777" w:rsidR="0066279C" w:rsidRPr="00574374"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574374">
              <w:rPr>
                <w:rFonts w:ascii="Segoe UI Light" w:eastAsia="Times New Roman" w:hAnsi="Segoe UI Light"/>
                <w:sz w:val="16"/>
                <w:szCs w:val="16"/>
              </w:rPr>
              <w:t xml:space="preserve">Apstrādes </w:t>
            </w:r>
            <w:r w:rsidRPr="00574374">
              <w:rPr>
                <w:rFonts w:ascii="Segoe UI Light" w:eastAsia="Times New Roman" w:hAnsi="Segoe UI Light"/>
                <w:sz w:val="16"/>
                <w:szCs w:val="16"/>
              </w:rPr>
              <w:br/>
              <w:t>rūpniecība</w:t>
            </w:r>
          </w:p>
        </w:tc>
        <w:tc>
          <w:tcPr>
            <w:tcW w:w="680" w:type="dxa"/>
            <w:shd w:val="clear" w:color="auto" w:fill="0E5A69"/>
            <w:noWrap/>
            <w:textDirection w:val="btLr"/>
            <w:vAlign w:val="center"/>
            <w:hideMark/>
          </w:tcPr>
          <w:p w14:paraId="06E754BA" w14:textId="77777777" w:rsidR="0066279C" w:rsidRPr="00574374"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574374">
              <w:rPr>
                <w:rFonts w:ascii="Segoe UI Light" w:eastAsia="Times New Roman" w:hAnsi="Segoe UI Light"/>
                <w:sz w:val="16"/>
                <w:szCs w:val="16"/>
              </w:rPr>
              <w:t xml:space="preserve">Pārējā </w:t>
            </w:r>
            <w:r w:rsidRPr="00574374">
              <w:rPr>
                <w:rFonts w:ascii="Segoe UI Light" w:eastAsia="Times New Roman" w:hAnsi="Segoe UI Light"/>
                <w:sz w:val="16"/>
                <w:szCs w:val="16"/>
              </w:rPr>
              <w:br/>
              <w:t>rūpniecība</w:t>
            </w:r>
          </w:p>
        </w:tc>
        <w:tc>
          <w:tcPr>
            <w:tcW w:w="680" w:type="dxa"/>
            <w:shd w:val="clear" w:color="auto" w:fill="0E5A69"/>
            <w:noWrap/>
            <w:textDirection w:val="btLr"/>
            <w:vAlign w:val="center"/>
            <w:hideMark/>
          </w:tcPr>
          <w:p w14:paraId="73AA14F2" w14:textId="77777777" w:rsidR="0066279C" w:rsidRPr="00574374"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574374">
              <w:rPr>
                <w:rFonts w:ascii="Segoe UI Light" w:eastAsia="Times New Roman" w:hAnsi="Segoe UI Light"/>
                <w:sz w:val="16"/>
                <w:szCs w:val="16"/>
              </w:rPr>
              <w:t>Būvniecība</w:t>
            </w:r>
          </w:p>
        </w:tc>
        <w:tc>
          <w:tcPr>
            <w:tcW w:w="680" w:type="dxa"/>
            <w:shd w:val="clear" w:color="auto" w:fill="0E5A69"/>
            <w:noWrap/>
            <w:textDirection w:val="btLr"/>
            <w:vAlign w:val="center"/>
            <w:hideMark/>
          </w:tcPr>
          <w:p w14:paraId="5EF27CA7" w14:textId="77777777" w:rsidR="0066279C" w:rsidRPr="00574374"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574374">
              <w:rPr>
                <w:rFonts w:ascii="Segoe UI Light" w:eastAsia="Times New Roman" w:hAnsi="Segoe UI Light"/>
                <w:sz w:val="16"/>
                <w:szCs w:val="16"/>
              </w:rPr>
              <w:t>Tirdzniecība, izmitināšana</w:t>
            </w:r>
          </w:p>
        </w:tc>
        <w:tc>
          <w:tcPr>
            <w:tcW w:w="680" w:type="dxa"/>
            <w:shd w:val="clear" w:color="auto" w:fill="0E5A69"/>
            <w:noWrap/>
            <w:textDirection w:val="btLr"/>
            <w:vAlign w:val="center"/>
            <w:hideMark/>
          </w:tcPr>
          <w:p w14:paraId="17A4EC83" w14:textId="77777777" w:rsidR="0066279C" w:rsidRPr="00574374"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574374">
              <w:rPr>
                <w:rFonts w:ascii="Segoe UI Light" w:eastAsia="Times New Roman" w:hAnsi="Segoe UI Light"/>
                <w:sz w:val="16"/>
                <w:szCs w:val="16"/>
              </w:rPr>
              <w:t>Transports un uzglabāšana</w:t>
            </w:r>
          </w:p>
        </w:tc>
        <w:tc>
          <w:tcPr>
            <w:tcW w:w="680" w:type="dxa"/>
            <w:shd w:val="clear" w:color="auto" w:fill="0E5A69"/>
            <w:noWrap/>
            <w:textDirection w:val="btLr"/>
            <w:vAlign w:val="center"/>
            <w:hideMark/>
          </w:tcPr>
          <w:p w14:paraId="2D1208E6" w14:textId="77777777" w:rsidR="0066279C" w:rsidRPr="00574374"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574374">
              <w:rPr>
                <w:rFonts w:ascii="Segoe UI Light" w:eastAsia="Times New Roman" w:hAnsi="Segoe UI Light"/>
                <w:sz w:val="16"/>
                <w:szCs w:val="16"/>
              </w:rPr>
              <w:t xml:space="preserve">Citi </w:t>
            </w:r>
            <w:r w:rsidRPr="00574374">
              <w:rPr>
                <w:rFonts w:ascii="Segoe UI Light" w:eastAsia="Times New Roman" w:hAnsi="Segoe UI Light"/>
                <w:sz w:val="16"/>
                <w:szCs w:val="16"/>
              </w:rPr>
              <w:br/>
              <w:t>komercpakalpojumi</w:t>
            </w:r>
          </w:p>
        </w:tc>
        <w:tc>
          <w:tcPr>
            <w:tcW w:w="680" w:type="dxa"/>
            <w:shd w:val="clear" w:color="auto" w:fill="0E5A69"/>
            <w:noWrap/>
            <w:textDirection w:val="btLr"/>
            <w:vAlign w:val="center"/>
            <w:hideMark/>
          </w:tcPr>
          <w:p w14:paraId="27EC38F2" w14:textId="77777777" w:rsidR="0066279C" w:rsidRPr="00574374"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574374">
              <w:rPr>
                <w:rFonts w:ascii="Segoe UI Light" w:eastAsia="Times New Roman" w:hAnsi="Segoe UI Light"/>
                <w:sz w:val="16"/>
                <w:szCs w:val="16"/>
              </w:rPr>
              <w:t>Sabiedriskie pakalpojumi</w:t>
            </w:r>
          </w:p>
        </w:tc>
        <w:tc>
          <w:tcPr>
            <w:tcW w:w="683" w:type="dxa"/>
            <w:shd w:val="clear" w:color="auto" w:fill="0E5A69"/>
            <w:noWrap/>
            <w:textDirection w:val="btLr"/>
            <w:vAlign w:val="center"/>
            <w:hideMark/>
          </w:tcPr>
          <w:p w14:paraId="2C516A24" w14:textId="77777777" w:rsidR="0066279C" w:rsidRPr="00574374"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574374">
              <w:rPr>
                <w:rFonts w:ascii="Segoe UI Light" w:eastAsia="Arial Unicode MS" w:hAnsi="Segoe UI Light"/>
                <w:sz w:val="16"/>
                <w:szCs w:val="16"/>
              </w:rPr>
              <w:t>Kopā</w:t>
            </w:r>
          </w:p>
        </w:tc>
      </w:tr>
      <w:tr w:rsidR="0066279C" w:rsidRPr="00D829F0" w14:paraId="1C3B9F14"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4273B212" w14:textId="4FF5866F" w:rsidR="0066279C" w:rsidRPr="00574374" w:rsidRDefault="0066279C" w:rsidP="005349C0">
            <w:pPr>
              <w:spacing w:before="40" w:after="40"/>
              <w:rPr>
                <w:rFonts w:ascii="Segoe UI Light" w:eastAsia="Times New Roman" w:hAnsi="Segoe UI Light" w:cs="Segoe UI Light"/>
                <w:sz w:val="16"/>
                <w:szCs w:val="16"/>
              </w:rPr>
            </w:pPr>
            <w:r w:rsidRPr="00574374">
              <w:rPr>
                <w:rFonts w:ascii="Segoe UI Light" w:eastAsia="Times New Roman" w:hAnsi="Segoe UI Light"/>
                <w:sz w:val="16"/>
                <w:szCs w:val="16"/>
              </w:rPr>
              <w:t>Augstas kvalifikācijas profesijas, tai skaitā:</w:t>
            </w:r>
          </w:p>
        </w:tc>
        <w:tc>
          <w:tcPr>
            <w:tcW w:w="680" w:type="dxa"/>
            <w:shd w:val="clear" w:color="auto" w:fill="DCE7EB"/>
            <w:noWrap/>
          </w:tcPr>
          <w:p w14:paraId="6B83322E" w14:textId="12DB4BAA"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3,3</w:t>
            </w:r>
          </w:p>
        </w:tc>
        <w:tc>
          <w:tcPr>
            <w:tcW w:w="680" w:type="dxa"/>
            <w:shd w:val="clear" w:color="auto" w:fill="DCE7EB"/>
            <w:noWrap/>
          </w:tcPr>
          <w:p w14:paraId="23290028" w14:textId="4F5C86DE"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w:t>
            </w:r>
            <w:r w:rsidR="0066279C" w:rsidRPr="00574374">
              <w:rPr>
                <w:rFonts w:ascii="Segoe UI Light" w:hAnsi="Segoe UI Light" w:cs="Segoe UI Light"/>
                <w:b/>
                <w:sz w:val="16"/>
                <w:szCs w:val="16"/>
              </w:rPr>
              <w:t>1,</w:t>
            </w:r>
            <w:r w:rsidRPr="00574374">
              <w:rPr>
                <w:rFonts w:ascii="Segoe UI Light" w:hAnsi="Segoe UI Light" w:cs="Segoe UI Light"/>
                <w:b/>
                <w:bCs/>
                <w:sz w:val="16"/>
                <w:szCs w:val="16"/>
              </w:rPr>
              <w:t>6</w:t>
            </w:r>
          </w:p>
        </w:tc>
        <w:tc>
          <w:tcPr>
            <w:tcW w:w="680" w:type="dxa"/>
            <w:shd w:val="clear" w:color="auto" w:fill="DCE7EB"/>
            <w:noWrap/>
          </w:tcPr>
          <w:p w14:paraId="76F7B24E" w14:textId="6F48F928"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-1,4</w:t>
            </w:r>
          </w:p>
        </w:tc>
        <w:tc>
          <w:tcPr>
            <w:tcW w:w="680" w:type="dxa"/>
            <w:shd w:val="clear" w:color="auto" w:fill="DCE7EB"/>
            <w:noWrap/>
          </w:tcPr>
          <w:p w14:paraId="178047E2" w14:textId="468B2B95"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w:t>
            </w:r>
            <w:r w:rsidR="0066279C" w:rsidRPr="00574374">
              <w:rPr>
                <w:rFonts w:ascii="Segoe UI Light" w:hAnsi="Segoe UI Light" w:cs="Segoe UI Light"/>
                <w:b/>
                <w:sz w:val="16"/>
                <w:szCs w:val="16"/>
              </w:rPr>
              <w:t>0,</w:t>
            </w:r>
            <w:r w:rsidRPr="00574374">
              <w:rPr>
                <w:rFonts w:ascii="Segoe UI Light" w:hAnsi="Segoe UI Light" w:cs="Segoe UI Light"/>
                <w:b/>
                <w:bCs/>
                <w:sz w:val="16"/>
                <w:szCs w:val="16"/>
              </w:rPr>
              <w:t>3</w:t>
            </w:r>
          </w:p>
        </w:tc>
        <w:tc>
          <w:tcPr>
            <w:tcW w:w="680" w:type="dxa"/>
            <w:shd w:val="clear" w:color="auto" w:fill="DCE7EB"/>
            <w:noWrap/>
          </w:tcPr>
          <w:p w14:paraId="2F527228" w14:textId="67B66BBC"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sz w:val="16"/>
                <w:szCs w:val="16"/>
              </w:rPr>
              <w:t>2</w:t>
            </w:r>
            <w:r w:rsidR="00574374" w:rsidRPr="00574374">
              <w:rPr>
                <w:rFonts w:ascii="Segoe UI Light" w:hAnsi="Segoe UI Light" w:cs="Segoe UI Light"/>
                <w:b/>
                <w:bCs/>
                <w:sz w:val="16"/>
                <w:szCs w:val="16"/>
              </w:rPr>
              <w:t>,6</w:t>
            </w:r>
          </w:p>
        </w:tc>
        <w:tc>
          <w:tcPr>
            <w:tcW w:w="680" w:type="dxa"/>
            <w:shd w:val="clear" w:color="auto" w:fill="DCE7EB"/>
            <w:noWrap/>
          </w:tcPr>
          <w:p w14:paraId="08F24632" w14:textId="05D31F4E"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-4,0</w:t>
            </w:r>
          </w:p>
        </w:tc>
        <w:tc>
          <w:tcPr>
            <w:tcW w:w="680" w:type="dxa"/>
            <w:shd w:val="clear" w:color="auto" w:fill="DCE7EB"/>
            <w:noWrap/>
          </w:tcPr>
          <w:p w14:paraId="517BA196" w14:textId="23ED24E6"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5,</w:t>
            </w:r>
            <w:r w:rsidR="0066279C" w:rsidRPr="00574374">
              <w:rPr>
                <w:rFonts w:ascii="Segoe UI Light" w:hAnsi="Segoe UI Light" w:cs="Segoe UI Light"/>
                <w:b/>
                <w:sz w:val="16"/>
                <w:szCs w:val="16"/>
              </w:rPr>
              <w:t>7</w:t>
            </w:r>
          </w:p>
        </w:tc>
        <w:tc>
          <w:tcPr>
            <w:tcW w:w="680" w:type="dxa"/>
            <w:shd w:val="clear" w:color="auto" w:fill="DCE7EB"/>
            <w:noWrap/>
          </w:tcPr>
          <w:p w14:paraId="0EF2E4E4" w14:textId="2482579A"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sz w:val="16"/>
                <w:szCs w:val="16"/>
              </w:rPr>
              <w:t>4</w:t>
            </w:r>
            <w:r w:rsidR="00574374" w:rsidRPr="00574374">
              <w:rPr>
                <w:rFonts w:ascii="Segoe UI Light" w:hAnsi="Segoe UI Light" w:cs="Segoe UI Light"/>
                <w:b/>
                <w:bCs/>
                <w:sz w:val="16"/>
                <w:szCs w:val="16"/>
              </w:rPr>
              <w:t>,0</w:t>
            </w:r>
          </w:p>
        </w:tc>
        <w:tc>
          <w:tcPr>
            <w:tcW w:w="683" w:type="dxa"/>
            <w:shd w:val="clear" w:color="auto" w:fill="DCE7EB"/>
            <w:noWrap/>
          </w:tcPr>
          <w:p w14:paraId="1743B9CD" w14:textId="14FDF1FC"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8,4</w:t>
            </w:r>
          </w:p>
        </w:tc>
      </w:tr>
      <w:tr w:rsidR="006A3666" w:rsidRPr="00D829F0" w14:paraId="70519E68"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36527F2F" w14:textId="77777777" w:rsidR="0066279C" w:rsidRPr="00574374" w:rsidRDefault="0066279C" w:rsidP="005349C0">
            <w:pPr>
              <w:spacing w:before="40" w:after="40"/>
              <w:rPr>
                <w:rFonts w:ascii="Segoe UI Light" w:eastAsia="Times New Roman" w:hAnsi="Segoe UI Light" w:cs="Segoe UI Light"/>
                <w:b w:val="0"/>
                <w:sz w:val="16"/>
                <w:szCs w:val="16"/>
              </w:rPr>
            </w:pPr>
            <w:r w:rsidRPr="00574374">
              <w:rPr>
                <w:rFonts w:ascii="Segoe UI Light" w:eastAsia="Times New Roman" w:hAnsi="Segoe UI Light"/>
                <w:b w:val="0"/>
                <w:sz w:val="16"/>
                <w:szCs w:val="16"/>
              </w:rPr>
              <w:t>Vadītāji</w:t>
            </w:r>
          </w:p>
        </w:tc>
        <w:tc>
          <w:tcPr>
            <w:tcW w:w="680" w:type="dxa"/>
            <w:noWrap/>
          </w:tcPr>
          <w:p w14:paraId="15E5FB67" w14:textId="69544B67"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2,5</w:t>
            </w:r>
          </w:p>
        </w:tc>
        <w:tc>
          <w:tcPr>
            <w:tcW w:w="680" w:type="dxa"/>
            <w:noWrap/>
          </w:tcPr>
          <w:p w14:paraId="32EA6347" w14:textId="0D50802A"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0,8</w:t>
            </w:r>
          </w:p>
        </w:tc>
        <w:tc>
          <w:tcPr>
            <w:tcW w:w="680" w:type="dxa"/>
            <w:noWrap/>
          </w:tcPr>
          <w:p w14:paraId="64EF71DC" w14:textId="2851E31F"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5</w:t>
            </w:r>
          </w:p>
        </w:tc>
        <w:tc>
          <w:tcPr>
            <w:tcW w:w="680" w:type="dxa"/>
            <w:noWrap/>
          </w:tcPr>
          <w:p w14:paraId="50EFE14F" w14:textId="017328C7"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3</w:t>
            </w:r>
          </w:p>
        </w:tc>
        <w:tc>
          <w:tcPr>
            <w:tcW w:w="680" w:type="dxa"/>
            <w:noWrap/>
          </w:tcPr>
          <w:p w14:paraId="1DA36C1E" w14:textId="4B1EBB4A"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-1,5</w:t>
            </w:r>
          </w:p>
        </w:tc>
        <w:tc>
          <w:tcPr>
            <w:tcW w:w="680" w:type="dxa"/>
            <w:noWrap/>
          </w:tcPr>
          <w:p w14:paraId="21777B44" w14:textId="3000F583"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-3,1</w:t>
            </w:r>
          </w:p>
        </w:tc>
        <w:tc>
          <w:tcPr>
            <w:tcW w:w="680" w:type="dxa"/>
            <w:noWrap/>
          </w:tcPr>
          <w:p w14:paraId="7FC0944D" w14:textId="74F0861E"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2</w:t>
            </w:r>
          </w:p>
        </w:tc>
        <w:tc>
          <w:tcPr>
            <w:tcW w:w="680" w:type="dxa"/>
            <w:noWrap/>
          </w:tcPr>
          <w:p w14:paraId="1A063B72" w14:textId="66B6D412"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-1,</w:t>
            </w:r>
            <w:r w:rsidR="00574374" w:rsidRPr="00574374">
              <w:rPr>
                <w:rFonts w:ascii="Segoe UI Light" w:hAnsi="Segoe UI Light" w:cs="Segoe UI Light"/>
                <w:sz w:val="16"/>
                <w:szCs w:val="16"/>
              </w:rPr>
              <w:t>0</w:t>
            </w:r>
          </w:p>
        </w:tc>
        <w:tc>
          <w:tcPr>
            <w:tcW w:w="683" w:type="dxa"/>
            <w:noWrap/>
          </w:tcPr>
          <w:p w14:paraId="7C23466C" w14:textId="0CDB70EB"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-3,4</w:t>
            </w:r>
          </w:p>
        </w:tc>
      </w:tr>
      <w:tr w:rsidR="0066279C" w:rsidRPr="00D829F0" w14:paraId="7ABF85F1"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063701AF" w14:textId="77777777" w:rsidR="0066279C" w:rsidRPr="00574374" w:rsidRDefault="0066279C" w:rsidP="005349C0">
            <w:pPr>
              <w:spacing w:before="40" w:after="40"/>
              <w:rPr>
                <w:rFonts w:ascii="Segoe UI Light" w:eastAsia="Times New Roman" w:hAnsi="Segoe UI Light" w:cs="Segoe UI Light"/>
                <w:b w:val="0"/>
                <w:sz w:val="16"/>
                <w:szCs w:val="16"/>
              </w:rPr>
            </w:pPr>
            <w:r w:rsidRPr="00574374">
              <w:rPr>
                <w:rFonts w:ascii="Segoe UI Light" w:eastAsia="Times New Roman" w:hAnsi="Segoe UI Light"/>
                <w:b w:val="0"/>
                <w:sz w:val="16"/>
                <w:szCs w:val="16"/>
              </w:rPr>
              <w:t>Vecākie speciālisti</w:t>
            </w:r>
          </w:p>
        </w:tc>
        <w:tc>
          <w:tcPr>
            <w:tcW w:w="680" w:type="dxa"/>
            <w:shd w:val="clear" w:color="auto" w:fill="DCE7EB"/>
            <w:noWrap/>
          </w:tcPr>
          <w:p w14:paraId="07483A78" w14:textId="712B62FF"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,5</w:t>
            </w:r>
          </w:p>
        </w:tc>
        <w:tc>
          <w:tcPr>
            <w:tcW w:w="680" w:type="dxa"/>
            <w:shd w:val="clear" w:color="auto" w:fill="DCE7EB"/>
            <w:noWrap/>
          </w:tcPr>
          <w:p w14:paraId="78F7C14B" w14:textId="173599DB"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4</w:t>
            </w:r>
          </w:p>
        </w:tc>
        <w:tc>
          <w:tcPr>
            <w:tcW w:w="680" w:type="dxa"/>
            <w:shd w:val="clear" w:color="auto" w:fill="DCE7EB"/>
            <w:noWrap/>
          </w:tcPr>
          <w:p w14:paraId="53BF40D2" w14:textId="2F59B1B1"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-1,1</w:t>
            </w:r>
          </w:p>
        </w:tc>
        <w:tc>
          <w:tcPr>
            <w:tcW w:w="680" w:type="dxa"/>
            <w:shd w:val="clear" w:color="auto" w:fill="DCE7EB"/>
            <w:noWrap/>
          </w:tcPr>
          <w:p w14:paraId="6B26ABC0" w14:textId="42ADE74A"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1,</w:t>
            </w:r>
            <w:r w:rsidRPr="00574374">
              <w:rPr>
                <w:rFonts w:ascii="Segoe UI Light" w:hAnsi="Segoe UI Light" w:cs="Segoe UI Light"/>
                <w:sz w:val="16"/>
                <w:szCs w:val="16"/>
              </w:rPr>
              <w:t>3</w:t>
            </w:r>
          </w:p>
        </w:tc>
        <w:tc>
          <w:tcPr>
            <w:tcW w:w="680" w:type="dxa"/>
            <w:shd w:val="clear" w:color="auto" w:fill="DCE7EB"/>
            <w:noWrap/>
          </w:tcPr>
          <w:p w14:paraId="4597E16E" w14:textId="14E9B867"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,4</w:t>
            </w:r>
          </w:p>
        </w:tc>
        <w:tc>
          <w:tcPr>
            <w:tcW w:w="680" w:type="dxa"/>
            <w:shd w:val="clear" w:color="auto" w:fill="DCE7EB"/>
            <w:noWrap/>
          </w:tcPr>
          <w:p w14:paraId="6EB01C63" w14:textId="77777777"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0,0</w:t>
            </w:r>
          </w:p>
        </w:tc>
        <w:tc>
          <w:tcPr>
            <w:tcW w:w="680" w:type="dxa"/>
            <w:shd w:val="clear" w:color="auto" w:fill="DCE7EB"/>
            <w:noWrap/>
          </w:tcPr>
          <w:p w14:paraId="753E0396" w14:textId="31718D5B"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3,7</w:t>
            </w:r>
          </w:p>
        </w:tc>
        <w:tc>
          <w:tcPr>
            <w:tcW w:w="680" w:type="dxa"/>
            <w:shd w:val="clear" w:color="auto" w:fill="DCE7EB"/>
            <w:noWrap/>
          </w:tcPr>
          <w:p w14:paraId="671C9AFC" w14:textId="3A82F7BC"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-1,0</w:t>
            </w:r>
          </w:p>
        </w:tc>
        <w:tc>
          <w:tcPr>
            <w:tcW w:w="683" w:type="dxa"/>
            <w:shd w:val="clear" w:color="auto" w:fill="DCE7EB"/>
            <w:noWrap/>
          </w:tcPr>
          <w:p w14:paraId="4F729B60" w14:textId="76DBD21D"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1,5</w:t>
            </w:r>
          </w:p>
        </w:tc>
      </w:tr>
      <w:tr w:rsidR="006A3666" w:rsidRPr="00D829F0" w14:paraId="404240D9"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2082671D" w14:textId="77777777" w:rsidR="0066279C" w:rsidRPr="00574374" w:rsidRDefault="0066279C" w:rsidP="005349C0">
            <w:pPr>
              <w:spacing w:before="40" w:after="40"/>
              <w:rPr>
                <w:rFonts w:ascii="Segoe UI Light" w:eastAsia="Times New Roman" w:hAnsi="Segoe UI Light" w:cs="Segoe UI Light"/>
                <w:b w:val="0"/>
                <w:sz w:val="16"/>
                <w:szCs w:val="16"/>
              </w:rPr>
            </w:pPr>
            <w:r w:rsidRPr="00574374">
              <w:rPr>
                <w:rFonts w:ascii="Segoe UI Light" w:eastAsia="Times New Roman" w:hAnsi="Segoe UI Light"/>
                <w:b w:val="0"/>
                <w:sz w:val="16"/>
                <w:szCs w:val="16"/>
              </w:rPr>
              <w:t>Speciālisti</w:t>
            </w:r>
          </w:p>
        </w:tc>
        <w:tc>
          <w:tcPr>
            <w:tcW w:w="680" w:type="dxa"/>
            <w:noWrap/>
          </w:tcPr>
          <w:p w14:paraId="45BA810D" w14:textId="40F0A6DE"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3</w:t>
            </w:r>
          </w:p>
        </w:tc>
        <w:tc>
          <w:tcPr>
            <w:tcW w:w="680" w:type="dxa"/>
            <w:noWrap/>
          </w:tcPr>
          <w:p w14:paraId="1EF5AE6F" w14:textId="56B4D37C"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1,</w:t>
            </w:r>
            <w:r w:rsidRPr="00574374">
              <w:rPr>
                <w:rFonts w:ascii="Segoe UI Light" w:hAnsi="Segoe UI Light" w:cs="Segoe UI Light"/>
                <w:sz w:val="16"/>
                <w:szCs w:val="16"/>
              </w:rPr>
              <w:t>2</w:t>
            </w:r>
          </w:p>
        </w:tc>
        <w:tc>
          <w:tcPr>
            <w:tcW w:w="680" w:type="dxa"/>
            <w:noWrap/>
          </w:tcPr>
          <w:p w14:paraId="5231A294" w14:textId="20F933C7"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7</w:t>
            </w:r>
          </w:p>
        </w:tc>
        <w:tc>
          <w:tcPr>
            <w:tcW w:w="680" w:type="dxa"/>
            <w:noWrap/>
          </w:tcPr>
          <w:p w14:paraId="5536E1D4" w14:textId="35CA264E"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0,7</w:t>
            </w:r>
          </w:p>
        </w:tc>
        <w:tc>
          <w:tcPr>
            <w:tcW w:w="680" w:type="dxa"/>
            <w:noWrap/>
          </w:tcPr>
          <w:p w14:paraId="35826898" w14:textId="6CA9B7B9"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3,8</w:t>
            </w:r>
          </w:p>
        </w:tc>
        <w:tc>
          <w:tcPr>
            <w:tcW w:w="680" w:type="dxa"/>
            <w:noWrap/>
          </w:tcPr>
          <w:p w14:paraId="66F35C3E" w14:textId="2794961B"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9</w:t>
            </w:r>
          </w:p>
        </w:tc>
        <w:tc>
          <w:tcPr>
            <w:tcW w:w="680" w:type="dxa"/>
            <w:noWrap/>
          </w:tcPr>
          <w:p w14:paraId="2126AC3D" w14:textId="1E5BFAC5"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2,2</w:t>
            </w:r>
          </w:p>
        </w:tc>
        <w:tc>
          <w:tcPr>
            <w:tcW w:w="680" w:type="dxa"/>
            <w:noWrap/>
          </w:tcPr>
          <w:p w14:paraId="63AA6159" w14:textId="03A13FC8"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6,0</w:t>
            </w:r>
          </w:p>
        </w:tc>
        <w:tc>
          <w:tcPr>
            <w:tcW w:w="683" w:type="dxa"/>
            <w:noWrap/>
          </w:tcPr>
          <w:p w14:paraId="1A656E39" w14:textId="35127EB5"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10,3</w:t>
            </w:r>
          </w:p>
        </w:tc>
      </w:tr>
      <w:tr w:rsidR="0066279C" w:rsidRPr="00D829F0" w14:paraId="609BD9C3"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48BE8AE4" w14:textId="77777777" w:rsidR="0066279C" w:rsidRPr="00574374" w:rsidRDefault="0066279C" w:rsidP="005349C0">
            <w:pPr>
              <w:spacing w:before="40" w:after="40"/>
              <w:rPr>
                <w:rFonts w:ascii="Segoe UI Light" w:eastAsia="Times New Roman" w:hAnsi="Segoe UI Light" w:cs="Segoe UI Light"/>
                <w:sz w:val="16"/>
                <w:szCs w:val="16"/>
              </w:rPr>
            </w:pPr>
            <w:r w:rsidRPr="00574374">
              <w:rPr>
                <w:rFonts w:ascii="Segoe UI Light" w:eastAsia="Times New Roman" w:hAnsi="Segoe UI Light"/>
                <w:sz w:val="16"/>
                <w:szCs w:val="16"/>
              </w:rPr>
              <w:t>Vidējas kvalifikācijas profesijas, tai skaitā:</w:t>
            </w:r>
          </w:p>
        </w:tc>
        <w:tc>
          <w:tcPr>
            <w:tcW w:w="680" w:type="dxa"/>
            <w:shd w:val="clear" w:color="auto" w:fill="DCE7EB"/>
            <w:noWrap/>
          </w:tcPr>
          <w:p w14:paraId="50E3204C" w14:textId="672009B2"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sz w:val="16"/>
                <w:szCs w:val="16"/>
              </w:rPr>
              <w:t>-</w:t>
            </w:r>
            <w:r w:rsidR="00574374" w:rsidRPr="00574374">
              <w:rPr>
                <w:rFonts w:ascii="Segoe UI Light" w:hAnsi="Segoe UI Light" w:cs="Segoe UI Light"/>
                <w:b/>
                <w:bCs/>
                <w:sz w:val="16"/>
                <w:szCs w:val="16"/>
              </w:rPr>
              <w:t>1,9</w:t>
            </w:r>
          </w:p>
        </w:tc>
        <w:tc>
          <w:tcPr>
            <w:tcW w:w="680" w:type="dxa"/>
            <w:shd w:val="clear" w:color="auto" w:fill="DCE7EB"/>
            <w:noWrap/>
          </w:tcPr>
          <w:p w14:paraId="345AEAC9" w14:textId="2F53ACA9"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w:t>
            </w:r>
            <w:r w:rsidR="0066279C" w:rsidRPr="00574374">
              <w:rPr>
                <w:rFonts w:ascii="Segoe UI Light" w:hAnsi="Segoe UI Light" w:cs="Segoe UI Light"/>
                <w:b/>
                <w:sz w:val="16"/>
                <w:szCs w:val="16"/>
              </w:rPr>
              <w:t>1,</w:t>
            </w:r>
            <w:r w:rsidRPr="00574374">
              <w:rPr>
                <w:rFonts w:ascii="Segoe UI Light" w:hAnsi="Segoe UI Light" w:cs="Segoe UI Light"/>
                <w:b/>
                <w:bCs/>
                <w:sz w:val="16"/>
                <w:szCs w:val="16"/>
              </w:rPr>
              <w:t>5</w:t>
            </w:r>
          </w:p>
        </w:tc>
        <w:tc>
          <w:tcPr>
            <w:tcW w:w="680" w:type="dxa"/>
            <w:shd w:val="clear" w:color="auto" w:fill="DCE7EB"/>
            <w:noWrap/>
          </w:tcPr>
          <w:p w14:paraId="1EEDFF6E" w14:textId="62FA4F5E"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sz w:val="16"/>
                <w:szCs w:val="16"/>
              </w:rPr>
              <w:t>-0,</w:t>
            </w:r>
            <w:r w:rsidR="00574374" w:rsidRPr="00574374">
              <w:rPr>
                <w:rFonts w:ascii="Segoe UI Light" w:hAnsi="Segoe UI Light" w:cs="Segoe UI Light"/>
                <w:b/>
                <w:bCs/>
                <w:sz w:val="16"/>
                <w:szCs w:val="16"/>
              </w:rPr>
              <w:t>1</w:t>
            </w:r>
          </w:p>
        </w:tc>
        <w:tc>
          <w:tcPr>
            <w:tcW w:w="680" w:type="dxa"/>
            <w:shd w:val="clear" w:color="auto" w:fill="DCE7EB"/>
            <w:noWrap/>
          </w:tcPr>
          <w:p w14:paraId="2B6CF3B5" w14:textId="69393F98"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sz w:val="16"/>
                <w:szCs w:val="16"/>
              </w:rPr>
              <w:t>-</w:t>
            </w:r>
            <w:r w:rsidR="00574374" w:rsidRPr="00574374">
              <w:rPr>
                <w:rFonts w:ascii="Segoe UI Light" w:hAnsi="Segoe UI Light" w:cs="Segoe UI Light"/>
                <w:b/>
                <w:bCs/>
                <w:sz w:val="16"/>
                <w:szCs w:val="16"/>
              </w:rPr>
              <w:t>5,8</w:t>
            </w:r>
          </w:p>
        </w:tc>
        <w:tc>
          <w:tcPr>
            <w:tcW w:w="680" w:type="dxa"/>
            <w:shd w:val="clear" w:color="auto" w:fill="DCE7EB"/>
            <w:noWrap/>
          </w:tcPr>
          <w:p w14:paraId="0DCE2AF1" w14:textId="27895503"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-4,8</w:t>
            </w:r>
          </w:p>
        </w:tc>
        <w:tc>
          <w:tcPr>
            <w:tcW w:w="680" w:type="dxa"/>
            <w:shd w:val="clear" w:color="auto" w:fill="DCE7EB"/>
            <w:noWrap/>
          </w:tcPr>
          <w:p w14:paraId="39521E44" w14:textId="420A1353"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-5,1</w:t>
            </w:r>
          </w:p>
        </w:tc>
        <w:tc>
          <w:tcPr>
            <w:tcW w:w="680" w:type="dxa"/>
            <w:shd w:val="clear" w:color="auto" w:fill="DCE7EB"/>
            <w:noWrap/>
          </w:tcPr>
          <w:p w14:paraId="1E5FF1D1" w14:textId="28317417"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6,2</w:t>
            </w:r>
          </w:p>
        </w:tc>
        <w:tc>
          <w:tcPr>
            <w:tcW w:w="680" w:type="dxa"/>
            <w:shd w:val="clear" w:color="auto" w:fill="DCE7EB"/>
            <w:noWrap/>
          </w:tcPr>
          <w:p w14:paraId="61CCB3F8" w14:textId="74FFEB07"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6,8</w:t>
            </w:r>
          </w:p>
        </w:tc>
        <w:tc>
          <w:tcPr>
            <w:tcW w:w="683" w:type="dxa"/>
            <w:shd w:val="clear" w:color="auto" w:fill="DCE7EB"/>
            <w:noWrap/>
          </w:tcPr>
          <w:p w14:paraId="05211128" w14:textId="26B6D8EE"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-6,2</w:t>
            </w:r>
          </w:p>
        </w:tc>
      </w:tr>
      <w:tr w:rsidR="006A3666" w:rsidRPr="00D829F0" w14:paraId="03E85B92"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55FDEA73" w14:textId="77777777" w:rsidR="0066279C" w:rsidRPr="00574374" w:rsidRDefault="0066279C" w:rsidP="005349C0">
            <w:pPr>
              <w:spacing w:before="40" w:after="40"/>
              <w:rPr>
                <w:rFonts w:ascii="Segoe UI Light" w:eastAsia="Times New Roman" w:hAnsi="Segoe UI Light" w:cs="Segoe UI Light"/>
                <w:b w:val="0"/>
                <w:sz w:val="16"/>
                <w:szCs w:val="16"/>
              </w:rPr>
            </w:pPr>
            <w:r w:rsidRPr="00574374">
              <w:rPr>
                <w:rFonts w:ascii="Segoe UI Light" w:eastAsia="Times New Roman" w:hAnsi="Segoe UI Light"/>
                <w:b w:val="0"/>
                <w:sz w:val="16"/>
                <w:szCs w:val="16"/>
              </w:rPr>
              <w:t>Iestāžu kalpotāji</w:t>
            </w:r>
          </w:p>
        </w:tc>
        <w:tc>
          <w:tcPr>
            <w:tcW w:w="680" w:type="dxa"/>
            <w:noWrap/>
          </w:tcPr>
          <w:p w14:paraId="09182B1A" w14:textId="21F10A90"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3</w:t>
            </w:r>
          </w:p>
        </w:tc>
        <w:tc>
          <w:tcPr>
            <w:tcW w:w="680" w:type="dxa"/>
            <w:noWrap/>
          </w:tcPr>
          <w:p w14:paraId="7F3A3871" w14:textId="1FAEA655"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-2,5</w:t>
            </w:r>
          </w:p>
        </w:tc>
        <w:tc>
          <w:tcPr>
            <w:tcW w:w="680" w:type="dxa"/>
            <w:noWrap/>
          </w:tcPr>
          <w:p w14:paraId="7794497F" w14:textId="64503E9C"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7</w:t>
            </w:r>
          </w:p>
        </w:tc>
        <w:tc>
          <w:tcPr>
            <w:tcW w:w="680" w:type="dxa"/>
            <w:noWrap/>
          </w:tcPr>
          <w:p w14:paraId="0ED4967C" w14:textId="1BE2A54C"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1</w:t>
            </w:r>
          </w:p>
        </w:tc>
        <w:tc>
          <w:tcPr>
            <w:tcW w:w="680" w:type="dxa"/>
            <w:noWrap/>
          </w:tcPr>
          <w:p w14:paraId="0C9DC494" w14:textId="5C3DEBCC"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2</w:t>
            </w:r>
          </w:p>
        </w:tc>
        <w:tc>
          <w:tcPr>
            <w:tcW w:w="680" w:type="dxa"/>
            <w:noWrap/>
          </w:tcPr>
          <w:p w14:paraId="1B8B17B7" w14:textId="66DB3C95"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7</w:t>
            </w:r>
          </w:p>
        </w:tc>
        <w:tc>
          <w:tcPr>
            <w:tcW w:w="680" w:type="dxa"/>
            <w:noWrap/>
          </w:tcPr>
          <w:p w14:paraId="421998ED" w14:textId="12A7DEAA"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2,</w:t>
            </w:r>
            <w:r w:rsidR="00574374" w:rsidRPr="00574374">
              <w:rPr>
                <w:rFonts w:ascii="Segoe UI Light" w:hAnsi="Segoe UI Light" w:cs="Segoe UI Light"/>
                <w:sz w:val="16"/>
                <w:szCs w:val="16"/>
              </w:rPr>
              <w:t>7</w:t>
            </w:r>
          </w:p>
        </w:tc>
        <w:tc>
          <w:tcPr>
            <w:tcW w:w="680" w:type="dxa"/>
            <w:noWrap/>
          </w:tcPr>
          <w:p w14:paraId="6B0CA6F1" w14:textId="590AB9D4"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2</w:t>
            </w:r>
          </w:p>
        </w:tc>
        <w:tc>
          <w:tcPr>
            <w:tcW w:w="683" w:type="dxa"/>
            <w:noWrap/>
          </w:tcPr>
          <w:p w14:paraId="5F6D6C80" w14:textId="7955167F"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-1,3</w:t>
            </w:r>
          </w:p>
        </w:tc>
      </w:tr>
      <w:tr w:rsidR="0066279C" w:rsidRPr="00D829F0" w14:paraId="6BA5B15A"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040DA731" w14:textId="77777777" w:rsidR="0066279C" w:rsidRPr="00574374" w:rsidRDefault="0066279C" w:rsidP="005349C0">
            <w:pPr>
              <w:spacing w:before="40" w:after="40"/>
              <w:rPr>
                <w:rFonts w:ascii="Segoe UI Light" w:eastAsia="Times New Roman" w:hAnsi="Segoe UI Light" w:cs="Segoe UI Light"/>
                <w:b w:val="0"/>
                <w:sz w:val="16"/>
                <w:szCs w:val="16"/>
              </w:rPr>
            </w:pPr>
            <w:r w:rsidRPr="00574374">
              <w:rPr>
                <w:rFonts w:ascii="Segoe UI Light" w:eastAsia="Times New Roman" w:hAnsi="Segoe UI Light"/>
                <w:b w:val="0"/>
                <w:sz w:val="16"/>
                <w:szCs w:val="16"/>
              </w:rPr>
              <w:t>Pakalpojumu un tirdzniecības darbinieki</w:t>
            </w:r>
          </w:p>
        </w:tc>
        <w:tc>
          <w:tcPr>
            <w:tcW w:w="680" w:type="dxa"/>
            <w:shd w:val="clear" w:color="auto" w:fill="DCE7EB"/>
            <w:noWrap/>
          </w:tcPr>
          <w:p w14:paraId="1AD3AA4A" w14:textId="7198DF37"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1</w:t>
            </w:r>
          </w:p>
        </w:tc>
        <w:tc>
          <w:tcPr>
            <w:tcW w:w="680" w:type="dxa"/>
            <w:shd w:val="clear" w:color="auto" w:fill="DCE7EB"/>
            <w:noWrap/>
          </w:tcPr>
          <w:p w14:paraId="4538A828" w14:textId="77777777"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-0,1</w:t>
            </w:r>
          </w:p>
        </w:tc>
        <w:tc>
          <w:tcPr>
            <w:tcW w:w="680" w:type="dxa"/>
            <w:shd w:val="clear" w:color="auto" w:fill="DCE7EB"/>
            <w:noWrap/>
          </w:tcPr>
          <w:p w14:paraId="2997E71E" w14:textId="2AFAC706"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1</w:t>
            </w:r>
          </w:p>
        </w:tc>
        <w:tc>
          <w:tcPr>
            <w:tcW w:w="680" w:type="dxa"/>
            <w:shd w:val="clear" w:color="auto" w:fill="DCE7EB"/>
            <w:noWrap/>
          </w:tcPr>
          <w:p w14:paraId="438A228B" w14:textId="537511FC"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1</w:t>
            </w:r>
          </w:p>
        </w:tc>
        <w:tc>
          <w:tcPr>
            <w:tcW w:w="680" w:type="dxa"/>
            <w:shd w:val="clear" w:color="auto" w:fill="DCE7EB"/>
            <w:noWrap/>
          </w:tcPr>
          <w:p w14:paraId="255C14A0" w14:textId="2230160E"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2,</w:t>
            </w:r>
            <w:r w:rsidRPr="00574374">
              <w:rPr>
                <w:rFonts w:ascii="Segoe UI Light" w:hAnsi="Segoe UI Light" w:cs="Segoe UI Light"/>
                <w:sz w:val="16"/>
                <w:szCs w:val="16"/>
              </w:rPr>
              <w:t>4</w:t>
            </w:r>
          </w:p>
        </w:tc>
        <w:tc>
          <w:tcPr>
            <w:tcW w:w="680" w:type="dxa"/>
            <w:shd w:val="clear" w:color="auto" w:fill="DCE7EB"/>
            <w:noWrap/>
          </w:tcPr>
          <w:p w14:paraId="589007B4" w14:textId="65847411"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0</w:t>
            </w:r>
          </w:p>
        </w:tc>
        <w:tc>
          <w:tcPr>
            <w:tcW w:w="680" w:type="dxa"/>
            <w:shd w:val="clear" w:color="auto" w:fill="DCE7EB"/>
            <w:noWrap/>
          </w:tcPr>
          <w:p w14:paraId="28846C78" w14:textId="45FBEFA3"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4,4</w:t>
            </w:r>
          </w:p>
        </w:tc>
        <w:tc>
          <w:tcPr>
            <w:tcW w:w="680" w:type="dxa"/>
            <w:shd w:val="clear" w:color="auto" w:fill="DCE7EB"/>
            <w:noWrap/>
          </w:tcPr>
          <w:p w14:paraId="7B41F688" w14:textId="463F7BE9"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4</w:t>
            </w:r>
            <w:r w:rsidR="0066279C" w:rsidRPr="00574374">
              <w:rPr>
                <w:rFonts w:ascii="Segoe UI Light" w:hAnsi="Segoe UI Light" w:cs="Segoe UI Light"/>
                <w:sz w:val="16"/>
                <w:szCs w:val="16"/>
              </w:rPr>
              <w:t>,6</w:t>
            </w:r>
          </w:p>
        </w:tc>
        <w:tc>
          <w:tcPr>
            <w:tcW w:w="683" w:type="dxa"/>
            <w:shd w:val="clear" w:color="auto" w:fill="DCE7EB"/>
            <w:noWrap/>
          </w:tcPr>
          <w:p w14:paraId="2C9BAF6D" w14:textId="5B834160"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6,4</w:t>
            </w:r>
          </w:p>
        </w:tc>
      </w:tr>
      <w:tr w:rsidR="006A3666" w:rsidRPr="00D829F0" w14:paraId="369BA66E"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4E91B1D8" w14:textId="77777777" w:rsidR="0066279C" w:rsidRPr="00574374" w:rsidRDefault="0066279C" w:rsidP="005349C0">
            <w:pPr>
              <w:spacing w:before="40" w:after="40"/>
              <w:rPr>
                <w:rFonts w:ascii="Segoe UI Light" w:eastAsia="Times New Roman" w:hAnsi="Segoe UI Light" w:cs="Segoe UI Light"/>
                <w:b w:val="0"/>
                <w:sz w:val="16"/>
                <w:szCs w:val="16"/>
              </w:rPr>
            </w:pPr>
            <w:r w:rsidRPr="00574374">
              <w:rPr>
                <w:rFonts w:ascii="Segoe UI Light" w:eastAsia="Times New Roman" w:hAnsi="Segoe UI Light"/>
                <w:b w:val="0"/>
                <w:sz w:val="16"/>
                <w:szCs w:val="16"/>
              </w:rPr>
              <w:t>Kvalificēti lauksaimniecības darbinieki</w:t>
            </w:r>
          </w:p>
        </w:tc>
        <w:tc>
          <w:tcPr>
            <w:tcW w:w="680" w:type="dxa"/>
            <w:noWrap/>
          </w:tcPr>
          <w:p w14:paraId="466097E4" w14:textId="7F933505"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-2,9</w:t>
            </w:r>
          </w:p>
        </w:tc>
        <w:tc>
          <w:tcPr>
            <w:tcW w:w="680" w:type="dxa"/>
            <w:noWrap/>
          </w:tcPr>
          <w:p w14:paraId="02AFD94D" w14:textId="5BE33E57"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0,5</w:t>
            </w:r>
          </w:p>
        </w:tc>
        <w:tc>
          <w:tcPr>
            <w:tcW w:w="680" w:type="dxa"/>
            <w:noWrap/>
          </w:tcPr>
          <w:p w14:paraId="2F301FC9" w14:textId="78FE59D9"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0,0</w:t>
            </w:r>
          </w:p>
        </w:tc>
        <w:tc>
          <w:tcPr>
            <w:tcW w:w="680" w:type="dxa"/>
            <w:noWrap/>
          </w:tcPr>
          <w:p w14:paraId="6440406E" w14:textId="77777777"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0,0</w:t>
            </w:r>
          </w:p>
        </w:tc>
        <w:tc>
          <w:tcPr>
            <w:tcW w:w="680" w:type="dxa"/>
            <w:noWrap/>
          </w:tcPr>
          <w:p w14:paraId="0FF4A7B6" w14:textId="0F47F923"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0,0</w:t>
            </w:r>
          </w:p>
        </w:tc>
        <w:tc>
          <w:tcPr>
            <w:tcW w:w="680" w:type="dxa"/>
            <w:noWrap/>
          </w:tcPr>
          <w:p w14:paraId="37D2AC3D" w14:textId="045DEEA8"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1</w:t>
            </w:r>
          </w:p>
        </w:tc>
        <w:tc>
          <w:tcPr>
            <w:tcW w:w="680" w:type="dxa"/>
            <w:noWrap/>
          </w:tcPr>
          <w:p w14:paraId="28265FB3" w14:textId="707BA0AE"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3</w:t>
            </w:r>
          </w:p>
        </w:tc>
        <w:tc>
          <w:tcPr>
            <w:tcW w:w="680" w:type="dxa"/>
            <w:noWrap/>
          </w:tcPr>
          <w:p w14:paraId="63323110" w14:textId="38743C29"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1</w:t>
            </w:r>
          </w:p>
        </w:tc>
        <w:tc>
          <w:tcPr>
            <w:tcW w:w="683" w:type="dxa"/>
            <w:noWrap/>
          </w:tcPr>
          <w:p w14:paraId="17912741" w14:textId="26C328F8"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-3,5</w:t>
            </w:r>
          </w:p>
        </w:tc>
      </w:tr>
      <w:tr w:rsidR="0066279C" w:rsidRPr="00D829F0" w14:paraId="096F1776"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0C4C9E2F" w14:textId="77777777" w:rsidR="0066279C" w:rsidRPr="00574374" w:rsidRDefault="0066279C" w:rsidP="005349C0">
            <w:pPr>
              <w:spacing w:before="40" w:after="40"/>
              <w:rPr>
                <w:rFonts w:ascii="Segoe UI Light" w:eastAsia="Times New Roman" w:hAnsi="Segoe UI Light" w:cs="Segoe UI Light"/>
                <w:b w:val="0"/>
                <w:sz w:val="16"/>
                <w:szCs w:val="16"/>
              </w:rPr>
            </w:pPr>
            <w:r w:rsidRPr="00574374">
              <w:rPr>
                <w:rFonts w:ascii="Segoe UI Light" w:eastAsia="Times New Roman" w:hAnsi="Segoe UI Light"/>
                <w:b w:val="0"/>
                <w:sz w:val="16"/>
                <w:szCs w:val="16"/>
              </w:rPr>
              <w:t>Kvalificēti strādnieki</w:t>
            </w:r>
          </w:p>
        </w:tc>
        <w:tc>
          <w:tcPr>
            <w:tcW w:w="680" w:type="dxa"/>
            <w:shd w:val="clear" w:color="auto" w:fill="DCE7EB"/>
            <w:noWrap/>
          </w:tcPr>
          <w:p w14:paraId="725D2AD7" w14:textId="3A44DBB6"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3</w:t>
            </w:r>
          </w:p>
        </w:tc>
        <w:tc>
          <w:tcPr>
            <w:tcW w:w="680" w:type="dxa"/>
            <w:shd w:val="clear" w:color="auto" w:fill="DCE7EB"/>
            <w:noWrap/>
          </w:tcPr>
          <w:p w14:paraId="7B417C07" w14:textId="666BB234"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5</w:t>
            </w:r>
            <w:r w:rsidR="0066279C" w:rsidRPr="00574374">
              <w:rPr>
                <w:rFonts w:ascii="Segoe UI Light" w:hAnsi="Segoe UI Light" w:cs="Segoe UI Light"/>
                <w:sz w:val="16"/>
                <w:szCs w:val="16"/>
              </w:rPr>
              <w:t>,2</w:t>
            </w:r>
          </w:p>
        </w:tc>
        <w:tc>
          <w:tcPr>
            <w:tcW w:w="680" w:type="dxa"/>
            <w:shd w:val="clear" w:color="auto" w:fill="DCE7EB"/>
            <w:noWrap/>
          </w:tcPr>
          <w:p w14:paraId="1A40178D" w14:textId="3E2F9FA4"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8</w:t>
            </w:r>
          </w:p>
        </w:tc>
        <w:tc>
          <w:tcPr>
            <w:tcW w:w="680" w:type="dxa"/>
            <w:shd w:val="clear" w:color="auto" w:fill="DCE7EB"/>
            <w:noWrap/>
          </w:tcPr>
          <w:p w14:paraId="27D42B34" w14:textId="1F23B327"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574374" w:rsidRPr="00574374">
              <w:rPr>
                <w:rFonts w:ascii="Segoe UI Light" w:hAnsi="Segoe UI Light" w:cs="Segoe UI Light"/>
                <w:sz w:val="16"/>
                <w:szCs w:val="16"/>
              </w:rPr>
              <w:t>5,6</w:t>
            </w:r>
          </w:p>
        </w:tc>
        <w:tc>
          <w:tcPr>
            <w:tcW w:w="680" w:type="dxa"/>
            <w:shd w:val="clear" w:color="auto" w:fill="DCE7EB"/>
            <w:noWrap/>
          </w:tcPr>
          <w:p w14:paraId="118A3F76" w14:textId="10D46606"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-2,1</w:t>
            </w:r>
          </w:p>
        </w:tc>
        <w:tc>
          <w:tcPr>
            <w:tcW w:w="680" w:type="dxa"/>
            <w:shd w:val="clear" w:color="auto" w:fill="DCE7EB"/>
            <w:noWrap/>
          </w:tcPr>
          <w:p w14:paraId="7FB155F9" w14:textId="167F4B72"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2</w:t>
            </w:r>
          </w:p>
        </w:tc>
        <w:tc>
          <w:tcPr>
            <w:tcW w:w="680" w:type="dxa"/>
            <w:shd w:val="clear" w:color="auto" w:fill="DCE7EB"/>
            <w:noWrap/>
          </w:tcPr>
          <w:p w14:paraId="513C35EE" w14:textId="79271153"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,9</w:t>
            </w:r>
          </w:p>
        </w:tc>
        <w:tc>
          <w:tcPr>
            <w:tcW w:w="680" w:type="dxa"/>
            <w:shd w:val="clear" w:color="auto" w:fill="DCE7EB"/>
            <w:noWrap/>
          </w:tcPr>
          <w:p w14:paraId="0DEDCAB3" w14:textId="6111B3B7"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0,3</w:t>
            </w:r>
          </w:p>
        </w:tc>
        <w:tc>
          <w:tcPr>
            <w:tcW w:w="683" w:type="dxa"/>
            <w:shd w:val="clear" w:color="auto" w:fill="DCE7EB"/>
            <w:noWrap/>
          </w:tcPr>
          <w:p w14:paraId="7685E354" w14:textId="4CBA1FF4"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574374" w:rsidRPr="00574374">
              <w:rPr>
                <w:rFonts w:ascii="Segoe UI Light" w:hAnsi="Segoe UI Light" w:cs="Segoe UI Light"/>
                <w:sz w:val="16"/>
                <w:szCs w:val="16"/>
              </w:rPr>
              <w:t>1</w:t>
            </w:r>
            <w:r w:rsidRPr="00574374">
              <w:rPr>
                <w:rFonts w:ascii="Segoe UI Light" w:hAnsi="Segoe UI Light" w:cs="Segoe UI Light"/>
                <w:sz w:val="16"/>
                <w:szCs w:val="16"/>
              </w:rPr>
              <w:t>,8</w:t>
            </w:r>
          </w:p>
        </w:tc>
      </w:tr>
      <w:tr w:rsidR="006A3666" w:rsidRPr="00D829F0" w14:paraId="53581B32"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05E3CCC8" w14:textId="77777777" w:rsidR="0066279C" w:rsidRPr="00574374" w:rsidRDefault="0066279C" w:rsidP="005349C0">
            <w:pPr>
              <w:spacing w:before="40" w:after="40"/>
              <w:rPr>
                <w:rFonts w:ascii="Segoe UI Light" w:eastAsia="Times New Roman" w:hAnsi="Segoe UI Light"/>
                <w:b w:val="0"/>
                <w:sz w:val="16"/>
                <w:szCs w:val="16"/>
              </w:rPr>
            </w:pPr>
            <w:r w:rsidRPr="00574374">
              <w:rPr>
                <w:rFonts w:ascii="Segoe UI Light" w:eastAsia="Times New Roman" w:hAnsi="Segoe UI Light"/>
                <w:b w:val="0"/>
                <w:sz w:val="16"/>
                <w:szCs w:val="16"/>
              </w:rPr>
              <w:t>Iekārtu un mašīnu operatori</w:t>
            </w:r>
          </w:p>
        </w:tc>
        <w:tc>
          <w:tcPr>
            <w:tcW w:w="680" w:type="dxa"/>
            <w:noWrap/>
          </w:tcPr>
          <w:p w14:paraId="0F33D001" w14:textId="605DDDEF"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1,</w:t>
            </w:r>
            <w:r w:rsidR="00574374" w:rsidRPr="00574374">
              <w:rPr>
                <w:rFonts w:ascii="Segoe UI Light" w:hAnsi="Segoe UI Light" w:cs="Segoe UI Light"/>
                <w:sz w:val="16"/>
                <w:szCs w:val="16"/>
              </w:rPr>
              <w:t>0</w:t>
            </w:r>
          </w:p>
        </w:tc>
        <w:tc>
          <w:tcPr>
            <w:tcW w:w="680" w:type="dxa"/>
            <w:noWrap/>
          </w:tcPr>
          <w:p w14:paraId="51BF6472" w14:textId="0DF711EA"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-3</w:t>
            </w:r>
            <w:r w:rsidR="0066279C" w:rsidRPr="00574374">
              <w:rPr>
                <w:rFonts w:ascii="Segoe UI Light" w:hAnsi="Segoe UI Light" w:cs="Segoe UI Light"/>
                <w:sz w:val="16"/>
                <w:szCs w:val="16"/>
              </w:rPr>
              <w:t>,6</w:t>
            </w:r>
          </w:p>
        </w:tc>
        <w:tc>
          <w:tcPr>
            <w:tcW w:w="680" w:type="dxa"/>
            <w:noWrap/>
          </w:tcPr>
          <w:p w14:paraId="367D3817" w14:textId="23510EBC"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2</w:t>
            </w:r>
          </w:p>
        </w:tc>
        <w:tc>
          <w:tcPr>
            <w:tcW w:w="680" w:type="dxa"/>
            <w:noWrap/>
          </w:tcPr>
          <w:p w14:paraId="7CDD998D" w14:textId="0F9E6D04"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574374" w:rsidRPr="00574374">
              <w:rPr>
                <w:rFonts w:ascii="Segoe UI Light" w:hAnsi="Segoe UI Light" w:cs="Segoe UI Light"/>
                <w:sz w:val="16"/>
                <w:szCs w:val="16"/>
              </w:rPr>
              <w:t>0</w:t>
            </w:r>
            <w:r w:rsidRPr="00574374">
              <w:rPr>
                <w:rFonts w:ascii="Segoe UI Light" w:hAnsi="Segoe UI Light" w:cs="Segoe UI Light"/>
                <w:sz w:val="16"/>
                <w:szCs w:val="16"/>
              </w:rPr>
              <w:t>,2</w:t>
            </w:r>
          </w:p>
        </w:tc>
        <w:tc>
          <w:tcPr>
            <w:tcW w:w="680" w:type="dxa"/>
            <w:noWrap/>
          </w:tcPr>
          <w:p w14:paraId="5C58B633" w14:textId="775D13C8"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0,</w:t>
            </w:r>
            <w:r w:rsidRPr="00574374">
              <w:rPr>
                <w:rFonts w:ascii="Segoe UI Light" w:hAnsi="Segoe UI Light" w:cs="Segoe UI Light"/>
                <w:sz w:val="16"/>
                <w:szCs w:val="16"/>
              </w:rPr>
              <w:t>5</w:t>
            </w:r>
          </w:p>
        </w:tc>
        <w:tc>
          <w:tcPr>
            <w:tcW w:w="680" w:type="dxa"/>
            <w:noWrap/>
          </w:tcPr>
          <w:p w14:paraId="5252A5A8" w14:textId="76531110"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66279C" w:rsidRPr="00574374">
              <w:rPr>
                <w:rFonts w:ascii="Segoe UI Light" w:hAnsi="Segoe UI Light" w:cs="Segoe UI Light"/>
                <w:sz w:val="16"/>
                <w:szCs w:val="16"/>
              </w:rPr>
              <w:t>4</w:t>
            </w:r>
            <w:r w:rsidRPr="00574374">
              <w:rPr>
                <w:rFonts w:ascii="Segoe UI Light" w:hAnsi="Segoe UI Light" w:cs="Segoe UI Light"/>
                <w:sz w:val="16"/>
                <w:szCs w:val="16"/>
              </w:rPr>
              <w:t>,7</w:t>
            </w:r>
          </w:p>
        </w:tc>
        <w:tc>
          <w:tcPr>
            <w:tcW w:w="680" w:type="dxa"/>
            <w:noWrap/>
          </w:tcPr>
          <w:p w14:paraId="47AA03C9" w14:textId="21893DE5"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0,</w:t>
            </w:r>
            <w:r w:rsidR="00574374" w:rsidRPr="00574374">
              <w:rPr>
                <w:rFonts w:ascii="Segoe UI Light" w:hAnsi="Segoe UI Light" w:cs="Segoe UI Light"/>
                <w:sz w:val="16"/>
                <w:szCs w:val="16"/>
              </w:rPr>
              <w:t>1</w:t>
            </w:r>
          </w:p>
        </w:tc>
        <w:tc>
          <w:tcPr>
            <w:tcW w:w="680" w:type="dxa"/>
            <w:noWrap/>
          </w:tcPr>
          <w:p w14:paraId="6060031E" w14:textId="24039819"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2,0</w:t>
            </w:r>
          </w:p>
        </w:tc>
        <w:tc>
          <w:tcPr>
            <w:tcW w:w="683" w:type="dxa"/>
            <w:noWrap/>
          </w:tcPr>
          <w:p w14:paraId="5E649294" w14:textId="3C1F876D"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574374">
              <w:rPr>
                <w:rFonts w:ascii="Segoe UI Light" w:hAnsi="Segoe UI Light" w:cs="Segoe UI Light"/>
                <w:sz w:val="16"/>
                <w:szCs w:val="16"/>
              </w:rPr>
              <w:t>-</w:t>
            </w:r>
            <w:r w:rsidR="00574374" w:rsidRPr="00574374">
              <w:rPr>
                <w:rFonts w:ascii="Segoe UI Light" w:hAnsi="Segoe UI Light" w:cs="Segoe UI Light"/>
                <w:sz w:val="16"/>
                <w:szCs w:val="16"/>
              </w:rPr>
              <w:t>6,</w:t>
            </w:r>
            <w:r w:rsidRPr="00574374">
              <w:rPr>
                <w:rFonts w:ascii="Segoe UI Light" w:hAnsi="Segoe UI Light" w:cs="Segoe UI Light"/>
                <w:sz w:val="16"/>
                <w:szCs w:val="16"/>
              </w:rPr>
              <w:t>0</w:t>
            </w:r>
          </w:p>
        </w:tc>
      </w:tr>
      <w:tr w:rsidR="0066279C" w:rsidRPr="00D829F0" w14:paraId="62BC0111" w14:textId="77777777" w:rsidTr="009773F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shd w:val="clear" w:color="auto" w:fill="DCE7EB"/>
            <w:noWrap/>
          </w:tcPr>
          <w:p w14:paraId="7618286C" w14:textId="77777777" w:rsidR="0066279C" w:rsidRPr="00574374" w:rsidRDefault="0066279C" w:rsidP="005349C0">
            <w:pPr>
              <w:spacing w:before="40" w:after="40"/>
              <w:rPr>
                <w:rFonts w:ascii="Segoe UI Light" w:eastAsia="Times New Roman" w:hAnsi="Segoe UI Light"/>
                <w:sz w:val="16"/>
                <w:szCs w:val="16"/>
              </w:rPr>
            </w:pPr>
            <w:r w:rsidRPr="00574374">
              <w:rPr>
                <w:rFonts w:ascii="Segoe UI Light" w:eastAsia="Times New Roman" w:hAnsi="Segoe UI Light"/>
                <w:sz w:val="16"/>
                <w:szCs w:val="16"/>
              </w:rPr>
              <w:t>Zemas kvalifikācijas profesijas</w:t>
            </w:r>
          </w:p>
        </w:tc>
        <w:tc>
          <w:tcPr>
            <w:tcW w:w="680" w:type="dxa"/>
            <w:shd w:val="clear" w:color="auto" w:fill="DCE7EB"/>
            <w:noWrap/>
          </w:tcPr>
          <w:p w14:paraId="17D3C095" w14:textId="57847B5D"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w:t>
            </w:r>
            <w:r w:rsidR="0066279C" w:rsidRPr="00574374">
              <w:rPr>
                <w:rFonts w:ascii="Segoe UI Light" w:hAnsi="Segoe UI Light" w:cs="Segoe UI Light"/>
                <w:b/>
                <w:sz w:val="16"/>
                <w:szCs w:val="16"/>
              </w:rPr>
              <w:t>0,</w:t>
            </w:r>
            <w:r w:rsidRPr="00574374">
              <w:rPr>
                <w:rFonts w:ascii="Segoe UI Light" w:hAnsi="Segoe UI Light" w:cs="Segoe UI Light"/>
                <w:b/>
                <w:bCs/>
                <w:sz w:val="16"/>
                <w:szCs w:val="16"/>
              </w:rPr>
              <w:t>6</w:t>
            </w:r>
          </w:p>
        </w:tc>
        <w:tc>
          <w:tcPr>
            <w:tcW w:w="680" w:type="dxa"/>
            <w:shd w:val="clear" w:color="auto" w:fill="DCE7EB"/>
            <w:noWrap/>
          </w:tcPr>
          <w:p w14:paraId="318FC5A8" w14:textId="3A7AAD6D" w:rsidR="0066279C" w:rsidRPr="0057437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sz w:val="16"/>
                <w:szCs w:val="16"/>
              </w:rPr>
              <w:t>0,</w:t>
            </w:r>
            <w:r w:rsidR="00574374" w:rsidRPr="00574374">
              <w:rPr>
                <w:rFonts w:ascii="Segoe UI Light" w:hAnsi="Segoe UI Light" w:cs="Segoe UI Light"/>
                <w:b/>
                <w:bCs/>
                <w:sz w:val="16"/>
                <w:szCs w:val="16"/>
              </w:rPr>
              <w:t>1</w:t>
            </w:r>
          </w:p>
        </w:tc>
        <w:tc>
          <w:tcPr>
            <w:tcW w:w="680" w:type="dxa"/>
            <w:shd w:val="clear" w:color="auto" w:fill="DCE7EB"/>
            <w:noWrap/>
          </w:tcPr>
          <w:p w14:paraId="739E9A57" w14:textId="554FC9CE"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0,6</w:t>
            </w:r>
          </w:p>
        </w:tc>
        <w:tc>
          <w:tcPr>
            <w:tcW w:w="680" w:type="dxa"/>
            <w:shd w:val="clear" w:color="auto" w:fill="DCE7EB"/>
            <w:noWrap/>
          </w:tcPr>
          <w:p w14:paraId="2693F36B" w14:textId="4FF557F1"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-2,0</w:t>
            </w:r>
          </w:p>
        </w:tc>
        <w:tc>
          <w:tcPr>
            <w:tcW w:w="680" w:type="dxa"/>
            <w:shd w:val="clear" w:color="auto" w:fill="DCE7EB"/>
            <w:noWrap/>
          </w:tcPr>
          <w:p w14:paraId="14EE146F" w14:textId="160F2E1A"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1,7</w:t>
            </w:r>
          </w:p>
        </w:tc>
        <w:tc>
          <w:tcPr>
            <w:tcW w:w="680" w:type="dxa"/>
            <w:shd w:val="clear" w:color="auto" w:fill="DCE7EB"/>
            <w:noWrap/>
          </w:tcPr>
          <w:p w14:paraId="0C92A185" w14:textId="40B6B940"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w:t>
            </w:r>
            <w:r w:rsidR="0066279C" w:rsidRPr="00574374">
              <w:rPr>
                <w:rFonts w:ascii="Segoe UI Light" w:hAnsi="Segoe UI Light" w:cs="Segoe UI Light"/>
                <w:b/>
                <w:sz w:val="16"/>
                <w:szCs w:val="16"/>
              </w:rPr>
              <w:t>0,</w:t>
            </w:r>
            <w:r w:rsidRPr="00574374">
              <w:rPr>
                <w:rFonts w:ascii="Segoe UI Light" w:hAnsi="Segoe UI Light" w:cs="Segoe UI Light"/>
                <w:b/>
                <w:bCs/>
                <w:sz w:val="16"/>
                <w:szCs w:val="16"/>
              </w:rPr>
              <w:t>8</w:t>
            </w:r>
          </w:p>
        </w:tc>
        <w:tc>
          <w:tcPr>
            <w:tcW w:w="680" w:type="dxa"/>
            <w:shd w:val="clear" w:color="auto" w:fill="DCE7EB"/>
            <w:noWrap/>
          </w:tcPr>
          <w:p w14:paraId="704B31D2" w14:textId="03689946"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w:t>
            </w:r>
            <w:r w:rsidR="0066279C" w:rsidRPr="00574374">
              <w:rPr>
                <w:rFonts w:ascii="Segoe UI Light" w:hAnsi="Segoe UI Light" w:cs="Segoe UI Light"/>
                <w:b/>
                <w:sz w:val="16"/>
                <w:szCs w:val="16"/>
              </w:rPr>
              <w:t>1,</w:t>
            </w:r>
            <w:r w:rsidRPr="00574374">
              <w:rPr>
                <w:rFonts w:ascii="Segoe UI Light" w:hAnsi="Segoe UI Light" w:cs="Segoe UI Light"/>
                <w:b/>
                <w:bCs/>
                <w:sz w:val="16"/>
                <w:szCs w:val="16"/>
              </w:rPr>
              <w:t>5</w:t>
            </w:r>
          </w:p>
        </w:tc>
        <w:tc>
          <w:tcPr>
            <w:tcW w:w="680" w:type="dxa"/>
            <w:shd w:val="clear" w:color="auto" w:fill="DCE7EB"/>
            <w:noWrap/>
          </w:tcPr>
          <w:p w14:paraId="0FC34293" w14:textId="70D6E6B1"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w:t>
            </w:r>
            <w:r w:rsidR="0066279C" w:rsidRPr="00574374">
              <w:rPr>
                <w:rFonts w:ascii="Segoe UI Light" w:hAnsi="Segoe UI Light" w:cs="Segoe UI Light"/>
                <w:b/>
                <w:sz w:val="16"/>
                <w:szCs w:val="16"/>
              </w:rPr>
              <w:t>0</w:t>
            </w:r>
            <w:r w:rsidRPr="00574374">
              <w:rPr>
                <w:rFonts w:ascii="Segoe UI Light" w:hAnsi="Segoe UI Light" w:cs="Segoe UI Light"/>
                <w:b/>
                <w:bCs/>
                <w:sz w:val="16"/>
                <w:szCs w:val="16"/>
              </w:rPr>
              <w:t>,9</w:t>
            </w:r>
          </w:p>
        </w:tc>
        <w:tc>
          <w:tcPr>
            <w:tcW w:w="683" w:type="dxa"/>
            <w:shd w:val="clear" w:color="auto" w:fill="DCE7EB"/>
            <w:noWrap/>
          </w:tcPr>
          <w:p w14:paraId="50DDA97D" w14:textId="2F9AF99D" w:rsidR="0066279C" w:rsidRPr="00574374" w:rsidRDefault="00574374"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-3,3</w:t>
            </w:r>
          </w:p>
        </w:tc>
      </w:tr>
      <w:tr w:rsidR="006A3666" w:rsidRPr="00D829F0" w14:paraId="7BD76678" w14:textId="77777777" w:rsidTr="009773FB">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6181CF27" w14:textId="77777777" w:rsidR="0066279C" w:rsidRPr="00574374" w:rsidRDefault="0066279C" w:rsidP="005349C0">
            <w:pPr>
              <w:spacing w:before="40" w:after="40"/>
              <w:rPr>
                <w:rFonts w:ascii="Segoe UI Light" w:eastAsia="Times New Roman" w:hAnsi="Segoe UI Light"/>
                <w:sz w:val="16"/>
                <w:szCs w:val="16"/>
              </w:rPr>
            </w:pPr>
            <w:r w:rsidRPr="00574374">
              <w:rPr>
                <w:rFonts w:ascii="Segoe UI Light" w:eastAsia="Arial Unicode MS" w:hAnsi="Segoe UI Light"/>
                <w:sz w:val="16"/>
                <w:szCs w:val="16"/>
              </w:rPr>
              <w:t>Kopā</w:t>
            </w:r>
          </w:p>
        </w:tc>
        <w:tc>
          <w:tcPr>
            <w:tcW w:w="680" w:type="dxa"/>
            <w:noWrap/>
          </w:tcPr>
          <w:p w14:paraId="4BF4ED2C" w14:textId="0DDB82EF"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sz w:val="16"/>
                <w:szCs w:val="16"/>
              </w:rPr>
              <w:t>0,</w:t>
            </w:r>
            <w:r w:rsidR="00574374" w:rsidRPr="00574374">
              <w:rPr>
                <w:rFonts w:ascii="Segoe UI Light" w:hAnsi="Segoe UI Light" w:cs="Segoe UI Light"/>
                <w:b/>
                <w:bCs/>
                <w:sz w:val="16"/>
                <w:szCs w:val="16"/>
              </w:rPr>
              <w:t>9</w:t>
            </w:r>
          </w:p>
        </w:tc>
        <w:tc>
          <w:tcPr>
            <w:tcW w:w="680" w:type="dxa"/>
            <w:noWrap/>
          </w:tcPr>
          <w:p w14:paraId="0E3BA14E" w14:textId="1E0DBCDD"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-3,0</w:t>
            </w:r>
          </w:p>
        </w:tc>
        <w:tc>
          <w:tcPr>
            <w:tcW w:w="680" w:type="dxa"/>
            <w:noWrap/>
          </w:tcPr>
          <w:p w14:paraId="20A7EB87" w14:textId="487DB29B"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sz w:val="16"/>
                <w:szCs w:val="16"/>
              </w:rPr>
              <w:t>-</w:t>
            </w:r>
            <w:r w:rsidR="00574374" w:rsidRPr="00574374">
              <w:rPr>
                <w:rFonts w:ascii="Segoe UI Light" w:hAnsi="Segoe UI Light" w:cs="Segoe UI Light"/>
                <w:b/>
                <w:bCs/>
                <w:sz w:val="16"/>
                <w:szCs w:val="16"/>
              </w:rPr>
              <w:t>0,8</w:t>
            </w:r>
          </w:p>
        </w:tc>
        <w:tc>
          <w:tcPr>
            <w:tcW w:w="680" w:type="dxa"/>
            <w:noWrap/>
          </w:tcPr>
          <w:p w14:paraId="65036ABD" w14:textId="589C59D4"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-8,</w:t>
            </w:r>
            <w:r w:rsidR="0066279C" w:rsidRPr="00574374">
              <w:rPr>
                <w:rFonts w:ascii="Segoe UI Light" w:hAnsi="Segoe UI Light" w:cs="Segoe UI Light"/>
                <w:b/>
                <w:sz w:val="16"/>
                <w:szCs w:val="16"/>
              </w:rPr>
              <w:t>1</w:t>
            </w:r>
          </w:p>
        </w:tc>
        <w:tc>
          <w:tcPr>
            <w:tcW w:w="680" w:type="dxa"/>
            <w:noWrap/>
          </w:tcPr>
          <w:p w14:paraId="4F22C68D" w14:textId="013F8AE2" w:rsidR="0066279C" w:rsidRPr="0057437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sz w:val="16"/>
                <w:szCs w:val="16"/>
              </w:rPr>
              <w:t>-0,</w:t>
            </w:r>
            <w:r w:rsidR="00574374" w:rsidRPr="00574374">
              <w:rPr>
                <w:rFonts w:ascii="Segoe UI Light" w:hAnsi="Segoe UI Light" w:cs="Segoe UI Light"/>
                <w:b/>
                <w:bCs/>
                <w:sz w:val="16"/>
                <w:szCs w:val="16"/>
              </w:rPr>
              <w:t>4</w:t>
            </w:r>
          </w:p>
        </w:tc>
        <w:tc>
          <w:tcPr>
            <w:tcW w:w="680" w:type="dxa"/>
            <w:noWrap/>
          </w:tcPr>
          <w:p w14:paraId="0427ECAA" w14:textId="3B9E915D"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-9,9</w:t>
            </w:r>
          </w:p>
        </w:tc>
        <w:tc>
          <w:tcPr>
            <w:tcW w:w="680" w:type="dxa"/>
            <w:noWrap/>
          </w:tcPr>
          <w:p w14:paraId="0AAED648" w14:textId="7C8AB212"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10,4</w:t>
            </w:r>
          </w:p>
        </w:tc>
        <w:tc>
          <w:tcPr>
            <w:tcW w:w="680" w:type="dxa"/>
            <w:noWrap/>
          </w:tcPr>
          <w:p w14:paraId="705F352F" w14:textId="3FCF7FD3"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9,8</w:t>
            </w:r>
          </w:p>
        </w:tc>
        <w:tc>
          <w:tcPr>
            <w:tcW w:w="683" w:type="dxa"/>
            <w:noWrap/>
          </w:tcPr>
          <w:p w14:paraId="0F8852A6" w14:textId="1DFED6E2" w:rsidR="0066279C" w:rsidRPr="00574374" w:rsidRDefault="00574374"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574374">
              <w:rPr>
                <w:rFonts w:ascii="Segoe UI Light" w:hAnsi="Segoe UI Light" w:cs="Segoe UI Light"/>
                <w:b/>
                <w:bCs/>
                <w:sz w:val="16"/>
                <w:szCs w:val="16"/>
              </w:rPr>
              <w:t>-1,1</w:t>
            </w:r>
          </w:p>
        </w:tc>
      </w:tr>
    </w:tbl>
    <w:p w14:paraId="11830454" w14:textId="77777777" w:rsidR="0066279C" w:rsidRPr="00D829F0" w:rsidRDefault="0066279C" w:rsidP="00867A48">
      <w:pPr>
        <w:spacing w:before="120" w:after="120"/>
        <w:jc w:val="both"/>
        <w:rPr>
          <w:rFonts w:ascii="Source Sans Pro" w:hAnsi="Source Sans Pro"/>
          <w:sz w:val="16"/>
          <w:szCs w:val="16"/>
        </w:rPr>
      </w:pPr>
      <w:bookmarkStart w:id="24" w:name="_Toc390350663"/>
      <w:bookmarkStart w:id="25" w:name="_Toc388618386"/>
      <w:bookmarkEnd w:id="24"/>
      <w:bookmarkEnd w:id="25"/>
      <w:r w:rsidRPr="00D829F0">
        <w:rPr>
          <w:rFonts w:ascii="Source Sans Pro" w:hAnsi="Source Sans Pro"/>
          <w:sz w:val="16"/>
          <w:szCs w:val="16"/>
        </w:rPr>
        <w:t>Avots: CSP</w:t>
      </w:r>
    </w:p>
    <w:p w14:paraId="2D1867C5" w14:textId="74824200" w:rsidR="0066279C" w:rsidRPr="00D829F0" w:rsidRDefault="006E0D9F">
      <w:pPr>
        <w:spacing w:after="0"/>
        <w:rPr>
          <w:rFonts w:ascii="Source Sans Pro" w:hAnsi="Source Sans Pro"/>
        </w:rPr>
      </w:pPr>
      <w:r>
        <w:rPr>
          <w:rFonts w:ascii="Source Sans Pro" w:hAnsi="Source Sans Pro"/>
        </w:rPr>
        <w:br w:type="page"/>
      </w:r>
    </w:p>
    <w:p w14:paraId="1C51C191" w14:textId="519D27C8" w:rsidR="0066279C" w:rsidRPr="00EF7F3C"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jc w:val="right"/>
        <w:rPr>
          <w:rFonts w:ascii="Segoe UI Light" w:hAnsi="Segoe UI Light"/>
          <w:b/>
          <w:sz w:val="16"/>
          <w:szCs w:val="16"/>
          <w:highlight w:val="yellow"/>
        </w:rPr>
      </w:pPr>
      <w:r w:rsidRPr="00F6704E">
        <w:rPr>
          <w:rFonts w:ascii="Segoe UI Light" w:hAnsi="Segoe UI Light"/>
          <w:b/>
          <w:sz w:val="16"/>
          <w:szCs w:val="16"/>
        </w:rPr>
        <w:lastRenderedPageBreak/>
        <w:t>202</w:t>
      </w:r>
      <w:r w:rsidR="00F6704E" w:rsidRPr="00F6704E">
        <w:rPr>
          <w:rFonts w:ascii="Segoe UI Light" w:hAnsi="Segoe UI Light"/>
          <w:b/>
          <w:sz w:val="16"/>
          <w:szCs w:val="16"/>
        </w:rPr>
        <w:t>5</w:t>
      </w:r>
      <w:r w:rsidRPr="00F6704E">
        <w:rPr>
          <w:rFonts w:ascii="Segoe UI Light" w:hAnsi="Segoe UI Light"/>
          <w:b/>
          <w:sz w:val="16"/>
          <w:szCs w:val="16"/>
        </w:rPr>
        <w:t>.</w:t>
      </w:r>
      <w:r w:rsidR="00052371">
        <w:rPr>
          <w:rFonts w:ascii="Segoe UI Light" w:hAnsi="Segoe UI Light"/>
          <w:b/>
          <w:sz w:val="16"/>
          <w:szCs w:val="16"/>
        </w:rPr>
        <w:t> </w:t>
      </w:r>
      <w:r w:rsidR="0080669C" w:rsidRPr="00F6704E">
        <w:rPr>
          <w:rFonts w:ascii="Segoe UI Light" w:hAnsi="Segoe UI Light"/>
          <w:b/>
          <w:sz w:val="16"/>
          <w:szCs w:val="16"/>
        </w:rPr>
        <w:t>gad</w:t>
      </w:r>
      <w:r w:rsidRPr="00F6704E">
        <w:rPr>
          <w:rFonts w:ascii="Segoe UI Light" w:hAnsi="Segoe UI Light"/>
          <w:b/>
          <w:sz w:val="16"/>
          <w:szCs w:val="16"/>
        </w:rPr>
        <w:t>a darbaspēka pieprasījuma salīdzinājums ar 202</w:t>
      </w:r>
      <w:r w:rsidR="00F6704E" w:rsidRPr="00F6704E">
        <w:rPr>
          <w:rFonts w:ascii="Segoe UI Light" w:hAnsi="Segoe UI Light"/>
          <w:b/>
          <w:sz w:val="16"/>
          <w:szCs w:val="16"/>
        </w:rPr>
        <w:t>3</w:t>
      </w:r>
      <w:r w:rsidRPr="00F6704E">
        <w:rPr>
          <w:rFonts w:ascii="Segoe UI Light" w:hAnsi="Segoe UI Light"/>
          <w:b/>
          <w:sz w:val="16"/>
          <w:szCs w:val="16"/>
        </w:rPr>
        <w:t>.</w:t>
      </w:r>
      <w:r w:rsidR="00052371">
        <w:rPr>
          <w:rFonts w:ascii="Segoe UI Light" w:hAnsi="Segoe UI Light"/>
          <w:b/>
          <w:sz w:val="16"/>
          <w:szCs w:val="16"/>
        </w:rPr>
        <w:t> </w:t>
      </w:r>
      <w:r w:rsidR="0080669C" w:rsidRPr="00F6704E">
        <w:rPr>
          <w:rFonts w:ascii="Segoe UI Light" w:hAnsi="Segoe UI Light"/>
          <w:b/>
          <w:sz w:val="16"/>
          <w:szCs w:val="16"/>
        </w:rPr>
        <w:t>gad</w:t>
      </w:r>
      <w:r w:rsidRPr="00F6704E">
        <w:rPr>
          <w:rFonts w:ascii="Segoe UI Light" w:hAnsi="Segoe UI Light"/>
          <w:b/>
          <w:sz w:val="16"/>
          <w:szCs w:val="16"/>
        </w:rPr>
        <w:t>a darbaspēka pieprasījumu Latvijā</w:t>
      </w:r>
    </w:p>
    <w:p w14:paraId="077B98B8" w14:textId="04BD6C08" w:rsidR="0066279C" w:rsidRPr="00EF7F3C" w:rsidRDefault="00F6704E"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sz w:val="16"/>
          <w:szCs w:val="16"/>
          <w:highlight w:val="yellow"/>
        </w:rPr>
      </w:pPr>
      <w:r w:rsidRPr="00F6704E">
        <w:rPr>
          <w:rFonts w:ascii="Segoe UI Light" w:hAnsi="Segoe UI Light"/>
          <w:bCs/>
          <w:sz w:val="16"/>
          <w:szCs w:val="16"/>
        </w:rPr>
        <w:t>2025.</w:t>
      </w:r>
      <w:r w:rsidR="00052371">
        <w:rPr>
          <w:rFonts w:ascii="Segoe UI Light" w:hAnsi="Segoe UI Light"/>
          <w:bCs/>
          <w:sz w:val="16"/>
          <w:szCs w:val="16"/>
        </w:rPr>
        <w:t> </w:t>
      </w:r>
      <w:r w:rsidRPr="00F6704E">
        <w:rPr>
          <w:rFonts w:ascii="Segoe UI Light" w:hAnsi="Segoe UI Light"/>
          <w:bCs/>
          <w:sz w:val="16"/>
          <w:szCs w:val="16"/>
        </w:rPr>
        <w:t>gadā, salīdzinot ar 2023.</w:t>
      </w:r>
      <w:r w:rsidR="00052371">
        <w:rPr>
          <w:rFonts w:ascii="Segoe UI Light" w:hAnsi="Segoe UI Light"/>
          <w:bCs/>
          <w:sz w:val="16"/>
          <w:szCs w:val="16"/>
        </w:rPr>
        <w:t> </w:t>
      </w:r>
      <w:r w:rsidRPr="00F6704E">
        <w:rPr>
          <w:rFonts w:ascii="Segoe UI Light" w:hAnsi="Segoe UI Light"/>
          <w:bCs/>
          <w:sz w:val="16"/>
          <w:szCs w:val="16"/>
        </w:rPr>
        <w:t>gadu, lielākais aizņemto darbavietu skaita samazinājums bija vērojams apstrādes rūpniecībā, tirdzniecībā, transportā un uzglabāšanā, īpaši mazumtirdzniecībā, vairumtirdzniecībā, uzglabāšanas un transporta palīgdarbībās, kā arī atsevišķās apstrādes rūpniecības apakšnozarēs. Šo dinamiku ietekmēja vājāka ekonomiskā aktivitāte, ārējā pieprasījuma kritums, izmaksu pieaugums un piesardzīgāks darbaspēka pieprasījums privātā sektora nozarēs. Savukārt lielākais darbavietu pieaugums bija veselības un sociālās</w:t>
      </w:r>
      <w:r w:rsidR="00980B3F">
        <w:rPr>
          <w:rFonts w:ascii="Segoe UI Light" w:hAnsi="Segoe UI Light"/>
          <w:bCs/>
          <w:sz w:val="16"/>
          <w:szCs w:val="16"/>
        </w:rPr>
        <w:t xml:space="preserve"> </w:t>
      </w:r>
      <w:r w:rsidRPr="00F6704E">
        <w:rPr>
          <w:rFonts w:ascii="Segoe UI Light" w:hAnsi="Segoe UI Light"/>
          <w:bCs/>
          <w:sz w:val="16"/>
          <w:szCs w:val="16"/>
        </w:rPr>
        <w:t>aprūpes nozarē, īpaši veselības aizsardzībā un sociālajā aprūpē, kā arī izmitināšanas un ēdināšanas pakalpojumos. Pieaugums bija vērojams arī valsts pārvaldē, informācijas un komunikācijas pakalpojumos, tostarp datorprogrammēšanā, kas liecina par darbaspēka pieprasījuma saglabāšanos pakalpojumu un zināšanu ietilpīgajās nozarēs.</w:t>
      </w:r>
    </w:p>
    <w:p w14:paraId="059A4F7C" w14:textId="77777777" w:rsidR="002963A9" w:rsidRPr="00EF7F3C" w:rsidRDefault="002963A9"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sz w:val="16"/>
          <w:szCs w:val="16"/>
          <w:highlight w:val="yellow"/>
        </w:rPr>
      </w:pPr>
    </w:p>
    <w:p w14:paraId="787277B4" w14:textId="15ECC994" w:rsidR="0066279C" w:rsidRPr="00A605A5"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center"/>
        <w:rPr>
          <w:rFonts w:ascii="Segoe UI Light" w:hAnsi="Segoe UI Light"/>
          <w:sz w:val="16"/>
          <w:szCs w:val="18"/>
        </w:rPr>
      </w:pPr>
      <w:r w:rsidRPr="00A605A5">
        <w:rPr>
          <w:rFonts w:ascii="Segoe UI Light" w:hAnsi="Segoe UI Light"/>
          <w:b/>
          <w:sz w:val="16"/>
          <w:szCs w:val="18"/>
        </w:rPr>
        <w:t>Aizņemt</w:t>
      </w:r>
      <w:r w:rsidR="00B53AC8" w:rsidRPr="00A605A5">
        <w:rPr>
          <w:rFonts w:ascii="Segoe UI Light" w:hAnsi="Segoe UI Light"/>
          <w:b/>
          <w:sz w:val="16"/>
          <w:szCs w:val="18"/>
        </w:rPr>
        <w:t>o</w:t>
      </w:r>
      <w:r w:rsidRPr="00A605A5">
        <w:rPr>
          <w:rFonts w:ascii="Segoe UI Light" w:hAnsi="Segoe UI Light"/>
          <w:b/>
          <w:sz w:val="16"/>
          <w:szCs w:val="18"/>
        </w:rPr>
        <w:t xml:space="preserve"> darbaviet</w:t>
      </w:r>
      <w:r w:rsidR="00B53AC8" w:rsidRPr="00A605A5">
        <w:rPr>
          <w:rFonts w:ascii="Segoe UI Light" w:hAnsi="Segoe UI Light"/>
          <w:b/>
          <w:sz w:val="16"/>
          <w:szCs w:val="18"/>
        </w:rPr>
        <w:t>u</w:t>
      </w:r>
      <w:r w:rsidRPr="00A605A5">
        <w:rPr>
          <w:rFonts w:ascii="Segoe UI Light" w:hAnsi="Segoe UI Light"/>
          <w:b/>
          <w:sz w:val="16"/>
          <w:szCs w:val="18"/>
        </w:rPr>
        <w:t xml:space="preserve"> izmaiņas pa nozarēm</w:t>
      </w:r>
      <w:r w:rsidR="002963A9" w:rsidRPr="00A605A5">
        <w:rPr>
          <w:rFonts w:ascii="Segoe UI Light" w:hAnsi="Segoe UI Light"/>
          <w:b/>
          <w:sz w:val="16"/>
          <w:szCs w:val="18"/>
        </w:rPr>
        <w:br/>
      </w:r>
      <w:r w:rsidRPr="00A605A5">
        <w:rPr>
          <w:rFonts w:ascii="Segoe UI Light" w:hAnsi="Segoe UI Light"/>
          <w:sz w:val="16"/>
          <w:szCs w:val="18"/>
        </w:rPr>
        <w:t>202</w:t>
      </w:r>
      <w:r w:rsidR="00F6704E" w:rsidRPr="00A605A5">
        <w:rPr>
          <w:rFonts w:ascii="Segoe UI Light" w:hAnsi="Segoe UI Light"/>
          <w:sz w:val="16"/>
          <w:szCs w:val="18"/>
        </w:rPr>
        <w:t>5</w:t>
      </w:r>
      <w:r w:rsidRPr="00A605A5">
        <w:rPr>
          <w:rFonts w:ascii="Segoe UI Light" w:hAnsi="Segoe UI Light"/>
          <w:sz w:val="16"/>
          <w:szCs w:val="18"/>
        </w:rPr>
        <w:t>.</w:t>
      </w:r>
      <w:r w:rsidR="00104F68">
        <w:rPr>
          <w:rFonts w:ascii="Segoe UI Light" w:hAnsi="Segoe UI Light"/>
          <w:sz w:val="16"/>
          <w:szCs w:val="18"/>
        </w:rPr>
        <w:t> </w:t>
      </w:r>
      <w:r w:rsidR="0080669C" w:rsidRPr="00A605A5">
        <w:rPr>
          <w:rFonts w:ascii="Segoe UI Light" w:hAnsi="Segoe UI Light"/>
          <w:sz w:val="16"/>
          <w:szCs w:val="18"/>
        </w:rPr>
        <w:t>gad</w:t>
      </w:r>
      <w:r w:rsidRPr="00A605A5">
        <w:rPr>
          <w:rFonts w:ascii="Segoe UI Light" w:hAnsi="Segoe UI Light"/>
          <w:sz w:val="16"/>
          <w:szCs w:val="18"/>
        </w:rPr>
        <w:t>a 4.</w:t>
      </w:r>
      <w:r w:rsidR="0080669C" w:rsidRPr="00A605A5">
        <w:rPr>
          <w:rFonts w:ascii="Segoe UI Light" w:hAnsi="Segoe UI Light"/>
          <w:sz w:val="16"/>
          <w:szCs w:val="18"/>
        </w:rPr>
        <w:t>ceturks</w:t>
      </w:r>
      <w:r w:rsidRPr="00A605A5">
        <w:rPr>
          <w:rFonts w:ascii="Segoe UI Light" w:hAnsi="Segoe UI Light"/>
          <w:sz w:val="16"/>
          <w:szCs w:val="18"/>
        </w:rPr>
        <w:t>n</w:t>
      </w:r>
      <w:r w:rsidR="00B53AC8" w:rsidRPr="00A605A5">
        <w:rPr>
          <w:rFonts w:ascii="Segoe UI Light" w:hAnsi="Segoe UI Light"/>
          <w:sz w:val="16"/>
          <w:szCs w:val="18"/>
        </w:rPr>
        <w:t>is</w:t>
      </w:r>
      <w:r w:rsidRPr="00A605A5">
        <w:rPr>
          <w:rFonts w:ascii="Segoe UI Light" w:hAnsi="Segoe UI Light"/>
          <w:sz w:val="16"/>
          <w:szCs w:val="18"/>
        </w:rPr>
        <w:t xml:space="preserve"> pret 202</w:t>
      </w:r>
      <w:r w:rsidR="00F6704E" w:rsidRPr="00A605A5">
        <w:rPr>
          <w:rFonts w:ascii="Segoe UI Light" w:hAnsi="Segoe UI Light"/>
          <w:sz w:val="16"/>
          <w:szCs w:val="18"/>
        </w:rPr>
        <w:t>3</w:t>
      </w:r>
      <w:r w:rsidRPr="00A605A5">
        <w:rPr>
          <w:rFonts w:ascii="Segoe UI Light" w:hAnsi="Segoe UI Light"/>
          <w:sz w:val="16"/>
          <w:szCs w:val="18"/>
        </w:rPr>
        <w:t>.</w:t>
      </w:r>
      <w:r w:rsidR="00104F68">
        <w:rPr>
          <w:rFonts w:ascii="Segoe UI Light" w:hAnsi="Segoe UI Light"/>
          <w:sz w:val="16"/>
          <w:szCs w:val="18"/>
        </w:rPr>
        <w:t> </w:t>
      </w:r>
      <w:r w:rsidR="0080669C" w:rsidRPr="00A605A5">
        <w:rPr>
          <w:rFonts w:ascii="Segoe UI Light" w:hAnsi="Segoe UI Light"/>
          <w:sz w:val="16"/>
          <w:szCs w:val="18"/>
        </w:rPr>
        <w:t>gad</w:t>
      </w:r>
      <w:r w:rsidRPr="00A605A5">
        <w:rPr>
          <w:rFonts w:ascii="Segoe UI Light" w:hAnsi="Segoe UI Light"/>
          <w:sz w:val="16"/>
          <w:szCs w:val="18"/>
        </w:rPr>
        <w:t>a 4.</w:t>
      </w:r>
      <w:r w:rsidR="0080669C" w:rsidRPr="00A605A5">
        <w:rPr>
          <w:rFonts w:ascii="Segoe UI Light" w:hAnsi="Segoe UI Light"/>
          <w:sz w:val="16"/>
          <w:szCs w:val="18"/>
        </w:rPr>
        <w:t>ceturks</w:t>
      </w:r>
      <w:r w:rsidRPr="00A605A5">
        <w:rPr>
          <w:rFonts w:ascii="Segoe UI Light" w:hAnsi="Segoe UI Light"/>
          <w:sz w:val="16"/>
          <w:szCs w:val="18"/>
        </w:rPr>
        <w:t>ni</w:t>
      </w:r>
      <w:r w:rsidR="00B53AC8" w:rsidRPr="00A605A5">
        <w:rPr>
          <w:rFonts w:ascii="Segoe UI Light" w:hAnsi="Segoe UI Light"/>
          <w:sz w:val="16"/>
          <w:szCs w:val="18"/>
        </w:rPr>
        <w:t>, tūkstošos</w:t>
      </w:r>
    </w:p>
    <w:p w14:paraId="5A672010" w14:textId="53DF7140" w:rsidR="0066279C" w:rsidRPr="00A605A5" w:rsidRDefault="00A605A5"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color w:val="000000" w:themeColor="text1"/>
          <w:sz w:val="18"/>
          <w:szCs w:val="18"/>
        </w:rPr>
      </w:pPr>
      <w:r w:rsidRPr="00A605A5">
        <w:rPr>
          <w:rFonts w:ascii="Segoe UI Light" w:hAnsi="Segoe UI Light"/>
          <w:bCs/>
          <w:noProof/>
          <w:color w:val="000000" w:themeColor="text1"/>
          <w:sz w:val="18"/>
          <w:szCs w:val="18"/>
          <w:lang w:val="en-US"/>
        </w:rPr>
        <w:drawing>
          <wp:inline distT="0" distB="0" distL="0" distR="0" wp14:anchorId="361876FF" wp14:editId="0AD1A2DA">
            <wp:extent cx="5579745" cy="2721255"/>
            <wp:effectExtent l="0" t="0" r="1905" b="0"/>
            <wp:docPr id="469525132" name="Chart 469525132">
              <a:extLst xmlns:a="http://schemas.openxmlformats.org/drawingml/2006/main">
                <a:ext uri="{FF2B5EF4-FFF2-40B4-BE49-F238E27FC236}">
                  <a16:creationId xmlns:a16="http://schemas.microsoft.com/office/drawing/2014/main" id="{62F47B84-0AA0-4B87-B5DF-EF69742F9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97448BF" w14:textId="7E4D9B9F" w:rsidR="00F14377" w:rsidRPr="00A605A5"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0"/>
        <w:jc w:val="both"/>
        <w:rPr>
          <w:rFonts w:ascii="Segoe UI Light" w:hAnsi="Segoe UI Light"/>
          <w:color w:val="000000" w:themeColor="text1"/>
          <w:sz w:val="8"/>
          <w:szCs w:val="10"/>
        </w:rPr>
      </w:pPr>
      <w:r w:rsidRPr="00A605A5">
        <w:rPr>
          <w:rFonts w:ascii="Segoe UI Light" w:hAnsi="Segoe UI Light"/>
          <w:color w:val="000000" w:themeColor="text1"/>
          <w:sz w:val="12"/>
          <w:szCs w:val="12"/>
        </w:rPr>
        <w:t>Avots: CSP</w:t>
      </w:r>
    </w:p>
    <w:p w14:paraId="1D0863B6" w14:textId="77777777" w:rsidR="006202BB" w:rsidRDefault="006202BB"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p>
    <w:p w14:paraId="30BE9A0C" w14:textId="7DBFCFCF" w:rsidR="0066279C" w:rsidRPr="007604FF" w:rsidRDefault="00843720"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843720">
        <w:rPr>
          <w:rFonts w:ascii="Segoe UI Light" w:hAnsi="Segoe UI Light"/>
          <w:sz w:val="16"/>
          <w:szCs w:val="16"/>
        </w:rPr>
        <w:t>2025.</w:t>
      </w:r>
      <w:r w:rsidR="00104F68">
        <w:rPr>
          <w:rFonts w:ascii="Segoe UI Light" w:hAnsi="Segoe UI Light"/>
          <w:sz w:val="16"/>
          <w:szCs w:val="16"/>
        </w:rPr>
        <w:t> </w:t>
      </w:r>
      <w:r w:rsidR="0080669C" w:rsidRPr="00843720">
        <w:rPr>
          <w:rFonts w:ascii="Segoe UI Light" w:hAnsi="Segoe UI Light"/>
          <w:sz w:val="16"/>
          <w:szCs w:val="16"/>
        </w:rPr>
        <w:t>gad</w:t>
      </w:r>
      <w:r w:rsidR="0066279C" w:rsidRPr="00843720">
        <w:rPr>
          <w:rFonts w:ascii="Segoe UI Light" w:hAnsi="Segoe UI Light"/>
          <w:sz w:val="16"/>
          <w:szCs w:val="16"/>
        </w:rPr>
        <w:t>ā salīdzi</w:t>
      </w:r>
      <w:r w:rsidR="00104F68">
        <w:rPr>
          <w:rFonts w:ascii="Segoe UI Light" w:hAnsi="Segoe UI Light"/>
          <w:sz w:val="16"/>
          <w:szCs w:val="16"/>
        </w:rPr>
        <w:t>not</w:t>
      </w:r>
      <w:r w:rsidR="0066279C" w:rsidRPr="00843720">
        <w:rPr>
          <w:rFonts w:ascii="Segoe UI Light" w:hAnsi="Segoe UI Light"/>
          <w:sz w:val="16"/>
          <w:szCs w:val="16"/>
        </w:rPr>
        <w:t xml:space="preserve"> ar </w:t>
      </w:r>
      <w:r w:rsidRPr="00843720">
        <w:rPr>
          <w:rFonts w:ascii="Segoe UI Light" w:hAnsi="Segoe UI Light"/>
          <w:sz w:val="16"/>
          <w:szCs w:val="16"/>
        </w:rPr>
        <w:t>2023.</w:t>
      </w:r>
      <w:r w:rsidR="00104F68">
        <w:rPr>
          <w:rFonts w:ascii="Segoe UI Light" w:hAnsi="Segoe UI Light"/>
          <w:sz w:val="16"/>
          <w:szCs w:val="16"/>
        </w:rPr>
        <w:t> </w:t>
      </w:r>
      <w:r w:rsidR="0080669C" w:rsidRPr="00843720">
        <w:rPr>
          <w:rFonts w:ascii="Segoe UI Light" w:hAnsi="Segoe UI Light"/>
          <w:sz w:val="16"/>
          <w:szCs w:val="16"/>
        </w:rPr>
        <w:t>gad</w:t>
      </w:r>
      <w:r w:rsidR="0066279C" w:rsidRPr="00843720">
        <w:rPr>
          <w:rFonts w:ascii="Segoe UI Light" w:hAnsi="Segoe UI Light"/>
          <w:sz w:val="16"/>
          <w:szCs w:val="16"/>
        </w:rPr>
        <w:t xml:space="preserve">u būtiski ir pieaudzis nodarbināto skaits </w:t>
      </w:r>
      <w:r w:rsidR="00683A96" w:rsidRPr="00843720">
        <w:rPr>
          <w:rFonts w:ascii="Segoe UI Light" w:hAnsi="Segoe UI Light"/>
          <w:sz w:val="16"/>
          <w:szCs w:val="16"/>
        </w:rPr>
        <w:t xml:space="preserve">augstākās kvalifikācijas profesijās (par </w:t>
      </w:r>
      <w:r w:rsidRPr="00843720">
        <w:rPr>
          <w:rFonts w:ascii="Segoe UI Light" w:hAnsi="Segoe UI Light"/>
          <w:sz w:val="16"/>
          <w:szCs w:val="16"/>
        </w:rPr>
        <w:t>8,4</w:t>
      </w:r>
      <w:r w:rsidR="00104F68">
        <w:rPr>
          <w:rFonts w:ascii="Segoe UI Light" w:hAnsi="Segoe UI Light"/>
          <w:sz w:val="16"/>
          <w:szCs w:val="16"/>
        </w:rPr>
        <w:t> </w:t>
      </w:r>
      <w:r w:rsidR="00683A96" w:rsidRPr="00843720">
        <w:rPr>
          <w:rFonts w:ascii="Segoe UI Light" w:hAnsi="Segoe UI Light"/>
          <w:sz w:val="16"/>
          <w:szCs w:val="16"/>
        </w:rPr>
        <w:t>tūkst</w:t>
      </w:r>
      <w:r w:rsidRPr="00843720">
        <w:rPr>
          <w:rFonts w:ascii="Segoe UI Light" w:hAnsi="Segoe UI Light"/>
          <w:sz w:val="16"/>
          <w:szCs w:val="16"/>
        </w:rPr>
        <w:t>.), bet samazinājies</w:t>
      </w:r>
      <w:r w:rsidR="00683A96" w:rsidRPr="00843720">
        <w:rPr>
          <w:rFonts w:ascii="Segoe UI Light" w:hAnsi="Segoe UI Light"/>
          <w:sz w:val="16"/>
          <w:szCs w:val="16"/>
        </w:rPr>
        <w:t xml:space="preserve"> gan </w:t>
      </w:r>
      <w:r w:rsidRPr="00843720">
        <w:rPr>
          <w:rFonts w:ascii="Segoe UI Light" w:hAnsi="Segoe UI Light"/>
          <w:sz w:val="16"/>
          <w:szCs w:val="16"/>
        </w:rPr>
        <w:t>vidējās kvalifikācijas</w:t>
      </w:r>
      <w:r w:rsidR="00683A96" w:rsidRPr="00843720">
        <w:rPr>
          <w:rFonts w:ascii="Segoe UI Light" w:hAnsi="Segoe UI Light"/>
          <w:sz w:val="16"/>
          <w:szCs w:val="16"/>
        </w:rPr>
        <w:t xml:space="preserve"> </w:t>
      </w:r>
      <w:r w:rsidR="0066279C" w:rsidRPr="00843720">
        <w:rPr>
          <w:rFonts w:ascii="Segoe UI Light" w:hAnsi="Segoe UI Light"/>
          <w:sz w:val="16"/>
          <w:szCs w:val="16"/>
        </w:rPr>
        <w:t xml:space="preserve">profesijās (par </w:t>
      </w:r>
      <w:r w:rsidRPr="00843720">
        <w:rPr>
          <w:rFonts w:ascii="Segoe UI Light" w:hAnsi="Segoe UI Light"/>
          <w:sz w:val="16"/>
          <w:szCs w:val="16"/>
        </w:rPr>
        <w:t>6,</w:t>
      </w:r>
      <w:r w:rsidR="0066279C" w:rsidRPr="00843720">
        <w:rPr>
          <w:rFonts w:ascii="Segoe UI Light" w:hAnsi="Segoe UI Light"/>
          <w:sz w:val="16"/>
          <w:szCs w:val="16"/>
        </w:rPr>
        <w:t>2</w:t>
      </w:r>
      <w:r w:rsidR="00104F68">
        <w:rPr>
          <w:rFonts w:ascii="Segoe UI Light" w:hAnsi="Segoe UI Light"/>
          <w:sz w:val="16"/>
          <w:szCs w:val="16"/>
        </w:rPr>
        <w:t> </w:t>
      </w:r>
      <w:r w:rsidRPr="00843720">
        <w:rPr>
          <w:rFonts w:ascii="Segoe UI Light" w:hAnsi="Segoe UI Light"/>
          <w:sz w:val="16"/>
          <w:szCs w:val="16"/>
        </w:rPr>
        <w:t>tūkst,), gan vienkāršajās profesijās (par 3,3</w:t>
      </w:r>
      <w:r w:rsidR="00104F68">
        <w:rPr>
          <w:rFonts w:ascii="Segoe UI Light" w:hAnsi="Segoe UI Light"/>
          <w:sz w:val="16"/>
          <w:szCs w:val="16"/>
        </w:rPr>
        <w:t> </w:t>
      </w:r>
      <w:r w:rsidR="00683A96" w:rsidRPr="00843720">
        <w:rPr>
          <w:rFonts w:ascii="Segoe UI Light" w:hAnsi="Segoe UI Light"/>
          <w:sz w:val="16"/>
          <w:szCs w:val="16"/>
        </w:rPr>
        <w:t>tūkst.</w:t>
      </w:r>
      <w:r w:rsidR="0066279C" w:rsidRPr="00843720">
        <w:rPr>
          <w:rFonts w:ascii="Segoe UI Light" w:hAnsi="Segoe UI Light"/>
          <w:sz w:val="16"/>
          <w:szCs w:val="16"/>
        </w:rPr>
        <w:t>).</w:t>
      </w:r>
      <w:r w:rsidR="0066279C">
        <w:rPr>
          <w:rFonts w:ascii="Segoe UI Light" w:hAnsi="Segoe UI Light"/>
          <w:sz w:val="16"/>
          <w:szCs w:val="16"/>
        </w:rPr>
        <w:t xml:space="preserve"> </w:t>
      </w:r>
    </w:p>
    <w:p w14:paraId="13A7CE90" w14:textId="77777777" w:rsidR="00843E62" w:rsidRPr="00015BDE" w:rsidRDefault="00843E62"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p>
    <w:p w14:paraId="1B2894E7" w14:textId="4CCB8793" w:rsidR="0066279C" w:rsidRPr="00015BDE"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 w:val="center" w:pos="1985"/>
          <w:tab w:val="center" w:pos="6237"/>
        </w:tabs>
        <w:spacing w:after="60"/>
        <w:jc w:val="center"/>
        <w:rPr>
          <w:rFonts w:ascii="Segoe UI Light" w:hAnsi="Segoe UI Light"/>
          <w:b/>
          <w:sz w:val="16"/>
          <w:szCs w:val="16"/>
        </w:rPr>
      </w:pPr>
      <w:r w:rsidRPr="00015BDE">
        <w:rPr>
          <w:rFonts w:ascii="Segoe UI Light" w:hAnsi="Segoe UI Light"/>
          <w:b/>
          <w:sz w:val="16"/>
          <w:szCs w:val="16"/>
        </w:rPr>
        <w:t>Nodarbināto skaita izmaiņas</w:t>
      </w:r>
      <w:r w:rsidRPr="00015BDE">
        <w:rPr>
          <w:rFonts w:ascii="Segoe UI Light" w:hAnsi="Segoe UI Light"/>
          <w:b/>
          <w:sz w:val="16"/>
          <w:szCs w:val="16"/>
        </w:rPr>
        <w:br/>
      </w:r>
      <w:r w:rsidRPr="00015BDE">
        <w:rPr>
          <w:rFonts w:ascii="Segoe UI Light" w:hAnsi="Segoe UI Light"/>
          <w:sz w:val="16"/>
          <w:szCs w:val="16"/>
        </w:rPr>
        <w:t>202</w:t>
      </w:r>
      <w:r w:rsidR="00015BDE">
        <w:rPr>
          <w:rFonts w:ascii="Segoe UI Light" w:hAnsi="Segoe UI Light"/>
          <w:sz w:val="16"/>
          <w:szCs w:val="16"/>
        </w:rPr>
        <w:t>5</w:t>
      </w:r>
      <w:r w:rsidRPr="00015BDE">
        <w:rPr>
          <w:rFonts w:ascii="Segoe UI Light" w:hAnsi="Segoe UI Light"/>
          <w:sz w:val="16"/>
          <w:szCs w:val="16"/>
        </w:rPr>
        <w:t>.</w:t>
      </w:r>
      <w:r w:rsidR="00A44F83">
        <w:rPr>
          <w:rFonts w:ascii="Segoe UI Light" w:hAnsi="Segoe UI Light"/>
          <w:sz w:val="16"/>
          <w:szCs w:val="16"/>
        </w:rPr>
        <w:t> </w:t>
      </w:r>
      <w:r w:rsidR="0080669C" w:rsidRPr="00015BDE">
        <w:rPr>
          <w:rFonts w:ascii="Segoe UI Light" w:hAnsi="Segoe UI Light"/>
          <w:sz w:val="16"/>
          <w:szCs w:val="16"/>
        </w:rPr>
        <w:t>gad</w:t>
      </w:r>
      <w:r w:rsidRPr="00015BDE">
        <w:rPr>
          <w:rFonts w:ascii="Segoe UI Light" w:hAnsi="Segoe UI Light"/>
          <w:sz w:val="16"/>
          <w:szCs w:val="16"/>
        </w:rPr>
        <w:t>s pret 202</w:t>
      </w:r>
      <w:r w:rsidR="00015BDE">
        <w:rPr>
          <w:rFonts w:ascii="Segoe UI Light" w:hAnsi="Segoe UI Light"/>
          <w:sz w:val="16"/>
          <w:szCs w:val="16"/>
        </w:rPr>
        <w:t>3</w:t>
      </w:r>
      <w:r w:rsidRPr="00015BDE">
        <w:rPr>
          <w:rFonts w:ascii="Segoe UI Light" w:hAnsi="Segoe UI Light"/>
          <w:sz w:val="16"/>
          <w:szCs w:val="16"/>
        </w:rPr>
        <w:t>.</w:t>
      </w:r>
      <w:r w:rsidR="00A44F83">
        <w:rPr>
          <w:rFonts w:ascii="Segoe UI Light" w:hAnsi="Segoe UI Light"/>
          <w:sz w:val="16"/>
          <w:szCs w:val="16"/>
        </w:rPr>
        <w:t> </w:t>
      </w:r>
      <w:r w:rsidR="0080669C" w:rsidRPr="00015BDE">
        <w:rPr>
          <w:rFonts w:ascii="Segoe UI Light" w:hAnsi="Segoe UI Light"/>
          <w:sz w:val="16"/>
          <w:szCs w:val="16"/>
        </w:rPr>
        <w:t>gad</w:t>
      </w:r>
      <w:r w:rsidRPr="00015BDE">
        <w:rPr>
          <w:rFonts w:ascii="Segoe UI Light" w:hAnsi="Segoe UI Light"/>
          <w:sz w:val="16"/>
          <w:szCs w:val="16"/>
        </w:rPr>
        <w:t>u, tūkstošos</w:t>
      </w:r>
    </w:p>
    <w:p w14:paraId="7EE533E3" w14:textId="77777777" w:rsidR="0066279C" w:rsidRPr="00015BDE"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 w:val="center" w:pos="1560"/>
          <w:tab w:val="center" w:pos="6096"/>
        </w:tabs>
        <w:spacing w:after="60"/>
        <w:jc w:val="both"/>
        <w:rPr>
          <w:rFonts w:ascii="Segoe UI Light" w:hAnsi="Segoe UI Light"/>
          <w:color w:val="000000" w:themeColor="text1"/>
          <w:sz w:val="16"/>
          <w:szCs w:val="16"/>
        </w:rPr>
      </w:pPr>
      <w:r w:rsidRPr="00015BDE">
        <w:rPr>
          <w:rFonts w:ascii="Segoe UI Light" w:hAnsi="Segoe UI Light"/>
          <w:color w:val="000000" w:themeColor="text1"/>
          <w:sz w:val="16"/>
          <w:szCs w:val="16"/>
        </w:rPr>
        <w:tab/>
        <w:t xml:space="preserve">pēc profesiju kvalifikācijas līmeņa </w:t>
      </w:r>
      <w:r w:rsidRPr="00015BDE">
        <w:rPr>
          <w:rFonts w:ascii="Segoe UI Light" w:hAnsi="Segoe UI Light"/>
          <w:color w:val="000000" w:themeColor="text1"/>
          <w:sz w:val="16"/>
          <w:szCs w:val="16"/>
        </w:rPr>
        <w:tab/>
        <w:t>pēc izglītības līmeņa</w:t>
      </w:r>
    </w:p>
    <w:p w14:paraId="3A0480BA" w14:textId="229D1506" w:rsidR="0066279C" w:rsidRPr="00EF7F3C" w:rsidRDefault="00603994"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bCs/>
          <w:color w:val="000000" w:themeColor="text1"/>
          <w:sz w:val="16"/>
          <w:szCs w:val="16"/>
          <w:highlight w:val="yellow"/>
        </w:rPr>
      </w:pPr>
      <w:r w:rsidRPr="001037E7">
        <w:rPr>
          <w:rFonts w:ascii="Segoe UI Light" w:hAnsi="Segoe UI Light"/>
          <w:b/>
          <w:noProof/>
          <w:color w:val="000000" w:themeColor="text1"/>
          <w:sz w:val="16"/>
          <w:szCs w:val="16"/>
          <w:lang w:val="en-US"/>
        </w:rPr>
        <w:drawing>
          <wp:inline distT="0" distB="0" distL="0" distR="0" wp14:anchorId="77C51641" wp14:editId="6EC97CD0">
            <wp:extent cx="2340000" cy="1800000"/>
            <wp:effectExtent l="0" t="0" r="0" b="0"/>
            <wp:docPr id="1915275385" name="Chart 19152753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C43EDE" w:rsidRPr="001037E7">
        <w:rPr>
          <w:rFonts w:ascii="Segoe UI Light" w:hAnsi="Segoe UI Light"/>
          <w:b/>
          <w:noProof/>
          <w:color w:val="000000" w:themeColor="text1"/>
          <w:sz w:val="16"/>
          <w:szCs w:val="16"/>
          <w:lang w:val="en-US"/>
        </w:rPr>
        <w:drawing>
          <wp:inline distT="0" distB="0" distL="0" distR="0" wp14:anchorId="05632885" wp14:editId="5D610A00">
            <wp:extent cx="3240000" cy="1800000"/>
            <wp:effectExtent l="0" t="0" r="0" b="0"/>
            <wp:docPr id="1179533128" name="Chart 1179533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9CB43C0" w14:textId="77777777" w:rsidR="0066279C" w:rsidRPr="00015BDE"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before="120" w:after="60"/>
        <w:jc w:val="both"/>
        <w:rPr>
          <w:rFonts w:ascii="Segoe UI Light" w:hAnsi="Segoe UI Light"/>
          <w:color w:val="000000" w:themeColor="text1"/>
          <w:sz w:val="14"/>
          <w:szCs w:val="14"/>
        </w:rPr>
      </w:pPr>
      <w:r w:rsidRPr="00015BDE">
        <w:rPr>
          <w:rFonts w:ascii="Segoe UI Light" w:hAnsi="Segoe UI Light"/>
          <w:color w:val="000000" w:themeColor="text1"/>
          <w:sz w:val="14"/>
          <w:szCs w:val="14"/>
        </w:rPr>
        <w:t xml:space="preserve">Avots: </w:t>
      </w:r>
      <w:r w:rsidRPr="00015BDE">
        <w:rPr>
          <w:rFonts w:ascii="Segoe UI Light" w:hAnsi="Segoe UI Light"/>
          <w:i/>
          <w:color w:val="000000" w:themeColor="text1"/>
          <w:sz w:val="14"/>
          <w:szCs w:val="14"/>
        </w:rPr>
        <w:t>Eurostat</w:t>
      </w:r>
    </w:p>
    <w:p w14:paraId="6C604467" w14:textId="77777777" w:rsidR="00F14377" w:rsidRPr="00EF7F3C" w:rsidRDefault="00F14377"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before="120" w:after="60"/>
        <w:jc w:val="both"/>
        <w:rPr>
          <w:rFonts w:ascii="Segoe UI Light" w:hAnsi="Segoe UI Light"/>
          <w:sz w:val="16"/>
          <w:szCs w:val="16"/>
          <w:highlight w:val="yellow"/>
        </w:rPr>
      </w:pPr>
    </w:p>
    <w:p w14:paraId="5A1B7C29" w14:textId="4E23B493" w:rsidR="009874A1" w:rsidRPr="00EF7F3C" w:rsidRDefault="003915BD"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before="120" w:after="60"/>
        <w:jc w:val="both"/>
        <w:rPr>
          <w:rFonts w:ascii="Segoe UI Light" w:hAnsi="Segoe UI Light"/>
          <w:sz w:val="16"/>
          <w:szCs w:val="16"/>
          <w:highlight w:val="yellow"/>
        </w:rPr>
      </w:pPr>
      <w:r w:rsidRPr="003915BD">
        <w:rPr>
          <w:rFonts w:ascii="Segoe UI Light" w:hAnsi="Segoe UI Light"/>
          <w:sz w:val="16"/>
          <w:szCs w:val="16"/>
        </w:rPr>
        <w:t>2025.</w:t>
      </w:r>
      <w:r w:rsidR="00A44F83">
        <w:rPr>
          <w:rFonts w:ascii="Segoe UI Light" w:hAnsi="Segoe UI Light"/>
          <w:sz w:val="16"/>
          <w:szCs w:val="16"/>
        </w:rPr>
        <w:t> </w:t>
      </w:r>
      <w:r w:rsidRPr="003915BD">
        <w:rPr>
          <w:rFonts w:ascii="Segoe UI Light" w:hAnsi="Segoe UI Light"/>
          <w:sz w:val="16"/>
          <w:szCs w:val="16"/>
        </w:rPr>
        <w:t>gadā, salīdzinot ar 2023.</w:t>
      </w:r>
      <w:r w:rsidR="00A44F83">
        <w:rPr>
          <w:rFonts w:ascii="Segoe UI Light" w:hAnsi="Segoe UI Light"/>
          <w:sz w:val="16"/>
          <w:szCs w:val="16"/>
        </w:rPr>
        <w:t> </w:t>
      </w:r>
      <w:r w:rsidRPr="003915BD">
        <w:rPr>
          <w:rFonts w:ascii="Segoe UI Light" w:hAnsi="Segoe UI Light"/>
          <w:sz w:val="16"/>
          <w:szCs w:val="16"/>
        </w:rPr>
        <w:t>gadu, nodarbināto skaits pieauga tikai iedzīvotājiem ar augstāko izglītību, savukārt pārējās izglītības grupās</w:t>
      </w:r>
      <w:r w:rsidR="00A92FE8">
        <w:rPr>
          <w:rFonts w:ascii="Segoe UI Light" w:hAnsi="Segoe UI Light"/>
          <w:sz w:val="16"/>
          <w:szCs w:val="16"/>
        </w:rPr>
        <w:t xml:space="preserve"> </w:t>
      </w:r>
      <w:r w:rsidRPr="003915BD">
        <w:rPr>
          <w:rFonts w:ascii="Segoe UI Light" w:hAnsi="Segoe UI Light"/>
          <w:sz w:val="16"/>
          <w:szCs w:val="16"/>
        </w:rPr>
        <w:t>tas samazinājās. Lielākais nodarbināto skaita kritums bija vērojams iedzīvotājiem ar vispārējo vidējo izglītību, mazāks samazinājums –iedzīvotājiem ar pamatizglītību vai zemāku izglītības līmeni, kā arī ar arodizglītību vai profesionālo vidējo izglītību. Tas norāda uz darbaspēka pieprasījuma turpmāku pārstrukturēšanos par labu augstākas kvalifikācijas un augstāka izglītības līmeņa darbaspēkam, vienlaikus vidējās un zemākās izglītības grupās nodarbinātības dinamiku ietekmēja gan vājāka ekonomiskā aktivitāte atsevišķās nozarēs, gan darbaspēka piedāvājuma samazināšanās.</w:t>
      </w:r>
      <w:r w:rsidR="009874A1" w:rsidRPr="00EF7F3C">
        <w:rPr>
          <w:rFonts w:ascii="Segoe UI Light" w:hAnsi="Segoe UI Light"/>
          <w:sz w:val="16"/>
          <w:szCs w:val="16"/>
          <w:highlight w:val="yellow"/>
        </w:rPr>
        <w:t xml:space="preserve"> </w:t>
      </w:r>
    </w:p>
    <w:p w14:paraId="422BFECE" w14:textId="77777777" w:rsidR="006E0D9F" w:rsidRDefault="006E0D9F">
      <w:pPr>
        <w:spacing w:after="0"/>
        <w:rPr>
          <w:rFonts w:ascii="Segoe UI Light" w:hAnsi="Segoe UI Light"/>
          <w:sz w:val="16"/>
          <w:szCs w:val="16"/>
        </w:rPr>
      </w:pPr>
      <w:r>
        <w:rPr>
          <w:rFonts w:ascii="Segoe UI Light" w:hAnsi="Segoe UI Light"/>
          <w:sz w:val="16"/>
          <w:szCs w:val="16"/>
        </w:rPr>
        <w:br w:type="page"/>
      </w:r>
    </w:p>
    <w:p w14:paraId="7227484C" w14:textId="4FCAC270" w:rsidR="0066279C" w:rsidRPr="00AC29C7" w:rsidRDefault="00140575"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Pr>
          <w:rFonts w:ascii="Segoe UI Light" w:hAnsi="Segoe UI Light"/>
          <w:sz w:val="16"/>
          <w:szCs w:val="16"/>
        </w:rPr>
        <w:lastRenderedPageBreak/>
        <w:t>L</w:t>
      </w:r>
      <w:r w:rsidR="00BE4FC2" w:rsidRPr="00BE4FC2">
        <w:rPr>
          <w:rFonts w:ascii="Segoe UI Light" w:hAnsi="Segoe UI Light"/>
          <w:sz w:val="16"/>
          <w:szCs w:val="16"/>
        </w:rPr>
        <w:t>ielākajā</w:t>
      </w:r>
      <w:r w:rsidR="00C748E7" w:rsidRPr="00BE4FC2">
        <w:rPr>
          <w:rFonts w:ascii="Segoe UI Light" w:hAnsi="Segoe UI Light"/>
          <w:sz w:val="16"/>
          <w:szCs w:val="16"/>
        </w:rPr>
        <w:t xml:space="preserve"> daļā Eiropas valstu </w:t>
      </w:r>
      <w:r w:rsidR="00BE4FC2" w:rsidRPr="00BE4FC2">
        <w:rPr>
          <w:rFonts w:ascii="Segoe UI Light" w:hAnsi="Segoe UI Light"/>
          <w:sz w:val="16"/>
          <w:szCs w:val="16"/>
        </w:rPr>
        <w:t>saglabājas</w:t>
      </w:r>
      <w:r w:rsidR="00C748E7" w:rsidRPr="00BE4FC2">
        <w:rPr>
          <w:rFonts w:ascii="Segoe UI Light" w:hAnsi="Segoe UI Light"/>
          <w:sz w:val="16"/>
          <w:szCs w:val="16"/>
        </w:rPr>
        <w:t xml:space="preserve"> tendence darbaspēka pieprasījumam </w:t>
      </w:r>
      <w:r w:rsidR="00BE4FC2" w:rsidRPr="00BE4FC2">
        <w:rPr>
          <w:rFonts w:ascii="Segoe UI Light" w:hAnsi="Segoe UI Light"/>
          <w:sz w:val="16"/>
          <w:szCs w:val="16"/>
        </w:rPr>
        <w:t>pārstrukturēties</w:t>
      </w:r>
      <w:r w:rsidR="00C748E7" w:rsidRPr="00BE4FC2">
        <w:rPr>
          <w:rFonts w:ascii="Segoe UI Light" w:hAnsi="Segoe UI Light"/>
          <w:sz w:val="16"/>
          <w:szCs w:val="16"/>
        </w:rPr>
        <w:t xml:space="preserve"> par labu augstākās kvalifikācijas </w:t>
      </w:r>
      <w:r w:rsidR="001651D5" w:rsidRPr="00BE4FC2">
        <w:rPr>
          <w:rFonts w:ascii="Segoe UI Light" w:hAnsi="Segoe UI Light"/>
          <w:sz w:val="16"/>
          <w:szCs w:val="16"/>
        </w:rPr>
        <w:t>profesijām</w:t>
      </w:r>
      <w:r w:rsidR="00C748E7" w:rsidRPr="00BE4FC2">
        <w:rPr>
          <w:rFonts w:ascii="Segoe UI Light" w:hAnsi="Segoe UI Light"/>
          <w:sz w:val="16"/>
          <w:szCs w:val="16"/>
        </w:rPr>
        <w:t xml:space="preserve">. </w:t>
      </w:r>
      <w:r w:rsidR="00BE4FC2" w:rsidRPr="00BE4FC2">
        <w:rPr>
          <w:rFonts w:ascii="Segoe UI Light" w:hAnsi="Segoe UI Light"/>
          <w:sz w:val="16"/>
          <w:szCs w:val="16"/>
        </w:rPr>
        <w:t>2025.</w:t>
      </w:r>
      <w:r>
        <w:rPr>
          <w:rFonts w:ascii="Segoe UI Light" w:hAnsi="Segoe UI Light"/>
          <w:sz w:val="16"/>
          <w:szCs w:val="16"/>
        </w:rPr>
        <w:t> </w:t>
      </w:r>
      <w:r w:rsidR="0080669C" w:rsidRPr="00BE4FC2">
        <w:rPr>
          <w:rFonts w:ascii="Segoe UI Light" w:hAnsi="Segoe UI Light"/>
          <w:sz w:val="16"/>
          <w:szCs w:val="16"/>
        </w:rPr>
        <w:t>gad</w:t>
      </w:r>
      <w:r w:rsidR="0066279C" w:rsidRPr="00BE4FC2">
        <w:rPr>
          <w:rFonts w:ascii="Segoe UI Light" w:hAnsi="Segoe UI Light"/>
          <w:sz w:val="16"/>
          <w:szCs w:val="16"/>
        </w:rPr>
        <w:t xml:space="preserve">ā, salīdzinot ar </w:t>
      </w:r>
      <w:r w:rsidR="00BE4FC2" w:rsidRPr="00BE4FC2">
        <w:rPr>
          <w:rFonts w:ascii="Segoe UI Light" w:hAnsi="Segoe UI Light"/>
          <w:sz w:val="16"/>
          <w:szCs w:val="16"/>
        </w:rPr>
        <w:t>2023.</w:t>
      </w:r>
      <w:r>
        <w:rPr>
          <w:rFonts w:ascii="Segoe UI Light" w:hAnsi="Segoe UI Light"/>
          <w:sz w:val="16"/>
          <w:szCs w:val="16"/>
        </w:rPr>
        <w:t> </w:t>
      </w:r>
      <w:r w:rsidR="0080669C" w:rsidRPr="00BE4FC2">
        <w:rPr>
          <w:rFonts w:ascii="Segoe UI Light" w:hAnsi="Segoe UI Light"/>
          <w:sz w:val="16"/>
          <w:szCs w:val="16"/>
        </w:rPr>
        <w:t>gad</w:t>
      </w:r>
      <w:r w:rsidR="0066279C" w:rsidRPr="00BE4FC2">
        <w:rPr>
          <w:rFonts w:ascii="Segoe UI Light" w:hAnsi="Segoe UI Light"/>
          <w:sz w:val="16"/>
          <w:szCs w:val="16"/>
        </w:rPr>
        <w:t>u, vidēji</w:t>
      </w:r>
      <w:r w:rsidR="00BE4FC2" w:rsidRPr="00BE4FC2">
        <w:rPr>
          <w:rFonts w:ascii="Segoe UI Light" w:hAnsi="Segoe UI Light"/>
          <w:sz w:val="16"/>
          <w:szCs w:val="16"/>
        </w:rPr>
        <w:t xml:space="preserve"> </w:t>
      </w:r>
      <w:r w:rsidR="0066279C" w:rsidRPr="00BE4FC2">
        <w:rPr>
          <w:rFonts w:ascii="Segoe UI Light" w:hAnsi="Segoe UI Light"/>
          <w:sz w:val="16"/>
          <w:szCs w:val="16"/>
        </w:rPr>
        <w:t xml:space="preserve">ES-27 augstākās kvalifikācijas profesijās nodarbināto īpatsvars </w:t>
      </w:r>
      <w:r w:rsidR="00BE4FC2" w:rsidRPr="00BE4FC2">
        <w:rPr>
          <w:rFonts w:ascii="Segoe UI Light" w:hAnsi="Segoe UI Light"/>
          <w:sz w:val="16"/>
          <w:szCs w:val="16"/>
        </w:rPr>
        <w:t>pieauga</w:t>
      </w:r>
      <w:r w:rsidR="0066279C" w:rsidRPr="00BE4FC2">
        <w:rPr>
          <w:rFonts w:ascii="Segoe UI Light" w:hAnsi="Segoe UI Light"/>
          <w:sz w:val="16"/>
          <w:szCs w:val="16"/>
        </w:rPr>
        <w:t xml:space="preserve"> par </w:t>
      </w:r>
      <w:r w:rsidR="00BE4FC2" w:rsidRPr="00BE4FC2">
        <w:rPr>
          <w:rFonts w:ascii="Segoe UI Light" w:hAnsi="Segoe UI Light"/>
          <w:sz w:val="16"/>
          <w:szCs w:val="16"/>
        </w:rPr>
        <w:t>1,4</w:t>
      </w:r>
      <w:r>
        <w:rPr>
          <w:rFonts w:ascii="Segoe UI Light" w:hAnsi="Segoe UI Light"/>
          <w:sz w:val="16"/>
          <w:szCs w:val="16"/>
        </w:rPr>
        <w:t> </w:t>
      </w:r>
      <w:r w:rsidR="00BE4FC2" w:rsidRPr="00BE4FC2">
        <w:rPr>
          <w:rFonts w:ascii="Segoe UI Light" w:hAnsi="Segoe UI Light"/>
          <w:sz w:val="16"/>
          <w:szCs w:val="16"/>
        </w:rPr>
        <w:t>(pp), savukārt</w:t>
      </w:r>
      <w:r w:rsidR="0066279C" w:rsidRPr="00BE4FC2">
        <w:rPr>
          <w:rFonts w:ascii="Segoe UI Light" w:hAnsi="Segoe UI Light"/>
          <w:sz w:val="16"/>
          <w:szCs w:val="16"/>
        </w:rPr>
        <w:t xml:space="preserve"> vidējās kvalifikācijas </w:t>
      </w:r>
      <w:r w:rsidR="001651D5" w:rsidRPr="00BE4FC2">
        <w:rPr>
          <w:rFonts w:ascii="Segoe UI Light" w:hAnsi="Segoe UI Light"/>
          <w:sz w:val="16"/>
          <w:szCs w:val="16"/>
        </w:rPr>
        <w:t xml:space="preserve">profesijās </w:t>
      </w:r>
      <w:r w:rsidR="00BE4FC2" w:rsidRPr="00BE4FC2">
        <w:rPr>
          <w:rFonts w:ascii="Segoe UI Light" w:hAnsi="Segoe UI Light"/>
          <w:sz w:val="16"/>
          <w:szCs w:val="16"/>
        </w:rPr>
        <w:t xml:space="preserve">tas samazinājās par 1,3 pp. Zemas kvalifikācijas profesiju īpatsvars kopumā ES-27 būtiski nemainījās, samazinoties vien par 0,2 pp. Straujākais </w:t>
      </w:r>
      <w:r w:rsidR="0066279C" w:rsidRPr="00BE4FC2">
        <w:rPr>
          <w:rFonts w:ascii="Segoe UI Light" w:hAnsi="Segoe UI Light"/>
          <w:sz w:val="16"/>
          <w:szCs w:val="16"/>
        </w:rPr>
        <w:t xml:space="preserve">augstākās kvalifikācijas profesiju </w:t>
      </w:r>
      <w:r w:rsidR="00BE4FC2" w:rsidRPr="00BE4FC2">
        <w:rPr>
          <w:rFonts w:ascii="Segoe UI Light" w:hAnsi="Segoe UI Light"/>
          <w:sz w:val="16"/>
          <w:szCs w:val="16"/>
        </w:rPr>
        <w:t>īpatsvara kāpums bija</w:t>
      </w:r>
      <w:r w:rsidR="0066279C" w:rsidRPr="00BE4FC2">
        <w:rPr>
          <w:rFonts w:ascii="Segoe UI Light" w:hAnsi="Segoe UI Light"/>
          <w:sz w:val="16"/>
          <w:szCs w:val="16"/>
        </w:rPr>
        <w:t xml:space="preserve"> vērojams </w:t>
      </w:r>
      <w:r w:rsidR="00BE4FC2" w:rsidRPr="00BE4FC2">
        <w:rPr>
          <w:rFonts w:ascii="Segoe UI Light" w:hAnsi="Segoe UI Light"/>
          <w:sz w:val="16"/>
          <w:szCs w:val="16"/>
        </w:rPr>
        <w:t xml:space="preserve">Bulgārijā, Ungārijā, Beļģijā, </w:t>
      </w:r>
      <w:r w:rsidR="0066279C" w:rsidRPr="00BE4FC2">
        <w:rPr>
          <w:rFonts w:ascii="Segoe UI Light" w:hAnsi="Segoe UI Light"/>
          <w:sz w:val="16"/>
          <w:szCs w:val="16"/>
        </w:rPr>
        <w:t>Horvātijā</w:t>
      </w:r>
      <w:r w:rsidR="00BE4FC2" w:rsidRPr="00BE4FC2">
        <w:rPr>
          <w:rFonts w:ascii="Segoe UI Light" w:hAnsi="Segoe UI Light"/>
          <w:sz w:val="16"/>
          <w:szCs w:val="16"/>
        </w:rPr>
        <w:t xml:space="preserve">, Slovākijā un </w:t>
      </w:r>
      <w:r w:rsidR="0066279C" w:rsidRPr="00BE4FC2">
        <w:rPr>
          <w:rFonts w:ascii="Segoe UI Light" w:hAnsi="Segoe UI Light"/>
          <w:sz w:val="16"/>
          <w:szCs w:val="16"/>
        </w:rPr>
        <w:t>Lietuvā</w:t>
      </w:r>
      <w:r w:rsidR="00BE4FC2" w:rsidRPr="00BE4FC2">
        <w:rPr>
          <w:rFonts w:ascii="Segoe UI Light" w:hAnsi="Segoe UI Light"/>
          <w:sz w:val="16"/>
          <w:szCs w:val="16"/>
        </w:rPr>
        <w:t>.</w:t>
      </w:r>
      <w:r w:rsidR="0066279C" w:rsidRPr="00BE4FC2">
        <w:rPr>
          <w:rFonts w:ascii="Segoe UI Light" w:hAnsi="Segoe UI Light"/>
          <w:sz w:val="16"/>
          <w:szCs w:val="16"/>
        </w:rPr>
        <w:t xml:space="preserve"> </w:t>
      </w:r>
      <w:r w:rsidR="001651D5" w:rsidRPr="00BE4FC2">
        <w:rPr>
          <w:rFonts w:ascii="Segoe UI Light" w:hAnsi="Segoe UI Light"/>
          <w:sz w:val="16"/>
          <w:szCs w:val="16"/>
        </w:rPr>
        <w:t xml:space="preserve">Vienlaikus </w:t>
      </w:r>
      <w:r w:rsidR="00BE4FC2" w:rsidRPr="00BE4FC2">
        <w:rPr>
          <w:rFonts w:ascii="Segoe UI Light" w:hAnsi="Segoe UI Light"/>
          <w:sz w:val="16"/>
          <w:szCs w:val="16"/>
        </w:rPr>
        <w:t>atsevišķās valstīs šāds īpatsvars samazinājās, īpaši Igaunijā, Dānijā un Somijā. Vidējās kvalifikācijas profesiju īpatsvars lielākajā daļā valstu saruka, visbūtiskāk Bulgārijā, Beļģijā, Lietuvā, Ungārijā un Slovākijā. Savukārt zemas kvalifikācijas</w:t>
      </w:r>
      <w:r w:rsidR="00980B3F">
        <w:rPr>
          <w:rFonts w:ascii="Segoe UI Light" w:hAnsi="Segoe UI Light"/>
          <w:sz w:val="16"/>
          <w:szCs w:val="16"/>
        </w:rPr>
        <w:t xml:space="preserve"> </w:t>
      </w:r>
      <w:r w:rsidR="00BE4FC2" w:rsidRPr="00BE4FC2">
        <w:rPr>
          <w:rFonts w:ascii="Segoe UI Light" w:hAnsi="Segoe UI Light"/>
          <w:sz w:val="16"/>
          <w:szCs w:val="16"/>
        </w:rPr>
        <w:t>profesiju īpatsvara pieaugums bija vērojams tikai dažās valstīs, tostarp Igaunijā, Somijā, Lietuvā, Grieķijā un Zviedrijā. Latvijā 2025.</w:t>
      </w:r>
      <w:r w:rsidR="00806714">
        <w:rPr>
          <w:rFonts w:ascii="Segoe UI Light" w:hAnsi="Segoe UI Light"/>
          <w:sz w:val="16"/>
          <w:szCs w:val="16"/>
        </w:rPr>
        <w:t> </w:t>
      </w:r>
      <w:r w:rsidR="00BE4FC2" w:rsidRPr="00BE4FC2">
        <w:rPr>
          <w:rFonts w:ascii="Segoe UI Light" w:hAnsi="Segoe UI Light"/>
          <w:sz w:val="16"/>
          <w:szCs w:val="16"/>
        </w:rPr>
        <w:t>gadā, salīdzinot ar 2023.</w:t>
      </w:r>
      <w:r w:rsidR="00806714">
        <w:rPr>
          <w:rFonts w:ascii="Segoe UI Light" w:hAnsi="Segoe UI Light"/>
          <w:sz w:val="16"/>
          <w:szCs w:val="16"/>
        </w:rPr>
        <w:t> </w:t>
      </w:r>
      <w:r w:rsidR="00BE4FC2" w:rsidRPr="00BE4FC2">
        <w:rPr>
          <w:rFonts w:ascii="Segoe UI Light" w:hAnsi="Segoe UI Light"/>
          <w:sz w:val="16"/>
          <w:szCs w:val="16"/>
        </w:rPr>
        <w:t>gadu, augstākās kvalifikācijas profesiju īpatsvars pieauga par 1,0 pp, savukārt vidējās un zemas kvalifikācijas profesiju īpatsvars samazinājās attiecīgi par 0,3 un 0,6 pp. Tas liecina, ka arī Latvijā nodarbinātības struktūra pakāpeniski virzās augstākas kvalifikācijas profesiju virzienā, lai gan pārmaiņu temps ir mērenāks nekā vidēji ES-27.</w:t>
      </w:r>
    </w:p>
    <w:p w14:paraId="1E12B0BA" w14:textId="77777777" w:rsidR="00843E62" w:rsidRPr="00EF7F3C" w:rsidRDefault="00843E62"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highlight w:val="yellow"/>
        </w:rPr>
      </w:pPr>
    </w:p>
    <w:p w14:paraId="680D88D0" w14:textId="787B9415" w:rsidR="0066279C" w:rsidRPr="00BE4FC2"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center"/>
        <w:rPr>
          <w:rFonts w:ascii="Segoe UI Light" w:hAnsi="Segoe UI Light"/>
          <w:sz w:val="16"/>
          <w:szCs w:val="16"/>
        </w:rPr>
      </w:pPr>
      <w:r w:rsidRPr="00BE4FC2">
        <w:rPr>
          <w:rFonts w:ascii="Segoe UI Light" w:hAnsi="Segoe UI Light"/>
          <w:b/>
          <w:sz w:val="16"/>
          <w:szCs w:val="16"/>
        </w:rPr>
        <w:t xml:space="preserve">Augstākās, vidējās un zemas kvalifikācijas profesijās nodarbināto Īpatsvara izmaiņas ES-27 valstīs </w:t>
      </w:r>
      <w:r w:rsidRPr="00BE4FC2">
        <w:rPr>
          <w:rFonts w:ascii="Segoe UI Light" w:hAnsi="Segoe UI Light"/>
          <w:b/>
          <w:sz w:val="16"/>
          <w:szCs w:val="16"/>
        </w:rPr>
        <w:br/>
      </w:r>
      <w:r w:rsidRPr="00BE4FC2">
        <w:rPr>
          <w:rFonts w:ascii="Segoe UI Light" w:hAnsi="Segoe UI Light"/>
          <w:bCs/>
          <w:sz w:val="16"/>
          <w:szCs w:val="16"/>
        </w:rPr>
        <w:t>202</w:t>
      </w:r>
      <w:r w:rsidR="00BE4FC2">
        <w:rPr>
          <w:rFonts w:ascii="Segoe UI Light" w:hAnsi="Segoe UI Light"/>
          <w:bCs/>
          <w:sz w:val="16"/>
          <w:szCs w:val="16"/>
        </w:rPr>
        <w:t>5</w:t>
      </w:r>
      <w:r w:rsidRPr="00BE4FC2">
        <w:rPr>
          <w:rFonts w:ascii="Segoe UI Light" w:hAnsi="Segoe UI Light"/>
          <w:bCs/>
          <w:sz w:val="16"/>
          <w:szCs w:val="16"/>
        </w:rPr>
        <w:t>.</w:t>
      </w:r>
      <w:r w:rsidR="0080669C" w:rsidRPr="00BE4FC2">
        <w:rPr>
          <w:rFonts w:ascii="Segoe UI Light" w:hAnsi="Segoe UI Light"/>
          <w:sz w:val="16"/>
          <w:szCs w:val="16"/>
        </w:rPr>
        <w:t>gad</w:t>
      </w:r>
      <w:r w:rsidRPr="00BE4FC2">
        <w:rPr>
          <w:rFonts w:ascii="Segoe UI Light" w:hAnsi="Segoe UI Light"/>
          <w:sz w:val="16"/>
          <w:szCs w:val="16"/>
        </w:rPr>
        <w:t xml:space="preserve">ā, salīdzinot ar </w:t>
      </w:r>
      <w:r w:rsidRPr="00BE4FC2">
        <w:rPr>
          <w:rFonts w:ascii="Segoe UI Light" w:hAnsi="Segoe UI Light"/>
          <w:bCs/>
          <w:sz w:val="16"/>
          <w:szCs w:val="16"/>
        </w:rPr>
        <w:t>202</w:t>
      </w:r>
      <w:r w:rsidR="00BE4FC2">
        <w:rPr>
          <w:rFonts w:ascii="Segoe UI Light" w:hAnsi="Segoe UI Light"/>
          <w:bCs/>
          <w:sz w:val="16"/>
          <w:szCs w:val="16"/>
        </w:rPr>
        <w:t>3</w:t>
      </w:r>
      <w:r w:rsidRPr="00BE4FC2">
        <w:rPr>
          <w:rFonts w:ascii="Segoe UI Light" w:hAnsi="Segoe UI Light"/>
          <w:bCs/>
          <w:sz w:val="16"/>
          <w:szCs w:val="16"/>
        </w:rPr>
        <w:t>.</w:t>
      </w:r>
      <w:r w:rsidR="0080669C" w:rsidRPr="00BE4FC2">
        <w:rPr>
          <w:rFonts w:ascii="Segoe UI Light" w:hAnsi="Segoe UI Light"/>
          <w:sz w:val="16"/>
          <w:szCs w:val="16"/>
        </w:rPr>
        <w:t>gad</w:t>
      </w:r>
      <w:r w:rsidRPr="00BE4FC2">
        <w:rPr>
          <w:rFonts w:ascii="Segoe UI Light" w:hAnsi="Segoe UI Light"/>
          <w:sz w:val="16"/>
          <w:szCs w:val="16"/>
        </w:rPr>
        <w:t>u, procentpunkt</w:t>
      </w:r>
      <w:r w:rsidR="00843E62" w:rsidRPr="00BE4FC2">
        <w:rPr>
          <w:rFonts w:ascii="Segoe UI Light" w:hAnsi="Segoe UI Light"/>
          <w:sz w:val="16"/>
          <w:szCs w:val="16"/>
        </w:rPr>
        <w:t>os</w:t>
      </w:r>
    </w:p>
    <w:p w14:paraId="6A46817B" w14:textId="4914EDF6" w:rsidR="0066279C" w:rsidRPr="00EF7F3C" w:rsidRDefault="00A8784D"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bCs/>
          <w:color w:val="FF0000"/>
          <w:sz w:val="16"/>
          <w:szCs w:val="16"/>
          <w:highlight w:val="yellow"/>
        </w:rPr>
      </w:pPr>
      <w:r w:rsidRPr="001037E7">
        <w:rPr>
          <w:rFonts w:ascii="Segoe UI Light" w:hAnsi="Segoe UI Light"/>
          <w:bCs/>
          <w:noProof/>
          <w:color w:val="FF0000"/>
          <w:sz w:val="16"/>
          <w:szCs w:val="16"/>
          <w:lang w:val="en-US"/>
        </w:rPr>
        <w:drawing>
          <wp:inline distT="0" distB="0" distL="0" distR="0" wp14:anchorId="5B8A30EA" wp14:editId="38B67A53">
            <wp:extent cx="5579745" cy="2428646"/>
            <wp:effectExtent l="0" t="0" r="0" b="0"/>
            <wp:docPr id="902430440" name="Chart 9024304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2CECCF4" w14:textId="459FE26A" w:rsidR="0066279C" w:rsidRPr="006023BB"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sz w:val="14"/>
          <w:szCs w:val="14"/>
        </w:rPr>
      </w:pPr>
      <w:r w:rsidRPr="006023BB">
        <w:rPr>
          <w:rFonts w:ascii="Segoe UI Light" w:hAnsi="Segoe UI Light"/>
          <w:sz w:val="14"/>
          <w:szCs w:val="14"/>
        </w:rPr>
        <w:t xml:space="preserve">Avots: </w:t>
      </w:r>
      <w:r w:rsidRPr="006023BB">
        <w:rPr>
          <w:rFonts w:ascii="Segoe UI Light" w:hAnsi="Segoe UI Light"/>
          <w:i/>
          <w:sz w:val="14"/>
          <w:szCs w:val="14"/>
        </w:rPr>
        <w:t>Eurostat</w:t>
      </w:r>
    </w:p>
    <w:p w14:paraId="3E63B46D" w14:textId="77777777" w:rsidR="006E0D9F" w:rsidRPr="006E0D9F" w:rsidRDefault="006E0D9F" w:rsidP="00867A48">
      <w:pPr>
        <w:spacing w:after="120"/>
        <w:jc w:val="both"/>
        <w:rPr>
          <w:rFonts w:ascii="Source Sans Pro" w:hAnsi="Source Sans Pro"/>
        </w:rPr>
      </w:pPr>
    </w:p>
    <w:p w14:paraId="329987AE" w14:textId="78DC8192" w:rsidR="0066279C" w:rsidRPr="00DE4C6B" w:rsidRDefault="0066279C" w:rsidP="00867A48">
      <w:pPr>
        <w:spacing w:after="120"/>
        <w:jc w:val="both"/>
        <w:rPr>
          <w:rFonts w:ascii="Aptos Narrow" w:hAnsi="Aptos Narrow"/>
          <w:b/>
          <w:color w:val="003E4C"/>
          <w:sz w:val="28"/>
          <w:szCs w:val="28"/>
        </w:rPr>
      </w:pPr>
      <w:r w:rsidRPr="00DE4C6B">
        <w:rPr>
          <w:rFonts w:ascii="Aptos Narrow" w:hAnsi="Aptos Narrow"/>
          <w:b/>
          <w:color w:val="003E4C"/>
          <w:sz w:val="28"/>
          <w:szCs w:val="28"/>
        </w:rPr>
        <w:t>Aizņemto darbavietu izmaiņas</w:t>
      </w:r>
    </w:p>
    <w:p w14:paraId="46F6EC49" w14:textId="552FFD97" w:rsidR="0066279C" w:rsidRPr="00D829F0" w:rsidRDefault="0066279C" w:rsidP="00867A48">
      <w:pPr>
        <w:spacing w:after="120"/>
        <w:jc w:val="both"/>
        <w:rPr>
          <w:rFonts w:ascii="Source Sans Pro" w:hAnsi="Source Sans Pro"/>
        </w:rPr>
      </w:pPr>
      <w:r w:rsidRPr="00D829F0">
        <w:rPr>
          <w:rFonts w:ascii="Source Sans Pro" w:hAnsi="Source Sans Pro"/>
        </w:rPr>
        <w:t>2010.-</w:t>
      </w:r>
      <w:r w:rsidR="00700D9F" w:rsidRPr="00D829F0">
        <w:rPr>
          <w:rFonts w:ascii="Source Sans Pro" w:hAnsi="Source Sans Pro"/>
        </w:rPr>
        <w:t>2025</w:t>
      </w:r>
      <w:r w:rsidRPr="00D829F0">
        <w:rPr>
          <w:rFonts w:ascii="Source Sans Pro" w:hAnsi="Source Sans Pro"/>
        </w:rPr>
        <w:t>.</w:t>
      </w:r>
      <w:r w:rsidR="00806714">
        <w:rPr>
          <w:rFonts w:ascii="Source Sans Pro" w:hAnsi="Source Sans Pro"/>
        </w:rPr>
        <w:t> </w:t>
      </w:r>
      <w:r w:rsidR="0080669C" w:rsidRPr="00D829F0">
        <w:rPr>
          <w:rFonts w:ascii="Source Sans Pro" w:hAnsi="Source Sans Pro"/>
        </w:rPr>
        <w:t>gad</w:t>
      </w:r>
      <w:r w:rsidR="00681D19" w:rsidRPr="00D829F0">
        <w:rPr>
          <w:rFonts w:ascii="Source Sans Pro" w:hAnsi="Source Sans Pro"/>
        </w:rPr>
        <w:t>os</w:t>
      </w:r>
      <w:r w:rsidRPr="00D829F0">
        <w:rPr>
          <w:rFonts w:ascii="Source Sans Pro" w:hAnsi="Source Sans Pro"/>
        </w:rPr>
        <w:t xml:space="preserve"> gandrīz visās tautsaimniecības pamatnozarēs pieauga arī </w:t>
      </w:r>
      <w:r w:rsidRPr="00806714">
        <w:rPr>
          <w:rFonts w:ascii="Source Sans Pro" w:hAnsi="Source Sans Pro"/>
        </w:rPr>
        <w:t>aizņemto darbavietu</w:t>
      </w:r>
      <w:r w:rsidRPr="00D829F0">
        <w:rPr>
          <w:rFonts w:ascii="Source Sans Pro" w:hAnsi="Source Sans Pro"/>
        </w:rPr>
        <w:t xml:space="preserve"> skaits (izņemot transportu un uzglabāšanu</w:t>
      </w:r>
      <w:r w:rsidR="00700D9F" w:rsidRPr="00D829F0">
        <w:rPr>
          <w:rFonts w:ascii="Source Sans Pro" w:hAnsi="Source Sans Pro"/>
        </w:rPr>
        <w:t>).</w:t>
      </w:r>
      <w:r w:rsidRPr="00D829F0">
        <w:rPr>
          <w:rFonts w:ascii="Source Sans Pro" w:hAnsi="Source Sans Pro"/>
        </w:rPr>
        <w:t xml:space="preserve"> Salīdzinājumā </w:t>
      </w:r>
      <w:r w:rsidR="00681D19" w:rsidRPr="00D829F0">
        <w:rPr>
          <w:rFonts w:ascii="Source Sans Pro" w:hAnsi="Source Sans Pro"/>
        </w:rPr>
        <w:t>ar</w:t>
      </w:r>
      <w:r w:rsidRPr="00D829F0">
        <w:rPr>
          <w:rFonts w:ascii="Source Sans Pro" w:hAnsi="Source Sans Pro"/>
        </w:rPr>
        <w:t xml:space="preserve"> </w:t>
      </w:r>
      <w:r w:rsidR="00700D9F" w:rsidRPr="00D829F0">
        <w:rPr>
          <w:rFonts w:ascii="Source Sans Pro" w:hAnsi="Source Sans Pro"/>
        </w:rPr>
        <w:t>2023.</w:t>
      </w:r>
      <w:r w:rsidR="00806714">
        <w:rPr>
          <w:rFonts w:ascii="Source Sans Pro" w:hAnsi="Source Sans Pro"/>
        </w:rPr>
        <w:t> </w:t>
      </w:r>
      <w:r w:rsidR="0080669C" w:rsidRPr="00D829F0">
        <w:rPr>
          <w:rFonts w:ascii="Source Sans Pro" w:hAnsi="Source Sans Pro"/>
        </w:rPr>
        <w:t>gad</w:t>
      </w:r>
      <w:r w:rsidRPr="00D829F0">
        <w:rPr>
          <w:rFonts w:ascii="Source Sans Pro" w:hAnsi="Source Sans Pro"/>
        </w:rPr>
        <w:t xml:space="preserve">u aizņemto </w:t>
      </w:r>
      <w:r w:rsidR="00700D9F" w:rsidRPr="00D829F0">
        <w:rPr>
          <w:rFonts w:ascii="Source Sans Pro" w:hAnsi="Source Sans Pro"/>
        </w:rPr>
        <w:t xml:space="preserve">darbavietu skaits </w:t>
      </w:r>
      <w:r w:rsidRPr="00D829F0">
        <w:rPr>
          <w:rFonts w:ascii="Source Sans Pro" w:hAnsi="Source Sans Pro"/>
        </w:rPr>
        <w:t>samazinājās par 2</w:t>
      </w:r>
      <w:r w:rsidR="00700D9F" w:rsidRPr="00D829F0">
        <w:rPr>
          <w:rFonts w:ascii="Source Sans Pro" w:hAnsi="Source Sans Pro"/>
        </w:rPr>
        <w:t>,9</w:t>
      </w:r>
      <w:r w:rsidR="00806714">
        <w:rPr>
          <w:rFonts w:ascii="Source Sans Pro" w:hAnsi="Source Sans Pro"/>
        </w:rPr>
        <w:t> </w:t>
      </w:r>
      <w:r w:rsidRPr="00D829F0">
        <w:rPr>
          <w:rFonts w:ascii="Source Sans Pro" w:hAnsi="Source Sans Pro"/>
        </w:rPr>
        <w:t xml:space="preserve">tūkstošiem (samazinājums bija privātajā sektorā). Straujākais pieaugums bija </w:t>
      </w:r>
      <w:r w:rsidR="00700D9F" w:rsidRPr="00D829F0">
        <w:rPr>
          <w:rFonts w:ascii="Source Sans Pro" w:hAnsi="Source Sans Pro"/>
        </w:rPr>
        <w:t xml:space="preserve">sabiedriskajos pakalpojumos </w:t>
      </w:r>
      <w:r w:rsidRPr="00D829F0">
        <w:rPr>
          <w:rFonts w:ascii="Source Sans Pro" w:hAnsi="Source Sans Pro"/>
        </w:rPr>
        <w:t>(par 3,</w:t>
      </w:r>
      <w:r w:rsidR="00700D9F" w:rsidRPr="00D829F0">
        <w:rPr>
          <w:rFonts w:ascii="Source Sans Pro" w:hAnsi="Source Sans Pro"/>
        </w:rPr>
        <w:t>0</w:t>
      </w:r>
      <w:r w:rsidR="0080669C" w:rsidRPr="00D829F0">
        <w:rPr>
          <w:rFonts w:ascii="Source Sans Pro" w:hAnsi="Source Sans Pro"/>
        </w:rPr>
        <w:t>%</w:t>
      </w:r>
      <w:r w:rsidRPr="00D829F0">
        <w:rPr>
          <w:rFonts w:ascii="Source Sans Pro" w:hAnsi="Source Sans Pro"/>
        </w:rPr>
        <w:t>), savukārt straujākais samazinājums – transports un uzglabāšana (-</w:t>
      </w:r>
      <w:r w:rsidR="00700D9F" w:rsidRPr="00D829F0">
        <w:rPr>
          <w:rFonts w:ascii="Source Sans Pro" w:hAnsi="Source Sans Pro"/>
        </w:rPr>
        <w:t>6,1%), rūpniecībā (-3,7%) un lauksaimniecībā (-2,2</w:t>
      </w:r>
      <w:r w:rsidR="0080669C" w:rsidRPr="00D829F0">
        <w:rPr>
          <w:rFonts w:ascii="Source Sans Pro" w:hAnsi="Source Sans Pro"/>
        </w:rPr>
        <w:t>%</w:t>
      </w:r>
      <w:r w:rsidRPr="00D829F0">
        <w:rPr>
          <w:rFonts w:ascii="Source Sans Pro" w:hAnsi="Source Sans Pro"/>
        </w:rPr>
        <w:t>).</w:t>
      </w:r>
    </w:p>
    <w:p w14:paraId="09D390B4" w14:textId="77777777" w:rsidR="0066279C" w:rsidRPr="00D829F0" w:rsidRDefault="0066279C" w:rsidP="00867A48">
      <w:pPr>
        <w:pStyle w:val="BodyTextIndent"/>
        <w:numPr>
          <w:ilvl w:val="12"/>
          <w:numId w:val="0"/>
        </w:numPr>
        <w:jc w:val="right"/>
        <w:rPr>
          <w:rFonts w:ascii="Source Sans Pro" w:hAnsi="Source Sans Pro"/>
          <w:szCs w:val="26"/>
        </w:rPr>
      </w:pPr>
      <w:r w:rsidRPr="00D829F0">
        <w:rPr>
          <w:rFonts w:ascii="Source Sans Pro" w:hAnsi="Source Sans Pro"/>
          <w:szCs w:val="26"/>
        </w:rPr>
        <w:t>2.2. attēls</w:t>
      </w:r>
    </w:p>
    <w:p w14:paraId="1462F740" w14:textId="77777777" w:rsidR="0066279C" w:rsidRPr="00700D9F" w:rsidRDefault="0066279C" w:rsidP="00867A48">
      <w:pPr>
        <w:spacing w:after="120"/>
        <w:jc w:val="center"/>
        <w:rPr>
          <w:rFonts w:ascii="Segoe UI Light" w:hAnsi="Segoe UI Light"/>
          <w:i/>
          <w:sz w:val="16"/>
          <w:szCs w:val="26"/>
        </w:rPr>
      </w:pPr>
      <w:r w:rsidRPr="00700D9F">
        <w:rPr>
          <w:rFonts w:ascii="Segoe UI Light" w:hAnsi="Segoe UI Light"/>
          <w:b/>
          <w:sz w:val="18"/>
          <w:szCs w:val="26"/>
        </w:rPr>
        <w:t>Aizņemto darbavietu skaits</w:t>
      </w:r>
      <w:r w:rsidRPr="00700D9F">
        <w:rPr>
          <w:rFonts w:ascii="Segoe UI Light" w:hAnsi="Segoe UI Light"/>
          <w:b/>
          <w:sz w:val="18"/>
          <w:szCs w:val="26"/>
        </w:rPr>
        <w:br/>
      </w:r>
      <w:r w:rsidRPr="00700D9F">
        <w:rPr>
          <w:rFonts w:ascii="Segoe UI Light" w:hAnsi="Segoe UI Light"/>
          <w:i/>
          <w:sz w:val="16"/>
          <w:szCs w:val="26"/>
        </w:rPr>
        <w:t>tūkstošos</w:t>
      </w:r>
    </w:p>
    <w:p w14:paraId="33B40C05" w14:textId="14F9BF0B" w:rsidR="0066279C" w:rsidRPr="00D829F0" w:rsidRDefault="00B57755" w:rsidP="00867A48">
      <w:pPr>
        <w:tabs>
          <w:tab w:val="left" w:pos="4643"/>
        </w:tabs>
        <w:spacing w:after="120"/>
        <w:jc w:val="right"/>
        <w:rPr>
          <w:rFonts w:ascii="Source Sans Pro" w:hAnsi="Source Sans Pro" w:cs="Segoe UI"/>
          <w:color w:val="FF0000"/>
        </w:rPr>
      </w:pPr>
      <w:r w:rsidRPr="00D829F0">
        <w:rPr>
          <w:rFonts w:ascii="Source Sans Pro" w:hAnsi="Source Sans Pro"/>
          <w:noProof/>
          <w:color w:val="FF0000"/>
          <w:szCs w:val="20"/>
          <w:lang w:val="en-US"/>
        </w:rPr>
        <w:drawing>
          <wp:inline distT="0" distB="0" distL="0" distR="0" wp14:anchorId="69A2F07D" wp14:editId="4D009B3E">
            <wp:extent cx="1368000" cy="2159635"/>
            <wp:effectExtent l="0" t="0" r="0" b="0"/>
            <wp:docPr id="156593202" name="Chart 1565932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0A6961" w:rsidRPr="00D829F0">
        <w:rPr>
          <w:rFonts w:ascii="Source Sans Pro" w:hAnsi="Source Sans Pro" w:cs="Segoe UI"/>
          <w:noProof/>
          <w:color w:val="FF0000"/>
          <w:szCs w:val="20"/>
          <w:lang w:val="en-US"/>
        </w:rPr>
        <w:drawing>
          <wp:inline distT="0" distB="0" distL="0" distR="0" wp14:anchorId="6AE683FD" wp14:editId="28628157">
            <wp:extent cx="4320000" cy="2160000"/>
            <wp:effectExtent l="0" t="0" r="4445" b="0"/>
            <wp:docPr id="1899686510" name="Chart 18996865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D3DF762" w14:textId="77777777" w:rsidR="0066279C" w:rsidRPr="00D829F0" w:rsidRDefault="0066279C" w:rsidP="00867A48">
      <w:pPr>
        <w:spacing w:before="120" w:after="120"/>
        <w:jc w:val="both"/>
        <w:rPr>
          <w:rFonts w:ascii="Source Sans Pro" w:hAnsi="Source Sans Pro"/>
          <w:sz w:val="16"/>
          <w:szCs w:val="16"/>
        </w:rPr>
      </w:pPr>
      <w:r w:rsidRPr="00D829F0">
        <w:rPr>
          <w:rFonts w:ascii="Source Sans Pro" w:hAnsi="Source Sans Pro"/>
          <w:sz w:val="16"/>
          <w:szCs w:val="16"/>
        </w:rPr>
        <w:t>Avots: CSP</w:t>
      </w:r>
    </w:p>
    <w:p w14:paraId="1C3BA5C6" w14:textId="77777777" w:rsidR="00F14377" w:rsidRPr="00D829F0" w:rsidRDefault="00F14377" w:rsidP="00867A48">
      <w:pPr>
        <w:spacing w:after="120"/>
        <w:jc w:val="both"/>
        <w:rPr>
          <w:rFonts w:ascii="Source Sans Pro" w:hAnsi="Source Sans Pro"/>
          <w:sz w:val="16"/>
          <w:szCs w:val="16"/>
        </w:rPr>
      </w:pPr>
    </w:p>
    <w:p w14:paraId="6D481CBA" w14:textId="77777777" w:rsidR="0066279C" w:rsidRPr="000A6961"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jc w:val="right"/>
        <w:rPr>
          <w:rFonts w:ascii="Segoe UI Light" w:hAnsi="Segoe UI Light"/>
          <w:b/>
          <w:sz w:val="16"/>
          <w:szCs w:val="16"/>
        </w:rPr>
      </w:pPr>
      <w:r w:rsidRPr="000A6961">
        <w:rPr>
          <w:rFonts w:ascii="Segoe UI Light" w:hAnsi="Segoe UI Light"/>
          <w:b/>
          <w:sz w:val="16"/>
          <w:szCs w:val="16"/>
        </w:rPr>
        <w:lastRenderedPageBreak/>
        <w:t>Nodarbināto iedzīvotāju un aizņemto darba vietu jēdzienu skaidrojums</w:t>
      </w:r>
    </w:p>
    <w:p w14:paraId="0282F945" w14:textId="77777777" w:rsidR="0066279C" w:rsidRPr="000A6961"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b/>
          <w:sz w:val="16"/>
          <w:szCs w:val="18"/>
        </w:rPr>
      </w:pPr>
      <w:r w:rsidRPr="000A6961">
        <w:rPr>
          <w:rFonts w:ascii="Segoe UI Light" w:hAnsi="Segoe UI Light"/>
          <w:b/>
          <w:sz w:val="16"/>
          <w:szCs w:val="18"/>
        </w:rPr>
        <w:t>Nodarbinātie iedzīvotāji</w:t>
      </w:r>
    </w:p>
    <w:p w14:paraId="75A17C8B" w14:textId="77777777" w:rsidR="0066279C" w:rsidRPr="000A6961"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sz w:val="16"/>
          <w:szCs w:val="18"/>
        </w:rPr>
      </w:pPr>
      <w:r w:rsidRPr="000A6961">
        <w:rPr>
          <w:rFonts w:ascii="Segoe UI Light" w:hAnsi="Segoe UI Light"/>
          <w:sz w:val="16"/>
          <w:szCs w:val="18"/>
        </w:rPr>
        <w:t>Saskaņā ar Starptautiskās Darba organizācijas (SDO) izveidotajām definīcijām nodarbinātie iedzīvotāji ir visas tās personas, kuras pārskata nedēļā veica jebkādu darbu par samaksu naudā vai par atlīdzību precēs vai pakalpojumos.</w:t>
      </w:r>
    </w:p>
    <w:p w14:paraId="4F33CE58" w14:textId="7EDB97B2" w:rsidR="0066279C" w:rsidRPr="000A6961"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sz w:val="16"/>
          <w:szCs w:val="18"/>
        </w:rPr>
      </w:pPr>
      <w:r w:rsidRPr="000A6961">
        <w:rPr>
          <w:rFonts w:ascii="Segoe UI Light" w:hAnsi="Segoe UI Light"/>
          <w:sz w:val="16"/>
          <w:szCs w:val="18"/>
        </w:rPr>
        <w:t>Par nodarbinātajiem uzskata arī pašnodarbinātās personas uzņēmējdarbībā, lauku saimniecībā vai profesionālajā praksē. Personas, kuras</w:t>
      </w:r>
      <w:r w:rsidR="00AC29C7">
        <w:rPr>
          <w:rFonts w:ascii="Segoe UI Light" w:hAnsi="Segoe UI Light"/>
          <w:sz w:val="16"/>
          <w:szCs w:val="18"/>
        </w:rPr>
        <w:t xml:space="preserve"> </w:t>
      </w:r>
      <w:r w:rsidRPr="000A6961">
        <w:rPr>
          <w:rFonts w:ascii="Segoe UI Light" w:hAnsi="Segoe UI Light"/>
          <w:sz w:val="16"/>
          <w:szCs w:val="18"/>
        </w:rPr>
        <w:t>atrodas pagaidu prombūtnē no darba grūtniecības vai dzemdību atvaļinājuma dēļ, kā arī bērna kopšanas atvaļinājumā, uzskata par nodarbinātām, ja pēc atvaļinājuma beigām personai ir garantija atgriezties iepriekšējā darba vietā. Nodarbināto skaitā ietver arī tās personas, kuras strādā savā lauku saimniecībā (zemnieku vai piemājas), lai saražotu produkciju pašu patēriņam vai pārdošanai.</w:t>
      </w:r>
    </w:p>
    <w:p w14:paraId="117FDB77" w14:textId="77777777" w:rsidR="0066279C" w:rsidRPr="000A6961"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0A6961">
        <w:rPr>
          <w:rFonts w:ascii="Segoe UI Light" w:hAnsi="Segoe UI Light"/>
          <w:sz w:val="16"/>
          <w:szCs w:val="16"/>
        </w:rPr>
        <w:t>Informācija par Latvijas iedzīvotāju ekonomisko aktivitāti (nodarbinātību un bezdarbu) iegūta no Latvijas nepārtrauktā DSA.</w:t>
      </w:r>
    </w:p>
    <w:p w14:paraId="7113215F" w14:textId="2AE6F841" w:rsidR="0066279C" w:rsidRPr="000A6961"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0A6961">
        <w:rPr>
          <w:rFonts w:ascii="Segoe UI Light" w:hAnsi="Segoe UI Light"/>
          <w:sz w:val="16"/>
          <w:szCs w:val="16"/>
        </w:rPr>
        <w:t>Latvijas DSA informācija par ekonomisko aktivitāti (tai skaitā nodarbinātību) saskaņā ar metodoloģiju tiek jautāta personām vecumā no 15</w:t>
      </w:r>
      <w:r w:rsidR="00A357DA">
        <w:rPr>
          <w:rFonts w:ascii="Segoe UI Light" w:hAnsi="Segoe UI Light"/>
          <w:sz w:val="16"/>
          <w:szCs w:val="16"/>
        </w:rPr>
        <w:t xml:space="preserve"> </w:t>
      </w:r>
      <w:r w:rsidRPr="000A6961">
        <w:rPr>
          <w:rFonts w:ascii="Segoe UI Light" w:hAnsi="Segoe UI Light"/>
          <w:sz w:val="16"/>
          <w:szCs w:val="16"/>
        </w:rPr>
        <w:t>līdz 74</w:t>
      </w:r>
      <w:r w:rsidR="00314CE1" w:rsidRPr="000A6961">
        <w:rPr>
          <w:rFonts w:ascii="Segoe UI Light" w:hAnsi="Segoe UI Light"/>
          <w:sz w:val="16"/>
          <w:szCs w:val="16"/>
        </w:rPr>
        <w:t xml:space="preserve"> </w:t>
      </w:r>
      <w:r w:rsidR="0080669C" w:rsidRPr="000A6961">
        <w:rPr>
          <w:rFonts w:ascii="Segoe UI Light" w:hAnsi="Segoe UI Light"/>
          <w:sz w:val="16"/>
          <w:szCs w:val="16"/>
        </w:rPr>
        <w:t>gad</w:t>
      </w:r>
      <w:r w:rsidRPr="000A6961">
        <w:rPr>
          <w:rFonts w:ascii="Segoe UI Light" w:hAnsi="Segoe UI Light"/>
          <w:sz w:val="16"/>
          <w:szCs w:val="16"/>
        </w:rPr>
        <w:t>iem. Datu starptautiskai salīdzināmībai daļa nodarbinātības rādītāju tiek aprēķināti arī par vecuma grupu 15-64</w:t>
      </w:r>
      <w:r w:rsidR="00314CE1" w:rsidRPr="000A6961">
        <w:rPr>
          <w:rFonts w:ascii="Segoe UI Light" w:hAnsi="Segoe UI Light"/>
          <w:sz w:val="16"/>
          <w:szCs w:val="16"/>
        </w:rPr>
        <w:t xml:space="preserve"> </w:t>
      </w:r>
      <w:r w:rsidR="0080669C" w:rsidRPr="000A6961">
        <w:rPr>
          <w:rFonts w:ascii="Segoe UI Light" w:hAnsi="Segoe UI Light"/>
          <w:sz w:val="16"/>
          <w:szCs w:val="16"/>
        </w:rPr>
        <w:t>gad</w:t>
      </w:r>
      <w:r w:rsidRPr="000A6961">
        <w:rPr>
          <w:rFonts w:ascii="Segoe UI Light" w:hAnsi="Segoe UI Light"/>
          <w:sz w:val="16"/>
          <w:szCs w:val="16"/>
        </w:rPr>
        <w:t>i. Starptautiski vecuma grupa 15–64</w:t>
      </w:r>
      <w:r w:rsidR="00314CE1" w:rsidRPr="000A6961">
        <w:rPr>
          <w:rFonts w:ascii="Segoe UI Light" w:hAnsi="Segoe UI Light"/>
          <w:sz w:val="16"/>
          <w:szCs w:val="16"/>
        </w:rPr>
        <w:t xml:space="preserve"> </w:t>
      </w:r>
      <w:r w:rsidR="0080669C" w:rsidRPr="000A6961">
        <w:rPr>
          <w:rFonts w:ascii="Segoe UI Light" w:hAnsi="Segoe UI Light"/>
          <w:sz w:val="16"/>
          <w:szCs w:val="16"/>
        </w:rPr>
        <w:t>gad</w:t>
      </w:r>
      <w:r w:rsidRPr="000A6961">
        <w:rPr>
          <w:rFonts w:ascii="Segoe UI Light" w:hAnsi="Segoe UI Light"/>
          <w:sz w:val="16"/>
          <w:szCs w:val="16"/>
        </w:rPr>
        <w:t xml:space="preserve">i ir pieņemta kā darbspējas vecums, ko datu publicēšanai izmanto gan </w:t>
      </w:r>
      <w:r w:rsidRPr="000A6961">
        <w:rPr>
          <w:rFonts w:ascii="Segoe UI Light" w:hAnsi="Segoe UI Light"/>
          <w:i/>
          <w:sz w:val="16"/>
          <w:szCs w:val="16"/>
        </w:rPr>
        <w:t>Eurostat</w:t>
      </w:r>
      <w:r w:rsidRPr="000A6961">
        <w:rPr>
          <w:rFonts w:ascii="Segoe UI Light" w:hAnsi="Segoe UI Light"/>
          <w:sz w:val="16"/>
          <w:szCs w:val="16"/>
        </w:rPr>
        <w:t xml:space="preserve">, gan SDO, līdz ar to arī Latvijā galvenie ekonomisko aktivitāti raksturojošie rādītāji ir publicēti par divām vecuma grupām: 15-64 un 15-74 </w:t>
      </w:r>
      <w:r w:rsidR="000D33B0">
        <w:rPr>
          <w:rFonts w:ascii="Segoe UI Light" w:hAnsi="Segoe UI Light"/>
          <w:sz w:val="16"/>
          <w:szCs w:val="16"/>
        </w:rPr>
        <w:t>vecuma grupas</w:t>
      </w:r>
      <w:r w:rsidRPr="000A6961">
        <w:rPr>
          <w:rFonts w:ascii="Segoe UI Light" w:hAnsi="Segoe UI Light"/>
          <w:sz w:val="16"/>
          <w:szCs w:val="16"/>
        </w:rPr>
        <w:t>.</w:t>
      </w:r>
    </w:p>
    <w:p w14:paraId="05F41BBF" w14:textId="77777777" w:rsidR="0066279C" w:rsidRPr="000A6961"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sz w:val="16"/>
          <w:szCs w:val="18"/>
        </w:rPr>
      </w:pPr>
    </w:p>
    <w:p w14:paraId="00D926F6" w14:textId="77777777" w:rsidR="0066279C" w:rsidRPr="000A6961"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b/>
          <w:sz w:val="16"/>
          <w:szCs w:val="18"/>
        </w:rPr>
      </w:pPr>
      <w:r w:rsidRPr="000A6961">
        <w:rPr>
          <w:rFonts w:ascii="Segoe UI Light" w:hAnsi="Segoe UI Light"/>
          <w:b/>
          <w:sz w:val="16"/>
          <w:szCs w:val="18"/>
        </w:rPr>
        <w:t>Aizņemtās darba vietas</w:t>
      </w:r>
    </w:p>
    <w:p w14:paraId="25B8642A" w14:textId="315567AE" w:rsidR="0066279C" w:rsidRPr="000A6961" w:rsidRDefault="00A607A6"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sz w:val="16"/>
          <w:szCs w:val="18"/>
        </w:rPr>
      </w:pPr>
      <w:r w:rsidRPr="000A6961">
        <w:rPr>
          <w:rFonts w:ascii="Segoe UI Light" w:hAnsi="Segoe UI Light"/>
          <w:sz w:val="16"/>
          <w:szCs w:val="18"/>
        </w:rPr>
        <w:t>Algota darbvieta, kurā darbinieks ir pieņemts darbā. Aizņemto darbvietu skaitā tiek ietverti gan pilna un nepilna darba laika darbinieki, par kuriem saskaņā ar Darba likumu ir jāveic darba laika uzskaite, gan tie darbinieki, kuriem darba laika uzskaite netiek veikta.</w:t>
      </w:r>
      <w:r w:rsidRPr="000A6961">
        <w:rPr>
          <w:rStyle w:val="FootnoteReference"/>
          <w:rFonts w:ascii="Segoe UI Light" w:hAnsi="Segoe UI Light"/>
          <w:sz w:val="16"/>
          <w:szCs w:val="18"/>
        </w:rPr>
        <w:footnoteReference w:id="2"/>
      </w:r>
      <w:r w:rsidRPr="000A6961">
        <w:rPr>
          <w:rFonts w:ascii="Segoe UI Light" w:hAnsi="Segoe UI Light"/>
          <w:sz w:val="16"/>
          <w:szCs w:val="18"/>
        </w:rPr>
        <w:t xml:space="preserve"> </w:t>
      </w:r>
      <w:r w:rsidR="0066279C" w:rsidRPr="000A6961">
        <w:rPr>
          <w:rFonts w:ascii="Segoe UI Light" w:hAnsi="Segoe UI Light"/>
          <w:sz w:val="16"/>
          <w:szCs w:val="18"/>
          <w:u w:val="single"/>
        </w:rPr>
        <w:t>Viens cilvēks var būt nodarbināts vairākās darbavietās.</w:t>
      </w:r>
    </w:p>
    <w:p w14:paraId="2DE76CF6" w14:textId="77777777" w:rsidR="0066279C" w:rsidRPr="000A6961" w:rsidRDefault="0066279C" w:rsidP="00DE4C6B">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0"/>
        </w:tabs>
        <w:spacing w:after="60"/>
        <w:jc w:val="both"/>
        <w:rPr>
          <w:rFonts w:ascii="Segoe UI Light" w:hAnsi="Segoe UI Light"/>
          <w:sz w:val="16"/>
          <w:szCs w:val="18"/>
        </w:rPr>
      </w:pPr>
      <w:r w:rsidRPr="000A6961">
        <w:rPr>
          <w:rFonts w:ascii="Segoe UI Light" w:hAnsi="Segoe UI Light"/>
          <w:sz w:val="16"/>
          <w:szCs w:val="18"/>
        </w:rPr>
        <w:t>Aizņemto darba vietu dati tiek iegūti, veicot uzņēmumu, centrālo valdības institūciju, pašvaldību un to institūciju un institucionālo vienību apsekojumu. Informācija tiek iegūta, apkopojot CSP izstrādātās ceturkšņa statistikas pārskata veidlapas par komersantu, iestāžu, nodibinājumu, biedrību un fondu darbību datus un administratīvos datus.</w:t>
      </w:r>
      <w:r w:rsidRPr="000A6961">
        <w:rPr>
          <w:rFonts w:ascii="Segoe UI Light" w:hAnsi="Segoe UI Light"/>
          <w:sz w:val="18"/>
        </w:rPr>
        <w:t xml:space="preserve"> </w:t>
      </w:r>
      <w:r w:rsidRPr="000A6961">
        <w:rPr>
          <w:rFonts w:ascii="Segoe UI Light" w:hAnsi="Segoe UI Light"/>
          <w:sz w:val="16"/>
          <w:szCs w:val="18"/>
        </w:rPr>
        <w:t>Administratīvie dati tiek iegūti CSP aprēķinu rezultātā no Valsts ieņēmuma dienesta datiem.</w:t>
      </w:r>
    </w:p>
    <w:p w14:paraId="54CB505D" w14:textId="77777777" w:rsidR="0066279C" w:rsidRPr="00D829F0" w:rsidRDefault="0066279C" w:rsidP="0066279C">
      <w:pPr>
        <w:spacing w:after="0"/>
        <w:jc w:val="right"/>
        <w:rPr>
          <w:rFonts w:ascii="Source Sans Pro" w:hAnsi="Source Sans Pro"/>
          <w:color w:val="000000"/>
          <w:szCs w:val="26"/>
        </w:rPr>
      </w:pPr>
    </w:p>
    <w:p w14:paraId="16D6DE76" w14:textId="77777777" w:rsidR="0066279C" w:rsidRPr="00D829F0" w:rsidRDefault="0066279C" w:rsidP="0066279C">
      <w:pPr>
        <w:spacing w:after="0"/>
        <w:rPr>
          <w:rFonts w:ascii="Source Sans Pro" w:hAnsi="Source Sans Pro"/>
          <w:color w:val="000000"/>
          <w:szCs w:val="26"/>
        </w:rPr>
      </w:pPr>
      <w:r w:rsidRPr="00D829F0">
        <w:rPr>
          <w:rFonts w:ascii="Source Sans Pro" w:hAnsi="Source Sans Pro"/>
          <w:color w:val="000000"/>
          <w:szCs w:val="26"/>
        </w:rPr>
        <w:br w:type="page"/>
      </w:r>
    </w:p>
    <w:p w14:paraId="4C21086B" w14:textId="4F77EB82" w:rsidR="0066279C" w:rsidRPr="00D829F0" w:rsidRDefault="0066279C" w:rsidP="00E95378">
      <w:pPr>
        <w:spacing w:after="0"/>
        <w:jc w:val="right"/>
        <w:rPr>
          <w:rFonts w:ascii="Source Sans Pro" w:hAnsi="Source Sans Pro"/>
          <w:color w:val="000000"/>
          <w:szCs w:val="26"/>
        </w:rPr>
      </w:pPr>
      <w:r w:rsidRPr="00D829F0">
        <w:rPr>
          <w:rFonts w:ascii="Source Sans Pro" w:hAnsi="Source Sans Pro"/>
          <w:color w:val="000000"/>
          <w:szCs w:val="26"/>
        </w:rPr>
        <w:lastRenderedPageBreak/>
        <w:t>2.3.</w:t>
      </w:r>
      <w:r w:rsidR="00806714">
        <w:rPr>
          <w:rFonts w:ascii="Source Sans Pro" w:hAnsi="Source Sans Pro"/>
          <w:color w:val="000000"/>
          <w:szCs w:val="26"/>
        </w:rPr>
        <w:t> </w:t>
      </w:r>
      <w:r w:rsidRPr="00D829F0">
        <w:rPr>
          <w:rFonts w:ascii="Source Sans Pro" w:hAnsi="Source Sans Pro"/>
          <w:color w:val="000000"/>
          <w:szCs w:val="26"/>
        </w:rPr>
        <w:t>attēls</w:t>
      </w:r>
    </w:p>
    <w:p w14:paraId="02CF6D09" w14:textId="4692AD52" w:rsidR="00DC6857" w:rsidRPr="001037E7" w:rsidRDefault="00DC6857" w:rsidP="00E95378">
      <w:pPr>
        <w:spacing w:after="0"/>
        <w:jc w:val="center"/>
        <w:rPr>
          <w:rFonts w:ascii="Segoe UI Light" w:hAnsi="Segoe UI Light"/>
          <w:i/>
          <w:sz w:val="16"/>
        </w:rPr>
      </w:pPr>
      <w:r w:rsidRPr="001037E7">
        <w:rPr>
          <w:rFonts w:ascii="Segoe UI Light" w:hAnsi="Segoe UI Light"/>
          <w:b/>
          <w:bCs/>
          <w:sz w:val="18"/>
          <w:szCs w:val="26"/>
        </w:rPr>
        <w:t>Aizņemtās darbavietas pa nozarēm</w:t>
      </w:r>
      <w:r w:rsidRPr="001037E7">
        <w:rPr>
          <w:rFonts w:ascii="Segoe UI Light" w:hAnsi="Segoe UI Light"/>
          <w:b/>
          <w:bCs/>
          <w:sz w:val="18"/>
          <w:szCs w:val="26"/>
        </w:rPr>
        <w:br/>
      </w:r>
      <w:r w:rsidRPr="001037E7">
        <w:rPr>
          <w:rFonts w:ascii="Segoe UI Light" w:hAnsi="Segoe UI Light"/>
          <w:i/>
          <w:sz w:val="16"/>
        </w:rPr>
        <w:t>struktūra 202</w:t>
      </w:r>
      <w:r>
        <w:rPr>
          <w:rFonts w:ascii="Segoe UI Light" w:hAnsi="Segoe UI Light"/>
          <w:i/>
          <w:sz w:val="16"/>
        </w:rPr>
        <w:t>5</w:t>
      </w:r>
      <w:r w:rsidRPr="001037E7">
        <w:rPr>
          <w:rFonts w:ascii="Segoe UI Light" w:hAnsi="Segoe UI Light"/>
          <w:i/>
          <w:sz w:val="16"/>
        </w:rPr>
        <w:t>.</w:t>
      </w:r>
      <w:r w:rsidR="00806714">
        <w:rPr>
          <w:rFonts w:ascii="Segoe UI Light" w:hAnsi="Segoe UI Light"/>
          <w:i/>
          <w:sz w:val="16"/>
        </w:rPr>
        <w:t> </w:t>
      </w:r>
      <w:r w:rsidRPr="001037E7">
        <w:rPr>
          <w:rFonts w:ascii="Segoe UI Light" w:hAnsi="Segoe UI Light"/>
          <w:i/>
          <w:sz w:val="16"/>
        </w:rPr>
        <w:t>gadā, procentos</w:t>
      </w:r>
    </w:p>
    <w:p w14:paraId="6A96B70D" w14:textId="1F9AD070" w:rsidR="00DC6857" w:rsidRPr="00D829F0" w:rsidRDefault="008A3A8D" w:rsidP="00DC6857">
      <w:pPr>
        <w:spacing w:after="0"/>
        <w:jc w:val="center"/>
        <w:rPr>
          <w:rFonts w:ascii="Source Sans Pro" w:eastAsiaTheme="minorHAnsi" w:hAnsi="Source Sans Pro" w:cs="Segoe UI"/>
          <w:szCs w:val="20"/>
        </w:rPr>
      </w:pPr>
      <w:r w:rsidRPr="001037E7">
        <w:rPr>
          <w:rFonts w:ascii="Candara" w:hAnsi="Candara"/>
          <w:noProof/>
          <w:sz w:val="14"/>
          <w:szCs w:val="14"/>
          <w:lang w:val="en-US"/>
        </w:rPr>
        <mc:AlternateContent>
          <mc:Choice Requires="wps">
            <w:drawing>
              <wp:anchor distT="0" distB="0" distL="114300" distR="114300" simplePos="0" relativeHeight="251658414" behindDoc="0" locked="0" layoutInCell="1" allowOverlap="1" wp14:anchorId="365D9ECE" wp14:editId="35CA0387">
                <wp:simplePos x="0" y="0"/>
                <wp:positionH relativeFrom="margin">
                  <wp:align>right</wp:align>
                </wp:positionH>
                <wp:positionV relativeFrom="paragraph">
                  <wp:posOffset>6198827</wp:posOffset>
                </wp:positionV>
                <wp:extent cx="606241" cy="605860"/>
                <wp:effectExtent l="0" t="0" r="3810" b="381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241" cy="605860"/>
                        </a:xfrm>
                        <a:prstGeom prst="rect">
                          <a:avLst/>
                        </a:prstGeom>
                        <a:noFill/>
                        <a:ln w="6350">
                          <a:noFill/>
                        </a:ln>
                      </wps:spPr>
                      <wps:txbx>
                        <w:txbxContent>
                          <w:p w14:paraId="7608F0D0" w14:textId="23D67D63" w:rsidR="00DC6857" w:rsidRPr="00574306" w:rsidRDefault="00B91EF5" w:rsidP="008A3A8D">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Ūdens apgāde, atkritumu</w:t>
                            </w:r>
                            <w:r w:rsidR="00C36C1A">
                              <w:rPr>
                                <w:rFonts w:ascii="Segoe UI Light" w:hAnsi="Segoe UI Light" w:cs="Segoe UI Light"/>
                                <w:b/>
                                <w:bCs/>
                                <w:color w:val="FFFFFF" w:themeColor="background1"/>
                                <w:sz w:val="16"/>
                                <w:szCs w:val="16"/>
                              </w:rPr>
                              <w:t xml:space="preserve"> apsaimn.</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D9ECE" id="Text Box 198" o:spid="_x0000_s1102" type="#_x0000_t202" style="position:absolute;left:0;text-align:left;margin-left:-3.45pt;margin-top:488.1pt;width:47.75pt;height:47.7pt;z-index:2516584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J3JgIAAEwEAAAOAAAAZHJzL2Uyb0RvYy54bWysVF1v2yAUfZ+0/4B4X+ykq1tZcaqsVaZJ&#10;UVspnfpMMMTWgMuAxO5+/S7Y+VC3p2kvmMu93I9zDp7f9VqRg3C+BVPR6SSnRBgOdWt2Ff3+svp0&#10;S4kPzNRMgREVfROe3i0+fph3thQzaEDVwhFMYnzZ2Yo2IdgyyzxvhGZ+AlYYdEpwmgU03S6rHesw&#10;u1bZLM+LrANXWwdceI+nD4OTLlJ+KQUPT1J6EYiqKPYW0urSuo1rtpizcueYbVo+tsH+oQvNWoNF&#10;T6keWGBk79o/UumWO/Agw4SDzkDKlos0A04zzd9Ns2mYFWkWBMfbE0z+/6Xlj4eNfXYk9F+gRwLT&#10;EN6ugf/wiE3WWV+OMRFTX3qMjoP20un4xREIXkRs3054ij4QjodFXsw+Tynh6Cry69si4Z2dL1vn&#10;w1cBmsRNRR3SlRpgh7UPsTwrjyGxloFVq1SiTBnSYdKr6zxdOHnwhjJj30OrsenQb3vS1hW9KSLj&#10;8WgL9RvO7WCQhLd81WITa+bDM3OoAZwIdR2ecJEKsBiMO0oacL/+dh7jkRr0UtKhpirqf+6ZE5So&#10;bwZJu0HFRhEm46pIhrs0tpeG2et7QNkigNhd2uJlF9RxKx3oV5T/MlZFFzMca1c0HLf3YVA6Ph8u&#10;lssUhLKzLKzNxvIj3RHil/6VOTvyEJDARziqj5Xv6BhiB0KW+wCyTVydUR3xR8kmCsfnFd/EpZ2i&#10;zj+BxW8AAAD//wMAUEsDBBQABgAIAAAAIQDePugN3AAAAAgBAAAPAAAAZHJzL2Rvd25yZXYueG1s&#10;TI/BTsMwEETvSPyDtUhcEHUSkZSGOBUK8AEUJK5uvCRR43WwnTb9e5YTPY5mNPOm2i52FEf0YXCk&#10;IF0lIJBaZwbqFHx+vN0/gghRk9GjI1RwxgDb+vqq0qVxJ3rH4y52gksolFpBH+NUShnaHq0OKzch&#10;sfftvNWRpe+k8frE5XaUWZIU0uqBeKHXEzY9tofdbBW8PJy/0ruZXvMiHKaf4JvUZ41StzfL8xOI&#10;iEv8D8MfPqNDzUx7N5MJYlTAR6KCzbrIQLC9yXMQe44l67QAWVfy8kD9CwAA//8DAFBLAQItABQA&#10;BgAIAAAAIQC2gziS/gAAAOEBAAATAAAAAAAAAAAAAAAAAAAAAABbQ29udGVudF9UeXBlc10ueG1s&#10;UEsBAi0AFAAGAAgAAAAhADj9If/WAAAAlAEAAAsAAAAAAAAAAAAAAAAALwEAAF9yZWxzLy5yZWxz&#10;UEsBAi0AFAAGAAgAAAAhAE8lcncmAgAATAQAAA4AAAAAAAAAAAAAAAAALgIAAGRycy9lMm9Eb2Mu&#10;eG1sUEsBAi0AFAAGAAgAAAAhAN4+6A3cAAAACAEAAA8AAAAAAAAAAAAAAAAAgAQAAGRycy9kb3du&#10;cmV2LnhtbFBLBQYAAAAABAAEAPMAAACJBQAAAAA=&#10;" filled="f" stroked="f" strokeweight=".5pt">
                <v:textbox inset="2mm,1mm,1mm,1mm">
                  <w:txbxContent>
                    <w:p w14:paraId="7608F0D0" w14:textId="23D67D63" w:rsidR="00DC6857" w:rsidRPr="00574306" w:rsidRDefault="00B91EF5" w:rsidP="008A3A8D">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Ūdens apgāde, atkritumu</w:t>
                      </w:r>
                      <w:r w:rsidR="00C36C1A">
                        <w:rPr>
                          <w:rFonts w:ascii="Segoe UI Light" w:hAnsi="Segoe UI Light" w:cs="Segoe UI Light"/>
                          <w:b/>
                          <w:bCs/>
                          <w:color w:val="FFFFFF" w:themeColor="background1"/>
                          <w:sz w:val="16"/>
                          <w:szCs w:val="16"/>
                        </w:rPr>
                        <w:t xml:space="preserve"> apsaimn.</w:t>
                      </w:r>
                    </w:p>
                  </w:txbxContent>
                </v:textbox>
                <w10:wrap anchorx="margin"/>
              </v:shape>
            </w:pict>
          </mc:Fallback>
        </mc:AlternateContent>
      </w:r>
      <w:r w:rsidR="00F07C68" w:rsidRPr="001037E7">
        <w:rPr>
          <w:rFonts w:ascii="Candara" w:hAnsi="Candara"/>
          <w:noProof/>
          <w:sz w:val="14"/>
          <w:szCs w:val="14"/>
          <w:lang w:val="en-US"/>
        </w:rPr>
        <mc:AlternateContent>
          <mc:Choice Requires="wps">
            <w:drawing>
              <wp:anchor distT="0" distB="0" distL="114300" distR="114300" simplePos="0" relativeHeight="251658413" behindDoc="0" locked="0" layoutInCell="1" allowOverlap="1" wp14:anchorId="6ED9F37F" wp14:editId="28F3B440">
                <wp:simplePos x="0" y="0"/>
                <wp:positionH relativeFrom="column">
                  <wp:posOffset>4617502</wp:posOffset>
                </wp:positionH>
                <wp:positionV relativeFrom="paragraph">
                  <wp:posOffset>6767187</wp:posOffset>
                </wp:positionV>
                <wp:extent cx="446405" cy="296896"/>
                <wp:effectExtent l="0" t="0" r="0" b="8255"/>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405" cy="296896"/>
                        </a:xfrm>
                        <a:prstGeom prst="rect">
                          <a:avLst/>
                        </a:prstGeom>
                        <a:noFill/>
                        <a:ln w="6350">
                          <a:noFill/>
                        </a:ln>
                      </wps:spPr>
                      <wps:txbx>
                        <w:txbxContent>
                          <w:p w14:paraId="5878B5FE" w14:textId="093AEDD7" w:rsidR="00DC6857" w:rsidRPr="00176803" w:rsidRDefault="00F07C6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9F37F" id="Text Box 197" o:spid="_x0000_s1103" type="#_x0000_t202" style="position:absolute;left:0;text-align:left;margin-left:363.6pt;margin-top:532.85pt;width:35.15pt;height:23.4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guJgIAAEwEAAAOAAAAZHJzL2Uyb0RvYy54bWysVF1v2yAUfZ+0/4B4X+ykqdtacaqsVaZJ&#10;UVsprfpMMMTWMJcBiZ39+l2w86FuT9NeMJd7uR/nHDy77xpF9sK6GnRBx6OUEqE5lLXeFvTtdfnl&#10;lhLnmS6ZAi0KehCO3s8/f5q1JhcTqECVwhJMol3emoJW3ps8SRyvRMPcCIzQ6JRgG+bRtNuktKzF&#10;7I1KJmmaJS3Y0ljgwjk8feyddB7zSym4f5bSCU9UQbE3H1cb101Yk/mM5VvLTFXzoQ32D100rNZY&#10;9JTqkXlGdrb+I1VTcwsOpB9xaBKQsuYizoDTjNMP06wrZkScBcFx5gST+39p+dN+bV4s8d1X6JDA&#10;OIQzK+A/HGKTtMblQ0zA1OUOo8OgnbRN+OIIBC8itocTnqLzhOPhdJpN02tKOLomd9ntXRbwTs6X&#10;jXX+m4CGhE1BLdIVG2D7lfN96DEk1NKwrJWKlClN2oJmV9dpvHDyYHKlh777VkPTvtt0pC4LenMT&#10;OghHGygPOLeFXhLO8GWNTayY8y/MogZwItS1f8ZFKsBiMOwoqcD++tt5iEdq0EtJi5oqqPu5Y1ZQ&#10;or5rJO0qS9MgwkvDXhqbS0PvmgdA2Y7xBRket3jZenXcSgvNO8p/Eaqii2mOtQu6OW4ffK90fD5c&#10;LBYxCGVnmF/pteFHugPEr907s2bgwSOBT3BUH8s/0NHH9oQsdh5kHbk6ozrgj5KNbA/PK7yJSztG&#10;nX8C898AAAD//wMAUEsDBBQABgAIAAAAIQDazay24QAAAA0BAAAPAAAAZHJzL2Rvd25yZXYueG1s&#10;TI/BToQwEIbvJr5DMyZeNm6hCaBI2awmXkyMcd2Dx0K70EinhHaBfXvHkx5n/i//fFPtVjew2UzB&#10;epSQbhNgBluvLXYSjp8vd/fAQlSo1eDRSLiYALv6+qpSpfYLfpj5EDtGJRhKJaGPcSw5D21vnApb&#10;Pxqk7OQnpyKNU8f1pBYqdwMXSZJzpyzShV6N5rk37ffh7CS8i/zL4um46M3c2M3T5Q33r1HK25t1&#10;/wgsmjX+wfCrT+pQk1Pjz6gDGyQUohCEUpDkWQGMkOKhyIA1tEpTkQGvK/7/i/oHAAD//wMAUEsB&#10;Ai0AFAAGAAgAAAAhALaDOJL+AAAA4QEAABMAAAAAAAAAAAAAAAAAAAAAAFtDb250ZW50X1R5cGVz&#10;XS54bWxQSwECLQAUAAYACAAAACEAOP0h/9YAAACUAQAACwAAAAAAAAAAAAAAAAAvAQAAX3JlbHMv&#10;LnJlbHNQSwECLQAUAAYACAAAACEAg4WILiYCAABMBAAADgAAAAAAAAAAAAAAAAAuAgAAZHJzL2Uy&#10;b0RvYy54bWxQSwECLQAUAAYACAAAACEA2s2stuEAAAANAQAADwAAAAAAAAAAAAAAAACABAAAZHJz&#10;L2Rvd25yZXYueG1sUEsFBgAAAAAEAAQA8wAAAI4FAAAAAA==&#10;" filled="f" stroked="f" strokeweight=".5pt">
                <v:textbox inset="1mm,1mm,1mm,1mm">
                  <w:txbxContent>
                    <w:p w14:paraId="5878B5FE" w14:textId="093AEDD7" w:rsidR="00DC6857" w:rsidRPr="00176803" w:rsidRDefault="00F07C6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1,2%</w:t>
                      </w:r>
                    </w:p>
                  </w:txbxContent>
                </v:textbox>
              </v:shape>
            </w:pict>
          </mc:Fallback>
        </mc:AlternateContent>
      </w:r>
      <w:r w:rsidR="00B60B2F" w:rsidRPr="001037E7">
        <w:rPr>
          <w:rFonts w:ascii="Candara" w:hAnsi="Candara"/>
          <w:noProof/>
          <w:sz w:val="14"/>
          <w:szCs w:val="14"/>
          <w:lang w:val="en-US"/>
        </w:rPr>
        <mc:AlternateContent>
          <mc:Choice Requires="wps">
            <w:drawing>
              <wp:anchor distT="0" distB="0" distL="114300" distR="114300" simplePos="0" relativeHeight="251658382" behindDoc="0" locked="0" layoutInCell="1" allowOverlap="1" wp14:anchorId="073EAB5D" wp14:editId="79E658FE">
                <wp:simplePos x="0" y="0"/>
                <wp:positionH relativeFrom="column">
                  <wp:posOffset>4499767</wp:posOffset>
                </wp:positionH>
                <wp:positionV relativeFrom="paragraph">
                  <wp:posOffset>6315794</wp:posOffset>
                </wp:positionV>
                <wp:extent cx="719254" cy="504883"/>
                <wp:effectExtent l="0" t="7303"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719254" cy="504883"/>
                        </a:xfrm>
                        <a:prstGeom prst="rect">
                          <a:avLst/>
                        </a:prstGeom>
                        <a:noFill/>
                        <a:ln w="6350">
                          <a:noFill/>
                        </a:ln>
                      </wps:spPr>
                      <wps:txbx>
                        <w:txbxContent>
                          <w:p w14:paraId="33A74C21" w14:textId="346D9B2D" w:rsidR="00DC6857" w:rsidRPr="00B60B2F" w:rsidRDefault="00B60B2F" w:rsidP="00DC6857">
                            <w:pPr>
                              <w:tabs>
                                <w:tab w:val="left" w:pos="4820"/>
                              </w:tabs>
                              <w:spacing w:after="0"/>
                              <w:rPr>
                                <w:rFonts w:ascii="Segoe UI Light" w:hAnsi="Segoe UI Light" w:cs="Segoe UI Light"/>
                                <w:b/>
                                <w:bCs/>
                                <w:color w:val="FFFFFF" w:themeColor="background1"/>
                                <w:sz w:val="14"/>
                                <w:szCs w:val="14"/>
                              </w:rPr>
                            </w:pPr>
                            <w:r w:rsidRPr="00B60B2F">
                              <w:rPr>
                                <w:rFonts w:ascii="Segoe UI Light" w:hAnsi="Segoe UI Light" w:cs="Segoe UI Light"/>
                                <w:b/>
                                <w:bCs/>
                                <w:color w:val="FFFFFF" w:themeColor="background1"/>
                                <w:sz w:val="14"/>
                                <w:szCs w:val="14"/>
                              </w:rPr>
                              <w:t>Elektroenerģija, gāzes un siltumapgāde</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EAB5D" id="Text Box 196" o:spid="_x0000_s1104" type="#_x0000_t202" style="position:absolute;left:0;text-align:left;margin-left:354.3pt;margin-top:497.3pt;width:56.65pt;height:39.75pt;rotation:-90;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a0LwIAAFsEAAAOAAAAZHJzL2Uyb0RvYy54bWysVE1vGjEQvVfqf7B8L8tHIHTFEtFEVJVQ&#10;EolUORuvzVr1elzbsEt/fcfehaC0p6ocrPna55n3xizu2lqTo3BegSnoaDCkRBgOpTL7gn5/WX+a&#10;U+IDMyXTYERBT8LTu+XHD4vG5mIMFehSOIIgxueNLWgVgs2zzPNK1MwPwAqDSQmuZgFdt89KxxpE&#10;r3U2Hg5nWQOutA648B6jD12SLhO+lIKHJym9CEQXFHsL6XTp3MUzWy5YvnfMVor3bbB/6KJmyuCl&#10;F6gHFhg5OPUHVK24Aw8yDDjUGUipuEgz4DSj4btpthWzIs2C5Hh7ocn/P1j+eNzaZ0dC+wVaFDAN&#10;4e0G+A+P3GSN9XlfEzn1ucfqOGgrXU0cIKGjGQqBv/QpTkQQB6k+XegVbSAcg7ejz+PpDSUcU9Ph&#10;zXw+ifRnHVbEtM6HrwJqEo2COlQvgbLjxoeu9FwSyw2sldZJQW1IU9DZZNp1cckguDb9GF3ncYbQ&#10;7lqiSuxoHjuIoR2UJ6QhDYTNe8vXCpvYMB+emcOVwCCueXjCQ2rAy6C3KKnA/fpbPNajUpilpMEV&#10;K6j/eWBOUKK/GdTwNvKGO5mcySw57trZXTvmUN8DbvEodZdM/NgFfTalg/oVX8Mq3oopZjjeXdBw&#10;Nu9Dt/j4mrhYrVIRbqFlYWO2lp/VjxS/tK/M2V6HgAI+wnkZWf5Ojq62E2R1CCBV0uqN1Z5/3OCk&#10;dv/a4hO59lPV23/C8jcAAAD//wMAUEsDBBQABgAIAAAAIQAJZdKF4AAAAAwBAAAPAAAAZHJzL2Rv&#10;d25yZXYueG1sTI/RSsNAEEXfBf9hGcEXsbspxDQxm1IEoYhCrf2AbXZMgtnZkN2k8e8dn/RxmMO9&#10;55bbxfVixjF0njQkKwUCqfa2o0bD6eP5fgMiREPW9J5QwzcG2FbXV6UprL/QO87H2AgOoVAYDW2M&#10;QyFlqFt0Jqz8gMS/Tz86E/kcG2lHc+Fw18u1Ug/SmY64oTUDPrVYfx0np+Fl3OcnOzf9gfa75G56&#10;tcmEb1rf3iy7RxARl/gHw68+q0PFTmc/kQ2i15Ct05RRDXmWZSCY2KiU150ZVXmiQFal/D+i+gEA&#10;AP//AwBQSwECLQAUAAYACAAAACEAtoM4kv4AAADhAQAAEwAAAAAAAAAAAAAAAAAAAAAAW0NvbnRl&#10;bnRfVHlwZXNdLnhtbFBLAQItABQABgAIAAAAIQA4/SH/1gAAAJQBAAALAAAAAAAAAAAAAAAAAC8B&#10;AABfcmVscy8ucmVsc1BLAQItABQABgAIAAAAIQBPCda0LwIAAFsEAAAOAAAAAAAAAAAAAAAAAC4C&#10;AABkcnMvZTJvRG9jLnhtbFBLAQItABQABgAIAAAAIQAJZdKF4AAAAAwBAAAPAAAAAAAAAAAAAAAA&#10;AIkEAABkcnMvZG93bnJldi54bWxQSwUGAAAAAAQABADzAAAAlgUAAAAA&#10;" filled="f" stroked="f" strokeweight=".5pt">
                <v:textbox inset="2mm,1mm,1mm,1mm">
                  <w:txbxContent>
                    <w:p w14:paraId="33A74C21" w14:textId="346D9B2D" w:rsidR="00DC6857" w:rsidRPr="00B60B2F" w:rsidRDefault="00B60B2F" w:rsidP="00DC6857">
                      <w:pPr>
                        <w:tabs>
                          <w:tab w:val="left" w:pos="4820"/>
                        </w:tabs>
                        <w:spacing w:after="0"/>
                        <w:rPr>
                          <w:rFonts w:ascii="Segoe UI Light" w:hAnsi="Segoe UI Light" w:cs="Segoe UI Light"/>
                          <w:b/>
                          <w:bCs/>
                          <w:color w:val="FFFFFF" w:themeColor="background1"/>
                          <w:sz w:val="14"/>
                          <w:szCs w:val="14"/>
                        </w:rPr>
                      </w:pPr>
                      <w:r w:rsidRPr="00B60B2F">
                        <w:rPr>
                          <w:rFonts w:ascii="Segoe UI Light" w:hAnsi="Segoe UI Light" w:cs="Segoe UI Light"/>
                          <w:b/>
                          <w:bCs/>
                          <w:color w:val="FFFFFF" w:themeColor="background1"/>
                          <w:sz w:val="14"/>
                          <w:szCs w:val="14"/>
                        </w:rPr>
                        <w:t>Elektroenerģija, gāzes un siltumapgāde</w:t>
                      </w:r>
                    </w:p>
                  </w:txbxContent>
                </v:textbox>
              </v:shape>
            </w:pict>
          </mc:Fallback>
        </mc:AlternateContent>
      </w:r>
      <w:r w:rsidR="002D6298" w:rsidRPr="001037E7">
        <w:rPr>
          <w:rFonts w:ascii="Candara" w:hAnsi="Candara"/>
          <w:noProof/>
          <w:sz w:val="14"/>
          <w:szCs w:val="14"/>
          <w:lang w:val="en-US"/>
        </w:rPr>
        <mc:AlternateContent>
          <mc:Choice Requires="wps">
            <w:drawing>
              <wp:anchor distT="0" distB="0" distL="114300" distR="114300" simplePos="0" relativeHeight="251658415" behindDoc="0" locked="0" layoutInCell="1" allowOverlap="1" wp14:anchorId="69B5D440" wp14:editId="0EAC4F0A">
                <wp:simplePos x="0" y="0"/>
                <wp:positionH relativeFrom="column">
                  <wp:posOffset>4048020</wp:posOffset>
                </wp:positionH>
                <wp:positionV relativeFrom="paragraph">
                  <wp:posOffset>6699149</wp:posOffset>
                </wp:positionV>
                <wp:extent cx="288000" cy="360000"/>
                <wp:effectExtent l="0" t="0" r="0" b="254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60000"/>
                        </a:xfrm>
                        <a:prstGeom prst="rect">
                          <a:avLst/>
                        </a:prstGeom>
                        <a:noFill/>
                        <a:ln w="6350">
                          <a:noFill/>
                        </a:ln>
                      </wps:spPr>
                      <wps:txbx>
                        <w:txbxContent>
                          <w:p w14:paraId="6AFCBBF5" w14:textId="7437D9C0" w:rsidR="00DC6857" w:rsidRDefault="002D629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S96</w:t>
                            </w:r>
                          </w:p>
                          <w:p w14:paraId="0AEA3F96" w14:textId="18744000" w:rsidR="002D6298" w:rsidRPr="00176803" w:rsidRDefault="002D629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5D440" id="Text Box 195" o:spid="_x0000_s1105" type="#_x0000_t202" style="position:absolute;left:0;text-align:left;margin-left:318.75pt;margin-top:527.5pt;width:22.7pt;height:28.35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PIgIAAEwEAAAOAAAAZHJzL2Uyb0RvYy54bWysVMtu2zAQvBfoPxC815Id1E0Fy4GbwEUB&#10;IwngFDnTFGkJpbjskrbkfn2XtPxA2lPRC7XkLvcxM9Tsrm8N2yv0DdiSj0c5Z8pKqBq7Lfn3l+WH&#10;W858ELYSBqwq+UF5fjd//27WuUJNoAZTKWSUxPqicyWvQ3BFlnlZq1b4EThlyakBWxFoi9usQtFR&#10;9tZkkzyfZh1g5RCk8p5OH45OPk/5tVYyPGntVWCm5NRbSCumdRPXbD4TxRaFqxs5tCH+oYtWNJaK&#10;nlM9iCDYDps/UrWNRPCgw0hCm4HWjVRpBppmnL+ZZl0Lp9IsBI53Z5j8/0srH/dr94ws9F+gJwLT&#10;EN6tQP7whE3WOV8MMRFTX3iKjoP2Gtv4pREYXSRsD2c8VR+YpMPJ7W2ek0eS62ZKZsI7u1x26MNX&#10;BS2LRsmR6EoNiP3Kh1heFKeQWMvCsjEmUWYs60o+vfmYpwtnD90wduj72GpsOvSbnjVVyT99jozH&#10;ow1UB5ob4SgJ7+SyoSZWwodngaQB6pt0HZ5o0QaoGAwWZzXgr7+dx3iihrycdaSpkvufO4GKM/PN&#10;EmkJAxLh9QavN5vrjd2190CyHdMLcjKZ1BMGczI1QvtK8l/EquQSVlLtkm9O5n04Kp2ej1SLRQoi&#10;2TkRVnbt5InuCPFL/yrQDTwEIvARTuoTxRs6jrFHQha7ALpJXF1QHfAnySYKh+cV38T1PkVdfgLz&#10;3wAAAP//AwBQSwMEFAAGAAgAAAAhABOCI2ThAAAADQEAAA8AAABkcnMvZG93bnJldi54bWxMj0FP&#10;g0AQhe8m/ofNmHhp7CIG2lKWppp4MTGNtQePCzsFIjtL2C3Qf+940rnNvJc338t3s+3EiINvHSl4&#10;XEYgkCpnWqoVnD5fH9YgfNBkdOcIFVzRw664vcl1ZtxEHzgeQy04hHymFTQh9JmUvmrQar90PRJr&#10;ZzdYHXgdamkGPXG47WQcRam0uiX+0OgeXxqsvo8Xq+AQp18tnU+TWYxlu3i+vtP+LSh1fzfvtyAC&#10;zuHPDL/4jA4FM5XuQsaLTkH6tErYykKUJNyKLek63oAo+cSzAlnk8n+L4gcAAP//AwBQSwECLQAU&#10;AAYACAAAACEAtoM4kv4AAADhAQAAEwAAAAAAAAAAAAAAAAAAAAAAW0NvbnRlbnRfVHlwZXNdLnht&#10;bFBLAQItABQABgAIAAAAIQA4/SH/1gAAAJQBAAALAAAAAAAAAAAAAAAAAC8BAABfcmVscy8ucmVs&#10;c1BLAQItABQABgAIAAAAIQD+tH9PIgIAAEwEAAAOAAAAAAAAAAAAAAAAAC4CAABkcnMvZTJvRG9j&#10;LnhtbFBLAQItABQABgAIAAAAIQATgiNk4QAAAA0BAAAPAAAAAAAAAAAAAAAAAHwEAABkcnMvZG93&#10;bnJldi54bWxQSwUGAAAAAAQABADzAAAAigUAAAAA&#10;" filled="f" stroked="f" strokeweight=".5pt">
                <v:textbox inset="1mm,1mm,1mm,1mm">
                  <w:txbxContent>
                    <w:p w14:paraId="6AFCBBF5" w14:textId="7437D9C0" w:rsidR="00DC6857" w:rsidRDefault="002D629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S96</w:t>
                      </w:r>
                    </w:p>
                    <w:p w14:paraId="0AEA3F96" w14:textId="18744000" w:rsidR="002D6298" w:rsidRPr="00176803" w:rsidRDefault="002D629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txbxContent>
                </v:textbox>
              </v:shape>
            </w:pict>
          </mc:Fallback>
        </mc:AlternateContent>
      </w:r>
      <w:r w:rsidR="00721A35" w:rsidRPr="001037E7">
        <w:rPr>
          <w:rFonts w:ascii="Candara" w:hAnsi="Candara"/>
          <w:noProof/>
          <w:sz w:val="14"/>
          <w:szCs w:val="14"/>
          <w:lang w:val="en-US"/>
        </w:rPr>
        <mc:AlternateContent>
          <mc:Choice Requires="wps">
            <w:drawing>
              <wp:anchor distT="0" distB="0" distL="114300" distR="114300" simplePos="0" relativeHeight="251658381" behindDoc="0" locked="0" layoutInCell="1" allowOverlap="1" wp14:anchorId="7276F0C0" wp14:editId="7819C7A4">
                <wp:simplePos x="0" y="0"/>
                <wp:positionH relativeFrom="column">
                  <wp:posOffset>4008759</wp:posOffset>
                </wp:positionH>
                <wp:positionV relativeFrom="paragraph">
                  <wp:posOffset>6454624</wp:posOffset>
                </wp:positionV>
                <wp:extent cx="576000" cy="216000"/>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0" cy="216000"/>
                        </a:xfrm>
                        <a:prstGeom prst="rect">
                          <a:avLst/>
                        </a:prstGeom>
                        <a:noFill/>
                        <a:ln w="6350">
                          <a:noFill/>
                        </a:ln>
                      </wps:spPr>
                      <wps:txbx>
                        <w:txbxContent>
                          <w:p w14:paraId="29DBB2E8" w14:textId="7FF4A7A9" w:rsidR="00DC6857" w:rsidRPr="00176803" w:rsidRDefault="002D6298" w:rsidP="00DC6857">
                            <w:pPr>
                              <w:tabs>
                                <w:tab w:val="center" w:pos="709"/>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S94 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6F0C0" id="Text Box 194" o:spid="_x0000_s1106" type="#_x0000_t202" style="position:absolute;left:0;text-align:left;margin-left:315.65pt;margin-top:508.25pt;width:45.35pt;height:17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Ft6HgIAAEwEAAAOAAAAZHJzL2Uyb0RvYy54bWysVMtu2zAQvBfoPxC815IdxA0Ey4GbwEUB&#10;IwngFDnTFGkLpbjskrbkfn2XlPxA2lPRC7XkLvcxM9TsvmsMOyj0NdiSj0c5Z8pKqGq7Lfn31+Wn&#10;O858ELYSBqwq+VF5fj//+GHWukJNYAemUsgoifVF60q+C8EVWeblTjXCj8ApS04N2IhAW9xmFYqW&#10;sjcmm+T5NGsBK4cglfd0+tg7+Tzl11rJ8Ky1V4GZklNvIa2Y1k1cs/lMFFsUblfLoQ3xD100orZU&#10;9JzqUQTB9lj/kaqpJYIHHUYSmgy0rqVKM9A04/zdNOudcCrNQuB4d4bJ/7+08umwdi/IQvcFOiIw&#10;DeHdCuQPT9hkrfPFEBMx9YWn6Dhop7GJXxqB0UXC9njGU3WBSTq8/TzNc/JIck3GyY45L5cd+vBV&#10;QcOiUXIkulID4rDyoQ89hcRaFpa1MYkyY1lb8unNbZ4unD2U3Nih777V2HToNh2rq5LfJcbj0Qaq&#10;I82N0EvCO7msqYmV8OFFIGmA+iZdh2datAEqBoPF2Q7w19/OYzxRQ17OWtJUyf3PvUDFmflmibSb&#10;Ho5wvcHrzeZ6Y/fNA5Bsx/SCnEwm9YTBnEyN0LyR/BexKrmElVS75JuT+RB6pdPzkWqxSEEkOyfC&#10;yq6dPNEdIX7t3gS6gYdABD7BSX2ieEdHH9sTstgH0HXi6oLqgD9JNrE9PK/4Jq73KeryE5j/BgAA&#10;//8DAFBLAwQUAAYACAAAACEAdIpk6+EAAAANAQAADwAAAGRycy9kb3ducmV2LnhtbEyPwU7DMBBE&#10;70j8g7VIXCpqJ1UCCnGqgsQFCSFKDxyd2E0s4nUUu0n692xP9LgzT7Mz5XZxPZvMGKxHCclaADPY&#10;eG2xlXD4fnt4AhaiQq16j0bC2QTYVrc3pSq0n/HLTPvYMgrBUCgJXYxDwXloOuNUWPvBIHlHPzoV&#10;6Rxbrkc1U7jreSpEzp2ySB86NZjXzjS/+5OT8JnmPxaPh1mvptquXs4fuHuPUt7fLbtnYNEs8R+G&#10;S32qDhV1qv0JdWC9hHyTbAglQyR5BoyQxzSlefVFykQGvCr59YrqDwAA//8DAFBLAQItABQABgAI&#10;AAAAIQC2gziS/gAAAOEBAAATAAAAAAAAAAAAAAAAAAAAAABbQ29udGVudF9UeXBlc10ueG1sUEsB&#10;Ai0AFAAGAAgAAAAhADj9If/WAAAAlAEAAAsAAAAAAAAAAAAAAAAALwEAAF9yZWxzLy5yZWxzUEsB&#10;Ai0AFAAGAAgAAAAhAGVcW3oeAgAATAQAAA4AAAAAAAAAAAAAAAAALgIAAGRycy9lMm9Eb2MueG1s&#10;UEsBAi0AFAAGAAgAAAAhAHSKZOvhAAAADQEAAA8AAAAAAAAAAAAAAAAAeAQAAGRycy9kb3ducmV2&#10;LnhtbFBLBQYAAAAABAAEAPMAAACGBQAAAAA=&#10;" filled="f" stroked="f" strokeweight=".5pt">
                <v:textbox inset="1mm,1mm,1mm,1mm">
                  <w:txbxContent>
                    <w:p w14:paraId="29DBB2E8" w14:textId="7FF4A7A9" w:rsidR="00DC6857" w:rsidRPr="00176803" w:rsidRDefault="002D6298" w:rsidP="00DC6857">
                      <w:pPr>
                        <w:tabs>
                          <w:tab w:val="center" w:pos="709"/>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S94 0,7%</w:t>
                      </w:r>
                    </w:p>
                  </w:txbxContent>
                </v:textbox>
              </v:shape>
            </w:pict>
          </mc:Fallback>
        </mc:AlternateContent>
      </w:r>
      <w:r w:rsidR="00721A35" w:rsidRPr="001037E7">
        <w:rPr>
          <w:rFonts w:ascii="Candara" w:hAnsi="Candara"/>
          <w:noProof/>
          <w:sz w:val="14"/>
          <w:szCs w:val="14"/>
          <w:lang w:val="en-US"/>
        </w:rPr>
        <mc:AlternateContent>
          <mc:Choice Requires="wps">
            <w:drawing>
              <wp:anchor distT="0" distB="0" distL="114300" distR="114300" simplePos="0" relativeHeight="251658380" behindDoc="0" locked="0" layoutInCell="1" allowOverlap="1" wp14:anchorId="248B7B06" wp14:editId="3918645C">
                <wp:simplePos x="0" y="0"/>
                <wp:positionH relativeFrom="column">
                  <wp:posOffset>3979647</wp:posOffset>
                </wp:positionH>
                <wp:positionV relativeFrom="paragraph">
                  <wp:posOffset>6181756</wp:posOffset>
                </wp:positionV>
                <wp:extent cx="723666" cy="347809"/>
                <wp:effectExtent l="0" t="0" r="635"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666" cy="347809"/>
                        </a:xfrm>
                        <a:prstGeom prst="rect">
                          <a:avLst/>
                        </a:prstGeom>
                        <a:noFill/>
                        <a:ln w="6350">
                          <a:noFill/>
                        </a:ln>
                      </wps:spPr>
                      <wps:txbx>
                        <w:txbxContent>
                          <w:p w14:paraId="5C7C1A97" w14:textId="28D979DF" w:rsidR="00DC6857" w:rsidRPr="00574306" w:rsidRDefault="00721A35"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Citi 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B7B06" id="Text Box 193" o:spid="_x0000_s1107" type="#_x0000_t202" style="position:absolute;left:0;text-align:left;margin-left:313.35pt;margin-top:486.75pt;width:57pt;height:27.4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YjJwIAAEwEAAAOAAAAZHJzL2Uyb0RvYy54bWysVE2P2yAQvVfqf0DcGztJ66RWnFW6q1SV&#10;ot2VstWeCYbYKmYokNjpr++AnQ9te6p6wQwzzMd7Dy/uukaRo7CuBl3Q8SilRGgOZa33Bf3+sv4w&#10;p8R5pkumQIuCnoSjd8v37xatycUEKlClsASTaJe3pqCV9yZPEscr0TA3AiM0OiXYhnk07T4pLWsx&#10;e6OSSZpmSQu2NBa4cA5PH3onXcb8Ugrun6R0whNVUOzNx9XGdRfWZLlg+d4yU9V8aIP9QxcNqzUW&#10;vaR6YJ6Rg63/SNXU3IID6UccmgSkrLmIM+A04/TNNNuKGRFnQXCcucDk/l9a/njcmmdLfPcFOiQw&#10;DuHMBvgPh9gkrXH5EBMwdbnD6DBoJ20TvjgCwYuI7emCp+g84Xg4m0yzLKOEo2v6cTZPPwe8k+tl&#10;Y53/KqAhYVNQi3TFBthx43wfeg4JtTSsa6UiZUqTtqDZ9FMaL1w8mFzpoe++1dC073YdqcuCzseh&#10;g3C0g/KEc1voJeEMX9fYxIY5/8wsagAnQl37J1ykAiwGw46SCuyvv52HeKQGvZS0qKmCup8HZgUl&#10;6ptG0mao2CDCaEyzaNhbY3dr6ENzDyjbMb4gw+MWL1uvzltpoXlF+a9CVXQxzbF2Qf15e+97pePz&#10;4WK1ikEoO8P8Rm8NP9MdIH7pXpk1Aw8eCXyEs/pY/oaOPrYnZHXwIOvI1RXVAX+UbGR7eF7hTdza&#10;Mer6E1j+BgAA//8DAFBLAwQUAAYACAAAACEAzLJl6eAAAAAMAQAADwAAAGRycy9kb3ducmV2Lnht&#10;bEyPQU7DMBBF90jcwRokNqi1k7ZJCXEqFOAAFKRu3dgkUeNxsJ02vT3DCpYz8/Tn/XI324GdjQ+9&#10;QwnJUgAz2DjdYyvh8+NtsQUWokKtBodGwtUE2FW3N6UqtLvguznvY8soBEOhJHQxjgXnoemMVWHp&#10;RoN0+3Leqkijb7n26kLhduCpEBm3qkf60KnR1J1pTvvJSnhZXw/Jw4Svmyycxu/g68SntZT3d/Pz&#10;E7Bo5vgHw68+qUNFTkc3oQ5skJClWU6ohMd8tQFGRL4WtDkSKtLtCnhV8v8lqh8AAAD//wMAUEsB&#10;Ai0AFAAGAAgAAAAhALaDOJL+AAAA4QEAABMAAAAAAAAAAAAAAAAAAAAAAFtDb250ZW50X1R5cGVz&#10;XS54bWxQSwECLQAUAAYACAAAACEAOP0h/9YAAACUAQAACwAAAAAAAAAAAAAAAAAvAQAAX3JlbHMv&#10;LnJlbHNQSwECLQAUAAYACAAAACEA83cmIycCAABMBAAADgAAAAAAAAAAAAAAAAAuAgAAZHJzL2Uy&#10;b0RvYy54bWxQSwECLQAUAAYACAAAACEAzLJl6eAAAAAMAQAADwAAAAAAAAAAAAAAAACBBAAAZHJz&#10;L2Rvd25yZXYueG1sUEsFBgAAAAAEAAQA8wAAAI4FAAAAAA==&#10;" filled="f" stroked="f" strokeweight=".5pt">
                <v:textbox inset="2mm,1mm,1mm,1mm">
                  <w:txbxContent>
                    <w:p w14:paraId="5C7C1A97" w14:textId="28D979DF" w:rsidR="00DC6857" w:rsidRPr="00574306" w:rsidRDefault="00721A35"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Citi pakalpojumi</w:t>
                      </w:r>
                    </w:p>
                  </w:txbxContent>
                </v:textbox>
              </v:shape>
            </w:pict>
          </mc:Fallback>
        </mc:AlternateContent>
      </w:r>
      <w:r w:rsidR="00F70BEC" w:rsidRPr="001037E7">
        <w:rPr>
          <w:rFonts w:ascii="Candara" w:hAnsi="Candara"/>
          <w:noProof/>
          <w:sz w:val="14"/>
          <w:szCs w:val="14"/>
          <w:lang w:val="en-US"/>
        </w:rPr>
        <mc:AlternateContent>
          <mc:Choice Requires="wps">
            <w:drawing>
              <wp:anchor distT="0" distB="0" distL="114300" distR="114300" simplePos="0" relativeHeight="251658379" behindDoc="0" locked="0" layoutInCell="1" allowOverlap="1" wp14:anchorId="358CA2FB" wp14:editId="25EF8D1A">
                <wp:simplePos x="0" y="0"/>
                <wp:positionH relativeFrom="column">
                  <wp:posOffset>5378960</wp:posOffset>
                </wp:positionH>
                <wp:positionV relativeFrom="paragraph">
                  <wp:posOffset>5848132</wp:posOffset>
                </wp:positionV>
                <wp:extent cx="288000" cy="360000"/>
                <wp:effectExtent l="0" t="0" r="0" b="254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60000"/>
                        </a:xfrm>
                        <a:prstGeom prst="rect">
                          <a:avLst/>
                        </a:prstGeom>
                        <a:noFill/>
                        <a:ln w="6350">
                          <a:noFill/>
                        </a:ln>
                      </wps:spPr>
                      <wps:txbx>
                        <w:txbxContent>
                          <w:p w14:paraId="46AAAA5A" w14:textId="0C098F64" w:rsidR="00DC6857" w:rsidRDefault="00F70BEC"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K65</w:t>
                            </w:r>
                          </w:p>
                          <w:p w14:paraId="43934725" w14:textId="1A2A4A13" w:rsidR="00F70BEC" w:rsidRPr="00176803" w:rsidRDefault="00F70BEC"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CA2FB" id="Text Box 192" o:spid="_x0000_s1108" type="#_x0000_t202" style="position:absolute;left:0;text-align:left;margin-left:423.55pt;margin-top:460.5pt;width:22.7pt;height:28.35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RuIQIAAEwEAAAOAAAAZHJzL2Uyb0RvYy54bWysVE2L2zAQvRf6H4TujZ0sDcHEWdJdUgph&#10;dyFb9qzIUmIqa9SREjv99R3Jzgfbnkov8kgzmo/3njy/7xrDjgp9Dbbk41HOmbISqtruSv79dfVp&#10;xpkPwlbCgFUlPynP7xcfP8xbV6gJ7MFUChklsb5oXcn3Ibgiy7zcq0b4EThlyakBGxFoi7usQtFS&#10;9sZkkzyfZi1g5RCk8p5OH3snX6T8WisZnrX2KjBTcuotpBXTuo1rtpiLYofC7Ws5tCH+oYtG1JaK&#10;XlI9iiDYAes/UjW1RPCgw0hCk4HWtVRpBppmnL+bZrMXTqVZCBzvLjD5/5dWPh037gVZ6L5ARwSm&#10;Ibxbg/zhCZusdb4YYiKmvvAUHQftNDbxSyMwukjYni54qi4wSYeT2SzPySPJdTclM+GdXS879OGr&#10;goZFo+RIdKUGxHHtQywvinNIrGVhVRuTKDOWtSWf3n3O04WLh24YO/TdtxqbDt22Y3VV8tkkMh6P&#10;tlCdaG6EXhLeyVVNTayFDy8CSQPUN+k6PNOiDVAxGCzO9oC//nYe44ka8nLWkqZK7n8eBCrOzDdL&#10;pCUMSIS3G7zdbG839tA8AMl2TC/IyWRSTxjM2dQIzRvJfxmrkktYSbVLvj2bD6FXOj0fqZbLFESy&#10;cyKs7cbJM90R4tfuTaAbeAhE4BOc1SeKd3T0sT0hy0MAXSeurqgO+JNkE4XD84pv4nafoq4/gcVv&#10;AAAA//8DAFBLAwQUAAYACAAAACEAGsAx6uEAAAALAQAADwAAAGRycy9kb3ducmV2LnhtbEyPwU6D&#10;QBCG7ya+w2ZMvDR2gWihyNJUEy8mxlh78LiwUyCys4TdAn17x5MeZ+bLP99f7BbbiwlH3zlSEK8j&#10;EEi1Mx01Co6fL3cZCB80Gd07QgUX9LArr68KnRs30wdOh9AIDiGfawVtCEMupa9btNqv3YDEt5Mb&#10;rQ48jo00o5453PYyiaKNtLoj/tDqAZ9brL8PZ6vgPdl8dXQ6zmY1Vd3q6fJG+9eg1O3Nsn8EEXAJ&#10;fzD86rM6lOxUuTMZL3oF2X0aM6pgm8RciolsmzyAqHiTpinIspD/O5Q/AAAA//8DAFBLAQItABQA&#10;BgAIAAAAIQC2gziS/gAAAOEBAAATAAAAAAAAAAAAAAAAAAAAAABbQ29udGVudF9UeXBlc10ueG1s&#10;UEsBAi0AFAAGAAgAAAAhADj9If/WAAAAlAEAAAsAAAAAAAAAAAAAAAAALwEAAF9yZWxzLy5yZWxz&#10;UEsBAi0AFAAGAAgAAAAhAKAMRG4hAgAATAQAAA4AAAAAAAAAAAAAAAAALgIAAGRycy9lMm9Eb2Mu&#10;eG1sUEsBAi0AFAAGAAgAAAAhABrAMerhAAAACwEAAA8AAAAAAAAAAAAAAAAAewQAAGRycy9kb3du&#10;cmV2LnhtbFBLBQYAAAAABAAEAPMAAACJBQAAAAA=&#10;" filled="f" stroked="f" strokeweight=".5pt">
                <v:textbox inset="1mm,1mm,1mm,1mm">
                  <w:txbxContent>
                    <w:p w14:paraId="46AAAA5A" w14:textId="0C098F64" w:rsidR="00DC6857" w:rsidRDefault="00F70BEC"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K65</w:t>
                      </w:r>
                    </w:p>
                    <w:p w14:paraId="43934725" w14:textId="1A2A4A13" w:rsidR="00F70BEC" w:rsidRPr="00176803" w:rsidRDefault="00F70BEC"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p>
                  </w:txbxContent>
                </v:textbox>
              </v:shape>
            </w:pict>
          </mc:Fallback>
        </mc:AlternateContent>
      </w:r>
      <w:r w:rsidR="00F70BEC" w:rsidRPr="001037E7">
        <w:rPr>
          <w:rFonts w:ascii="Candara" w:hAnsi="Candara"/>
          <w:noProof/>
          <w:sz w:val="14"/>
          <w:szCs w:val="14"/>
          <w:lang w:val="en-US"/>
        </w:rPr>
        <mc:AlternateContent>
          <mc:Choice Requires="wps">
            <w:drawing>
              <wp:anchor distT="0" distB="0" distL="114300" distR="114300" simplePos="0" relativeHeight="251658378" behindDoc="0" locked="0" layoutInCell="1" allowOverlap="1" wp14:anchorId="36B908DD" wp14:editId="3F9694F9">
                <wp:simplePos x="0" y="0"/>
                <wp:positionH relativeFrom="column">
                  <wp:posOffset>4958185</wp:posOffset>
                </wp:positionH>
                <wp:positionV relativeFrom="paragraph">
                  <wp:posOffset>5840617</wp:posOffset>
                </wp:positionV>
                <wp:extent cx="288000" cy="360000"/>
                <wp:effectExtent l="0" t="0" r="0" b="254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60000"/>
                        </a:xfrm>
                        <a:prstGeom prst="rect">
                          <a:avLst/>
                        </a:prstGeom>
                        <a:noFill/>
                        <a:ln w="6350">
                          <a:noFill/>
                        </a:ln>
                      </wps:spPr>
                      <wps:txbx>
                        <w:txbxContent>
                          <w:p w14:paraId="2B5D2F72" w14:textId="65B86D21" w:rsidR="00DC6857" w:rsidRDefault="00F70BEC"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K64</w:t>
                            </w:r>
                          </w:p>
                          <w:p w14:paraId="7241F131" w14:textId="3424AF5C" w:rsidR="00F70BEC" w:rsidRPr="00176803" w:rsidRDefault="00F70BEC"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908DD" id="Text Box 191" o:spid="_x0000_s1109" type="#_x0000_t202" style="position:absolute;left:0;text-align:left;margin-left:390.4pt;margin-top:459.9pt;width:22.7pt;height:28.3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u7IQIAAEwEAAAOAAAAZHJzL2Uyb0RvYy54bWysVE2L2zAQvRf6H4TujZ2EhmDiLOkuKYWw&#10;u7Bb9qzIUmIqa9SREjv99R3Jzgfbnkov8kgzmo/3nry46xrDjgp9Dbbk41HOmbISqtruSv79df1p&#10;zpkPwlbCgFUlPynP75YfPyxaV6gJ7MFUChklsb5oXcn3Ibgiy7zcq0b4EThlyakBGxFoi7usQtFS&#10;9sZkkzyfZS1g5RCk8p5OH3onX6b8WisZnrT2KjBTcuotpBXTuo1rtlyIYofC7Ws5tCH+oYtG1JaK&#10;XlI9iCDYAes/UjW1RPCgw0hCk4HWtVRpBppmnL+b5mUvnEqzEDjeXWDy/y+tfDy+uGdkofsCHRGY&#10;hvBuA/KHJ2yy1vliiImY+sJTdBy009jEL43A6CJhe7rgqbrAJB1O5vM8J48k13RGZsI7u1526MNX&#10;BQ2LRsmR6EoNiOPGh1heFOeQWMvCujYmUWYsa0s+m37O04WLh24YO/TdtxqbDt22Y3VV8vk0Mh6P&#10;tlCdaG6EXhLeyXVNTWyED88CSQPUN+k6PNGiDVAxGCzO9oC//nYe44ka8nLWkqZK7n8eBCrOzDdL&#10;pCUMSIS3G7zdbG839tDcA8l2TC/IyWRSTxjM2dQIzRvJfxWrkktYSbVLvj2b96FXOj0fqVarFESy&#10;cyJs7IuTZ7ojxK/dm0A38BCIwEc4q08U7+joY3tCVocAuk5cXVEd8CfJJgqH5xXfxO0+RV1/Asvf&#10;AAAA//8DAFBLAwQUAAYACAAAACEA4h7D5eEAAAALAQAADwAAAGRycy9kb3ducmV2LnhtbEyPQUvD&#10;QBCF74L/YRnBS7GbBkzTNJtSBS+CiLUHj5vsNAnNzobsNkn/vePJ3mbePN77Jt/NthMjDr51pGC1&#10;jEAgVc60VCs4fr89pSB80GR05wgVXNHDrri/y3Vm3ERfOB5CLTiEfKYVNCH0mZS+atBqv3Q9Et9O&#10;brA68DrU0gx64nDbyTiKEml1S9zQ6B5fG6zOh4tV8BknPy2djpNZjGW7eLl+0P49KPX4MO+3IALO&#10;4d8Mf/iMDgUzle5CxotOwTqNGD0o2Kw2PLAjjZMYRMnKOnkGWeTy9ofiFwAA//8DAFBLAQItABQA&#10;BgAIAAAAIQC2gziS/gAAAOEBAAATAAAAAAAAAAAAAAAAAAAAAABbQ29udGVudF9UeXBlc10ueG1s&#10;UEsBAi0AFAAGAAgAAAAhADj9If/WAAAAlAEAAAsAAAAAAAAAAAAAAAAALwEAAF9yZWxzLy5yZWxz&#10;UEsBAi0AFAAGAAgAAAAhAN++C7shAgAATAQAAA4AAAAAAAAAAAAAAAAALgIAAGRycy9lMm9Eb2Mu&#10;eG1sUEsBAi0AFAAGAAgAAAAhAOIew+XhAAAACwEAAA8AAAAAAAAAAAAAAAAAewQAAGRycy9kb3du&#10;cmV2LnhtbFBLBQYAAAAABAAEAPMAAACJBQAAAAA=&#10;" filled="f" stroked="f" strokeweight=".5pt">
                <v:textbox inset="1mm,1mm,1mm,1mm">
                  <w:txbxContent>
                    <w:p w14:paraId="2B5D2F72" w14:textId="65B86D21" w:rsidR="00DC6857" w:rsidRDefault="00F70BEC"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K64</w:t>
                      </w:r>
                    </w:p>
                    <w:p w14:paraId="7241F131" w14:textId="3424AF5C" w:rsidR="00F70BEC" w:rsidRPr="00176803" w:rsidRDefault="00F70BEC"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0,5%</w:t>
                      </w:r>
                    </w:p>
                  </w:txbxContent>
                </v:textbox>
              </v:shape>
            </w:pict>
          </mc:Fallback>
        </mc:AlternateContent>
      </w:r>
      <w:r w:rsidR="00E50DD9" w:rsidRPr="001037E7">
        <w:rPr>
          <w:rFonts w:ascii="Candara" w:hAnsi="Candara"/>
          <w:noProof/>
          <w:sz w:val="14"/>
          <w:szCs w:val="14"/>
          <w:lang w:val="en-US"/>
        </w:rPr>
        <mc:AlternateContent>
          <mc:Choice Requires="wps">
            <w:drawing>
              <wp:anchor distT="0" distB="0" distL="114300" distR="114300" simplePos="0" relativeHeight="251658377" behindDoc="0" locked="0" layoutInCell="1" allowOverlap="1" wp14:anchorId="53DBAA4D" wp14:editId="2646C343">
                <wp:simplePos x="0" y="0"/>
                <wp:positionH relativeFrom="column">
                  <wp:posOffset>4958715</wp:posOffset>
                </wp:positionH>
                <wp:positionV relativeFrom="paragraph">
                  <wp:posOffset>5526405</wp:posOffset>
                </wp:positionV>
                <wp:extent cx="575945" cy="251460"/>
                <wp:effectExtent l="0" t="0" r="0" b="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251460"/>
                        </a:xfrm>
                        <a:prstGeom prst="rect">
                          <a:avLst/>
                        </a:prstGeom>
                        <a:noFill/>
                        <a:ln w="6350">
                          <a:noFill/>
                        </a:ln>
                      </wps:spPr>
                      <wps:txbx>
                        <w:txbxContent>
                          <w:p w14:paraId="4EC90F3C" w14:textId="416C25CA" w:rsidR="00DC6857" w:rsidRPr="00176803" w:rsidRDefault="00213462" w:rsidP="00DC6857">
                            <w:pPr>
                              <w:tabs>
                                <w:tab w:val="center" w:pos="709"/>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 xml:space="preserve">K65 </w:t>
                            </w:r>
                            <w:r w:rsidR="00E50DD9">
                              <w:rPr>
                                <w:rFonts w:ascii="Segoe UI Light" w:hAnsi="Segoe UI Light" w:cs="Segoe UI Light"/>
                                <w:color w:val="FFFFFF" w:themeColor="background1"/>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BAA4D" id="Text Box 190" o:spid="_x0000_s1110" type="#_x0000_t202" style="position:absolute;left:0;text-align:left;margin-left:390.45pt;margin-top:435.15pt;width:45.35pt;height:19.8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YbJQIAAEwEAAAOAAAAZHJzL2Uyb0RvYy54bWysVMlu2zAQvRfoPxC815Id200Ey4GbwEUB&#10;IwngFDlTFGkJpTgsSVtyv75DSl6Q9lT0Qs1w9nmPWtx3jSIHYV0NOqfjUUqJ0BzKWu9y+v11/emW&#10;EueZLpkCLXJ6FI7eLz9+WLQmExOoQJXCEkyiXdaanFbemyxJHK9Ew9wIjNBolGAb5lG1u6S0rMXs&#10;jUomaTpPWrClscCFc3j72BvpMuaXUnD/LKUTnqicYm8+njaeRTiT5YJlO8tMVfOhDfYPXTSs1lj0&#10;nOqReUb2tv4jVVNzCw6kH3FoEpCy5iLOgNOM03fTbCtmRJwFl+PMeU3u/6XlT4etebHEd1+gQwDj&#10;EM5sgP9wuJukNS4bfMJOXebQOwzaSduEL45AMBB3ezzvU3SecLycfZ7dTWeUcDRNZuPpPO47uQQb&#10;6/xXAQ0JQk4twhUbYIeN86E8y04uoZaGda1UhExp0uZ0fjNLY8DZghFKD333rYamfVd0pC5zejsN&#10;iIerAsojzm2hp4QzfF1jExvm/AuzyAGcCHntn/GQCrAYDBIlFdhff7sP/ggNWilpkVM5dT/3zApK&#10;1DeNoN3M0zSQ8Fqx10pxreh98wBI2zG+IMOjiMHWq5MoLTRvSP9VqIompjnWzmlxEh98z3R8Plys&#10;VtEJaWeY3+it4Se4w4pfuzdmzYCDRwCf4MQ+lr2Do/ftAVntPcg6YnXZ6rB/pGyEcHhe4U1c69Hr&#10;8hNY/gYAAP//AwBQSwMEFAAGAAgAAAAhABTJxDnhAAAACwEAAA8AAABkcnMvZG93bnJldi54bWxM&#10;j8tOwzAQRfdI/IM1SGwqardIeZFJVZDYICFE6YKlE7uJRTyOYjdJ/x6zosvRPbr3TLlbbM8mPXrj&#10;CGGzFsA0NU4ZahGOX68PGTAfJCnZO9IIF+1hV93elLJQbqZPPR1Cy2IJ+UIidCEMBee+6bSVfu0G&#10;TTE7udHKEM+x5WqUcyy3Pd8KkXArDcWFTg76pdPNz+FsET62ybeh03FWq6k2q+fLO+3fAuL93bJ/&#10;Ahb0Ev5h+NOP6lBFp9qdSXnWI6SZyCOKkKXiEVgksnSTAKsRcpHnwKuSX/9Q/QIAAP//AwBQSwEC&#10;LQAUAAYACAAAACEAtoM4kv4AAADhAQAAEwAAAAAAAAAAAAAAAAAAAAAAW0NvbnRlbnRfVHlwZXNd&#10;LnhtbFBLAQItABQABgAIAAAAIQA4/SH/1gAAAJQBAAALAAAAAAAAAAAAAAAAAC8BAABfcmVscy8u&#10;cmVsc1BLAQItABQABgAIAAAAIQCBNKYbJQIAAEwEAAAOAAAAAAAAAAAAAAAAAC4CAABkcnMvZTJv&#10;RG9jLnhtbFBLAQItABQABgAIAAAAIQAUycQ54QAAAAsBAAAPAAAAAAAAAAAAAAAAAH8EAABkcnMv&#10;ZG93bnJldi54bWxQSwUGAAAAAAQABADzAAAAjQUAAAAA&#10;" filled="f" stroked="f" strokeweight=".5pt">
                <v:textbox inset="1mm,1mm,1mm,1mm">
                  <w:txbxContent>
                    <w:p w14:paraId="4EC90F3C" w14:textId="416C25CA" w:rsidR="00DC6857" w:rsidRPr="00176803" w:rsidRDefault="00213462" w:rsidP="00DC6857">
                      <w:pPr>
                        <w:tabs>
                          <w:tab w:val="center" w:pos="709"/>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 xml:space="preserve">K65 </w:t>
                      </w:r>
                      <w:r w:rsidR="00E50DD9">
                        <w:rPr>
                          <w:rFonts w:ascii="Segoe UI Light" w:hAnsi="Segoe UI Light" w:cs="Segoe UI Light"/>
                          <w:color w:val="FFFFFF" w:themeColor="background1"/>
                          <w:sz w:val="16"/>
                          <w:szCs w:val="16"/>
                        </w:rPr>
                        <w:t>0,4%</w:t>
                      </w:r>
                    </w:p>
                  </w:txbxContent>
                </v:textbox>
              </v:shape>
            </w:pict>
          </mc:Fallback>
        </mc:AlternateContent>
      </w:r>
      <w:r w:rsidR="00E50DD9" w:rsidRPr="001037E7">
        <w:rPr>
          <w:rFonts w:ascii="Candara" w:hAnsi="Candara"/>
          <w:noProof/>
          <w:sz w:val="14"/>
          <w:szCs w:val="14"/>
          <w:lang w:val="en-US"/>
        </w:rPr>
        <mc:AlternateContent>
          <mc:Choice Requires="wps">
            <w:drawing>
              <wp:anchor distT="0" distB="0" distL="114300" distR="114300" simplePos="0" relativeHeight="251658376" behindDoc="0" locked="0" layoutInCell="1" allowOverlap="1" wp14:anchorId="6DDC5567" wp14:editId="7591E1F1">
                <wp:simplePos x="0" y="0"/>
                <wp:positionH relativeFrom="column">
                  <wp:posOffset>4924850</wp:posOffset>
                </wp:positionH>
                <wp:positionV relativeFrom="paragraph">
                  <wp:posOffset>5154926</wp:posOffset>
                </wp:positionV>
                <wp:extent cx="775208" cy="460857"/>
                <wp:effectExtent l="0" t="0" r="6350" b="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208" cy="460857"/>
                        </a:xfrm>
                        <a:prstGeom prst="rect">
                          <a:avLst/>
                        </a:prstGeom>
                        <a:noFill/>
                        <a:ln w="6350">
                          <a:noFill/>
                        </a:ln>
                      </wps:spPr>
                      <wps:txbx>
                        <w:txbxContent>
                          <w:p w14:paraId="2C86A58B" w14:textId="7439DFCB" w:rsidR="00DC6857" w:rsidRPr="00574306" w:rsidRDefault="00213462" w:rsidP="00DC6857">
                            <w:pPr>
                              <w:tabs>
                                <w:tab w:val="left" w:pos="4820"/>
                              </w:tabs>
                              <w:spacing w:after="0"/>
                              <w:rPr>
                                <w:rFonts w:ascii="Segoe UI Light" w:hAnsi="Segoe UI Light" w:cs="Segoe UI Light"/>
                                <w:b/>
                                <w:bCs/>
                                <w:color w:val="FFFFFF" w:themeColor="background1"/>
                                <w:sz w:val="16"/>
                                <w:szCs w:val="16"/>
                              </w:rPr>
                            </w:pPr>
                            <w:r w:rsidRPr="00213462">
                              <w:rPr>
                                <w:rFonts w:ascii="Segoe UI Light" w:hAnsi="Segoe UI Light" w:cs="Segoe UI Light"/>
                                <w:b/>
                                <w:bCs/>
                                <w:color w:val="FFFFFF" w:themeColor="background1"/>
                                <w:sz w:val="16"/>
                                <w:szCs w:val="16"/>
                              </w:rPr>
                              <w:t>Finanšu un apdrošināšanas darbības</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C5567" id="Text Box 189" o:spid="_x0000_s1111" type="#_x0000_t202" style="position:absolute;left:0;text-align:left;margin-left:387.8pt;margin-top:405.9pt;width:61.05pt;height:36.3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8GJwIAAEwEAAAOAAAAZHJzL2Uyb0RvYy54bWysVE2P2yAQvVfqf0DcGzvZ5kNWnFW6q1SV&#10;ot2VstWeCYbYKmYokNjpr++A7STa9lT1ghlmmI/3Hl7et7UiJ2FdBTqn41FKidAcikofcvr9dfNp&#10;QYnzTBdMgRY5PQtH71cfPywbk4kJlKAKYQkm0S5rTE5L702WJI6XomZuBEZodEqwNfNo2kNSWNZg&#10;9lolkzSdJQ3Ywljgwjk8feycdBXzSym4f5bSCU9UTrE3H1cb131Yk9WSZQfLTFnxvg32D13UrNJY&#10;9JLqkXlGjrb6I1VdcQsOpB9xqBOQsuIizoDTjNN30+xKZkScBcFx5gKT+39p+dNpZ14s8e0XaJHA&#10;OIQzW+A/HGKTNMZlfUzA1GUOo8OgrbR1+OIIBC8itucLnqL1hOPhfD6dpCgAjq7Ps3QxnQe8k+tl&#10;Y53/KqAmYZNTi3TFBthp63wXOoSEWho2lVKRMqVJk9PZ3TSNFy4eTK5033fXamjat/uWVEVOF9PQ&#10;QTjaQ3HGuS10knCGbypsYsucf2EWNYAToa79My5SARaDfkdJCfbX385DPFKDXkoa1FRO3c8js4IS&#10;9U0jaXNUbBBhNO5m0bC3xv7W0Mf6AVC2Y3xBhsctXrZeDVtpoX5D+a9DVXQxzbF2Tv2wffCd0vH5&#10;cLFexyCUnWF+q3eGD3QHiF/bN2ZNz4NHAp9gUB/L3tHRxXaErI8eZBW5uqLa44+SjWz3zyu8iVs7&#10;Rl1/AqvfAAAA//8DAFBLAwQUAAYACAAAACEAtPkmEt8AAAALAQAADwAAAGRycy9kb3ducmV2Lnht&#10;bEyPQU7DMBBF90jcwRokNqh1XKVJGuJUKMABKEhs3dgkUeNxsJ02vT3DCnYzmqc/71f7xY7sbHwY&#10;HEoQ6wSYwdbpATsJH++vqwJYiAq1Gh0aCVcTYF/f3lSq1O6Cb+Z8iB2jEAylktDHOJWch7Y3VoW1&#10;mwzS7ct5qyKtvuPaqwuF25FvkiTjVg1IH3o1maY37ekwWwnP6fVTPMz4ss3CafoOvhF+00h5f7c8&#10;PQKLZol/MPzqkzrU5HR0M+rARgl5vs0IlVAIQR2IKHZ5DuxIQ5GmwOuK/+9Q/wAAAP//AwBQSwEC&#10;LQAUAAYACAAAACEAtoM4kv4AAADhAQAAEwAAAAAAAAAAAAAAAAAAAAAAW0NvbnRlbnRfVHlwZXNd&#10;LnhtbFBLAQItABQABgAIAAAAIQA4/SH/1gAAAJQBAAALAAAAAAAAAAAAAAAAAC8BAABfcmVscy8u&#10;cmVsc1BLAQItABQABgAIAAAAIQA6vp8GJwIAAEwEAAAOAAAAAAAAAAAAAAAAAC4CAABkcnMvZTJv&#10;RG9jLnhtbFBLAQItABQABgAIAAAAIQC0+SYS3wAAAAsBAAAPAAAAAAAAAAAAAAAAAIEEAABkcnMv&#10;ZG93bnJldi54bWxQSwUGAAAAAAQABADzAAAAjQUAAAAA&#10;" filled="f" stroked="f" strokeweight=".5pt">
                <v:textbox inset="2mm,1mm,1mm,1mm">
                  <w:txbxContent>
                    <w:p w14:paraId="2C86A58B" w14:textId="7439DFCB" w:rsidR="00DC6857" w:rsidRPr="00574306" w:rsidRDefault="00213462" w:rsidP="00DC6857">
                      <w:pPr>
                        <w:tabs>
                          <w:tab w:val="left" w:pos="4820"/>
                        </w:tabs>
                        <w:spacing w:after="0"/>
                        <w:rPr>
                          <w:rFonts w:ascii="Segoe UI Light" w:hAnsi="Segoe UI Light" w:cs="Segoe UI Light"/>
                          <w:b/>
                          <w:bCs/>
                          <w:color w:val="FFFFFF" w:themeColor="background1"/>
                          <w:sz w:val="16"/>
                          <w:szCs w:val="16"/>
                        </w:rPr>
                      </w:pPr>
                      <w:r w:rsidRPr="00213462">
                        <w:rPr>
                          <w:rFonts w:ascii="Segoe UI Light" w:hAnsi="Segoe UI Light" w:cs="Segoe UI Light"/>
                          <w:b/>
                          <w:bCs/>
                          <w:color w:val="FFFFFF" w:themeColor="background1"/>
                          <w:sz w:val="16"/>
                          <w:szCs w:val="16"/>
                        </w:rPr>
                        <w:t>Finanšu un apdrošināšanas darbības</w:t>
                      </w:r>
                    </w:p>
                  </w:txbxContent>
                </v:textbox>
              </v:shape>
            </w:pict>
          </mc:Fallback>
        </mc:AlternateContent>
      </w:r>
      <w:r w:rsidR="00911BF7" w:rsidRPr="001037E7">
        <w:rPr>
          <w:rFonts w:ascii="Candara" w:hAnsi="Candara"/>
          <w:noProof/>
          <w:sz w:val="14"/>
          <w:szCs w:val="14"/>
          <w:lang w:val="en-US"/>
        </w:rPr>
        <mc:AlternateContent>
          <mc:Choice Requires="wps">
            <w:drawing>
              <wp:anchor distT="0" distB="0" distL="114300" distR="114300" simplePos="0" relativeHeight="251658426" behindDoc="0" locked="0" layoutInCell="1" allowOverlap="1" wp14:anchorId="71B7CC1E" wp14:editId="22BBD4E4">
                <wp:simplePos x="0" y="0"/>
                <wp:positionH relativeFrom="column">
                  <wp:posOffset>4530612</wp:posOffset>
                </wp:positionH>
                <wp:positionV relativeFrom="paragraph">
                  <wp:posOffset>5664200</wp:posOffset>
                </wp:positionV>
                <wp:extent cx="263347" cy="485775"/>
                <wp:effectExtent l="0" t="0" r="3810" b="9525"/>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347" cy="485775"/>
                        </a:xfrm>
                        <a:prstGeom prst="rect">
                          <a:avLst/>
                        </a:prstGeom>
                        <a:noFill/>
                        <a:ln w="6350">
                          <a:noFill/>
                        </a:ln>
                      </wps:spPr>
                      <wps:txbx>
                        <w:txbxContent>
                          <w:p w14:paraId="2808C8BB" w14:textId="570D5975" w:rsidR="00DC6857" w:rsidRDefault="00911BF7"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A01</w:t>
                            </w:r>
                          </w:p>
                          <w:p w14:paraId="137D9588" w14:textId="5A1A7152" w:rsidR="00911BF7" w:rsidRPr="00176803" w:rsidRDefault="00911BF7"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1,1%</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7CC1E" id="Text Box 187" o:spid="_x0000_s1112" type="#_x0000_t202" style="position:absolute;left:0;text-align:left;margin-left:356.75pt;margin-top:446pt;width:20.75pt;height:38.25pt;z-index:251658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mYfJgIAAEwEAAAOAAAAZHJzL2Uyb0RvYy54bWysVMlu2zAQvRfoPxC815LteIFgOXATuChg&#10;JAGcIGeaIi2hFIclaUvu13dIyQvSnopeKA5nOMt7j1rct7UiR2FdBTqnw0FKidAcikrvc/r2uv4y&#10;p8R5pgumQIucnoSj98vPnxaNycQISlCFsASTaJc1Jqel9yZLEsdLUTM3ACM0OiXYmnk07T4pLGsw&#10;e62SUZpOkwZsYSxw4RyePnZOuoz5pRTcP0vphCcqp9ibj6uN6y6syXLBsr1lpqx43wb7hy5qVmks&#10;ekn1yDwjB1v9kaquuAUH0g841AlIWXERZ8BphumHabYlMyLOguA4c4HJ/b+0/Om4NS+W+PYrtEhg&#10;HMKZDfAfDrFJGuOyPiZg6jKH0WHQVto6fHEEghcR29MFT9F6wvFwNB2P72aUcHTdzSez2STgnVwv&#10;G+v8NwE1CZucWqQrNsCOG+e70HNIqKVhXSkVKVOaNDmdjidpvHDxYHKl+767VkPTvt21pCpyOp+G&#10;DsLRDooTzm2hk4QzfF1hExvm/AuzqAGcCHXtn3GRCrAY9DtKSrC//nYe4pEa9FLSoKZy6n4emBWU&#10;qO8aSRtP0zSI8Nawt8bu1tCH+gFQtkN8QYbHLV62Xp230kL9jvJfharoYppj7ZzuztsH3ykdnw8X&#10;q1UMQtkZ5jd6a/iZ7gDxa/vOrOl58EjgE5zVx7IPdHSxHSGrgwdZRa6uqPb4o2Qj2/3zCm/i1o5R&#10;15/A8jcAAAD//wMAUEsDBBQABgAIAAAAIQDfEmwc4gAAAAsBAAAPAAAAZHJzL2Rvd25yZXYueG1s&#10;TI/BTsMwDIbvSLxDZCQuE0tX1K7rmk4DiQsSmhg7cEybrI3WOFWTtd3bY05ws+VPv7+/2M22Y6Me&#10;vHEoYLWMgGmsnTLYCDh9vT1lwHyQqGTnUAu4aQ+78v6ukLlyE37q8RgaRiHocymgDaHPOfd1q630&#10;S9drpNvZDVYGWoeGq0FOFG47HkdRyq00SB9a2evXVteX49UKOMTpt8HzaVKLsTKLl9sH7t+DEI8P&#10;834LLOg5/MHwq0/qUJJT5a6oPOsErFfPCaECsk1MpYhYJwkNlYBNmiXAy4L/71D+AAAA//8DAFBL&#10;AQItABQABgAIAAAAIQC2gziS/gAAAOEBAAATAAAAAAAAAAAAAAAAAAAAAABbQ29udGVudF9UeXBl&#10;c10ueG1sUEsBAi0AFAAGAAgAAAAhADj9If/WAAAAlAEAAAsAAAAAAAAAAAAAAAAALwEAAF9yZWxz&#10;Ly5yZWxzUEsBAi0AFAAGAAgAAAAhADgGZh8mAgAATAQAAA4AAAAAAAAAAAAAAAAALgIAAGRycy9l&#10;Mm9Eb2MueG1sUEsBAi0AFAAGAAgAAAAhAN8SbBziAAAACwEAAA8AAAAAAAAAAAAAAAAAgAQAAGRy&#10;cy9kb3ducmV2LnhtbFBLBQYAAAAABAAEAPMAAACPBQAAAAA=&#10;" filled="f" stroked="f" strokeweight=".5pt">
                <v:textbox inset="1mm,1mm,1mm,1mm">
                  <w:txbxContent>
                    <w:p w14:paraId="2808C8BB" w14:textId="570D5975" w:rsidR="00DC6857" w:rsidRDefault="00911BF7"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A01</w:t>
                      </w:r>
                    </w:p>
                    <w:p w14:paraId="137D9588" w14:textId="5A1A7152" w:rsidR="00911BF7" w:rsidRPr="00176803" w:rsidRDefault="00911BF7"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1,1%</w:t>
                      </w:r>
                    </w:p>
                  </w:txbxContent>
                </v:textbox>
              </v:shape>
            </w:pict>
          </mc:Fallback>
        </mc:AlternateContent>
      </w:r>
      <w:r w:rsidR="00C25BF0" w:rsidRPr="001037E7">
        <w:rPr>
          <w:rFonts w:ascii="Candara" w:hAnsi="Candara"/>
          <w:noProof/>
          <w:sz w:val="14"/>
          <w:szCs w:val="14"/>
          <w:lang w:val="en-US"/>
        </w:rPr>
        <mc:AlternateContent>
          <mc:Choice Requires="wps">
            <w:drawing>
              <wp:anchor distT="0" distB="0" distL="114300" distR="114300" simplePos="0" relativeHeight="251658427" behindDoc="0" locked="0" layoutInCell="1" allowOverlap="1" wp14:anchorId="36A17818" wp14:editId="266500CE">
                <wp:simplePos x="0" y="0"/>
                <wp:positionH relativeFrom="column">
                  <wp:posOffset>4026002</wp:posOffset>
                </wp:positionH>
                <wp:positionV relativeFrom="paragraph">
                  <wp:posOffset>5740073</wp:posOffset>
                </wp:positionV>
                <wp:extent cx="292608" cy="413589"/>
                <wp:effectExtent l="0" t="0" r="0" b="5715"/>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608" cy="413589"/>
                        </a:xfrm>
                        <a:prstGeom prst="rect">
                          <a:avLst/>
                        </a:prstGeom>
                        <a:noFill/>
                        <a:ln w="6350">
                          <a:noFill/>
                        </a:ln>
                      </wps:spPr>
                      <wps:txbx>
                        <w:txbxContent>
                          <w:p w14:paraId="2926D115" w14:textId="61CA7FCF" w:rsidR="00DC6857" w:rsidRDefault="00C25BF0" w:rsidP="00DC6857">
                            <w:pPr>
                              <w:tabs>
                                <w:tab w:val="center" w:pos="993"/>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A02</w:t>
                            </w:r>
                          </w:p>
                          <w:p w14:paraId="05C7CC16" w14:textId="5FC88CF5" w:rsidR="00C25BF0" w:rsidRPr="00176803" w:rsidRDefault="00C25BF0" w:rsidP="00DC6857">
                            <w:pPr>
                              <w:tabs>
                                <w:tab w:val="center" w:pos="993"/>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17818" id="Text Box 188" o:spid="_x0000_s1113" type="#_x0000_t202" style="position:absolute;left:0;text-align:left;margin-left:317pt;margin-top:451.95pt;width:23.05pt;height:32.55pt;z-index:251658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aCJQIAAEwEAAAOAAAAZHJzL2Uyb0RvYy54bWysVF1v2yAUfZ+0/4B4X+wka5ZacaqsVaZJ&#10;UVsprfqMMcTWMJcBiZ39+l2w86FuT9NeMJd7uR/nHLy46xpFDsK6GnROx6OUEqE5lLXe5fT1Zf1p&#10;TonzTJdMgRY5PQpH75YfPyxak4kJVKBKYQkm0S5rTU4r702WJI5XomFuBEZodEqwDfNo2l1SWtZi&#10;9kYlkzSdJS3Y0ljgwjk8feiddBnzSym4f5LSCU9UTrE3H1cb1yKsyXLBsp1lpqr50Ab7hy4aVmss&#10;ek71wDwje1v/kaqpuQUH0o84NAlIWXMRZ8Bpxum7abYVMyLOguA4c4bJ/b+0/PGwNc+W+O4rdEhg&#10;HMKZDfAfDrFJWuOyISZg6jKH0WHQTtomfHEEghcR2+MZT9F5wvFwcjuZpSgAjq7P4+nN/DbgnVwu&#10;G+v8NwENCZucWqQrNsAOG+f70FNIqKVhXSsVKVOatDmdTW/SeOHsweRKD333rYamfVd0pC5zOv8S&#10;OghHBZRHnNtCLwln+LrGJjbM+WdmUQM4EeraP+EiFWAxGHaUVGB//e08xCM16KWkRU3l1P3cMyso&#10;Ud81kjadpWkQ4bVhr43i2tD75h5QtmN8QYbHLV62Xp220kLzhvJfharoYppj7ZwWp+2975WOz4eL&#10;1SoGoewM8xu9NfxEd4D4pXtj1gw8eCTwEU7qY9k7OvrYnpDV3oOsI1cXVAf8UbKR7eF5hTdxbceo&#10;y09g+RsAAP//AwBQSwMEFAAGAAgAAAAhAJrBXMrhAAAACwEAAA8AAABkcnMvZG93bnJldi54bWxM&#10;j8FOwzAQRO9I/IO1SFwqardFVhPiVAWJCxJClB44OrGbWMTrKHaT9O9ZTvQ4O6PZN8Vu9h0b7RBd&#10;QAWrpQBmsQ7GYaPg+PX6sAUWk0aju4BWwcVG2JW3N4XOTZjw046H1DAqwZhrBW1Kfc55rFvrdVyG&#10;3iJ5pzB4nUgODTeDnqjcd3wthOReO6QPre7tS2vrn8PZK/hYy2+Hp+NkFmPlFs+Xd9y/JaXu7+b9&#10;E7Bk5/Qfhj98QoeSmKpwRhNZp0BuHmlLUpCJTQaMEnIrVsAqushMAC8Lfr2h/AUAAP//AwBQSwEC&#10;LQAUAAYACAAAACEAtoM4kv4AAADhAQAAEwAAAAAAAAAAAAAAAAAAAAAAW0NvbnRlbnRfVHlwZXNd&#10;LnhtbFBLAQItABQABgAIAAAAIQA4/SH/1gAAAJQBAAALAAAAAAAAAAAAAAAAAC8BAABfcmVscy8u&#10;cmVsc1BLAQItABQABgAIAAAAIQAdRYaCJQIAAEwEAAAOAAAAAAAAAAAAAAAAAC4CAABkcnMvZTJv&#10;RG9jLnhtbFBLAQItABQABgAIAAAAIQCawVzK4QAAAAsBAAAPAAAAAAAAAAAAAAAAAH8EAABkcnMv&#10;ZG93bnJldi54bWxQSwUGAAAAAAQABADzAAAAjQUAAAAA&#10;" filled="f" stroked="f" strokeweight=".5pt">
                <v:textbox inset="1mm,1mm,1mm,1mm">
                  <w:txbxContent>
                    <w:p w14:paraId="2926D115" w14:textId="61CA7FCF" w:rsidR="00DC6857" w:rsidRDefault="00C25BF0" w:rsidP="00DC6857">
                      <w:pPr>
                        <w:tabs>
                          <w:tab w:val="center" w:pos="993"/>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A02</w:t>
                      </w:r>
                    </w:p>
                    <w:p w14:paraId="05C7CC16" w14:textId="5FC88CF5" w:rsidR="00C25BF0" w:rsidRPr="00176803" w:rsidRDefault="00C25BF0" w:rsidP="00DC6857">
                      <w:pPr>
                        <w:tabs>
                          <w:tab w:val="center" w:pos="993"/>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1,3%</w:t>
                      </w:r>
                    </w:p>
                  </w:txbxContent>
                </v:textbox>
              </v:shape>
            </w:pict>
          </mc:Fallback>
        </mc:AlternateContent>
      </w:r>
      <w:r w:rsidR="00964BBA" w:rsidRPr="001037E7">
        <w:rPr>
          <w:rFonts w:ascii="Candara" w:hAnsi="Candara"/>
          <w:noProof/>
          <w:sz w:val="14"/>
          <w:szCs w:val="14"/>
          <w:lang w:val="en-US"/>
        </w:rPr>
        <mc:AlternateContent>
          <mc:Choice Requires="wps">
            <w:drawing>
              <wp:anchor distT="0" distB="0" distL="114300" distR="114300" simplePos="0" relativeHeight="251658425" behindDoc="0" locked="0" layoutInCell="1" allowOverlap="1" wp14:anchorId="24CC4730" wp14:editId="39EF4612">
                <wp:simplePos x="0" y="0"/>
                <wp:positionH relativeFrom="column">
                  <wp:posOffset>3345282</wp:posOffset>
                </wp:positionH>
                <wp:positionV relativeFrom="paragraph">
                  <wp:posOffset>6836648</wp:posOffset>
                </wp:positionV>
                <wp:extent cx="541324" cy="249682"/>
                <wp:effectExtent l="0" t="0" r="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324" cy="249682"/>
                        </a:xfrm>
                        <a:prstGeom prst="rect">
                          <a:avLst/>
                        </a:prstGeom>
                        <a:noFill/>
                        <a:ln w="6350">
                          <a:noFill/>
                        </a:ln>
                      </wps:spPr>
                      <wps:txbx>
                        <w:txbxContent>
                          <w:p w14:paraId="4FFF3517" w14:textId="4144B5D1" w:rsidR="00DC6857" w:rsidRPr="0080669C" w:rsidRDefault="00964BB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R92 0,3%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C4730" id="Text Box 185" o:spid="_x0000_s1114" type="#_x0000_t202" style="position:absolute;left:0;text-align:left;margin-left:263.4pt;margin-top:538.3pt;width:42.6pt;height:19.65pt;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yP0JQIAAEwEAAAOAAAAZHJzL2Uyb0RvYy54bWysVNuO2yAQfa/Uf0C8N3YuG6VWnFW6q1SV&#10;ot2VstU+YwyxVcxQILHTr++AnYu2far6ghlmmMs5By/vu0aRo7CuBp3T8SilRGgOZa33Of3+uvm0&#10;oMR5pkumQIucnoSj96uPH5atycQEKlClsASTaJe1JqeV9yZLEscr0TA3AiM0OiXYhnk07T4pLWsx&#10;e6OSSZrOkxZsaSxw4RyePvZOuor5pRTcP0vphCcqp9ibj6uNaxHWZLVk2d4yU9V8aIP9QxcNqzUW&#10;vaR6ZJ6Rg63/SNXU3IID6UccmgSkrLmIM+A04/TdNLuKGRFnQXCcucDk/l9a/nTcmRdLfPcFOiQw&#10;DuHMFvgPh9gkrXHZEBMwdZnD6DBoJ20TvjgCwYuI7emCp+g84Xh4NxtPJzNKOLoms8/zxSTgnVwv&#10;G+v8VwENCZucWqQrNsCOW+f70HNIqKVhUysVKVOatDmdT+/SeOHiweRKD333rYamfVd0pC5zuliE&#10;DsJRAeUJ57bQS8IZvqmxiS1z/oVZ1ABOhLr2z7hIBVgMhh0lFdhffzsP8UgNeilpUVM5dT8PzApK&#10;1DeNpE3naRpEeGvYW6O4NfSheQCU7RhfkOFxi5etV+ettNC8ofzXoSq6mOZYO6fFefvge6Xj8+Fi&#10;vY5BKDvD/FbvDD/THSB+7d6YNQMPHgl8grP6WPaOjj62J2R98CDryNUV1QF/lGxke3he4U3c2jHq&#10;+hNY/QYAAP//AwBQSwMEFAAGAAgAAAAhAOLo0LThAAAADQEAAA8AAABkcnMvZG93bnJldi54bWxM&#10;j8FOwzAQRO9I/IO1SFwq6iRSDYQ4VUHigoRQSw8cnXibRMTrKHaT9O9ZTnDcmdHsm2K7uF5MOIbO&#10;k4Z0nYBAqr3tqNFw/Hy9ewARoiFrek+o4YIBtuX1VWFy62fa43SIjeASCrnR0MY45FKGukVnwtoP&#10;SOyd/OhM5HNspB3NzOWul1mSKOlMR/yhNQO+tFh/H85Ow0emvjo6HWe7mqpu9Xx5p91b1Pr2Ztk9&#10;gYi4xL8w/OIzOpTMVPkz2SB6DZtMMXpkI7lXCgRHVJrxvIqlNN08giwL+X9F+QMAAP//AwBQSwEC&#10;LQAUAAYACAAAACEAtoM4kv4AAADhAQAAEwAAAAAAAAAAAAAAAAAAAAAAW0NvbnRlbnRfVHlwZXNd&#10;LnhtbFBLAQItABQABgAIAAAAIQA4/SH/1gAAAJQBAAALAAAAAAAAAAAAAAAAAC8BAABfcmVscy8u&#10;cmVsc1BLAQItABQABgAIAAAAIQD7fyP0JQIAAEwEAAAOAAAAAAAAAAAAAAAAAC4CAABkcnMvZTJv&#10;RG9jLnhtbFBLAQItABQABgAIAAAAIQDi6NC04QAAAA0BAAAPAAAAAAAAAAAAAAAAAH8EAABkcnMv&#10;ZG93bnJldi54bWxQSwUGAAAAAAQABADzAAAAjQUAAAAA&#10;" filled="f" stroked="f" strokeweight=".5pt">
                <v:textbox inset="1mm,1mm,1mm,1mm">
                  <w:txbxContent>
                    <w:p w14:paraId="4FFF3517" w14:textId="4144B5D1" w:rsidR="00DC6857" w:rsidRPr="0080669C" w:rsidRDefault="00964BB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R92 0,3%</w:t>
                      </w:r>
                    </w:p>
                  </w:txbxContent>
                </v:textbox>
              </v:shape>
            </w:pict>
          </mc:Fallback>
        </mc:AlternateContent>
      </w:r>
      <w:r w:rsidR="005E4BBF" w:rsidRPr="001037E7">
        <w:rPr>
          <w:rFonts w:ascii="Candara" w:hAnsi="Candara"/>
          <w:noProof/>
          <w:sz w:val="14"/>
          <w:szCs w:val="14"/>
          <w:lang w:val="en-US"/>
        </w:rPr>
        <mc:AlternateContent>
          <mc:Choice Requires="wps">
            <w:drawing>
              <wp:anchor distT="0" distB="0" distL="114300" distR="114300" simplePos="0" relativeHeight="251658423" behindDoc="0" locked="0" layoutInCell="1" allowOverlap="1" wp14:anchorId="17604405" wp14:editId="55941CDA">
                <wp:simplePos x="0" y="0"/>
                <wp:positionH relativeFrom="column">
                  <wp:posOffset>3718599</wp:posOffset>
                </wp:positionH>
                <wp:positionV relativeFrom="paragraph">
                  <wp:posOffset>6518065</wp:posOffset>
                </wp:positionV>
                <wp:extent cx="360000" cy="360000"/>
                <wp:effectExtent l="0" t="0" r="2540" b="254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60000"/>
                        </a:xfrm>
                        <a:prstGeom prst="rect">
                          <a:avLst/>
                        </a:prstGeom>
                        <a:noFill/>
                        <a:ln w="6350">
                          <a:noFill/>
                        </a:ln>
                      </wps:spPr>
                      <wps:txbx>
                        <w:txbxContent>
                          <w:p w14:paraId="20C0BDB7" w14:textId="49B6CA9C" w:rsidR="00DC6857" w:rsidRDefault="005E4BBF"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S94</w:t>
                            </w:r>
                          </w:p>
                          <w:p w14:paraId="6124A3EA" w14:textId="5772EF2E" w:rsidR="005E4BBF" w:rsidRPr="0080669C" w:rsidRDefault="005E4BBF"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04405" id="Text Box 183" o:spid="_x0000_s1115" type="#_x0000_t202" style="position:absolute;left:0;text-align:left;margin-left:292.8pt;margin-top:513.25pt;width:28.35pt;height:28.35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70eHgIAAEwEAAAOAAAAZHJzL2Uyb0RvYy54bWysVMtu2zAQvBfoPxC815IT1EgFy4GbwEUB&#10;IwngBDnTFGkJpbjskraUfn2XlPxA2lNRH+gld7mPmaHmt31r2EGhb8CWfDrJOVNWQtXYXclfnlef&#10;bjjzQdhKGLCq5G/K89vFxw/zzhXqCmowlUJGSawvOlfyOgRXZJmXtWqFn4BTlpwasBWBtrjLKhQd&#10;ZW9NdpXns6wDrByCVN7T6f3g5IuUX2slw6PWXgVmSk69hbRiWrdxzRZzUexQuLqRYxviH7poRWOp&#10;6CnVvQiC7bH5I1XbSAQPOkwktBlo3UiVZqBppvm7aTa1cCrNQuB4d4LJ/7+08uGwcU/IQv8VeiIw&#10;DeHdGuQPT9hknfPFGBMx9YWn6Dhor7GN/zQCo4uE7dsJT9UHJunwepbTjzNJrtGOOc+XHfrwTUHL&#10;olFyJLpSA+Kw9mEIPYbEWhZWjTGJMmNZV/LZ9ec8XTh5KLmxY99Dq7Hp0G971lQlv/kSGY9HW6je&#10;aG6EQRLeyVVDTayFD08CSQPUN+k6PNKiDVAxGC3OasBffzuP8UQNeTnrSFMl9z/3AhVn5rsl0hIG&#10;JMLLDV5utpcbu2/vgGQ7pRfkZDKpJwzmaGqE9pXkv4xVySWspNol3x7NuzAonZ6PVMtlCiLZORHW&#10;duPkke4I8XP/KtCNPAQi8AGO6hPFOzqG2IGQ5T6AbhJXZ1RH/Emyie3xecU3cblPUeePwOI3AAAA&#10;//8DAFBLAwQUAAYACAAAACEAhWMnTeIAAAANAQAADwAAAGRycy9kb3ducmV2LnhtbEyPwU7DMAyG&#10;70i8Q2QkLhNL6WhUlabTQOKChBBjB45pk7URjVM1Wdu9Pd6JHe3/0+/P5XZxPZvMGKxHCY/rBJjB&#10;xmuLrYTD99tDDixEhVr1Ho2EswmwrW5vSlVoP+OXmfaxZVSCoVASuhiHgvPQdMapsPaDQcqOfnQq&#10;0ji2XI9qpnLX8zRJBHfKIl3o1GBeO9P87k9OwmcqfiweD7NeTbVdvZw/cPcepby/W3bPwKJZ4j8M&#10;F31Sh4qcan9CHVgvIcszQSgFSSoyYISIp3QDrL6s8k0KvCr59RfVHwAAAP//AwBQSwECLQAUAAYA&#10;CAAAACEAtoM4kv4AAADhAQAAEwAAAAAAAAAAAAAAAAAAAAAAW0NvbnRlbnRfVHlwZXNdLnhtbFBL&#10;AQItABQABgAIAAAAIQA4/SH/1gAAAJQBAAALAAAAAAAAAAAAAAAAAC8BAABfcmVscy8ucmVsc1BL&#10;AQItABQABgAIAAAAIQBVb70eHgIAAEwEAAAOAAAAAAAAAAAAAAAAAC4CAABkcnMvZTJvRG9jLnht&#10;bFBLAQItABQABgAIAAAAIQCFYydN4gAAAA0BAAAPAAAAAAAAAAAAAAAAAHgEAABkcnMvZG93bnJl&#10;di54bWxQSwUGAAAAAAQABADzAAAAhwUAAAAA&#10;" filled="f" stroked="f" strokeweight=".5pt">
                <v:textbox inset="1mm,1mm,1mm,1mm">
                  <w:txbxContent>
                    <w:p w14:paraId="20C0BDB7" w14:textId="49B6CA9C" w:rsidR="00DC6857" w:rsidRDefault="005E4BBF"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S94</w:t>
                      </w:r>
                    </w:p>
                    <w:p w14:paraId="6124A3EA" w14:textId="5772EF2E" w:rsidR="005E4BBF" w:rsidRPr="0080669C" w:rsidRDefault="005E4BBF"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v:textbox>
              </v:shape>
            </w:pict>
          </mc:Fallback>
        </mc:AlternateContent>
      </w:r>
      <w:r w:rsidR="00225EC5" w:rsidRPr="001037E7">
        <w:rPr>
          <w:rFonts w:ascii="Candara" w:hAnsi="Candara"/>
          <w:noProof/>
          <w:sz w:val="14"/>
          <w:szCs w:val="14"/>
          <w:lang w:val="en-US"/>
        </w:rPr>
        <mc:AlternateContent>
          <mc:Choice Requires="wps">
            <w:drawing>
              <wp:anchor distT="0" distB="0" distL="114300" distR="114300" simplePos="0" relativeHeight="251658424" behindDoc="0" locked="0" layoutInCell="1" allowOverlap="1" wp14:anchorId="1B14C909" wp14:editId="188706CC">
                <wp:simplePos x="0" y="0"/>
                <wp:positionH relativeFrom="column">
                  <wp:posOffset>3343377</wp:posOffset>
                </wp:positionH>
                <wp:positionV relativeFrom="paragraph">
                  <wp:posOffset>6531497</wp:posOffset>
                </wp:positionV>
                <wp:extent cx="288000" cy="360000"/>
                <wp:effectExtent l="0" t="0" r="0" b="254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60000"/>
                        </a:xfrm>
                        <a:prstGeom prst="rect">
                          <a:avLst/>
                        </a:prstGeom>
                        <a:noFill/>
                        <a:ln w="6350">
                          <a:noFill/>
                        </a:ln>
                      </wps:spPr>
                      <wps:txbx>
                        <w:txbxContent>
                          <w:p w14:paraId="778BFF03" w14:textId="65E8CDA4" w:rsidR="00DC6857" w:rsidRDefault="00225EC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R93</w:t>
                            </w:r>
                          </w:p>
                          <w:p w14:paraId="5CDFDEB6" w14:textId="114FE8B3" w:rsidR="00225EC5" w:rsidRPr="0080669C" w:rsidRDefault="00225EC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4C909" id="Text Box 184" o:spid="_x0000_s1116" type="#_x0000_t202" style="position:absolute;left:0;text-align:left;margin-left:263.25pt;margin-top:514.3pt;width:22.7pt;height:28.35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XfIQIAAEwEAAAOAAAAZHJzL2Uyb0RvYy54bWysVMtu2zAQvBfoPxC815Id1EgFy4GbwEUB&#10;IwngBDnTFGkLpbjskrbkfn2XlPxA2lPRC7XkLvcxM9TsrmsMOyj0NdiSj0c5Z8pKqGq7Lfnry/LT&#10;LWc+CFsJA1aV/Kg8v5t//DBrXaEmsANTKWSUxPqidSXfheCKLPNypxrhR+CUJacGbESgLW6zCkVL&#10;2RuTTfJ8mrWAlUOQyns6feidfJ7ya61keNLaq8BMyam3kFZM6yau2Xwmii0Kt6vl0Ib4hy4aUVsq&#10;ek71IIJge6z/SNXUEsGDDiMJTQZa11KlGWiacf5umvVOOJVmIXC8O8Pk/19a+XhYu2dkofsKHRGY&#10;hvBuBfKHJ2yy1vliiImY+sJTdBy009jEL43A6CJhezzjqbrAJB1Obm/znDySXDdTMhPe2eWyQx++&#10;KWhYNEqORFdqQBxWPsTyojiFxFoWlrUxiTJjWVvy6c3nPF04e+iGsUPffaux6dBtOlZXJf+SOohH&#10;G6iONDdCLwnv5LKmJlbCh2eBpAHqm3QdnmjRBqgYDBZnO8BffzuP8UQNeTlrSVMl9z/3AhVn5rsl&#10;0hIGJMLrDV5vNtcbu2/ugWQ7phfkZDKpJwzmZGqE5o3kv4hVySWspNol35zM+9ArnZ6PVItFCiLZ&#10;ORFWdu3kie4I8Uv3JtANPAQi8BFO6hPFOzr62J6QxT6ArhNXF1QH/EmyicLhecU3cb1PUZefwPw3&#10;AAAA//8DAFBLAwQUAAYACAAAACEA0Ngh5eEAAAANAQAADwAAAGRycy9kb3ducmV2LnhtbEyPwU6D&#10;QBCG7ya+w2ZMvDR2KQZEZGmqiRcTY6w9eFzYKRDZWcJugb6905MeZ/4v/3xTbBfbiwlH3zlSsFlH&#10;IJBqZzpqFBy+Xu8yED5oMrp3hArO6GFbXl8VOjdupk+c9qERXEI+1wraEIZcSl+3aLVfuwGJs6Mb&#10;rQ48jo00o5653PYyjqJUWt0RX2j1gC8t1j/7k1XwEaffHR0Ps1lNVbd6Pr/T7i0odXuz7J5ABFzC&#10;HwwXfVaHkp0qdyLjRa8gidOEUQ6iOEtBMJI8bB5BVJdVltyDLAv5/4vyFwAA//8DAFBLAQItABQA&#10;BgAIAAAAIQC2gziS/gAAAOEBAAATAAAAAAAAAAAAAAAAAAAAAABbQ29udGVudF9UeXBlc10ueG1s&#10;UEsBAi0AFAAGAAgAAAAhADj9If/WAAAAlAEAAAsAAAAAAAAAAAAAAAAALwEAAF9yZWxzLy5yZWxz&#10;UEsBAi0AFAAGAAgAAAAhAABNxd8hAgAATAQAAA4AAAAAAAAAAAAAAAAALgIAAGRycy9lMm9Eb2Mu&#10;eG1sUEsBAi0AFAAGAAgAAAAhANDYIeXhAAAADQEAAA8AAAAAAAAAAAAAAAAAewQAAGRycy9kb3du&#10;cmV2LnhtbFBLBQYAAAAABAAEAPMAAACJBQAAAAA=&#10;" filled="f" stroked="f" strokeweight=".5pt">
                <v:textbox inset="1mm,1mm,1mm,1mm">
                  <w:txbxContent>
                    <w:p w14:paraId="778BFF03" w14:textId="65E8CDA4" w:rsidR="00DC6857" w:rsidRDefault="00225EC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R93</w:t>
                      </w:r>
                    </w:p>
                    <w:p w14:paraId="5CDFDEB6" w14:textId="114FE8B3" w:rsidR="00225EC5" w:rsidRPr="0080669C" w:rsidRDefault="00225EC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v:textbox>
              </v:shape>
            </w:pict>
          </mc:Fallback>
        </mc:AlternateContent>
      </w:r>
      <w:r w:rsidR="00225EC5" w:rsidRPr="001037E7">
        <w:rPr>
          <w:rFonts w:ascii="Candara" w:hAnsi="Candara"/>
          <w:noProof/>
          <w:sz w:val="14"/>
          <w:szCs w:val="14"/>
          <w:lang w:val="en-US"/>
        </w:rPr>
        <mc:AlternateContent>
          <mc:Choice Requires="wps">
            <w:drawing>
              <wp:anchor distT="0" distB="0" distL="114300" distR="114300" simplePos="0" relativeHeight="251658422" behindDoc="0" locked="0" layoutInCell="1" allowOverlap="1" wp14:anchorId="1C283878" wp14:editId="18A497AF">
                <wp:simplePos x="0" y="0"/>
                <wp:positionH relativeFrom="column">
                  <wp:posOffset>2852389</wp:posOffset>
                </wp:positionH>
                <wp:positionV relativeFrom="paragraph">
                  <wp:posOffset>6572694</wp:posOffset>
                </wp:positionV>
                <wp:extent cx="540000" cy="486000"/>
                <wp:effectExtent l="0" t="0" r="0" b="9525"/>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0" cy="486000"/>
                        </a:xfrm>
                        <a:prstGeom prst="rect">
                          <a:avLst/>
                        </a:prstGeom>
                        <a:noFill/>
                        <a:ln w="6350">
                          <a:noFill/>
                        </a:ln>
                      </wps:spPr>
                      <wps:txbx>
                        <w:txbxContent>
                          <w:p w14:paraId="5EFE2A5A" w14:textId="6D9F6348" w:rsidR="00DC6857" w:rsidRDefault="00C222A0"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Izklaides darbības</w:t>
                            </w:r>
                          </w:p>
                          <w:p w14:paraId="3F592FC6" w14:textId="0678D6EB" w:rsidR="00DC6857" w:rsidRPr="0080669C" w:rsidRDefault="00225EC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83878" id="Text Box 182" o:spid="_x0000_s1117" type="#_x0000_t202" style="position:absolute;left:0;text-align:left;margin-left:224.6pt;margin-top:517.55pt;width:42.5pt;height:38.25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2NsIQIAAEwEAAAOAAAAZHJzL2Uyb0RvYy54bWysVE1v2zAMvQ/YfxB0X5z0I+iMOEXWIsOA&#10;oC2QDj0rshQbk0WNUmJnv36U7Hyg22lYDgolUuQj35Nn911j2F6hr8EWfDIac6ashLK224J/f11+&#10;uuPMB2FLYcCqgh+U5/fzjx9mrcvVFVRgSoWMklift67gVQguzzIvK9UIPwKnLDk1YCMCbXGblSha&#10;yt6Y7Go8nmYtYOkQpPKeTh97J5+n/ForGZ619iowU3DCFtKKad3ENZvPRL5F4apaDjDEP6BoRG2p&#10;6CnVowiC7bD+I1VTSwQPOowkNBloXUuVeqBuJuN33awr4VTqhYbj3WlM/v+llU/7tXtBFrov0BGB&#10;qQnvViB/eJpN1jqfDzFxpj73FB0b7TQ28Z9aYHSRZns4zVN1gUk6vL0Z048zSa6bu2m0Y87zZYc+&#10;fFXQsGgUHImuBEDsVz70oceQWMvCsjYmUWYsaws+vb4dpwsnDyU3dsDdQ42gQ7fpWF0W/PMkIohH&#10;GygP1DdCLwnv5LImECvhw4tA0gDhJl2HZ1q0ASoGg8VZBfjrb+cxnqghL2ctaarg/udOoOLMfLNE&#10;2nUaAQuXG7zcbC43dtc8AMl2Qi/IyWQSJgzmaGqE5o3kv4hVySWspNoF3xzNh9ArnZ6PVItFCiLZ&#10;ORFWdu3kke444tfuTaAbeAhE4BMc1Sfyd3T0sT0hi10AXSeuzlMd5k+STWwPzyu+ict9ijp/BOa/&#10;AQAA//8DAFBLAwQUAAYACAAAACEA06gXpeEAAAANAQAADwAAAGRycy9kb3ducmV2LnhtbEyPQU+D&#10;QBCF7yb+h82YeGnsUkpJRZammngxMcbaQ48LOwUiO0vYLdB/73jSuc17L2++yXez7cSIg28dKVgt&#10;IxBIlTMt1QqOX68PWxA+aDK6c4QKruhhV9ze5DozbqJPHA+hFlxCPtMKmhD6TEpfNWi1X7oeib2z&#10;G6wOvA61NIOeuNx2Mo6iVFrdEl9odI8vDVbfh4tV8BGnp5bOx8ksxrJdPF/faf8WlLq/m/dPIALO&#10;4S8Mv/iMDgUzle5CxotOQZI8xhxlI1pvViA4slknLJUs8aQgi1z+/6L4AQAA//8DAFBLAQItABQA&#10;BgAIAAAAIQC2gziS/gAAAOEBAAATAAAAAAAAAAAAAAAAAAAAAABbQ29udGVudF9UeXBlc10ueG1s&#10;UEsBAi0AFAAGAAgAAAAhADj9If/WAAAAlAEAAAsAAAAAAAAAAAAAAAAALwEAAF9yZWxzLy5yZWxz&#10;UEsBAi0AFAAGAAgAAAAhADW/Y2whAgAATAQAAA4AAAAAAAAAAAAAAAAALgIAAGRycy9lMm9Eb2Mu&#10;eG1sUEsBAi0AFAAGAAgAAAAhANOoF6XhAAAADQEAAA8AAAAAAAAAAAAAAAAAewQAAGRycy9kb3du&#10;cmV2LnhtbFBLBQYAAAAABAAEAPMAAACJBQAAAAA=&#10;" filled="f" stroked="f" strokeweight=".5pt">
                <v:textbox inset="1mm,1mm,1mm,1mm">
                  <w:txbxContent>
                    <w:p w14:paraId="5EFE2A5A" w14:textId="6D9F6348" w:rsidR="00DC6857" w:rsidRDefault="00C222A0"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Izklaides darbības</w:t>
                      </w:r>
                    </w:p>
                    <w:p w14:paraId="3F592FC6" w14:textId="0678D6EB" w:rsidR="00DC6857" w:rsidRPr="0080669C" w:rsidRDefault="00225EC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p>
                  </w:txbxContent>
                </v:textbox>
              </v:shape>
            </w:pict>
          </mc:Fallback>
        </mc:AlternateContent>
      </w:r>
      <w:r w:rsidR="00C222A0" w:rsidRPr="001037E7">
        <w:rPr>
          <w:rFonts w:ascii="Candara" w:hAnsi="Candara"/>
          <w:noProof/>
          <w:sz w:val="14"/>
          <w:szCs w:val="14"/>
          <w:lang w:val="en-US"/>
        </w:rPr>
        <mc:AlternateContent>
          <mc:Choice Requires="wps">
            <w:drawing>
              <wp:anchor distT="0" distB="0" distL="114300" distR="114300" simplePos="0" relativeHeight="251658421" behindDoc="0" locked="0" layoutInCell="1" allowOverlap="1" wp14:anchorId="6178BB48" wp14:editId="053698E9">
                <wp:simplePos x="0" y="0"/>
                <wp:positionH relativeFrom="column">
                  <wp:posOffset>2852346</wp:posOffset>
                </wp:positionH>
                <wp:positionV relativeFrom="paragraph">
                  <wp:posOffset>6187339</wp:posOffset>
                </wp:positionV>
                <wp:extent cx="1110744" cy="360000"/>
                <wp:effectExtent l="0" t="0" r="0" b="254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0744" cy="360000"/>
                        </a:xfrm>
                        <a:prstGeom prst="rect">
                          <a:avLst/>
                        </a:prstGeom>
                        <a:noFill/>
                        <a:ln w="6350">
                          <a:noFill/>
                        </a:ln>
                      </wps:spPr>
                      <wps:txbx>
                        <w:txbxContent>
                          <w:p w14:paraId="4526D4D8" w14:textId="56ED3448" w:rsidR="00DC6857" w:rsidRPr="0080669C" w:rsidRDefault="00C222A0" w:rsidP="00DC6857">
                            <w:pPr>
                              <w:tabs>
                                <w:tab w:val="left" w:pos="4820"/>
                              </w:tabs>
                              <w:spacing w:after="0"/>
                              <w:rPr>
                                <w:rFonts w:ascii="Segoe UI Light" w:hAnsi="Segoe UI Light" w:cs="Segoe UI Light"/>
                                <w:b/>
                                <w:bCs/>
                                <w:sz w:val="16"/>
                                <w:szCs w:val="16"/>
                              </w:rPr>
                            </w:pPr>
                            <w:r w:rsidRPr="00C222A0">
                              <w:rPr>
                                <w:rFonts w:ascii="Segoe UI Light" w:hAnsi="Segoe UI Light" w:cs="Segoe UI Light"/>
                                <w:b/>
                                <w:bCs/>
                                <w:sz w:val="16"/>
                                <w:szCs w:val="16"/>
                              </w:rPr>
                              <w:t>Māksla, izklaide un atpūta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8BB48" id="Text Box 181" o:spid="_x0000_s1118" type="#_x0000_t202" style="position:absolute;left:0;text-align:left;margin-left:224.6pt;margin-top:487.2pt;width:87.45pt;height:28.35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2UJwIAAE0EAAAOAAAAZHJzL2Uyb0RvYy54bWysVMtu2zAQvBfoPxC815Kd1GkFy4GbwEUB&#10;IwngFDnTFGkLpbjskraUfn2XlPxA2lNRH2gud7mPmaFmt11j2EGhr8GWfDzKOVNWQlXbbcm/Py8/&#10;fOLMB2ErYcCqkr8qz2/n79/NWleoCezAVAoZJbG+aF3JdyG4Isu83KlG+BE4ZcmpARsRyMRtVqFo&#10;KXtjskmeT7MWsHIIUnlPp/e9k89Tfq2VDI9aexWYKTn1FtKKad3ENZvPRLFF4Xa1HNoQ/9BFI2pL&#10;RU+p7kUQbI/1H6maWiJ40GEkoclA61qqNANNM87fTLPeCafSLASOdyeY/P9LKx8Oa/eELHRfoCMC&#10;0xDerUD+8IRN1jpfDDERU194io6Ddhqb+E8jMLpI2L6e8FRdYDJmG4/zm+trziT5rqY5/SLg2fm2&#10;Qx++KmhY3JQcia/UgTisfOhDjyGxmIVlbUzizFjWlnx69TFPF04eSm7s0Hjfa+w6dJuO1VXJP09i&#10;B/FoA9UrDY7Qa8I7uaypiZXw4UkgiYBGImGHR1q0ASoGw46zHeCvv53HeOKGvJy1JKqS+597gYoz&#10;880Sazck2ajCZCRAOMNLY3Np2H1zB6TbMT0hJ9OWLmMwx61GaF5I/4tYlVzCSqpd8nDc3oVe6vR+&#10;pFosUhDpzomwsmsnj3xHiJ+7F4Fu4CEQgw9wlJ8o3tDRx/aELPYBdJ24OqM64E+aTWwP7ys+iks7&#10;RZ2/AvPfAAAA//8DAFBLAwQUAAYACAAAACEAECW/Jd8AAAAMAQAADwAAAGRycy9kb3ducmV2Lnht&#10;bEyPQU7DMBBF90jcwRokNog6DibQEKdCAQ7QgsTWjU0SNR4H22nT2zOsYDn6T/+/qTaLG9nRhjh4&#10;VCBWGTCLrTcDdgo+3t9uH4HFpNHo0aNVcLYRNvXlRaVL40+4tcdd6hiVYCy1gj6lqeQ8tr11Oq78&#10;ZJGyLx+cTnSGjpugT1TuRp5nWcGdHpAWej3ZprftYTc7BS/y/CluZny9L+Jh+o6hESFvlLq+Wp6f&#10;gCW7pD8YfvVJHWpy2vsZTWSjAinXOaEK1g9SAiOiyKUAtic0uxMCeF3x/0/UPwAAAP//AwBQSwEC&#10;LQAUAAYACAAAACEAtoM4kv4AAADhAQAAEwAAAAAAAAAAAAAAAAAAAAAAW0NvbnRlbnRfVHlwZXNd&#10;LnhtbFBLAQItABQABgAIAAAAIQA4/SH/1gAAAJQBAAALAAAAAAAAAAAAAAAAAC8BAABfcmVscy8u&#10;cmVsc1BLAQItABQABgAIAAAAIQBFLs2UJwIAAE0EAAAOAAAAAAAAAAAAAAAAAC4CAABkcnMvZTJv&#10;RG9jLnhtbFBLAQItABQABgAIAAAAIQAQJb8l3wAAAAwBAAAPAAAAAAAAAAAAAAAAAIEEAABkcnMv&#10;ZG93bnJldi54bWxQSwUGAAAAAAQABADzAAAAjQUAAAAA&#10;" filled="f" stroked="f" strokeweight=".5pt">
                <v:textbox inset="2mm,1mm,1mm,1mm">
                  <w:txbxContent>
                    <w:p w14:paraId="4526D4D8" w14:textId="56ED3448" w:rsidR="00DC6857" w:rsidRPr="0080669C" w:rsidRDefault="00C222A0" w:rsidP="00DC6857">
                      <w:pPr>
                        <w:tabs>
                          <w:tab w:val="left" w:pos="4820"/>
                        </w:tabs>
                        <w:spacing w:after="0"/>
                        <w:rPr>
                          <w:rFonts w:ascii="Segoe UI Light" w:hAnsi="Segoe UI Light" w:cs="Segoe UI Light"/>
                          <w:b/>
                          <w:bCs/>
                          <w:sz w:val="16"/>
                          <w:szCs w:val="16"/>
                        </w:rPr>
                      </w:pPr>
                      <w:r w:rsidRPr="00C222A0">
                        <w:rPr>
                          <w:rFonts w:ascii="Segoe UI Light" w:hAnsi="Segoe UI Light" w:cs="Segoe UI Light"/>
                          <w:b/>
                          <w:bCs/>
                          <w:sz w:val="16"/>
                          <w:szCs w:val="16"/>
                        </w:rPr>
                        <w:t>Māksla, izklaide un atpūta</w:t>
                      </w:r>
                    </w:p>
                  </w:txbxContent>
                </v:textbox>
              </v:shape>
            </w:pict>
          </mc:Fallback>
        </mc:AlternateContent>
      </w:r>
      <w:r w:rsidR="001C46FA" w:rsidRPr="001037E7">
        <w:rPr>
          <w:rFonts w:ascii="Candara" w:hAnsi="Candara"/>
          <w:noProof/>
          <w:sz w:val="14"/>
          <w:szCs w:val="14"/>
          <w:lang w:val="en-US"/>
        </w:rPr>
        <mc:AlternateContent>
          <mc:Choice Requires="wps">
            <w:drawing>
              <wp:anchor distT="0" distB="0" distL="114300" distR="114300" simplePos="0" relativeHeight="251658420" behindDoc="0" locked="0" layoutInCell="1" allowOverlap="1" wp14:anchorId="19F604B7" wp14:editId="0D0448F8">
                <wp:simplePos x="0" y="0"/>
                <wp:positionH relativeFrom="column">
                  <wp:posOffset>2882896</wp:posOffset>
                </wp:positionH>
                <wp:positionV relativeFrom="paragraph">
                  <wp:posOffset>5829720</wp:posOffset>
                </wp:positionV>
                <wp:extent cx="900000" cy="359410"/>
                <wp:effectExtent l="0" t="0" r="0" b="254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65B9DE52" w14:textId="59518364" w:rsidR="00DC6857" w:rsidRPr="00176803" w:rsidRDefault="001C46FA"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3,0%</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604B7" id="Text Box 180" o:spid="_x0000_s1119" type="#_x0000_t202" style="position:absolute;left:0;text-align:left;margin-left:227pt;margin-top:459.05pt;width:70.85pt;height:28.3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2DIwIAAEwEAAAOAAAAZHJzL2Uyb0RvYy54bWysVE1v2zAMvQ/YfxB0X+w0a7AacYqsRYYB&#10;QVsgLXpWZCk2JosapcTufv0oxflAt9OwHBRRpMjH9yjPbvvWsL1C34At+XiUc6ashKqx25K/PC8/&#10;feHMB2ErYcCqkr8pz2/nHz/MOleoK6jBVAoZJbG+6FzJ6xBckWVe1qoVfgROWXJqwFYEMnGbVSg6&#10;yt6a7CrPp1kHWDkEqbyn0/uDk89Tfq2VDI9aexWYKTlhC2nFtG7ims1notiicHUjBxjiH1C0orFU&#10;9JTqXgTBdtj8kaptJIIHHUYS2gy0bqRKPVA34/xdN+taOJV6IXK8O9Hk/19a+bBfuydkof8KPQmY&#10;mvBuBfKHJ26yzvliiImc+sJTdGy019jGf2qB0UXi9u3Ep+oDk3R4k8cfZ5Jck+ubz+PEd3a+7NCH&#10;bwpaFjclR5IrARD7lQ+xvCiOIbGWhWVjTJLMWNaVfDq5ztOFk4duGDvgPkCNoEO/6VlTEaJJVDwe&#10;baB6o74RDiPhnVw2BGIlfHgSSDNAuGmuwyMt2gAVg2HHWQ3462/nMZ6kIS9nHc1Uyf3PnUDFmflu&#10;SbTJNNERLg28NDaXht21d0BjO6YX5GTaEiYM5rjVCO0rjf8iViWXsJJql3xz3N6Fw6TT85FqsUhB&#10;NHZOhJVdO3mUO1L83L8KdIMOgQR8gOP0ieKdHIfYgyCLXQDdJK3OrA7808gmCYfnFd/EpZ2izh+B&#10;+W8AAAD//wMAUEsDBBQABgAIAAAAIQCrzreX4gAAAAsBAAAPAAAAZHJzL2Rvd25yZXYueG1sTI/B&#10;TsMwEETvSPyDtUhcKuqkSpo2jVMVJC5ICFF66NGJ3cQiXkexm6R/z3KC4+yMZt8U+9l2bNSDNw4F&#10;xMsImMbaKYONgNPX69MGmA8SlewcagE37WFf3t8VMlduwk89HkPDqAR9LgW0IfQ5575utZV+6XqN&#10;5F3cYGUgOTRcDXKictvxVRStuZUG6UMre/3S6vr7eLUCPlbrs8HLaVKLsTKL59s7Ht6CEI8P82EH&#10;LOg5/IXhF5/QoSSmyl1RedYJSNKEtgQB23gTA6NEuk0zYBVdsiQDXhb8/4byBwAA//8DAFBLAQIt&#10;ABQABgAIAAAAIQC2gziS/gAAAOEBAAATAAAAAAAAAAAAAAAAAAAAAABbQ29udGVudF9UeXBlc10u&#10;eG1sUEsBAi0AFAAGAAgAAAAhADj9If/WAAAAlAEAAAsAAAAAAAAAAAAAAAAALwEAAF9yZWxzLy5y&#10;ZWxzUEsBAi0AFAAGAAgAAAAhAKtYTYMjAgAATAQAAA4AAAAAAAAAAAAAAAAALgIAAGRycy9lMm9E&#10;b2MueG1sUEsBAi0AFAAGAAgAAAAhAKvOt5fiAAAACwEAAA8AAAAAAAAAAAAAAAAAfQQAAGRycy9k&#10;b3ducmV2LnhtbFBLBQYAAAAABAAEAPMAAACMBQAAAAA=&#10;" filled="f" stroked="f" strokeweight=".5pt">
                <v:textbox inset="1mm,1mm,1mm,1mm">
                  <w:txbxContent>
                    <w:p w14:paraId="65B9DE52" w14:textId="59518364" w:rsidR="00DC6857" w:rsidRPr="00176803" w:rsidRDefault="001C46FA"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3,0%</w:t>
                      </w:r>
                    </w:p>
                  </w:txbxContent>
                </v:textbox>
              </v:shape>
            </w:pict>
          </mc:Fallback>
        </mc:AlternateContent>
      </w:r>
      <w:r w:rsidR="001C46FA" w:rsidRPr="001037E7">
        <w:rPr>
          <w:rFonts w:ascii="Candara" w:hAnsi="Candara"/>
          <w:noProof/>
          <w:sz w:val="14"/>
          <w:szCs w:val="14"/>
          <w:lang w:val="en-US"/>
        </w:rPr>
        <mc:AlternateContent>
          <mc:Choice Requires="wps">
            <w:drawing>
              <wp:anchor distT="0" distB="0" distL="114300" distR="114300" simplePos="0" relativeHeight="251658419" behindDoc="0" locked="0" layoutInCell="1" allowOverlap="1" wp14:anchorId="472EE091" wp14:editId="3C9A703D">
                <wp:simplePos x="0" y="0"/>
                <wp:positionH relativeFrom="column">
                  <wp:posOffset>2869354</wp:posOffset>
                </wp:positionH>
                <wp:positionV relativeFrom="paragraph">
                  <wp:posOffset>5173388</wp:posOffset>
                </wp:positionV>
                <wp:extent cx="1080000" cy="504000"/>
                <wp:effectExtent l="0" t="0" r="635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000" cy="504000"/>
                        </a:xfrm>
                        <a:prstGeom prst="rect">
                          <a:avLst/>
                        </a:prstGeom>
                        <a:noFill/>
                        <a:ln w="6350">
                          <a:noFill/>
                        </a:ln>
                      </wps:spPr>
                      <wps:txbx>
                        <w:txbxContent>
                          <w:p w14:paraId="396A7E7F" w14:textId="404AFB66" w:rsidR="00DC6857" w:rsidRPr="00574306" w:rsidRDefault="001C46FA" w:rsidP="00DC6857">
                            <w:pPr>
                              <w:tabs>
                                <w:tab w:val="left" w:pos="4820"/>
                              </w:tabs>
                              <w:spacing w:after="0"/>
                              <w:rPr>
                                <w:rFonts w:ascii="Segoe UI Light" w:hAnsi="Segoe UI Light" w:cs="Segoe UI Light"/>
                                <w:b/>
                                <w:bCs/>
                                <w:color w:val="FFFFFF" w:themeColor="background1"/>
                                <w:sz w:val="16"/>
                                <w:szCs w:val="16"/>
                              </w:rPr>
                            </w:pPr>
                            <w:r w:rsidRPr="001C46FA">
                              <w:rPr>
                                <w:rFonts w:ascii="Segoe UI Light" w:hAnsi="Segoe UI Light" w:cs="Segoe UI Light"/>
                                <w:b/>
                                <w:bCs/>
                                <w:color w:val="FFFFFF" w:themeColor="background1"/>
                                <w:sz w:val="16"/>
                                <w:szCs w:val="16"/>
                              </w:rPr>
                              <w:t>Operācijas ar nekustamo īpašumu</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EE091" id="Text Box 179" o:spid="_x0000_s1120" type="#_x0000_t202" style="position:absolute;left:0;text-align:left;margin-left:225.95pt;margin-top:407.35pt;width:85.05pt;height:39.7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J6TJQIAAE0EAAAOAAAAZHJzL2Uyb0RvYy54bWysVE1v2zAMvQ/YfxB0X+z0I2uNOEXWIsOA&#10;oC2QDj0rspQYk0WNUmJ3v36U7Hyg22lYDgopUtQj35Ond11j2F6hr8GWfDzKOVNWQlXbTcm/vyw+&#10;3XDmg7CVMGBVyd+U53ezjx+mrSvUBWzBVAoZFbG+aF3JtyG4Isu83KpG+BE4ZSmoARsRyMVNVqFo&#10;qXpjsos8n2QtYOUQpPKedh/6IJ+l+lorGZ609iowU3LCFtKKaV3HNZtNRbFB4ba1HGCIf0DRiNrS&#10;pcdSDyIItsP6j1JNLRE86DCS0GSgdS1V6oG6GefvullthVOpFxqOd8cx+f9XVj7uV+4ZWei+QEcE&#10;pia8W4L84Wk2Wet8MeTEmfrCU3ZstNPYxH9qgdFBmu3bcZ6qC0zGavlNTj/OJMWu86tox6Kn0w59&#10;+KqgYdEoORJfCYHYL33oUw8p8TILi9qYxJmxrC355PI6TweOESpu7AC8xxpRh27dsboq+e1VRBC3&#10;1lC9UeMIvSa8k4uaQCyFD88CSQSEm4QdnmjRBugyGCzOtoC//rYf84kbinLWkqhK7n/uBCrOzDdL&#10;rH0myUYVJudykhw8d9bnjt0190C6HdMTcjKZdBiDOZgaoXkl/c/jrRQSVtLdJQ8H8z70Uqf3I9V8&#10;npJId06EpV05eeA7jvilexXoBh4CMfgIB/mJ4h0dfW5PyHwXQNeJq9NUh/mTZhPbw/uKj+LcT1mn&#10;r8DsNwAAAP//AwBQSwMEFAAGAAgAAAAhAPLlzjPeAAAACwEAAA8AAABkcnMvZG93bnJldi54bWxM&#10;j8FOwzAMhu9IvENkJC6Ipam6spWmEyrwAAwkrllr2mqNU5J0694ec4Kj7U+/v7/cLXYUJ/RhcKRB&#10;rRIQSI1rB+o0fLy/3m9AhGioNaMj1HDBALvq+qo0RevO9IanfewEh1AojIY+xqmQMjQ9WhNWbkLi&#10;25fz1kQefSdbb84cbkeZJkkurRmIP/RmwrrH5rifrYbn7PKp7mZ6WefhOH0HXyuf1lrf3ixPjyAi&#10;LvEPhl99VoeKnQ5upjaIUUO2VltGNWxU9gCCiTxNud2BN9tMgaxK+b9D9QMAAP//AwBQSwECLQAU&#10;AAYACAAAACEAtoM4kv4AAADhAQAAEwAAAAAAAAAAAAAAAAAAAAAAW0NvbnRlbnRfVHlwZXNdLnht&#10;bFBLAQItABQABgAIAAAAIQA4/SH/1gAAAJQBAAALAAAAAAAAAAAAAAAAAC8BAABfcmVscy8ucmVs&#10;c1BLAQItABQABgAIAAAAIQDy5J6TJQIAAE0EAAAOAAAAAAAAAAAAAAAAAC4CAABkcnMvZTJvRG9j&#10;LnhtbFBLAQItABQABgAIAAAAIQDy5c4z3gAAAAsBAAAPAAAAAAAAAAAAAAAAAH8EAABkcnMvZG93&#10;bnJldi54bWxQSwUGAAAAAAQABADzAAAAigUAAAAA&#10;" filled="f" stroked="f" strokeweight=".5pt">
                <v:textbox inset="2mm,1mm,1mm,1mm">
                  <w:txbxContent>
                    <w:p w14:paraId="396A7E7F" w14:textId="404AFB66" w:rsidR="00DC6857" w:rsidRPr="00574306" w:rsidRDefault="001C46FA" w:rsidP="00DC6857">
                      <w:pPr>
                        <w:tabs>
                          <w:tab w:val="left" w:pos="4820"/>
                        </w:tabs>
                        <w:spacing w:after="0"/>
                        <w:rPr>
                          <w:rFonts w:ascii="Segoe UI Light" w:hAnsi="Segoe UI Light" w:cs="Segoe UI Light"/>
                          <w:b/>
                          <w:bCs/>
                          <w:color w:val="FFFFFF" w:themeColor="background1"/>
                          <w:sz w:val="16"/>
                          <w:szCs w:val="16"/>
                        </w:rPr>
                      </w:pPr>
                      <w:r w:rsidRPr="001C46FA">
                        <w:rPr>
                          <w:rFonts w:ascii="Segoe UI Light" w:hAnsi="Segoe UI Light" w:cs="Segoe UI Light"/>
                          <w:b/>
                          <w:bCs/>
                          <w:color w:val="FFFFFF" w:themeColor="background1"/>
                          <w:sz w:val="16"/>
                          <w:szCs w:val="16"/>
                        </w:rPr>
                        <w:t>Operācijas ar nekustamo īpašumu</w:t>
                      </w:r>
                    </w:p>
                  </w:txbxContent>
                </v:textbox>
              </v:shape>
            </w:pict>
          </mc:Fallback>
        </mc:AlternateContent>
      </w:r>
      <w:r w:rsidR="00C730AB" w:rsidRPr="001037E7">
        <w:rPr>
          <w:rFonts w:ascii="Candara" w:hAnsi="Candara"/>
          <w:noProof/>
          <w:sz w:val="14"/>
          <w:szCs w:val="14"/>
          <w:lang w:val="en-US"/>
        </w:rPr>
        <mc:AlternateContent>
          <mc:Choice Requires="wps">
            <w:drawing>
              <wp:anchor distT="0" distB="0" distL="114300" distR="114300" simplePos="0" relativeHeight="251658428" behindDoc="0" locked="0" layoutInCell="1" allowOverlap="1" wp14:anchorId="2A578778" wp14:editId="2D87AFDC">
                <wp:simplePos x="0" y="0"/>
                <wp:positionH relativeFrom="page">
                  <wp:posOffset>3532154</wp:posOffset>
                </wp:positionH>
                <wp:positionV relativeFrom="paragraph">
                  <wp:posOffset>6818482</wp:posOffset>
                </wp:positionV>
                <wp:extent cx="398297" cy="241923"/>
                <wp:effectExtent l="0" t="0" r="1905" b="6350"/>
                <wp:wrapNone/>
                <wp:docPr id="18921029" name="Text Box 1892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297" cy="241923"/>
                        </a:xfrm>
                        <a:prstGeom prst="rect">
                          <a:avLst/>
                        </a:prstGeom>
                        <a:noFill/>
                        <a:ln w="6350">
                          <a:noFill/>
                        </a:ln>
                      </wps:spPr>
                      <wps:txbx>
                        <w:txbxContent>
                          <w:p w14:paraId="72D7BA7D" w14:textId="5F3D0304" w:rsidR="00DC6857" w:rsidRPr="0080669C" w:rsidRDefault="00004CD8"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N79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78778" id="Text Box 18921029" o:spid="_x0000_s1121" type="#_x0000_t202" style="position:absolute;left:0;text-align:left;margin-left:278.1pt;margin-top:536.9pt;width:31.35pt;height:19.05pt;z-index:2516584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1rGJgIAAEwEAAAOAAAAZHJzL2Uyb0RvYy54bWysVF1v2yAUfZ+0/4B4X+wka9ZYcaqsVaZJ&#10;UVsprfqMMcTWMJcBiZ39+l2w86FuT9NeMJd7uR/nHLy46xpFDsK6GnROx6OUEqE5lLXe5fT1Zf3p&#10;lhLnmS6ZAi1yehSO3i0/fli0JhMTqECVwhJMol3WmpxW3pssSRyvRMPcCIzQ6JRgG+bRtLuktKzF&#10;7I1KJmk6S1qwpbHAhXN4+tA76TLml1Jw/ySlE56onGJvPq42rkVYk+WCZTvLTFXzoQ32D100rNZY&#10;9JzqgXlG9rb+I1VTcwsOpB9xaBKQsuYizoDTjNN302wrZkScBcFx5gyT+39p+eNha54t8d1X6JDA&#10;OIQzG+A/HGKTtMZlQ0zA1GUOo8OgnbRN+OIIBC8itscznqLzhOPhdH47mX+hhKNr8nk8n0wD3snl&#10;srHOfxPQkLDJqUW6YgPssHG+Dz2FhFoa1rVSkTKlSZvT2fQmjRfOHkyu9NB332po2ndFR+oyp/Ob&#10;0EE4KqA84twWekk4w9c1NrFhzj8zixrAiVDX/gkXqQCLwbCjpAL762/nIR6pQS8lLWoqp+7nnllB&#10;ifqukbTpLE2DCK8Ne20U14beN/eAsh3jCzI8bvGy9eq0lRaaN5T/KlRFF9Mca+e0OG3vfa90fD5c&#10;rFYxCGVnmN/oreEnugPEL90bs2bgwSOBj3BSH8ve0dHH9oSs9h5kHbm6oDrgj5KNbA/PK7yJaztG&#10;XX4Cy98AAAD//wMAUEsDBBQABgAIAAAAIQB05tST4QAAAA0BAAAPAAAAZHJzL2Rvd25yZXYueG1s&#10;TI9BT8MwDIXvSPyHyEhcJpauaGUrTaeBxAUJIcYOHNPGayMap2qytvv3mBP4Zr+n5+8Vu9l1YsQh&#10;WE8KVssEBFLtjaVGwfHz5W4DIkRNRneeUMEFA+zK66tC58ZP9IHjITaCQyjkWkEbY59LGeoWnQ5L&#10;3yOxdvKD05HXoZFm0BOHu06mSZJJpy3xh1b3+Nxi/X04OwXvafZl6XSczGKs7OLp8kb716jU7c28&#10;fwQRcY5/ZvjFZ3QomanyZzJBdArW6yxlKwvJwz2XYEu22mxBVHzi2YIsC/m/RfkDAAD//wMAUEsB&#10;Ai0AFAAGAAgAAAAhALaDOJL+AAAA4QEAABMAAAAAAAAAAAAAAAAAAAAAAFtDb250ZW50X1R5cGVz&#10;XS54bWxQSwECLQAUAAYACAAAACEAOP0h/9YAAACUAQAACwAAAAAAAAAAAAAAAAAvAQAAX3JlbHMv&#10;LnJlbHNQSwECLQAUAAYACAAAACEAgsdaxiYCAABMBAAADgAAAAAAAAAAAAAAAAAuAgAAZHJzL2Uy&#10;b0RvYy54bWxQSwECLQAUAAYACAAAACEAdObUk+EAAAANAQAADwAAAAAAAAAAAAAAAACABAAAZHJz&#10;L2Rvd25yZXYueG1sUEsFBgAAAAAEAAQA8wAAAI4FAAAAAA==&#10;" filled="f" stroked="f" strokeweight=".5pt">
                <v:textbox inset="1mm,1mm,1mm,1mm">
                  <w:txbxContent>
                    <w:p w14:paraId="72D7BA7D" w14:textId="5F3D0304" w:rsidR="00DC6857" w:rsidRPr="0080669C" w:rsidRDefault="00004CD8"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N79</w:t>
                      </w:r>
                    </w:p>
                  </w:txbxContent>
                </v:textbox>
                <w10:wrap anchorx="page"/>
              </v:shape>
            </w:pict>
          </mc:Fallback>
        </mc:AlternateContent>
      </w:r>
      <w:r w:rsidR="00C730AB" w:rsidRPr="001037E7">
        <w:rPr>
          <w:rFonts w:ascii="Candara" w:hAnsi="Candara"/>
          <w:noProof/>
          <w:sz w:val="14"/>
          <w:szCs w:val="14"/>
          <w:lang w:val="en-US"/>
        </w:rPr>
        <mc:AlternateContent>
          <mc:Choice Requires="wps">
            <w:drawing>
              <wp:anchor distT="0" distB="0" distL="114300" distR="114300" simplePos="0" relativeHeight="251658417" behindDoc="0" locked="0" layoutInCell="1" allowOverlap="1" wp14:anchorId="60C12FF3" wp14:editId="28F02D08">
                <wp:simplePos x="0" y="0"/>
                <wp:positionH relativeFrom="page">
                  <wp:posOffset>3520643</wp:posOffset>
                </wp:positionH>
                <wp:positionV relativeFrom="paragraph">
                  <wp:posOffset>6481020</wp:posOffset>
                </wp:positionV>
                <wp:extent cx="360000" cy="359410"/>
                <wp:effectExtent l="0" t="0" r="2540" b="254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56BC91CC" w14:textId="7E7BD6FE" w:rsidR="00DC6857" w:rsidRDefault="00C730AB"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N82</w:t>
                            </w:r>
                          </w:p>
                          <w:p w14:paraId="76AF76CA" w14:textId="4BBAF60D" w:rsidR="00C730AB" w:rsidRPr="0080669C" w:rsidRDefault="00C730AB"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12FF3" id="Text Box 173" o:spid="_x0000_s1122" type="#_x0000_t202" style="position:absolute;left:0;text-align:left;margin-left:277.2pt;margin-top:510.3pt;width:28.35pt;height:28.3pt;z-index:2516584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fWtIwIAAEwEAAAOAAAAZHJzL2Uyb0RvYy54bWysVMtu2zAQvBfoPxC815LjxmgEy4GbwEUB&#10;IwngBDnTFGkJpbjskraUfn2XtPxA2lNRH2gud7mPmaFmt31r2F6hb8CWfDzKOVNWQtXYbclfnpef&#10;vnDmg7CVMGBVyd+U57fzjx9mnSvUFdRgKoWMklhfdK7kdQiuyDIva9UKPwKnLDk1YCsCmbjNKhQd&#10;ZW9NdpXn06wDrByCVN7T6f3Byecpv9ZKhketvQrMlJx6C2nFtG7ims1notiicHUjhzbEP3TRisZS&#10;0VOqexEE22HzR6q2kQgedBhJaDPQupEqzUDTjPN306xr4VSahcDx7gST/39p5cN+7Z6Qhf4r9ERg&#10;GsK7FcgfnrDJOueLISZi6gtP0XHQXmMb/2kERhcJ27cTnqoPTNLhZJrTjzNJrsn1zedxwjs7X3bo&#10;wzcFLYubkiPRlRoQ+5UPsbwojiGxloVlY0yizFjWlXw6uc7ThZOHbhg79H1oNTYd+k3PmqrkN9PI&#10;eDzaQPVGcyMcJOGdXDbUxEr48CSQNEB9k67DIy3aABWDYcdZDfjrb+cxnqghL2cdaark/udOoOLM&#10;fLdEWsKDRHhp4KWxuTTsrr0Dku2YXpCTaUs9YTDHrUZoX0n+i1iVXMJKql3yzXF7Fw5Kp+cj1WKR&#10;gkh2ToSVXTt5pDtC/Ny/CnQDD4EIfICj+kTxjo5D7IGQxS6AbhJXZ1QH/EmyicLhecU3cWmnqPNH&#10;YP4bAAD//wMAUEsDBBQABgAIAAAAIQC0vFU+4gAAAA0BAAAPAAAAZHJzL2Rvd25yZXYueG1sTI/B&#10;TsMwDIbvSLxDZCQuE0tabd1Umk4DiQsSQowddkybrI1onKrJ2u7t8U5wtP9Pvz8Xu9l1bDRDsB4l&#10;JEsBzGDttcVGwvH77WkLLESFWnUejYSrCbAr7+8KlWs/4ZcZD7FhVIIhVxLaGPuc81C3xqmw9L1B&#10;ys5+cCrSODRcD2qictfxVIiMO2WRLrSqN6+tqX8OFyfhM81OFs/HSS/Gyi5erh+4f49SPj7M+2dg&#10;0czxD4abPqlDSU6Vv6AOrJOwXq9WhFIgUpEBIyRLkgRYdVttNinwsuD/vyh/AQAA//8DAFBLAQIt&#10;ABQABgAIAAAAIQC2gziS/gAAAOEBAAATAAAAAAAAAAAAAAAAAAAAAABbQ29udGVudF9UeXBlc10u&#10;eG1sUEsBAi0AFAAGAAgAAAAhADj9If/WAAAAlAEAAAsAAAAAAAAAAAAAAAAALwEAAF9yZWxzLy5y&#10;ZWxzUEsBAi0AFAAGAAgAAAAhAHmJ9a0jAgAATAQAAA4AAAAAAAAAAAAAAAAALgIAAGRycy9lMm9E&#10;b2MueG1sUEsBAi0AFAAGAAgAAAAhALS8VT7iAAAADQEAAA8AAAAAAAAAAAAAAAAAfQQAAGRycy9k&#10;b3ducmV2LnhtbFBLBQYAAAAABAAEAPMAAACMBQAAAAA=&#10;" filled="f" stroked="f" strokeweight=".5pt">
                <v:textbox inset="1mm,1mm,1mm,1mm">
                  <w:txbxContent>
                    <w:p w14:paraId="56BC91CC" w14:textId="7E7BD6FE" w:rsidR="00DC6857" w:rsidRDefault="00C730AB"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N82</w:t>
                      </w:r>
                    </w:p>
                    <w:p w14:paraId="76AF76CA" w14:textId="4BBAF60D" w:rsidR="00C730AB" w:rsidRPr="0080669C" w:rsidRDefault="00C730AB"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p>
                  </w:txbxContent>
                </v:textbox>
                <w10:wrap anchorx="page"/>
              </v:shape>
            </w:pict>
          </mc:Fallback>
        </mc:AlternateContent>
      </w:r>
      <w:r w:rsidR="00882D3E" w:rsidRPr="001037E7">
        <w:rPr>
          <w:rFonts w:ascii="Candara" w:hAnsi="Candara"/>
          <w:noProof/>
          <w:sz w:val="14"/>
          <w:szCs w:val="14"/>
          <w:lang w:val="en-US"/>
        </w:rPr>
        <mc:AlternateContent>
          <mc:Choice Requires="wps">
            <w:drawing>
              <wp:anchor distT="0" distB="0" distL="114300" distR="114300" simplePos="0" relativeHeight="251658418" behindDoc="0" locked="0" layoutInCell="1" allowOverlap="1" wp14:anchorId="19B8FC97" wp14:editId="4E6427BC">
                <wp:simplePos x="0" y="0"/>
                <wp:positionH relativeFrom="column">
                  <wp:posOffset>2143756</wp:posOffset>
                </wp:positionH>
                <wp:positionV relativeFrom="paragraph">
                  <wp:posOffset>6724650</wp:posOffset>
                </wp:positionV>
                <wp:extent cx="307239" cy="336499"/>
                <wp:effectExtent l="0" t="0" r="0" b="698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239" cy="336499"/>
                        </a:xfrm>
                        <a:prstGeom prst="rect">
                          <a:avLst/>
                        </a:prstGeom>
                        <a:noFill/>
                        <a:ln w="6350">
                          <a:noFill/>
                        </a:ln>
                      </wps:spPr>
                      <wps:txbx>
                        <w:txbxContent>
                          <w:p w14:paraId="705D4B07" w14:textId="3B30026B" w:rsidR="00DC6857" w:rsidRDefault="00882D3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N77</w:t>
                            </w:r>
                          </w:p>
                          <w:p w14:paraId="24F673F5" w14:textId="68D7822A" w:rsidR="00DC6857" w:rsidRPr="0080669C" w:rsidRDefault="00882D3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8FC97" id="Text Box 175" o:spid="_x0000_s1123" type="#_x0000_t202" style="position:absolute;left:0;text-align:left;margin-left:168.8pt;margin-top:529.5pt;width:24.2pt;height:26.5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puJQIAAEwEAAAOAAAAZHJzL2Uyb0RvYy54bWysVF1v2yAUfZ+0/4B4X+zEW7pYcaqsVaZJ&#10;UVspnfpMMMTWMJcBiZ39+l2w86G2T9NeMJd7uR/nHDy/7RpFDsK6GnRBx6OUEqE5lLXeFfTn8+rT&#10;V0qcZ7pkCrQo6FE4erv4+GHemlxMoAJVCkswiXZ5awpaeW/yJHG8Eg1zIzBCo1OCbZhH0+6S0rIW&#10;szcqmaTpNGnBlsYCF87h6X3vpIuYX0rB/aOUTniiCoq9+bjauG7DmizmLN9ZZqqaD22wf+iiYbXG&#10;oudU98wzsrf1m1RNzS04kH7EoUlAypqLOANOM05fTbOpmBFxFgTHmTNM7v+l5Q+HjXmyxHffoEMC&#10;4xDOrIH/cohN0hqXDzEBU5c7jA6DdtI24YsjELyI2B7PeIrOE46HWXozyWaUcHRl2fTzbBbwTi6X&#10;jXX+u4CGhE1BLdIVG2CHtfN96Ckk1NKwqpWKlClN2oJOsy9pvHD2YHKlh777VkPTvtt2pC4LOrsJ&#10;HYSjLZRHnNtCLwln+KrGJtbM+SdmUQM4EeraP+IiFWAxGHaUVGD/vHce4pEa9FLSoqYK6n7vmRWU&#10;qB8aScumaRpEeG3Ya2N7beh9cwco2zG+IMPjFi9br05baaF5QfkvQ1V0Mc2xdkG3p+2d75WOz4eL&#10;5TIGoewM82u9MfxEd4D4uXth1gw8eCTwAU7qY/krOvrYnpDl3oOsI1cXVAf8UbKR7eF5hTdxbceo&#10;y09g8RcAAP//AwBQSwMEFAAGAAgAAAAhAOOwx9fiAAAADQEAAA8AAABkcnMvZG93bnJldi54bWxM&#10;j8FOwzAQRO9I/IO1SFwqaicRoYQ4VUHigoQqSg8cndhNLOJ1FLtJ+vcsJ7jt7oxm35TbxfVsMmOw&#10;HiUkawHMYOO1xVbC8fP1bgMsRIVa9R6NhIsJsK2ur0pVaD/jh5kOsWUUgqFQEroYh4Lz0HTGqbD2&#10;g0HSTn50KtI6tlyPaqZw1/NUiJw7ZZE+dGowL51pvg9nJ2Gf5l8WT8dZr6barp4v77h7i1Le3iy7&#10;J2DRLPHPDL/4hA4VMdX+jDqwXkKWPeRkJUHcP1IrsmSbnIaaTkmSCuBVyf+3qH4AAAD//wMAUEsB&#10;Ai0AFAAGAAgAAAAhALaDOJL+AAAA4QEAABMAAAAAAAAAAAAAAAAAAAAAAFtDb250ZW50X1R5cGVz&#10;XS54bWxQSwECLQAUAAYACAAAACEAOP0h/9YAAACUAQAACwAAAAAAAAAAAAAAAAAvAQAAX3JlbHMv&#10;LnJlbHNQSwECLQAUAAYACAAAACEATgU6biUCAABMBAAADgAAAAAAAAAAAAAAAAAuAgAAZHJzL2Uy&#10;b0RvYy54bWxQSwECLQAUAAYACAAAACEA47DH1+IAAAANAQAADwAAAAAAAAAAAAAAAAB/BAAAZHJz&#10;L2Rvd25yZXYueG1sUEsFBgAAAAAEAAQA8wAAAI4FAAAAAA==&#10;" filled="f" stroked="f" strokeweight=".5pt">
                <v:textbox inset="1mm,1mm,1mm,1mm">
                  <w:txbxContent>
                    <w:p w14:paraId="705D4B07" w14:textId="3B30026B" w:rsidR="00DC6857" w:rsidRDefault="00882D3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N77</w:t>
                      </w:r>
                    </w:p>
                    <w:p w14:paraId="24F673F5" w14:textId="68D7822A" w:rsidR="00DC6857" w:rsidRPr="0080669C" w:rsidRDefault="00882D3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p>
                  </w:txbxContent>
                </v:textbox>
              </v:shape>
            </w:pict>
          </mc:Fallback>
        </mc:AlternateContent>
      </w:r>
      <w:r w:rsidR="00882D3E" w:rsidRPr="001037E7">
        <w:rPr>
          <w:rFonts w:ascii="Candara" w:hAnsi="Candara"/>
          <w:noProof/>
          <w:sz w:val="14"/>
          <w:szCs w:val="14"/>
          <w:lang w:val="en-US"/>
        </w:rPr>
        <mc:AlternateContent>
          <mc:Choice Requires="wps">
            <w:drawing>
              <wp:anchor distT="0" distB="0" distL="114300" distR="114300" simplePos="0" relativeHeight="251658416" behindDoc="0" locked="0" layoutInCell="1" allowOverlap="1" wp14:anchorId="00AD8C27" wp14:editId="61AF4B1B">
                <wp:simplePos x="0" y="0"/>
                <wp:positionH relativeFrom="column">
                  <wp:posOffset>1707936</wp:posOffset>
                </wp:positionH>
                <wp:positionV relativeFrom="paragraph">
                  <wp:posOffset>6687201</wp:posOffset>
                </wp:positionV>
                <wp:extent cx="360000" cy="359410"/>
                <wp:effectExtent l="0" t="0" r="2540" b="254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14264AA7" w14:textId="2D288ABB" w:rsidR="00DC6857" w:rsidRDefault="00882D3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N78</w:t>
                            </w:r>
                          </w:p>
                          <w:p w14:paraId="61164EA5" w14:textId="1D7D47A8" w:rsidR="00DC6857" w:rsidRPr="0080669C" w:rsidRDefault="00882D3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D8C27" id="Text Box 172" o:spid="_x0000_s1124" type="#_x0000_t202" style="position:absolute;left:0;text-align:left;margin-left:134.5pt;margin-top:526.55pt;width:28.35pt;height:28.3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8jJAIAAEwEAAAOAAAAZHJzL2Uyb0RvYy54bWysVMtu2zAQvBfoPxC815LjxkgEy4GbwEUB&#10;IwngFDnTFGkJpbjskraUfn2XtPxA2lNRH2gud7mPmaFmd31r2F6hb8CWfDzKOVNWQtXYbcm/vyw/&#10;3XDmg7CVMGBVyd+U53fzjx9mnSvUFdRgKoWMklhfdK7kdQiuyDIva9UKPwKnLDk1YCsCmbjNKhQd&#10;ZW9NdpXn06wDrByCVN7T6cPByecpv9ZKhietvQrMlJx6C2nFtG7ims1notiicHUjhzbEP3TRisZS&#10;0VOqBxEE22HzR6q2kQgedBhJaDPQupEqzUDTjPN306xr4VSahcDx7gST/39p5eN+7Z6Rhf4L9ERg&#10;GsK7FcgfnrDJOueLISZi6gtP0XHQXmMb/2kERhcJ27cTnqoPTNLhZJrTjzNJrsn17edxwjs7X3bo&#10;w1cFLYubkiPRlRoQ+5UPsbwojiGxloVlY0yizFjWlXw6uc7ThZOHbhg79H1oNTYd+k3PmqrktzeR&#10;8Xi0geqN5kY4SMI7uWyoiZXw4VkgaYD6Jl2HJ1q0ASoGw46zGvDX385jPFFDXs460lTJ/c+dQMWZ&#10;+WaJtIQHifDSwEtjc2nYXXsPJNsxvSAn05Z6wmCOW43QvpL8F7EquYSVVLvkm+P2PhyUTs9HqsUi&#10;BZHsnAgru3bySHeE+KV/FegGHgIR+AhH9YniHR2H2AMhi10A3SSuzqgO+JNkE4XD84pv4tJOUeeP&#10;wPw3AAAA//8DAFBLAwQUAAYACAAAACEAoUsOb+MAAAANAQAADwAAAGRycy9kb3ducmV2LnhtbEyP&#10;wU7DMBBE70j8g7VIXCpqJ1VTGuJUBYkLEqooPXB0YjexiNdR7Cbp37Oc4Lgzo9k3xW52HRvNEKxH&#10;CclSADNYe22xkXD6fH14BBaiQq06j0bC1QTYlbc3hcq1n/DDjMfYMCrBkCsJbYx9znmoW+NUWPre&#10;IHlnPzgV6Rwargc1UbnreCpExp2ySB9a1ZuX1tTfx4uTcEizL4vn06QXY2UXz9d33L9FKe/v5v0T&#10;sGjm+BeGX3xCh5KYKn9BHVgnIc22tCWSIdarBBhFVul6A6wiKRHbDfCy4P9XlD8AAAD//wMAUEsB&#10;Ai0AFAAGAAgAAAAhALaDOJL+AAAA4QEAABMAAAAAAAAAAAAAAAAAAAAAAFtDb250ZW50X1R5cGVz&#10;XS54bWxQSwECLQAUAAYACAAAACEAOP0h/9YAAACUAQAACwAAAAAAAAAAAAAAAAAvAQAAX3JlbHMv&#10;LnJlbHNQSwECLQAUAAYACAAAACEABaIPIyQCAABMBAAADgAAAAAAAAAAAAAAAAAuAgAAZHJzL2Uy&#10;b0RvYy54bWxQSwECLQAUAAYACAAAACEAoUsOb+MAAAANAQAADwAAAAAAAAAAAAAAAAB+BAAAZHJz&#10;L2Rvd25yZXYueG1sUEsFBgAAAAAEAAQA8wAAAI4FAAAAAA==&#10;" filled="f" stroked="f" strokeweight=".5pt">
                <v:textbox inset="1mm,1mm,1mm,1mm">
                  <w:txbxContent>
                    <w:p w14:paraId="14264AA7" w14:textId="2D288ABB" w:rsidR="00DC6857" w:rsidRDefault="00882D3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N78</w:t>
                      </w:r>
                    </w:p>
                    <w:p w14:paraId="61164EA5" w14:textId="1D7D47A8" w:rsidR="00DC6857" w:rsidRPr="0080669C" w:rsidRDefault="00882D3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v:textbox>
              </v:shape>
            </w:pict>
          </mc:Fallback>
        </mc:AlternateContent>
      </w:r>
      <w:r w:rsidR="001B6038" w:rsidRPr="001037E7">
        <w:rPr>
          <w:rFonts w:ascii="Candara" w:hAnsi="Candara"/>
          <w:noProof/>
          <w:sz w:val="14"/>
          <w:szCs w:val="14"/>
          <w:lang w:val="en-US"/>
        </w:rPr>
        <mc:AlternateContent>
          <mc:Choice Requires="wps">
            <w:drawing>
              <wp:anchor distT="0" distB="0" distL="114300" distR="114300" simplePos="0" relativeHeight="251658375" behindDoc="0" locked="0" layoutInCell="1" allowOverlap="1" wp14:anchorId="3B294E7F" wp14:editId="0DC65667">
                <wp:simplePos x="0" y="0"/>
                <wp:positionH relativeFrom="column">
                  <wp:posOffset>2268258</wp:posOffset>
                </wp:positionH>
                <wp:positionV relativeFrom="paragraph">
                  <wp:posOffset>5933008</wp:posOffset>
                </wp:positionV>
                <wp:extent cx="583420" cy="361564"/>
                <wp:effectExtent l="0" t="3493" r="4128" b="4127"/>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583420" cy="361564"/>
                        </a:xfrm>
                        <a:prstGeom prst="rect">
                          <a:avLst/>
                        </a:prstGeom>
                        <a:noFill/>
                        <a:ln w="6350">
                          <a:noFill/>
                        </a:ln>
                      </wps:spPr>
                      <wps:txbx>
                        <w:txbxContent>
                          <w:p w14:paraId="192B595A" w14:textId="4F61E860" w:rsidR="00DC6857" w:rsidRDefault="001B6038"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Apsardze</w:t>
                            </w:r>
                          </w:p>
                          <w:p w14:paraId="2778A2AA" w14:textId="5C89C273" w:rsidR="001B6038" w:rsidRPr="0080669C" w:rsidRDefault="001F3F60"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1,0%</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94E7F" id="Text Box 171" o:spid="_x0000_s1125" type="#_x0000_t202" style="position:absolute;left:0;text-align:left;margin-left:178.6pt;margin-top:467.15pt;width:45.95pt;height:28.45pt;rotation:-90;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bRfLAIAAFsEAAAOAAAAZHJzL2Uyb0RvYy54bWysVMtu2zAQvBfoPxC81/IjFhLBcuAmcFHA&#10;SAI4Qc40RVpEKS5L0pbSr++Skh0j7amoD8S+NNydWXpx2zWaHIXzCkxJJ6MxJcJwqJTZl/Tlef3l&#10;mhIfmKmYBiNK+iY8vV1+/rRobSGmUIOuhCMIYnzR2pLWIdgiyzyvRcP8CKwwmJTgGhbQdfuscqxF&#10;9EZn0/E4z1pwlXXAhfcYve+TdJnwpRQ8PErpRSC6pNhbSKdL5y6e2XLBir1jtlZ8aIP9QxcNUwYv&#10;PUPds8DIwak/oBrFHXiQYcShyUBKxUWaAaeZjD9Ms62ZFWkWJMfbM03+/8Hyh+PWPjkSuq/QoYBp&#10;CG83wH945CZrrS+GmsipLzxWx0E76RriAAmd5CgE/tKnOBFBHKT67Uyv6ALhGJxfz66mmOGYmuWT&#10;eX4V6c96rIhpnQ/fBDQkGiV1qF4CZceND33pqSSWG1grrZOC2pC2pPls3ndxziC4NsMYfedxhtDt&#10;OqKqkt7cxA5iaAfVG9KQBsIWveVrhU1smA9PzOFKYBDXPDziITXgZTBYlNTgfv0tHutRKcxS0uKK&#10;ldT/PDAnKNHfDWo4yyNrJFw67tLZXTrm0NwBbvEkdZdM/NgFfTKlg+YVX8Mq3oopZjjeXdLdybwL&#10;/eLja+JitUpFuIWWhY3ZWn5SP1L83L0yZwcdAgr4AKdlZMUHOfraXpDVIYBUSat3Vgf+cYOT2sNr&#10;i0/k0k9V7/8Jy98AAAD//wMAUEsDBBQABgAIAAAAIQAOPfDl4gAAAAwBAAAPAAAAZHJzL2Rvd25y&#10;ZXYueG1sTI/LTsMwEEX3SPyDNUjsqJ20SkKIU1W8NqhIFCKxdGMTR8TjELtt+HuGFSxHc3TvudV6&#10;dgM7min0HiUkCwHMYOt1j52Et9eHqwJYiAq1GjwaCd8mwLo+P6tUqf0JX8xxFztGIRhKJcHGOJac&#10;h9Yap8LCjwbp9+EnpyKdU8f1pE4U7gaeCpFxp3qkBqtGc2tN+7k7OAmpc0X6tX1srXgP6v75rmk2&#10;T42Ulxfz5gZYNHP8g+FXn9ShJqe9P6AObJCwzFc5oRKuk4w2ELFaJhmwPaFCFDnwuuL/R9Q/AAAA&#10;//8DAFBLAQItABQABgAIAAAAIQC2gziS/gAAAOEBAAATAAAAAAAAAAAAAAAAAAAAAABbQ29udGVu&#10;dF9UeXBlc10ueG1sUEsBAi0AFAAGAAgAAAAhADj9If/WAAAAlAEAAAsAAAAAAAAAAAAAAAAALwEA&#10;AF9yZWxzLy5yZWxzUEsBAi0AFAAGAAgAAAAhADxptF8sAgAAWwQAAA4AAAAAAAAAAAAAAAAALgIA&#10;AGRycy9lMm9Eb2MueG1sUEsBAi0AFAAGAAgAAAAhAA498OXiAAAADAEAAA8AAAAAAAAAAAAAAAAA&#10;hgQAAGRycy9kb3ducmV2LnhtbFBLBQYAAAAABAAEAPMAAACVBQAAAAA=&#10;" filled="f" stroked="f" strokeweight=".5pt">
                <v:textbox inset="1mm,1mm,1mm,1mm">
                  <w:txbxContent>
                    <w:p w14:paraId="192B595A" w14:textId="4F61E860" w:rsidR="00DC6857" w:rsidRDefault="001B6038"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Apsardze</w:t>
                      </w:r>
                    </w:p>
                    <w:p w14:paraId="2778A2AA" w14:textId="5C89C273" w:rsidR="001B6038" w:rsidRPr="0080669C" w:rsidRDefault="001F3F60"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1,0%</w:t>
                      </w:r>
                    </w:p>
                  </w:txbxContent>
                </v:textbox>
              </v:shape>
            </w:pict>
          </mc:Fallback>
        </mc:AlternateContent>
      </w:r>
      <w:r w:rsidR="006306F2" w:rsidRPr="001037E7">
        <w:rPr>
          <w:rFonts w:ascii="Candara" w:hAnsi="Candara"/>
          <w:noProof/>
          <w:sz w:val="14"/>
          <w:szCs w:val="14"/>
          <w:lang w:val="en-US"/>
        </w:rPr>
        <mc:AlternateContent>
          <mc:Choice Requires="wps">
            <w:drawing>
              <wp:anchor distT="0" distB="0" distL="114300" distR="114300" simplePos="0" relativeHeight="251658374" behindDoc="0" locked="0" layoutInCell="1" allowOverlap="1" wp14:anchorId="546DCC49" wp14:editId="211FD5DF">
                <wp:simplePos x="0" y="0"/>
                <wp:positionH relativeFrom="column">
                  <wp:posOffset>1700632</wp:posOffset>
                </wp:positionH>
                <wp:positionV relativeFrom="paragraph">
                  <wp:posOffset>6046886</wp:posOffset>
                </wp:positionV>
                <wp:extent cx="360000" cy="359410"/>
                <wp:effectExtent l="0" t="0" r="2540" b="254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04F5924F" w14:textId="486E170A" w:rsidR="00DC6857" w:rsidRDefault="00D7410C"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N81</w:t>
                            </w:r>
                          </w:p>
                          <w:p w14:paraId="60EA8120" w14:textId="1835E197" w:rsidR="00DC6857" w:rsidRPr="0080669C" w:rsidRDefault="00D7410C"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DCC49" id="Text Box 169" o:spid="_x0000_s1126" type="#_x0000_t202" style="position:absolute;left:0;text-align:left;margin-left:133.9pt;margin-top:476.15pt;width:28.35pt;height:28.3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POIwIAAE0EAAAOAAAAZHJzL2Uyb0RvYy54bWysVE1v2zAMvQ/YfxB0X+w0a7AZcYqsRYYB&#10;QVsgHXpWZCk2JosapcTOfv0oxflAt9OwHBRKpMhHvifP7vrWsL1C34At+XiUc6ashKqx25J/f1l+&#10;+MSZD8JWwoBVJT8oz+/m79/NOleoG6jBVAoZJbG+6FzJ6xBckWVe1qoVfgROWXJqwFYE2uI2q1B0&#10;lL012U2eT7MOsHIIUnlPpw9HJ5+n/ForGZ609iowU3LCFtKKad3ENZvPRLFF4epGDjDEP6BoRWOp&#10;6DnVgwiC7bD5I1XbSAQPOowktBlo3UiVeqBuxvmbbta1cCr1QsPx7jwm///Sysf92j0jC/0X6InA&#10;1IR3K5A/PM0m65wvhpg4U194io6N9hrb+E8tMLpIsz2c56n6wCQdTqY5/TiT5Jrcfv44TvPOLpcd&#10;+vBVQcuiUXIkuhIAsV/5EMuL4hQSa1lYNsYkyoxlXcmnk9s8XTh76IaxA+4j1Ag69JueNRX1R3Do&#10;fjzbQHWgxhGOmvBOLhtCsRI+PAskERBwEnZ4okUboGowWJzVgL/+dh7jiRvyctaRqEruf+4EKs7M&#10;N0uspYGQCq83eL3ZXG/srr0H0u2YnpCTySRMGMzJ1AjtK+l/EauSS1hJtUu+OZn34Sh1ej9SLRYp&#10;iHTnRFjZtZMnvuOMX/pXgW4gIhCDj3CSnyje8HGMPTKy2AXQTSLrMtWBANJs4nB4X/FRXO9T1OUr&#10;MP8NAAD//wMAUEsDBBQABgAIAAAAIQAUIbOQ4wAAAAwBAAAPAAAAZHJzL2Rvd25yZXYueG1sTI/B&#10;TsMwEETvSPyDtUhcKmrj0rQNcaqCxAWpQrQ9cHTibRIRr6PYTdK/x5zguJqnmbfZdrItG7D3jSMF&#10;j3MBDKl0pqFKwen49rAG5oMmo1tHqOCKHrb57U2mU+NG+sThECoWS8inWkEdQpdy7ssarfZz1yHF&#10;7Ox6q0M8+4qbXo+x3LZcCpFwqxuKC7Xu8LXG8vtwsQo+ZPLV0Pk0mtlQNLOX655270Gp+7tp9wws&#10;4BT+YPjVj+qQR6fCXch41iqQySqqBwWbpVwAi8RCPi2BFREVYr0Bnmf8/xP5DwAAAP//AwBQSwEC&#10;LQAUAAYACAAAACEAtoM4kv4AAADhAQAAEwAAAAAAAAAAAAAAAAAAAAAAW0NvbnRlbnRfVHlwZXNd&#10;LnhtbFBLAQItABQABgAIAAAAIQA4/SH/1gAAAJQBAAALAAAAAAAAAAAAAAAAAC8BAABfcmVscy8u&#10;cmVsc1BLAQItABQABgAIAAAAIQAZrRPOIwIAAE0EAAAOAAAAAAAAAAAAAAAAAC4CAABkcnMvZTJv&#10;RG9jLnhtbFBLAQItABQABgAIAAAAIQAUIbOQ4wAAAAwBAAAPAAAAAAAAAAAAAAAAAH0EAABkcnMv&#10;ZG93bnJldi54bWxQSwUGAAAAAAQABADzAAAAjQUAAAAA&#10;" filled="f" stroked="f" strokeweight=".5pt">
                <v:textbox inset="1mm,1mm,1mm,1mm">
                  <w:txbxContent>
                    <w:p w14:paraId="04F5924F" w14:textId="486E170A" w:rsidR="00DC6857" w:rsidRDefault="00D7410C"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N81</w:t>
                      </w:r>
                    </w:p>
                    <w:p w14:paraId="60EA8120" w14:textId="1835E197" w:rsidR="00DC6857" w:rsidRPr="0080669C" w:rsidRDefault="00D7410C"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1,5%</w:t>
                      </w:r>
                    </w:p>
                  </w:txbxContent>
                </v:textbox>
              </v:shape>
            </w:pict>
          </mc:Fallback>
        </mc:AlternateContent>
      </w:r>
      <w:r w:rsidR="00FD12CE" w:rsidRPr="001037E7">
        <w:rPr>
          <w:rFonts w:ascii="Candara" w:hAnsi="Candara"/>
          <w:noProof/>
          <w:sz w:val="14"/>
          <w:szCs w:val="14"/>
          <w:lang w:val="en-US"/>
        </w:rPr>
        <mc:AlternateContent>
          <mc:Choice Requires="wps">
            <w:drawing>
              <wp:anchor distT="0" distB="0" distL="114300" distR="114300" simplePos="0" relativeHeight="251658435" behindDoc="0" locked="0" layoutInCell="1" allowOverlap="1" wp14:anchorId="01099FAC" wp14:editId="079EA7F2">
                <wp:simplePos x="0" y="0"/>
                <wp:positionH relativeFrom="margin">
                  <wp:align>right</wp:align>
                </wp:positionH>
                <wp:positionV relativeFrom="paragraph">
                  <wp:posOffset>4824524</wp:posOffset>
                </wp:positionV>
                <wp:extent cx="351129" cy="343814"/>
                <wp:effectExtent l="0" t="0" r="0" b="0"/>
                <wp:wrapNone/>
                <wp:docPr id="1945846484" name="Text Box 1945846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129" cy="343814"/>
                        </a:xfrm>
                        <a:prstGeom prst="rect">
                          <a:avLst/>
                        </a:prstGeom>
                        <a:noFill/>
                        <a:ln w="6350">
                          <a:noFill/>
                        </a:ln>
                      </wps:spPr>
                      <wps:txbx>
                        <w:txbxContent>
                          <w:p w14:paraId="56CFDB58" w14:textId="77777777" w:rsidR="00FD12CE" w:rsidRDefault="00FD12CE" w:rsidP="00DC6857">
                            <w:pPr>
                              <w:tabs>
                                <w:tab w:val="center" w:pos="1386"/>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I55</w:t>
                            </w:r>
                          </w:p>
                          <w:p w14:paraId="6DDDC17B" w14:textId="1149C9D0" w:rsidR="00DC6857" w:rsidRPr="00176803" w:rsidRDefault="00DE273F" w:rsidP="00DC6857">
                            <w:pPr>
                              <w:tabs>
                                <w:tab w:val="center" w:pos="1386"/>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99FAC" id="Text Box 1945846484" o:spid="_x0000_s1127" type="#_x0000_t202" style="position:absolute;left:0;text-align:left;margin-left:-23.55pt;margin-top:379.9pt;width:27.65pt;height:27.05pt;z-index:2516584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k5QJgIAAE0EAAAOAAAAZHJzL2Uyb0RvYy54bWysVE1v2zAMvQ/YfxB0X2wnbdAZcYqsRYYB&#10;QVsgHXqWZSk2JouapMTOfv0o2flAt9OwiyyKFMnH9+TFfd8qchDWNaALmk1SSoTmUDV6V9Dvr+tP&#10;d5Q4z3TFFGhR0KNw9H758cOiM7mYQg2qEpZgEu3yzhS09t7kSeJ4LVrmJmCERqcE2zKPpt0llWUd&#10;Zm9VMk3TedKBrYwFLpzD08fBSZcxv5SC+2cpnfBEFRR783G1cS3DmiwXLN9ZZuqGj22wf+iiZY3G&#10;oudUj8wzsrfNH6nahltwIP2EQ5uAlA0XEQOiydJ3aLY1MyJiweE4cx6T+39p+dNha14s8f0X6JHA&#10;CMKZDfAfDmeTdMblY0yYqcsdRgegvbRt+CIEghdxtsfzPEXvCcfD2W2WTT9TwtE1u5ndZTdh3snl&#10;srHOfxXQkrApqEW6YgPssHF+CD2FhFoa1o1SkTKlSVfQ+ew2jRfOHkyu9Nj30Gpo2vdlT5oK8aVZ&#10;aCGclVAdEbiFQRPO8HWDXWyY8y/MoggQEgrbP+MiFWA1GHeU1GB//e08xCM36KWkQ1EV1P3cMyso&#10;Ud80sjabp2lQ4bVhr43y2tD79gFQtxk+IcPjFi9br05baaF9Q/2vQlV0Mc2xdkHL0/bBD1LH98PF&#10;ahWDUHeG+Y3eGn7iO8z4tX9j1oxEeGTwCU7yY/k7PobYgZHV3oNsIlmXqY4EoGYj3eP7Co/i2o5R&#10;l7/A8jcAAAD//wMAUEsDBBQABgAIAAAAIQCk3aUe3wAAAAcBAAAPAAAAZHJzL2Rvd25yZXYueG1s&#10;TI9BS8NAFITvgv9heYKXYjdtSW1jXkoVvAhSrD143GS3yWL2bchuk/Tf+zzpcZhh5pt8N7lWDKYP&#10;1hPCYp6AMFR5balGOH2+PmxAhKhIq9aTQbiaALvi9iZXmfYjfZjhGGvBJRQyhdDE2GVShqoxToW5&#10;7wyxd/a9U5FlX0vdq5HLXSuXSbKWTlnihUZ15qUx1ffx4hAOy/WXpfNp1LOhtLPn6zvt3yLi/d20&#10;fwIRzRT/wvCLz+hQMFPpL6SDaBH4SER4TLd8gO00XYEoETaL1RZkkcv//MUPAAAA//8DAFBLAQIt&#10;ABQABgAIAAAAIQC2gziS/gAAAOEBAAATAAAAAAAAAAAAAAAAAAAAAABbQ29udGVudF9UeXBlc10u&#10;eG1sUEsBAi0AFAAGAAgAAAAhADj9If/WAAAAlAEAAAsAAAAAAAAAAAAAAAAALwEAAF9yZWxzLy5y&#10;ZWxzUEsBAi0AFAAGAAgAAAAhAD3eTlAmAgAATQQAAA4AAAAAAAAAAAAAAAAALgIAAGRycy9lMm9E&#10;b2MueG1sUEsBAi0AFAAGAAgAAAAhAKTdpR7fAAAABwEAAA8AAAAAAAAAAAAAAAAAgAQAAGRycy9k&#10;b3ducmV2LnhtbFBLBQYAAAAABAAEAPMAAACMBQAAAAA=&#10;" filled="f" stroked="f" strokeweight=".5pt">
                <v:textbox inset="1mm,1mm,1mm,1mm">
                  <w:txbxContent>
                    <w:p w14:paraId="56CFDB58" w14:textId="77777777" w:rsidR="00FD12CE" w:rsidRDefault="00FD12CE" w:rsidP="00DC6857">
                      <w:pPr>
                        <w:tabs>
                          <w:tab w:val="center" w:pos="1386"/>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I55</w:t>
                      </w:r>
                    </w:p>
                    <w:p w14:paraId="6DDDC17B" w14:textId="1149C9D0" w:rsidR="00DC6857" w:rsidRPr="00176803" w:rsidRDefault="00DE273F" w:rsidP="00DC6857">
                      <w:pPr>
                        <w:tabs>
                          <w:tab w:val="center" w:pos="1386"/>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0,7%</w:t>
                      </w:r>
                    </w:p>
                  </w:txbxContent>
                </v:textbox>
                <w10:wrap anchorx="margin"/>
              </v:shape>
            </w:pict>
          </mc:Fallback>
        </mc:AlternateContent>
      </w:r>
      <w:r w:rsidR="007B5FE6" w:rsidRPr="001037E7">
        <w:rPr>
          <w:rFonts w:ascii="Candara" w:hAnsi="Candara"/>
          <w:noProof/>
          <w:sz w:val="14"/>
          <w:szCs w:val="14"/>
          <w:lang w:val="en-US"/>
        </w:rPr>
        <mc:AlternateContent>
          <mc:Choice Requires="wps">
            <w:drawing>
              <wp:anchor distT="0" distB="0" distL="114300" distR="114300" simplePos="0" relativeHeight="251658434" behindDoc="0" locked="0" layoutInCell="1" allowOverlap="1" wp14:anchorId="4D90D0FF" wp14:editId="4D49823C">
                <wp:simplePos x="0" y="0"/>
                <wp:positionH relativeFrom="column">
                  <wp:posOffset>4025472</wp:posOffset>
                </wp:positionH>
                <wp:positionV relativeFrom="paragraph">
                  <wp:posOffset>4723547</wp:posOffset>
                </wp:positionV>
                <wp:extent cx="288000" cy="359410"/>
                <wp:effectExtent l="0" t="0" r="0" b="254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59410"/>
                        </a:xfrm>
                        <a:prstGeom prst="rect">
                          <a:avLst/>
                        </a:prstGeom>
                        <a:noFill/>
                        <a:ln w="6350">
                          <a:noFill/>
                        </a:ln>
                      </wps:spPr>
                      <wps:txbx>
                        <w:txbxContent>
                          <w:p w14:paraId="5707448B" w14:textId="16E5D55E" w:rsidR="00DC6857"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M72</w:t>
                            </w:r>
                          </w:p>
                          <w:p w14:paraId="0184ECA3" w14:textId="791A91A7" w:rsidR="00DC6857" w:rsidRPr="0080669C"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0D0FF" id="Text Box 168" o:spid="_x0000_s1128" type="#_x0000_t202" style="position:absolute;left:0;text-align:left;margin-left:316.95pt;margin-top:371.95pt;width:22.7pt;height:28.3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ZcJAIAAE0EAAAOAAAAZHJzL2Uyb0RvYy54bWysVF1v2yAUfZ+0/4B4X+wka9RacaqsVaZJ&#10;UVspnfpMMMTWgMuAxM5+/S7Y+VC3p2kvmMu93I9zDp7fd1qRg3C+AVPS8SinRBgOVWN2Jf3+uvp0&#10;S4kPzFRMgRElPQpP7xcfP8xbW4gJ1KAq4QgmMb5obUnrEGyRZZ7XQjM/AisMOiU4zQKabpdVjrWY&#10;XatskuezrAVXWQdceI+nj72TLlJ+KQUPz1J6EYgqKfYW0urSuo1rtpizYueYrRs+tMH+oQvNGoNF&#10;z6keWWBk75o/UumGO/Agw4iDzkDKhos0A04zzt9Ns6mZFWkWBMfbM0z+/6XlT4eNfXEkdF+gQwLT&#10;EN6ugf/wiE3WWl8MMRFTX3iMjoN20un4xREIXkRsj2c8RRcIx8PJ7W2eo4eja3pz93mc8M4ul63z&#10;4asATeKmpA7pSg2ww9qHWJ4Vp5BYy8CqUSpRpgxpSzqb3uTpwtmDN5QZ+u5bjU2HbtuRpsL58kmk&#10;PJ5toTri4A56TXjLVw12sWY+vDCHIsDGUdjhGRepAKvBsKOkBvfrb+cxHrlBLyUtiqqk/ueeOUGJ&#10;+maQteks4RGuDXdtbK8Ns9cPgLod4xOyPG2xJxfUaSsd6DfU/zJWRRczHGuXdHvaPoRe6vh+uFgu&#10;UxDqzrKwNhvLT3xHjF+7N+bsQERABp/gJD9WvOOjj+0ZWe4DyCaRdUF1IAA1mzgc3ld8FNd2irr8&#10;BRa/AQAA//8DAFBLAwQUAAYACAAAACEAriS9kuIAAAALAQAADwAAAGRycy9kb3ducmV2LnhtbEyP&#10;wU7DMAyG70i8Q2QkLhNLWKHburrTQOKChBBjhx3TJmsjGqdqsrZ7e7IT3Gz50+/vz7eTbdmge28c&#10;ITzOBTBNlVOGaoTD99vDCpgPkpRsHWmEi/awLW5vcpkpN9KXHvahZjGEfCYRmhC6jHNfNdpKP3ed&#10;png7ud7KENe+5qqXYwy3LV8IkXIrDcUPjez0a6Orn/3ZInwu0qOh02FUs6E0s5fLB+3eA+L93bTb&#10;AAt6Cn8wXPWjOhTRqXRnUp61CGmSrCOKsHy6DpFIl+sEWImwEuIZeJHz/x2KXwAAAP//AwBQSwEC&#10;LQAUAAYACAAAACEAtoM4kv4AAADhAQAAEwAAAAAAAAAAAAAAAAAAAAAAW0NvbnRlbnRfVHlwZXNd&#10;LnhtbFBLAQItABQABgAIAAAAIQA4/SH/1gAAAJQBAAALAAAAAAAAAAAAAAAAAC8BAABfcmVscy8u&#10;cmVsc1BLAQItABQABgAIAAAAIQCLVFZcJAIAAE0EAAAOAAAAAAAAAAAAAAAAAC4CAABkcnMvZTJv&#10;RG9jLnhtbFBLAQItABQABgAIAAAAIQCuJL2S4gAAAAsBAAAPAAAAAAAAAAAAAAAAAH4EAABkcnMv&#10;ZG93bnJldi54bWxQSwUGAAAAAAQABADzAAAAjQUAAAAA&#10;" filled="f" stroked="f" strokeweight=".5pt">
                <v:textbox inset="1mm,1mm,1mm,1mm">
                  <w:txbxContent>
                    <w:p w14:paraId="5707448B" w14:textId="16E5D55E" w:rsidR="00DC6857"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M72</w:t>
                      </w:r>
                    </w:p>
                    <w:p w14:paraId="0184ECA3" w14:textId="791A91A7" w:rsidR="00DC6857" w:rsidRPr="0080669C"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v:textbox>
              </v:shape>
            </w:pict>
          </mc:Fallback>
        </mc:AlternateContent>
      </w:r>
      <w:r w:rsidR="007B5FE6" w:rsidRPr="001037E7">
        <w:rPr>
          <w:rFonts w:ascii="Candara" w:hAnsi="Candara"/>
          <w:noProof/>
          <w:sz w:val="14"/>
          <w:szCs w:val="14"/>
          <w:lang w:val="en-US"/>
        </w:rPr>
        <mc:AlternateContent>
          <mc:Choice Requires="wps">
            <w:drawing>
              <wp:anchor distT="0" distB="0" distL="114300" distR="114300" simplePos="0" relativeHeight="251658433" behindDoc="0" locked="0" layoutInCell="1" allowOverlap="1" wp14:anchorId="1001D476" wp14:editId="0D87B3A6">
                <wp:simplePos x="0" y="0"/>
                <wp:positionH relativeFrom="column">
                  <wp:posOffset>3663245</wp:posOffset>
                </wp:positionH>
                <wp:positionV relativeFrom="paragraph">
                  <wp:posOffset>4806417</wp:posOffset>
                </wp:positionV>
                <wp:extent cx="360000" cy="359410"/>
                <wp:effectExtent l="0" t="0" r="2540" b="254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6545E113" w14:textId="735CE798" w:rsidR="00DC6857"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M74</w:t>
                            </w:r>
                          </w:p>
                          <w:p w14:paraId="49456BF1" w14:textId="7DE69A61" w:rsidR="00DC6857" w:rsidRPr="0080669C"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1D476" id="Text Box 167" o:spid="_x0000_s1129" type="#_x0000_t202" style="position:absolute;left:0;text-align:left;margin-left:288.45pt;margin-top:378.45pt;width:28.35pt;height:28.3pt;z-index:251658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JqJAIAAE0EAAAOAAAAZHJzL2Uyb0RvYy54bWysVE1v2zAMvQ/YfxB0X+w0a7AZcYqsRYYB&#10;QVsgHXpWZCk2JosapcTOfv0oxflAt9OwHBRRpMhHvifP7vrWsL1C34At+XiUc6ashKqx25J/f1l+&#10;+MSZD8JWwoBVJT8oz+/m79/NOleoG6jBVAoZJbG+6FzJ6xBckWVe1qoVfgROWXJqwFYEMnGbVSg6&#10;yt6a7CbPp1kHWDkEqbyn04ejk89Tfq2VDE9aexWYKTlhC2nFtG7ims1notiicHUjBxjiH1C0orFU&#10;9JzqQQTBdtj8kaptJIIHHUYS2gy0bqRKPVA34/xNN+taOJV6oeF4dx6T/39p5eN+7Z6Rhf4L9ERg&#10;asK7FcgfnmaTdc4XQ0ycqS88RcdGe41t/KcWGF2k2R7O81R9YJIOJ9OcfpxJck1uP38cp3lnl8sO&#10;ffiqoGVxU3IkuhIAsV/5EMuL4hQSa1lYNsYkyoxlXcmnk9s8XTh76IaxA+4j1Ag69JueNRX1l08i&#10;5fFsA9WBGkc4asI7uWwIxUr48CyQREDASdjhiRZtgKrBsOOsBvz1t/MYT9yQl7OORFVy/3MnUHFm&#10;vlliLQ2EVHht4LWxuTbsrr0H0u2YnpCTaUuYMJjTViO0r6T/RaxKLmEl1S755rS9D0ep0/uRarFI&#10;QaQ7J8LKrp088R1n/NK/CnQDEYEYfIST/ETxho9j7JGRxS6AbhJZl6kOBJBmE4fD+4qP4tpOUZev&#10;wPw3AAAA//8DAFBLAwQUAAYACAAAACEA7ff/D+EAAAALAQAADwAAAGRycy9kb3ducmV2LnhtbEyP&#10;wU7DMAyG70i8Q2QkLhNLt6rZKE2ngcQFCSHGDhzTxmsjGqdqsrZ7e7IT3Gz50+/vL3az7diIgzeO&#10;JKyWCTCk2mlDjYTj1+vDFpgPirTqHKGEC3rYlbc3hcq1m+gTx0NoWAwhnysJbQh9zrmvW7TKL12P&#10;FG8nN1gV4jo0XA9qiuG24+skEdwqQ/FDq3p8abH+OZythI+1+DZ0Ok56MVZm8Xx5p/1bkPL+bt4/&#10;AQs4hz8YrvpRHcroVLkzac86CdlGPEZUwia7DpEQaSqAVRK2qzQDXhb8f4fyFwAA//8DAFBLAQIt&#10;ABQABgAIAAAAIQC2gziS/gAAAOEBAAATAAAAAAAAAAAAAAAAAAAAAABbQ29udGVudF9UeXBlc10u&#10;eG1sUEsBAi0AFAAGAAgAAAAhADj9If/WAAAAlAEAAAsAAAAAAAAAAAAAAAAALwEAAF9yZWxzLy5y&#10;ZWxzUEsBAi0AFAAGAAgAAAAhANl9smokAgAATQQAAA4AAAAAAAAAAAAAAAAALgIAAGRycy9lMm9E&#10;b2MueG1sUEsBAi0AFAAGAAgAAAAhAO33/w/hAAAACwEAAA8AAAAAAAAAAAAAAAAAfgQAAGRycy9k&#10;b3ducmV2LnhtbFBLBQYAAAAABAAEAPMAAACMBQAAAAA=&#10;" filled="f" stroked="f" strokeweight=".5pt">
                <v:textbox inset="1mm,1mm,1mm,1mm">
                  <w:txbxContent>
                    <w:p w14:paraId="6545E113" w14:textId="735CE798" w:rsidR="00DC6857"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M74</w:t>
                      </w:r>
                    </w:p>
                    <w:p w14:paraId="49456BF1" w14:textId="7DE69A61" w:rsidR="00DC6857" w:rsidRPr="0080669C"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7B5FE6" w:rsidRPr="001037E7">
        <w:rPr>
          <w:rFonts w:ascii="Candara" w:hAnsi="Candara"/>
          <w:noProof/>
          <w:sz w:val="14"/>
          <w:szCs w:val="14"/>
          <w:lang w:val="en-US"/>
        </w:rPr>
        <mc:AlternateContent>
          <mc:Choice Requires="wps">
            <w:drawing>
              <wp:anchor distT="0" distB="0" distL="114300" distR="114300" simplePos="0" relativeHeight="251658432" behindDoc="0" locked="0" layoutInCell="1" allowOverlap="1" wp14:anchorId="50845B32" wp14:editId="5068F0FB">
                <wp:simplePos x="0" y="0"/>
                <wp:positionH relativeFrom="column">
                  <wp:posOffset>4022398</wp:posOffset>
                </wp:positionH>
                <wp:positionV relativeFrom="paragraph">
                  <wp:posOffset>4371016</wp:posOffset>
                </wp:positionV>
                <wp:extent cx="359410" cy="359410"/>
                <wp:effectExtent l="0" t="0" r="2540" b="254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359410"/>
                        </a:xfrm>
                        <a:prstGeom prst="rect">
                          <a:avLst/>
                        </a:prstGeom>
                        <a:noFill/>
                        <a:ln w="6350">
                          <a:noFill/>
                        </a:ln>
                      </wps:spPr>
                      <wps:txbx>
                        <w:txbxContent>
                          <w:p w14:paraId="5C8B3AD4" w14:textId="4F1CDC6B" w:rsidR="00DC6857"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M73</w:t>
                            </w:r>
                          </w:p>
                          <w:p w14:paraId="4CE83D91" w14:textId="2AA81631" w:rsidR="007B5FE6" w:rsidRPr="0080669C"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45B32" id="Text Box 166" o:spid="_x0000_s1130" type="#_x0000_t202" style="position:absolute;left:0;text-align:left;margin-left:316.7pt;margin-top:344.15pt;width:28.3pt;height:28.3pt;z-index:2516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TbOHwIAAE0EAAAOAAAAZHJzL2Uyb0RvYy54bWysVEtv2zAMvg/YfxB0X+w0bbAacYqsRYYB&#10;QVsgHXpWZCkxJosapcTufv0o2Xmg22nYRSbFN79Pnt11jWEHhb4GW/LxKOdMWQlVbbcl//6y/PSZ&#10;Mx+ErYQBq0r+pjy/m3/8MGtdoa5gB6ZSyCiJ9UXrSr4LwRVZ5uVONcKPwClLRg3YiEAqbrMKRUvZ&#10;G5Nd5fk0awErhyCV93T70Bv5POXXWsnwpLVXgZmSU28hnZjOTTyz+UwUWxRuV8uhDfEPXTSitlT0&#10;lOpBBMH2WP+RqqklggcdRhKaDLSupUoz0DTj/N00651wKs1Cy/HutCb//9LKx8PaPSML3RfoCMA0&#10;hHcrkD887SZrnS8Gn7hTX3jyjoN2Gpv4pREYBdJu3077VF1gki4nN7fXY7JIMg1yzHkOdujDVwUN&#10;i0LJkeBKDYjDyofe9egSa1lY1sYkyIxlbcmnk5s8BZwslNzYoe++1dh06DYdqyuaL7+OkMe7DVRv&#10;NDhCzwnv5LKmLlbCh2eBRAJqnIgdnujQBqgaDBJnO8Bff7uP/oQNWTlriVQl9z/3AhVn5psl1CbT&#10;PI8svFTwUtlcKnbf3APxdkxPyMkkUjAGcxQ1QvNK/F/EqmQSVlLtkm+O4n3oqU7vR6rFIjkR75wI&#10;K7t28oh33PFL9yrQDUAEQvARjvQTxTs8et8ekcU+gK4TWOetDgAQZxPcw/uKj+JST17nv8D8NwAA&#10;AP//AwBQSwMEFAAGAAgAAAAhAKY9jzThAAAACwEAAA8AAABkcnMvZG93bnJldi54bWxMj8FOg0AQ&#10;hu8mvsNmTLw0drEQpMjSVBMvJsZYe/C4sFMgsrOE3QJ9e8eT3mYyX/75/mK32F5MOPrOkYL7dQQC&#10;qXamo0bB8fPlLgPhgyaje0eo4IIeduX1VaFz42b6wOkQGsEh5HOtoA1hyKX0dYtW+7UbkPh2cqPV&#10;gdexkWbUM4fbXm6iKJVWd8QfWj3gc4v19+FsFbxv0q+OTsfZrKaqWz1d3mj/GpS6vVn2jyACLuEP&#10;hl99VoeSnSp3JuNFryCN44RRHrIsBsFEuo24XaXgIUm2IMtC/u9Q/gAAAP//AwBQSwECLQAUAAYA&#10;CAAAACEAtoM4kv4AAADhAQAAEwAAAAAAAAAAAAAAAAAAAAAAW0NvbnRlbnRfVHlwZXNdLnhtbFBL&#10;AQItABQABgAIAAAAIQA4/SH/1gAAAJQBAAALAAAAAAAAAAAAAAAAAC8BAABfcmVscy8ucmVsc1BL&#10;AQItABQABgAIAAAAIQB0mTbOHwIAAE0EAAAOAAAAAAAAAAAAAAAAAC4CAABkcnMvZTJvRG9jLnht&#10;bFBLAQItABQABgAIAAAAIQCmPY804QAAAAsBAAAPAAAAAAAAAAAAAAAAAHkEAABkcnMvZG93bnJl&#10;di54bWxQSwUGAAAAAAQABADzAAAAhwUAAAAA&#10;" filled="f" stroked="f" strokeweight=".5pt">
                <v:textbox inset="1mm,1mm,1mm,1mm">
                  <w:txbxContent>
                    <w:p w14:paraId="5C8B3AD4" w14:textId="4F1CDC6B" w:rsidR="00DC6857"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M73</w:t>
                      </w:r>
                    </w:p>
                    <w:p w14:paraId="4CE83D91" w14:textId="2AA81631" w:rsidR="007B5FE6" w:rsidRPr="0080669C" w:rsidRDefault="007B5FE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p>
                  </w:txbxContent>
                </v:textbox>
              </v:shape>
            </w:pict>
          </mc:Fallback>
        </mc:AlternateContent>
      </w:r>
      <w:r w:rsidR="006F7206" w:rsidRPr="001037E7">
        <w:rPr>
          <w:rFonts w:ascii="Candara" w:hAnsi="Candara"/>
          <w:noProof/>
          <w:sz w:val="14"/>
          <w:szCs w:val="14"/>
          <w:lang w:val="en-US"/>
        </w:rPr>
        <mc:AlternateContent>
          <mc:Choice Requires="wps">
            <w:drawing>
              <wp:anchor distT="0" distB="0" distL="114300" distR="114300" simplePos="0" relativeHeight="251658431" behindDoc="0" locked="0" layoutInCell="1" allowOverlap="1" wp14:anchorId="2C968443" wp14:editId="12CDF2D1">
                <wp:simplePos x="0" y="0"/>
                <wp:positionH relativeFrom="column">
                  <wp:posOffset>3669704</wp:posOffset>
                </wp:positionH>
                <wp:positionV relativeFrom="paragraph">
                  <wp:posOffset>4369216</wp:posOffset>
                </wp:positionV>
                <wp:extent cx="360000" cy="359410"/>
                <wp:effectExtent l="0" t="0" r="2540" b="254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09B91D9D" w14:textId="05271025" w:rsidR="00DC6857" w:rsidRDefault="006F720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M70</w:t>
                            </w:r>
                          </w:p>
                          <w:p w14:paraId="7760ABF9" w14:textId="76539FCF" w:rsidR="00DC6857" w:rsidRPr="0080669C" w:rsidRDefault="006F720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68443" id="Text Box 165" o:spid="_x0000_s1131" type="#_x0000_t202" style="position:absolute;left:0;text-align:left;margin-left:288.95pt;margin-top:344.05pt;width:28.35pt;height:28.3pt;z-index:251658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oD4JAIAAE0EAAAOAAAAZHJzL2Uyb0RvYy54bWysVE1v2zAMvQ/YfxB0X+w0S7AZcYqsRYYB&#10;QVsgHXpWZCk2JosapcTufv0oxflAt9OwHBRRpMhHvifPb/vWsINC34At+XiUc6ashKqxu5J/f159&#10;+MSZD8JWwoBVJX9Vnt8u3r+bd65QN1CDqRQySmJ90bmS1yG4Isu8rFUr/AicsuTUgK0IZOIuq1B0&#10;lL012U2ez7IOsHIIUnlPp/dHJ1+k/ForGR619iowU3LCFtKKad3GNVvMRbFD4epGDjDEP6BoRWOp&#10;6DnVvQiC7bH5I1XbSAQPOowktBlo3UiVeqBuxvmbbja1cCr1QsPx7jwm///SyofDxj0hC/0X6InA&#10;1IR3a5A/PM0m65wvhpg4U194io6N9hrb+E8tMLpIs309z1P1gUk6nMxy+nEmyTWZfv44TvPOLpcd&#10;+vBVQcvipuRIdCUA4rD2IZYXxSkk1rKwaoxJlBnLupLPJtM8XTh76IaxA+4j1Ag69NueNRX1l08j&#10;5fFsC9UrNY5w1IR3ctUQirXw4UkgiYCAk7DDIy3aAFWDYcdZDfjrb+cxnrghL2cdiark/udeoOLM&#10;fLPEWhoIqfDawGtje23YfXsHpNsxPSEn05YwYTCnrUZoX0j/y1iVXMJKql3y7Wl7F45Sp/cj1XKZ&#10;gkh3ToS13Th54jvO+Ll/EegGIgIx+AAn+YniDR/H2CMjy30A3SSyLlMdCCDNJg6H9xUfxbWdoi5f&#10;gcVvAAAA//8DAFBLAwQUAAYACAAAACEAlHv9ueIAAAALAQAADwAAAGRycy9kb3ducmV2LnhtbEyP&#10;wU7DMBBE70j8g7VIXCrqtIQkhDhVQeKCVCHaHnp04m1iEa+j2E3Sv8ec4Liap5m3xWY2HRtxcNqS&#10;gNUyAoZUW6WpEXA8vD9kwJyXpGRnCQVc0cGmvL0pZK7sRF847n3DQgm5XApove9zzl3dopFuaXuk&#10;kJ3tYKQP59BwNcgplJuOr6Mo4UZqCgut7PGtxfp7fzECPtfJSdP5OKnFWOnF63VH2w8vxP3dvH0B&#10;5nH2fzD86gd1KINTZS+kHOsEPKXpc0AFJFm2AhaI5DFOgFUC0jhOgZcF//9D+QMAAP//AwBQSwEC&#10;LQAUAAYACAAAACEAtoM4kv4AAADhAQAAEwAAAAAAAAAAAAAAAAAAAAAAW0NvbnRlbnRfVHlwZXNd&#10;LnhtbFBLAQItABQABgAIAAAAIQA4/SH/1gAAAJQBAAALAAAAAAAAAAAAAAAAAC8BAABfcmVscy8u&#10;cmVsc1BLAQItABQABgAIAAAAIQAY2oD4JAIAAE0EAAAOAAAAAAAAAAAAAAAAAC4CAABkcnMvZTJv&#10;RG9jLnhtbFBLAQItABQABgAIAAAAIQCUe/254gAAAAsBAAAPAAAAAAAAAAAAAAAAAH4EAABkcnMv&#10;ZG93bnJldi54bWxQSwUGAAAAAAQABADzAAAAjQUAAAAA&#10;" filled="f" stroked="f" strokeweight=".5pt">
                <v:textbox inset="1mm,1mm,1mm,1mm">
                  <w:txbxContent>
                    <w:p w14:paraId="09B91D9D" w14:textId="05271025" w:rsidR="00DC6857" w:rsidRDefault="006F720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M70</w:t>
                      </w:r>
                    </w:p>
                    <w:p w14:paraId="7760ABF9" w14:textId="76539FCF" w:rsidR="00DC6857" w:rsidRPr="0080669C" w:rsidRDefault="006F720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v:textbox>
              </v:shape>
            </w:pict>
          </mc:Fallback>
        </mc:AlternateContent>
      </w:r>
      <w:r w:rsidR="000E71DA" w:rsidRPr="001037E7">
        <w:rPr>
          <w:rFonts w:ascii="Candara" w:hAnsi="Candara"/>
          <w:noProof/>
          <w:sz w:val="14"/>
          <w:szCs w:val="14"/>
          <w:lang w:val="en-US"/>
        </w:rPr>
        <mc:AlternateContent>
          <mc:Choice Requires="wps">
            <w:drawing>
              <wp:anchor distT="0" distB="0" distL="114300" distR="114300" simplePos="0" relativeHeight="251658429" behindDoc="0" locked="0" layoutInCell="1" allowOverlap="1" wp14:anchorId="10049FBD" wp14:editId="4D582F16">
                <wp:simplePos x="0" y="0"/>
                <wp:positionH relativeFrom="column">
                  <wp:posOffset>2868930</wp:posOffset>
                </wp:positionH>
                <wp:positionV relativeFrom="paragraph">
                  <wp:posOffset>4576917</wp:posOffset>
                </wp:positionV>
                <wp:extent cx="746106" cy="617439"/>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106" cy="617439"/>
                        </a:xfrm>
                        <a:prstGeom prst="rect">
                          <a:avLst/>
                        </a:prstGeom>
                        <a:noFill/>
                        <a:ln w="6350">
                          <a:noFill/>
                        </a:ln>
                      </wps:spPr>
                      <wps:txbx>
                        <w:txbxContent>
                          <w:p w14:paraId="411ADCFA" w14:textId="6E7C0C33" w:rsidR="00DC6857" w:rsidRDefault="000E71DA" w:rsidP="00DC6857">
                            <w:pPr>
                              <w:tabs>
                                <w:tab w:val="left" w:pos="4820"/>
                              </w:tabs>
                              <w:spacing w:after="0"/>
                              <w:rPr>
                                <w:rFonts w:ascii="Segoe UI Light" w:hAnsi="Segoe UI Light" w:cs="Segoe UI Light"/>
                                <w:sz w:val="16"/>
                                <w:szCs w:val="16"/>
                              </w:rPr>
                            </w:pPr>
                            <w:r w:rsidRPr="000E71DA">
                              <w:rPr>
                                <w:rFonts w:ascii="Segoe UI Light" w:hAnsi="Segoe UI Light" w:cs="Segoe UI Light"/>
                                <w:sz w:val="16"/>
                                <w:szCs w:val="16"/>
                              </w:rPr>
                              <w:t>Juridiskie, grāmatvedības pakalpojumi</w:t>
                            </w:r>
                          </w:p>
                          <w:p w14:paraId="508BF818" w14:textId="71F243EE" w:rsidR="000E71DA" w:rsidRPr="0080669C" w:rsidRDefault="006F720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49FBD" id="Text Box 163" o:spid="_x0000_s1132" type="#_x0000_t202" style="position:absolute;left:0;text-align:left;margin-left:225.9pt;margin-top:360.4pt;width:58.75pt;height:48.6pt;z-index:251658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tZsIwIAAE0EAAAOAAAAZHJzL2Uyb0RvYy54bWysVEtv2zAMvg/YfxB0X+w0XboZcYqsRYYB&#10;QVsgHXpWZCkxJosapcTufv0o2Xmg22nYRSbFN79Pnt12jWEHhb4GW/LxKOdMWQlVbbcl//68/PCJ&#10;Mx+ErYQBq0r+qjy/nb9/N2tdoa5gB6ZSyCiJ9UXrSr4LwRVZ5uVONcKPwClLRg3YiEAqbrMKRUvZ&#10;G5Nd5fk0awErhyCV93R73xv5POXXWsnwqLVXgZmSU28hnZjOTTyz+UwUWxRuV8uhDfEPXTSitlT0&#10;lOpeBMH2WP+RqqklggcdRhKaDLSupUoz0DTj/M00651wKs1Cy/HutCb//9LKh8PaPSEL3RfoCMA0&#10;hHcrkD887SZrnS8Gn7hTX3jyjoN2Gpv4pREYBdJuX0/7VF1gki5vrqfjfMqZJNN0fHM9+Rz3nZ2D&#10;HfrwVUHDolByJLhSA+Kw8qF3PbrEWhaWtTEJMmNZS0knH/MUcLJQcmOHvvtWY9Oh23Ssrmg+aofi&#10;490GqlcaHKHnhHdyWVMXK+HDk0AiAY1ExA6PdGgDVA0GibMd4K+/3Ud/woasnLVEqpL7n3uBijPz&#10;zRJqk2meRxZeKnipbC4Vu2/ugHg7pifkZBIpGIM5ihqheSH+L2JVMgkrqXbJN0fxLvRUp/cj1WKR&#10;nIh3ToSVXTt5xDvu+Ll7EegGIAIh+ABH+oniDR69b4/IYh9A1wms81YHAIizCe7hfcVHcaknr/Nf&#10;YP4bAAD//wMAUEsDBBQABgAIAAAAIQB6sX/V4gAAAAsBAAAPAAAAZHJzL2Rvd25yZXYueG1sTI/B&#10;TsMwEETvSPyDtUhcKmon0BBCNlVB4oKEEKUHjk7sJhbxOordJP17zAluO9rRzJtyu9ieTXr0xhFC&#10;shbANDVOGWoRDp8vNzkwHyQp2TvSCGftYVtdXpSyUG6mDz3tQ8tiCPlCInQhDAXnvum0lX7tBk3x&#10;d3SjlSHKseVqlHMMtz1Phci4lYZiQycH/dzp5nt/sgjvafZl6HiY1Wqqzerp/Ea714B4fbXsHoEF&#10;vYQ/M/ziR3SoIlPtTqQ86xHuNklEDwj3qYhHdGyyh1tgNUKe5AJ4VfL/G6ofAAAA//8DAFBLAQIt&#10;ABQABgAIAAAAIQC2gziS/gAAAOEBAAATAAAAAAAAAAAAAAAAAAAAAABbQ29udGVudF9UeXBlc10u&#10;eG1sUEsBAi0AFAAGAAgAAAAhADj9If/WAAAAlAEAAAsAAAAAAAAAAAAAAAAALwEAAF9yZWxzLy5y&#10;ZWxzUEsBAi0AFAAGAAgAAAAhAL2K1mwjAgAATQQAAA4AAAAAAAAAAAAAAAAALgIAAGRycy9lMm9E&#10;b2MueG1sUEsBAi0AFAAGAAgAAAAhAHqxf9XiAAAACwEAAA8AAAAAAAAAAAAAAAAAfQQAAGRycy9k&#10;b3ducmV2LnhtbFBLBQYAAAAABAAEAPMAAACMBQAAAAA=&#10;" filled="f" stroked="f" strokeweight=".5pt">
                <v:textbox inset="1mm,1mm,1mm,1mm">
                  <w:txbxContent>
                    <w:p w14:paraId="411ADCFA" w14:textId="6E7C0C33" w:rsidR="00DC6857" w:rsidRDefault="000E71DA" w:rsidP="00DC6857">
                      <w:pPr>
                        <w:tabs>
                          <w:tab w:val="left" w:pos="4820"/>
                        </w:tabs>
                        <w:spacing w:after="0"/>
                        <w:rPr>
                          <w:rFonts w:ascii="Segoe UI Light" w:hAnsi="Segoe UI Light" w:cs="Segoe UI Light"/>
                          <w:sz w:val="16"/>
                          <w:szCs w:val="16"/>
                        </w:rPr>
                      </w:pPr>
                      <w:r w:rsidRPr="000E71DA">
                        <w:rPr>
                          <w:rFonts w:ascii="Segoe UI Light" w:hAnsi="Segoe UI Light" w:cs="Segoe UI Light"/>
                          <w:sz w:val="16"/>
                          <w:szCs w:val="16"/>
                        </w:rPr>
                        <w:t>Juridiskie, grāmatvedības pakalpojumi</w:t>
                      </w:r>
                    </w:p>
                    <w:p w14:paraId="508BF818" w14:textId="71F243EE" w:rsidR="000E71DA" w:rsidRPr="0080669C" w:rsidRDefault="006F720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1,2%</w:t>
                      </w:r>
                    </w:p>
                  </w:txbxContent>
                </v:textbox>
              </v:shape>
            </w:pict>
          </mc:Fallback>
        </mc:AlternateContent>
      </w:r>
      <w:r w:rsidR="00406AEB" w:rsidRPr="001037E7">
        <w:rPr>
          <w:rFonts w:ascii="Candara" w:hAnsi="Candara"/>
          <w:noProof/>
          <w:sz w:val="14"/>
          <w:szCs w:val="14"/>
          <w:lang w:val="en-US"/>
        </w:rPr>
        <mc:AlternateContent>
          <mc:Choice Requires="wps">
            <w:drawing>
              <wp:anchor distT="0" distB="0" distL="114300" distR="114300" simplePos="0" relativeHeight="251658430" behindDoc="0" locked="0" layoutInCell="1" allowOverlap="1" wp14:anchorId="721579F6" wp14:editId="1362EA51">
                <wp:simplePos x="0" y="0"/>
                <wp:positionH relativeFrom="column">
                  <wp:posOffset>2870512</wp:posOffset>
                </wp:positionH>
                <wp:positionV relativeFrom="paragraph">
                  <wp:posOffset>4390449</wp:posOffset>
                </wp:positionV>
                <wp:extent cx="687629" cy="205791"/>
                <wp:effectExtent l="0" t="0" r="0" b="381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629" cy="205791"/>
                        </a:xfrm>
                        <a:prstGeom prst="rect">
                          <a:avLst/>
                        </a:prstGeom>
                        <a:noFill/>
                        <a:ln w="6350">
                          <a:noFill/>
                        </a:ln>
                      </wps:spPr>
                      <wps:txbx>
                        <w:txbxContent>
                          <w:p w14:paraId="49FF0F3B" w14:textId="781B597A" w:rsidR="00DC6857" w:rsidRPr="0080669C" w:rsidRDefault="004C7928"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M71 1,2%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579F6" id="Text Box 164" o:spid="_x0000_s1133" type="#_x0000_t202" style="position:absolute;left:0;text-align:left;margin-left:226pt;margin-top:345.7pt;width:54.15pt;height:16.2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uKJQIAAE0EAAAOAAAAZHJzL2Uyb0RvYy54bWysVE1v2zAMvQ/YfxB0X+ykaNIacYqsRYYB&#10;QVsgLXpWZCk2JomapMTufv0o2flAt9OwiyyKFMnH9+T5XacVOQjnGzAlHY9ySoThUDVmV9LXl9WX&#10;G0p8YKZiCowo6bvw9G7x+dO8tYWYQA2qEo5gEuOL1pa0DsEWWeZ5LTTzI7DCoFOC0yyg6XZZ5ViL&#10;2bXKJnk+zVpwlXXAhfd4+tA76SLll1Lw8CSlF4GokmJvIa0urdu4Zos5K3aO2brhQxvsH7rQrDFY&#10;9JTqgQVG9q75I5VuuAMPMow46AykbLhIGBDNOP+AZlMzKxIWHI63pzH5/5eWPx429tmR0H2FDglM&#10;ILxdA//hcTZZa30xxMSZ+sJjdATaSafjFyEQvIizfT/NU3SBcDyc3symk1tKOLom+fXsdhznnZ0v&#10;W+fDNwGaxE1JHdKVGmCHtQ996DEk1jKwapRKlClDWixwdZ2nCycPJldm6LtvNTYdum1Hmgrx5bPY&#10;QjzbQvWOwB30mvCWrxrsYs18eGYORYCQUNjhCRepAKvBsKOkBvfrb+cxHrlBLyUtiqqk/ueeOUGJ&#10;+m6QtatpnkcVXhru0theGmav7wF1O8YnZHna4mUX1HErHeg31P8yVkUXMxxrl3R73N6HXur4frhY&#10;LlMQ6s6ysDYby498xxm/dG/M2YGIgAw+wlF+rPjARx/bM7LcB5BNIus81YEA1Gyie3hf8VFc2inq&#10;/BdY/AYAAP//AwBQSwMEFAAGAAgAAAAhAAOjry3iAAAACwEAAA8AAABkcnMvZG93bnJldi54bWxM&#10;j0FLw0AUhO+C/2F5gpdiN03btMa8lCp4EUSsPfS4yb4mwezbkN0m6b93PelxmGHmm2w3mVYM1LvG&#10;MsJiHoEgLq1uuEI4fr0+bEE4r1ir1jIhXMnBLr+9yVSq7cifNBx8JUIJu1Qh1N53qZSurMkoN7cd&#10;cfDOtjfKB9lXUvdqDOWmlXEUJdKohsNCrTp6qan8PlwMwkecnBo+H0c9G4pm9nx95/2bR7y/m/ZP&#10;IDxN/i8Mv/gBHfLAVNgLaydahNU6Dl88QvK4WIEIiXUSLUEUCJt4uQWZZ/L/h/wHAAD//wMAUEsB&#10;Ai0AFAAGAAgAAAAhALaDOJL+AAAA4QEAABMAAAAAAAAAAAAAAAAAAAAAAFtDb250ZW50X1R5cGVz&#10;XS54bWxQSwECLQAUAAYACAAAACEAOP0h/9YAAACUAQAACwAAAAAAAAAAAAAAAAAvAQAAX3JlbHMv&#10;LnJlbHNQSwECLQAUAAYACAAAACEAYNjbiiUCAABNBAAADgAAAAAAAAAAAAAAAAAuAgAAZHJzL2Uy&#10;b0RvYy54bWxQSwECLQAUAAYACAAAACEAA6OvLeIAAAALAQAADwAAAAAAAAAAAAAAAAB/BAAAZHJz&#10;L2Rvd25yZXYueG1sUEsFBgAAAAAEAAQA8wAAAI4FAAAAAA==&#10;" filled="f" stroked="f" strokeweight=".5pt">
                <v:textbox inset="1mm,1mm,1mm,1mm">
                  <w:txbxContent>
                    <w:p w14:paraId="49FF0F3B" w14:textId="781B597A" w:rsidR="00DC6857" w:rsidRPr="0080669C" w:rsidRDefault="004C7928"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M71 1,2%</w:t>
                      </w:r>
                    </w:p>
                  </w:txbxContent>
                </v:textbox>
              </v:shape>
            </w:pict>
          </mc:Fallback>
        </mc:AlternateContent>
      </w:r>
      <w:r w:rsidR="00E605C9" w:rsidRPr="001037E7">
        <w:rPr>
          <w:rFonts w:ascii="Candara" w:hAnsi="Candara"/>
          <w:noProof/>
          <w:sz w:val="14"/>
          <w:szCs w:val="14"/>
          <w:lang w:val="en-US"/>
        </w:rPr>
        <mc:AlternateContent>
          <mc:Choice Requires="wps">
            <w:drawing>
              <wp:anchor distT="0" distB="0" distL="114300" distR="114300" simplePos="0" relativeHeight="251658436" behindDoc="0" locked="0" layoutInCell="1" allowOverlap="1" wp14:anchorId="2E7E160D" wp14:editId="2FCF4B33">
                <wp:simplePos x="0" y="0"/>
                <wp:positionH relativeFrom="column">
                  <wp:posOffset>2274255</wp:posOffset>
                </wp:positionH>
                <wp:positionV relativeFrom="paragraph">
                  <wp:posOffset>5311775</wp:posOffset>
                </wp:positionV>
                <wp:extent cx="314150" cy="244249"/>
                <wp:effectExtent l="0" t="0" r="0" b="3810"/>
                <wp:wrapNone/>
                <wp:docPr id="1675872939" name="Text Box 1675872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50" cy="244249"/>
                        </a:xfrm>
                        <a:prstGeom prst="rect">
                          <a:avLst/>
                        </a:prstGeom>
                        <a:noFill/>
                        <a:ln w="6350">
                          <a:noFill/>
                        </a:ln>
                      </wps:spPr>
                      <wps:txbx>
                        <w:txbxContent>
                          <w:p w14:paraId="7A08FD19" w14:textId="76903C84" w:rsidR="00E605C9" w:rsidRPr="00176803" w:rsidRDefault="00E605C9"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J58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E160D" id="Text Box 1675872939" o:spid="_x0000_s1134" type="#_x0000_t202" style="position:absolute;left:0;text-align:left;margin-left:179.1pt;margin-top:418.25pt;width:24.75pt;height:19.25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rv0IwIAAE0EAAAOAAAAZHJzL2Uyb0RvYy54bWysVNuO2yAQfa/Uf0C8N3YujbZWnFW6q1SV&#10;ot2VstU+EwwxKmYokNjbr++AnUu3far6ghlmmMs5By9uu0aTo3BegSnpeJRTIgyHSpl9Sb89rz/c&#10;UOIDMxXTYERJX4Wnt8v37xatLcQEatCVcASTGF+0tqR1CLbIMs9r0TA/AisMOiW4hgU03T6rHGsx&#10;e6OzSZ7PsxZcZR1w4T2e3vdOukz5pRQ8PErpRSC6pNhbSKtL6y6u2XLBir1jtlZ8aIP9QxcNUwaL&#10;nlPds8DIwak/UjWKO/Agw4hDk4GUios0A04zzt9Ms62ZFWkWBMfbM0z+/6XlD8etfXIkdJ+hQwLT&#10;EN5ugH/3iE3WWl8MMRFTX3iMjoN20jXxiyMQvIjYvp7xFF0gHA+n49n4I3o4uiaz2WT2KeKdXS5b&#10;58MXAQ2Jm5I6pCs1wI4bH/rQU0isZWCttE6UaUPaks6nmP43DybXZui7bzU2HbpdR1SF8+U3sYV4&#10;toPqFQd30GvCW75W2MWG+fDEHIoAG0dhh0dcpAasBsOOkhrcz7+dx3jkBr2UtCiqkvofB+YEJfqr&#10;Qdam8zyPKrw23LWxuzbMobkD1O0Yn5DlaYuXXdCnrXTQvKD+V7EqupjhWLuku9P2LvRSx/fDxWqV&#10;glB3loWN2Vp+4jti/Ny9MGcHIgIy+AAn+bHiDR99bI/76hBAqkTWBdWBANRsont4X/FRXNsp6vIX&#10;WP4CAAD//wMAUEsDBBQABgAIAAAAIQCmHsp14gAAAAsBAAAPAAAAZHJzL2Rvd25yZXYueG1sTI/L&#10;TsMwEEX3SPyDNUhsKuqQkofSOFVBYoOEEKWLLp3YTSzicRS7Sfr3DCtYzszRnXPL3WJ7NunRG4cC&#10;HtcRMI2NUwZbAcev14ccmA8SlewdagFX7WFX3d6UslBuxk89HULLKAR9IQV0IQwF577ptJV+7QaN&#10;dDu70cpA49hyNcqZwm3P4yhKuZUG6UMnB/3S6eb7cLECPuL0ZPB8nNVqqs3q+fqO+7cgxP3dst8C&#10;C3oJfzD86pM6VORUuwsqz3oBmySPCRWQb9IEGBFPUZYBq2mTJRHwquT/O1Q/AAAA//8DAFBLAQIt&#10;ABQABgAIAAAAIQC2gziS/gAAAOEBAAATAAAAAAAAAAAAAAAAAAAAAABbQ29udGVudF9UeXBlc10u&#10;eG1sUEsBAi0AFAAGAAgAAAAhADj9If/WAAAAlAEAAAsAAAAAAAAAAAAAAAAALwEAAF9yZWxzLy5y&#10;ZWxzUEsBAi0AFAAGAAgAAAAhAIdqu/QjAgAATQQAAA4AAAAAAAAAAAAAAAAALgIAAGRycy9lMm9E&#10;b2MueG1sUEsBAi0AFAAGAAgAAAAhAKYeynXiAAAACwEAAA8AAAAAAAAAAAAAAAAAfQQAAGRycy9k&#10;b3ducmV2LnhtbFBLBQYAAAAABAAEAPMAAACMBQAAAAA=&#10;" filled="f" stroked="f" strokeweight=".5pt">
                <v:textbox inset="1mm,1mm,1mm,1mm">
                  <w:txbxContent>
                    <w:p w14:paraId="7A08FD19" w14:textId="76903C84" w:rsidR="00E605C9" w:rsidRPr="00176803" w:rsidRDefault="00E605C9"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J58</w:t>
                      </w:r>
                    </w:p>
                  </w:txbxContent>
                </v:textbox>
              </v:shape>
            </w:pict>
          </mc:Fallback>
        </mc:AlternateContent>
      </w:r>
      <w:r w:rsidR="005856E8" w:rsidRPr="001037E7">
        <w:rPr>
          <w:rFonts w:ascii="Candara" w:hAnsi="Candara"/>
          <w:noProof/>
          <w:sz w:val="14"/>
          <w:szCs w:val="14"/>
          <w:lang w:val="en-US"/>
        </w:rPr>
        <mc:AlternateContent>
          <mc:Choice Requires="wps">
            <w:drawing>
              <wp:anchor distT="0" distB="0" distL="114300" distR="114300" simplePos="0" relativeHeight="251658372" behindDoc="0" locked="0" layoutInCell="1" allowOverlap="1" wp14:anchorId="16FE99D1" wp14:editId="73B8D6D2">
                <wp:simplePos x="0" y="0"/>
                <wp:positionH relativeFrom="column">
                  <wp:posOffset>2268536</wp:posOffset>
                </wp:positionH>
                <wp:positionV relativeFrom="paragraph">
                  <wp:posOffset>4872106</wp:posOffset>
                </wp:positionV>
                <wp:extent cx="370247" cy="367793"/>
                <wp:effectExtent l="0" t="0"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47" cy="367793"/>
                        </a:xfrm>
                        <a:prstGeom prst="rect">
                          <a:avLst/>
                        </a:prstGeom>
                        <a:noFill/>
                        <a:ln w="6350">
                          <a:noFill/>
                        </a:ln>
                      </wps:spPr>
                      <wps:txbx>
                        <w:txbxContent>
                          <w:p w14:paraId="4110198C" w14:textId="6A9203F3" w:rsidR="00DC6857" w:rsidRDefault="005856E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J61</w:t>
                            </w:r>
                          </w:p>
                          <w:p w14:paraId="62155E24" w14:textId="7CFE28B8" w:rsidR="005856E8" w:rsidRPr="00176803" w:rsidRDefault="005856E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E99D1" id="Text Box 160" o:spid="_x0000_s1135" type="#_x0000_t202" style="position:absolute;left:0;text-align:left;margin-left:178.6pt;margin-top:383.65pt;width:29.15pt;height:28.95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WduJgIAAE0EAAAOAAAAZHJzL2Uyb0RvYy54bWysVE1v2zAMvQ/YfxB0X+wkW7IacYqsRYYB&#10;QVsgHXpWZCk2JomapMTufv0o2flAt9OwiyyKFMnH9+TFbacVOQrnGzAlHY9ySoThUDVmX9Lvz+sP&#10;nynxgZmKKTCipK/C09vl+3eL1hZiAjWoSjiCSYwvWlvSOgRbZJnntdDMj8AKg04JTrOApttnlWMt&#10;Ztcqm+T5LGvBVdYBF97j6X3vpMuUX0rBw6OUXgSiSoq9hbS6tO7imi0XrNg7ZuuGD22wf+hCs8Zg&#10;0XOqexYYObjmj1S64Q48yDDioDOQsuEiYUA04/wNmm3NrEhYcDjensfk/19a/nDc2idHQvcFOiQw&#10;gfB2A/yHx9lkrfXFEBNn6guP0RFoJ52OX4RA8CLO9vU8T9EFwvFwOs8nH+eUcHRNZ/P5zTTOO7tc&#10;ts6HrwI0iZuSOqQrNcCOGx/60FNIrGVg3SiVKFOGtCWdTT/l6cLZg8mVGfruW41Nh27XkaZCfPlN&#10;bCGe7aB6ReAOek14y9cNdrFhPjwxhyJASCjs8IiLVIDVYNhRUoP79bfzGI/coJeSFkVVUv/zwJyg&#10;RH0zyNp0ludRhdeGuzZ214Y56DtA3Y7xCVmetnjZBXXaSgf6BfW/ilXRxQzH2iXdnbZ3oZc6vh8u&#10;VqsUhLqzLGzM1vIT33HGz90Lc3YgIiCDD3CSHyve8NHH9oysDgFkk8i6THUgADWb6B7eV3wU13aK&#10;uvwFlr8BAAD//wMAUEsDBBQABgAIAAAAIQAeh7Vb4gAAAAsBAAAPAAAAZHJzL2Rvd25yZXYueG1s&#10;TI/BTsMwEETvSPyDtUhcKuo0JUmVxqkKEhckVFF64OjE28RqvI5iN0n/HnOC42qeZt4Wu9l0bMTB&#10;aUsCVssIGFJtlaZGwOnr7WkDzHlJSnaWUMANHezK+7tC5spO9Inj0TcslJDLpYDW+z7n3NUtGumW&#10;tkcK2dkORvpwDg1Xg5xCuel4HEUpN1JTWGhlj68t1pfj1Qg4xOm3pvNpUoux0ouX2wft370Qjw/z&#10;fgvM4+z/YPjVD+pQBqfKXkk51glYJ1kcUAFZmq2BBeJ5lSTAKgGbOImBlwX//0P5AwAA//8DAFBL&#10;AQItABQABgAIAAAAIQC2gziS/gAAAOEBAAATAAAAAAAAAAAAAAAAAAAAAABbQ29udGVudF9UeXBl&#10;c10ueG1sUEsBAi0AFAAGAAgAAAAhADj9If/WAAAAlAEAAAsAAAAAAAAAAAAAAAAALwEAAF9yZWxz&#10;Ly5yZWxzUEsBAi0AFAAGAAgAAAAhAITpZ24mAgAATQQAAA4AAAAAAAAAAAAAAAAALgIAAGRycy9l&#10;Mm9Eb2MueG1sUEsBAi0AFAAGAAgAAAAhAB6HtVviAAAACwEAAA8AAAAAAAAAAAAAAAAAgAQAAGRy&#10;cy9kb3ducmV2LnhtbFBLBQYAAAAABAAEAPMAAACPBQAAAAA=&#10;" filled="f" stroked="f" strokeweight=".5pt">
                <v:textbox inset="1mm,1mm,1mm,1mm">
                  <w:txbxContent>
                    <w:p w14:paraId="4110198C" w14:textId="6A9203F3" w:rsidR="00DC6857" w:rsidRDefault="005856E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J61</w:t>
                      </w:r>
                    </w:p>
                    <w:p w14:paraId="62155E24" w14:textId="7CFE28B8" w:rsidR="005856E8" w:rsidRPr="00176803" w:rsidRDefault="005856E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0,6%</w:t>
                      </w:r>
                    </w:p>
                  </w:txbxContent>
                </v:textbox>
              </v:shape>
            </w:pict>
          </mc:Fallback>
        </mc:AlternateContent>
      </w:r>
      <w:r w:rsidR="00906D22" w:rsidRPr="001037E7">
        <w:rPr>
          <w:rFonts w:ascii="Candara" w:hAnsi="Candara"/>
          <w:noProof/>
          <w:sz w:val="14"/>
          <w:szCs w:val="14"/>
          <w:lang w:val="en-US"/>
        </w:rPr>
        <mc:AlternateContent>
          <mc:Choice Requires="wps">
            <w:drawing>
              <wp:anchor distT="0" distB="0" distL="114300" distR="114300" simplePos="0" relativeHeight="251658371" behindDoc="0" locked="0" layoutInCell="1" allowOverlap="1" wp14:anchorId="2DE9FC25" wp14:editId="134E0D85">
                <wp:simplePos x="0" y="0"/>
                <wp:positionH relativeFrom="column">
                  <wp:posOffset>1693650</wp:posOffset>
                </wp:positionH>
                <wp:positionV relativeFrom="paragraph">
                  <wp:posOffset>5075337</wp:posOffset>
                </wp:positionV>
                <wp:extent cx="612000" cy="486000"/>
                <wp:effectExtent l="0" t="0" r="0" b="952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00" cy="486000"/>
                        </a:xfrm>
                        <a:prstGeom prst="rect">
                          <a:avLst/>
                        </a:prstGeom>
                        <a:noFill/>
                        <a:ln w="6350">
                          <a:noFill/>
                        </a:ln>
                      </wps:spPr>
                      <wps:txbx>
                        <w:txbxContent>
                          <w:p w14:paraId="1D696E07" w14:textId="15FDE536" w:rsidR="00DC6857" w:rsidRDefault="00906D2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Informācijas pakalpojumi</w:t>
                            </w:r>
                          </w:p>
                          <w:p w14:paraId="18526018" w14:textId="3328579A" w:rsidR="00906D22" w:rsidRPr="00176803" w:rsidRDefault="00906D2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1,0%</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9FC25" id="Text Box 159" o:spid="_x0000_s1136" type="#_x0000_t202" style="position:absolute;left:0;text-align:left;margin-left:133.35pt;margin-top:399.65pt;width:48.2pt;height:38.25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7pzHgIAAE0EAAAOAAAAZHJzL2Uyb0RvYy54bWysVE1v2zAMvQ/YfxB0X5y0W1AYcYqsRYYB&#10;QVsgLXpWZCk2JosapcTOfv0o2flAt1PRi0yJFPnI9+TZbdcYtlfoa7AFn4zGnCkroazttuAvz8sv&#10;N5z5IGwpDFhV8IPy/Hb++dOsdbm6ggpMqZBREuvz1hW8CsHlWeZlpRrhR+CUJacGbESgLW6zEkVL&#10;2RuTXY3H06wFLB2CVN7T6X3v5POUX2slw6PWXgVmCk7YQloxrZu4ZvOZyLcoXFXLAYZ4B4pG1JaK&#10;nlLdiyDYDut/UjW1RPCgw0hCk4HWtVSpB+pmMn7TzboSTqVeaDjencbkPy6tfNiv3ROy0H2HjghM&#10;TXi3AvnL02yy1vl8iIkz9bmn6Nhop7GJX2qB0UWa7eE0T9UFJulwOiGKyCPJ9fVmGu2Y83zZoQ8/&#10;FDQsGgVHoisBEPuVD33oMSTWsrCsjUmUGctaKnD9bZwunDyU3NgBdw81gg7dpmN1Sf1NEoR4toHy&#10;QI0j9JrwTi5rQrESPjwJJBEQcBJ2eKRFG6BqMFicVYB//nce44kb8nLWkqgK7n/vBCrOzE9LrF2n&#10;GbBwucHLzeZyY3fNHZBuJ/SEnEwmYcJgjqZGaF5J/4tYlVzCSqpd8M3RvAu91On9SLVYpCDSnRNh&#10;ZddOHvmOM37uXgW6gYhADD7AUX4if8NHH9szstgF0HUi6zzVgQDSbKJ7eF/xUVzuU9T5LzD/CwAA&#10;//8DAFBLAwQUAAYACAAAACEA7HdpXeIAAAALAQAADwAAAGRycy9kb3ducmV2LnhtbEyPQU+DQBCF&#10;7yb+h82YeGnsUogLRYammngxMY21B48LuwUiO0vYLdB/73rS4+R9ee+bYreYnk16dJ0lhM06Aqap&#10;tqqjBuH0+fqQAXNekpK9JY1w1Q525e1NIXNlZ/rQ09E3LJSQyyVC6/2Qc+7qVhvp1nbQFLKzHY30&#10;4RwbrkY5h3LT8ziKBDeyo7DQykG/tLr+Pl4MwiEWXx2dT7NaTVW3er6+0/7NI97fLfsnYF4v/g+G&#10;X/2gDmVwquyFlGM9QixEGlCEdLtNgAUiEckGWIWQpY8Z8LLg/38ofwAAAP//AwBQSwECLQAUAAYA&#10;CAAAACEAtoM4kv4AAADhAQAAEwAAAAAAAAAAAAAAAAAAAAAAW0NvbnRlbnRfVHlwZXNdLnhtbFBL&#10;AQItABQABgAIAAAAIQA4/SH/1gAAAJQBAAALAAAAAAAAAAAAAAAAAC8BAABfcmVscy8ucmVsc1BL&#10;AQItABQABgAIAAAAIQC6B7pzHgIAAE0EAAAOAAAAAAAAAAAAAAAAAC4CAABkcnMvZTJvRG9jLnht&#10;bFBLAQItABQABgAIAAAAIQDsd2ld4gAAAAsBAAAPAAAAAAAAAAAAAAAAAHgEAABkcnMvZG93bnJl&#10;di54bWxQSwUGAAAAAAQABADzAAAAhwUAAAAA&#10;" filled="f" stroked="f" strokeweight=".5pt">
                <v:textbox inset="1mm,1mm,1mm,1mm">
                  <w:txbxContent>
                    <w:p w14:paraId="1D696E07" w14:textId="15FDE536" w:rsidR="00DC6857" w:rsidRDefault="00906D2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Informācijas pakalpojumi</w:t>
                      </w:r>
                    </w:p>
                    <w:p w14:paraId="18526018" w14:textId="3328579A" w:rsidR="00906D22" w:rsidRPr="00176803" w:rsidRDefault="00906D2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1,0%</w:t>
                      </w:r>
                    </w:p>
                  </w:txbxContent>
                </v:textbox>
              </v:shape>
            </w:pict>
          </mc:Fallback>
        </mc:AlternateContent>
      </w:r>
      <w:r w:rsidR="00906D22" w:rsidRPr="001037E7">
        <w:rPr>
          <w:rFonts w:ascii="Candara" w:hAnsi="Candara"/>
          <w:noProof/>
          <w:sz w:val="14"/>
          <w:szCs w:val="14"/>
          <w:lang w:val="en-US"/>
        </w:rPr>
        <mc:AlternateContent>
          <mc:Choice Requires="wps">
            <w:drawing>
              <wp:anchor distT="0" distB="0" distL="114300" distR="114300" simplePos="0" relativeHeight="251658370" behindDoc="0" locked="0" layoutInCell="1" allowOverlap="1" wp14:anchorId="78B2C96A" wp14:editId="37B95F72">
                <wp:simplePos x="0" y="0"/>
                <wp:positionH relativeFrom="column">
                  <wp:posOffset>1705528</wp:posOffset>
                </wp:positionH>
                <wp:positionV relativeFrom="paragraph">
                  <wp:posOffset>4515941</wp:posOffset>
                </wp:positionV>
                <wp:extent cx="1151890" cy="329079"/>
                <wp:effectExtent l="0" t="0" r="0" b="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1890" cy="329079"/>
                        </a:xfrm>
                        <a:prstGeom prst="rect">
                          <a:avLst/>
                        </a:prstGeom>
                        <a:noFill/>
                        <a:ln w="6350">
                          <a:noFill/>
                        </a:ln>
                      </wps:spPr>
                      <wps:txbx>
                        <w:txbxContent>
                          <w:p w14:paraId="7989AF7C" w14:textId="50570BD7" w:rsidR="00DC6857" w:rsidRDefault="00906D2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Datorprogrammēšana</w:t>
                            </w:r>
                          </w:p>
                          <w:p w14:paraId="36761222" w14:textId="1D700345" w:rsidR="00DC6857" w:rsidRPr="00176803" w:rsidRDefault="00906D2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2C96A" id="Text Box 158" o:spid="_x0000_s1137" type="#_x0000_t202" style="position:absolute;left:0;text-align:left;margin-left:134.3pt;margin-top:355.6pt;width:90.7pt;height:25.9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MWiJAIAAE4EAAAOAAAAZHJzL2Uyb0RvYy54bWysVE1v2zAMvQ/YfxB0X2wnaNYYcYqsRYYB&#10;QVsgHXpWZCk2JouapMTOfv0o2flA11Oxi0yKFPnIR3p+1zWKHIR1NeiCZqOUEqE5lLXeFfTny+rL&#10;LSXOM10yBVoU9CgcvVt8/jRvTS7GUIEqhSUYRLu8NQWtvDd5kjheiYa5ERih0SjBNsyjandJaVmL&#10;0RuVjNN0mrRgS2OBC+fw9qE30kWML6Xg/klKJzxRBUVsPp42nttwJos5y3eWmarmAwz2ARQNqzUm&#10;PYd6YJ6Rva3/CdXU3IID6UccmgSkrLmINWA1Wfqmmk3FjIi1YHOcObfJ/b+w/PGwMc+W+O4bdEhg&#10;LMKZNfBfDnuTtMblg0/oqcsdeodCO2mb8MUSCD7E3h7P/RSdJzxEy26y2xmaONom41n6dRYanlxe&#10;G+v8dwENCUJBLfIVEbDD2vne9eQSkmlY1UpFzpQmbUGnk5s0PjhbMLjSA/Aea0Dtu21H6jJAygKE&#10;cLeF8oiVW+iHwhm+qhHFmjn/zCxOAQLHyfZPeEgFmA0GiZIK7J/37oM/koNWSlqcqoK633tmBSXq&#10;h0baJtM0DWN4rdhrZXut6H1zDzi4Ge6Q4VHEx9arkygtNK+4AMuQFU1Mc8xd0O1JvPf9rOMCcbFc&#10;RiccPMP8Wm8MPxEeevzSvTJrBiI8UvgIp/lj+Rs+et+ekeXeg6wjWZeuDgTg0Ea6hwULW3GtR6/L&#10;b2DxFwAA//8DAFBLAwQUAAYACAAAACEAGA7OW+AAAAALAQAADwAAAGRycy9kb3ducmV2LnhtbEyP&#10;wU7DMAyG70i8Q2QkLhNLWiBMpek0kLggIcTYgWPaZG1E41RN1nZvjznB0fan399fbhffs8mO0QVU&#10;kK0FMItNMA5bBYfPl5sNsJg0Gt0HtArONsK2urwodWHCjB922qeWUQjGQivoUhoKzmPTWa/jOgwW&#10;6XYMo9eJxrHlZtQzhfue50JI7rVD+tDpwT53tvnen7yC91x+OTweZrOaard6Or/h7jUpdX217B6B&#10;JbukPxh+9UkdKnKqwwlNZL2CXG4koQoesiwHRsTdvaB2NW3krQBelfx/h+oHAAD//wMAUEsBAi0A&#10;FAAGAAgAAAAhALaDOJL+AAAA4QEAABMAAAAAAAAAAAAAAAAAAAAAAFtDb250ZW50X1R5cGVzXS54&#10;bWxQSwECLQAUAAYACAAAACEAOP0h/9YAAACUAQAACwAAAAAAAAAAAAAAAAAvAQAAX3JlbHMvLnJl&#10;bHNQSwECLQAUAAYACAAAACEAOwzFoiQCAABOBAAADgAAAAAAAAAAAAAAAAAuAgAAZHJzL2Uyb0Rv&#10;Yy54bWxQSwECLQAUAAYACAAAACEAGA7OW+AAAAALAQAADwAAAAAAAAAAAAAAAAB+BAAAZHJzL2Rv&#10;d25yZXYueG1sUEsFBgAAAAAEAAQA8wAAAIsFAAAAAA==&#10;" filled="f" stroked="f" strokeweight=".5pt">
                <v:textbox inset="1mm,1mm,1mm,1mm">
                  <w:txbxContent>
                    <w:p w14:paraId="7989AF7C" w14:textId="50570BD7" w:rsidR="00DC6857" w:rsidRDefault="00906D2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Datorprogrammēšana</w:t>
                      </w:r>
                    </w:p>
                    <w:p w14:paraId="36761222" w14:textId="1D700345" w:rsidR="00DC6857" w:rsidRPr="00176803" w:rsidRDefault="00906D2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2,4%</w:t>
                      </w:r>
                    </w:p>
                  </w:txbxContent>
                </v:textbox>
              </v:shape>
            </w:pict>
          </mc:Fallback>
        </mc:AlternateContent>
      </w:r>
      <w:r w:rsidR="00B47AA5" w:rsidRPr="001037E7">
        <w:rPr>
          <w:rFonts w:ascii="Candara" w:hAnsi="Candara"/>
          <w:noProof/>
          <w:sz w:val="14"/>
          <w:szCs w:val="14"/>
          <w:lang w:val="en-US"/>
        </w:rPr>
        <mc:AlternateContent>
          <mc:Choice Requires="wps">
            <w:drawing>
              <wp:anchor distT="0" distB="0" distL="114300" distR="114300" simplePos="0" relativeHeight="251658373" behindDoc="0" locked="0" layoutInCell="1" allowOverlap="1" wp14:anchorId="784D3EFB" wp14:editId="566CC2E7">
                <wp:simplePos x="0" y="0"/>
                <wp:positionH relativeFrom="column">
                  <wp:posOffset>1668675</wp:posOffset>
                </wp:positionH>
                <wp:positionV relativeFrom="paragraph">
                  <wp:posOffset>4049998</wp:posOffset>
                </wp:positionV>
                <wp:extent cx="1151890" cy="527323"/>
                <wp:effectExtent l="0" t="0" r="0" b="635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1890" cy="527323"/>
                        </a:xfrm>
                        <a:prstGeom prst="rect">
                          <a:avLst/>
                        </a:prstGeom>
                        <a:noFill/>
                        <a:ln w="6350">
                          <a:noFill/>
                        </a:ln>
                      </wps:spPr>
                      <wps:txbx>
                        <w:txbxContent>
                          <w:p w14:paraId="49EF7184" w14:textId="318E3FF5" w:rsidR="00DC6857" w:rsidRPr="00176803" w:rsidRDefault="00B47AA5"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Informācijas un komunikācijas 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D3EFB" id="Text Box 161" o:spid="_x0000_s1138" type="#_x0000_t202" style="position:absolute;left:0;text-align:left;margin-left:131.4pt;margin-top:318.9pt;width:90.7pt;height:41.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frJwIAAE4EAAAOAAAAZHJzL2Uyb0RvYy54bWysVE1v2zAMvQ/YfxB0X5wPJO2MOEXWIsOA&#10;oC2QDj0rspQYk0WNUmJ3v36U7Hyg22nYRRZFinrke/T8rq0NOyr0FdiCjwZDzpSVUFZ2V/DvL6tP&#10;t5z5IGwpDFhV8Dfl+d3i44d543I1hj2YUiGjJNbnjSv4PgSXZ5mXe1ULPwCnLDk1YC0CmbjLShQN&#10;Za9NNh4OZ1kDWDoEqbyn04fOyRcpv9ZKhietvQrMFJywhbRiWrdxzRZzke9QuH0lexjiH1DUorL0&#10;6DnVgwiCHbD6I1VdSQQPOgwk1BloXUmVaqBqRsN31Wz2wqlUCzXHu3Ob/P9LKx+PG/eMLLRfoCUC&#10;UxHerUH+8NSbrHE+72NiT33uKToW2mqs45dKYHSRevt27qdqA5Mx22g6uv1MLkm+6fhmMp7EhmeX&#10;2w59+KqgZnFTcCS+EgJxXPvQhZ5C4mMWVpUxiTNjWVPw2WQ6TBfOHkpubA+8wxpRh3bbsqqMkMYR&#10;QjzbQvlGlSN0ovBOripCsRY+PAskFRBwUnZ4okUboNeg33G2B/z1t/MYT+SQl7OGVFVw//MgUHFm&#10;vlmi7YY0G2WYjMksGXhtbK8Ne6jvgYQ7ohlyMm3pMgZz2mqE+pUGYBlfJZewkt4ueDht70OndRog&#10;qZbLFETCcyKs7cbJE+Gxxy/tq0DXExGIwkc46U/k7/joYjtGlocAukpkXbraE0CiTXT3Axan4tpO&#10;UZffwOI3AAAA//8DAFBLAwQUAAYACAAAACEAWd9XJ98AAAALAQAADwAAAGRycy9kb3ducmV2Lnht&#10;bEyPwU7DMBBE70j8g7VIXBB1YkJahTgVCvABFCSubrIkUeN1sJ02/XuWE73taEczb8rtYkdxRB8G&#10;RxrSVQICqXHtQJ2Gz4+3+w2IEA21ZnSEGs4YYFtdX5WmaN2J3vG4i53gEAqF0dDHOBVShqZHa8LK&#10;TUj8+3bemsjSd7L15sThdpQqSXJpzUDc0JsJ6x6bw262Gl6y81d6N9PrYx4O00/wdepVrfXtzfL8&#10;BCLiEv/N8IfP6FAx097N1AYxalC5YvSoIX9Y88GOLMsUiL2GtUo2IKtSXm6ofgEAAP//AwBQSwEC&#10;LQAUAAYACAAAACEAtoM4kv4AAADhAQAAEwAAAAAAAAAAAAAAAAAAAAAAW0NvbnRlbnRfVHlwZXNd&#10;LnhtbFBLAQItABQABgAIAAAAIQA4/SH/1gAAAJQBAAALAAAAAAAAAAAAAAAAAC8BAABfcmVscy8u&#10;cmVsc1BLAQItABQABgAIAAAAIQArtGfrJwIAAE4EAAAOAAAAAAAAAAAAAAAAAC4CAABkcnMvZTJv&#10;RG9jLnhtbFBLAQItABQABgAIAAAAIQBZ31cn3wAAAAsBAAAPAAAAAAAAAAAAAAAAAIEEAABkcnMv&#10;ZG93bnJldi54bWxQSwUGAAAAAAQABADzAAAAjQUAAAAA&#10;" filled="f" stroked="f" strokeweight=".5pt">
                <v:textbox inset="2mm,1mm,1mm,1mm">
                  <w:txbxContent>
                    <w:p w14:paraId="49EF7184" w14:textId="318E3FF5" w:rsidR="00DC6857" w:rsidRPr="00176803" w:rsidRDefault="00B47AA5"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Informācijas un komunikācijas pakalpojumi</w:t>
                      </w:r>
                    </w:p>
                  </w:txbxContent>
                </v:textbox>
              </v:shape>
            </w:pict>
          </mc:Fallback>
        </mc:AlternateContent>
      </w:r>
      <w:r w:rsidR="0022375D" w:rsidRPr="001037E7">
        <w:rPr>
          <w:rFonts w:ascii="Candara" w:hAnsi="Candara"/>
          <w:noProof/>
          <w:sz w:val="14"/>
          <w:szCs w:val="14"/>
          <w:lang w:val="en-US"/>
        </w:rPr>
        <mc:AlternateContent>
          <mc:Choice Requires="wps">
            <w:drawing>
              <wp:anchor distT="0" distB="0" distL="114300" distR="114300" simplePos="0" relativeHeight="251658369" behindDoc="0" locked="0" layoutInCell="1" allowOverlap="1" wp14:anchorId="7E8CB18C" wp14:editId="24EE5000">
                <wp:simplePos x="0" y="0"/>
                <wp:positionH relativeFrom="column">
                  <wp:posOffset>4079875</wp:posOffset>
                </wp:positionH>
                <wp:positionV relativeFrom="paragraph">
                  <wp:posOffset>3592195</wp:posOffset>
                </wp:positionV>
                <wp:extent cx="359410" cy="359410"/>
                <wp:effectExtent l="0" t="0" r="2540" b="254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359410"/>
                        </a:xfrm>
                        <a:prstGeom prst="rect">
                          <a:avLst/>
                        </a:prstGeom>
                        <a:noFill/>
                        <a:ln w="6350">
                          <a:noFill/>
                        </a:ln>
                      </wps:spPr>
                      <wps:txbx>
                        <w:txbxContent>
                          <w:p w14:paraId="7F77C2FD" w14:textId="77777777" w:rsidR="0022375D" w:rsidRDefault="0022375D"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H51</w:t>
                            </w:r>
                          </w:p>
                          <w:p w14:paraId="3BEECD79" w14:textId="64C89E8F" w:rsidR="00DC6857" w:rsidRPr="00176803" w:rsidRDefault="0022375D"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CB18C" id="Text Box 147" o:spid="_x0000_s1139" type="#_x0000_t202" style="position:absolute;left:0;text-align:left;margin-left:321.25pt;margin-top:282.85pt;width:28.3pt;height:28.3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RJHgIAAE0EAAAOAAAAZHJzL2Uyb0RvYy54bWysVEtv2zAMvg/YfxB0X+w0a7AZcYqsRYYB&#10;QVsgHXpWZCkxJosapcTOfv0o2Xmg22nYRSbFN79Pnt11jWEHhb4GW/LxKOdMWQlVbbcl//6y/PCJ&#10;Mx+ErYQBq0p+VJ7fzd+/m7WuUDewA1MpZJTE+qJ1Jd+F4Ios83KnGuFH4JQlowZsRCAVt1mFoqXs&#10;jclu8nyatYCVQ5DKe7p96I18nvJrrWR40tqrwEzJqbeQTkznJp7ZfCaKLQq3q+XQhviHLhpRWyp6&#10;TvUggmB7rP9I1dQSwYMOIwlNBlrXUqUZaJpx/maa9U44lWah5Xh3XpP/f2nl42HtnpGF7gt0BGAa&#10;wrsVyB+edpO1zheDT9ypLzx5x0E7jU380giMAmm3x/M+VReYpMvJ7eePY7JIMg1yzHkJdujDVwUN&#10;i0LJkeBKDYjDyofe9eQSa1lY1sYkyIxlbcmnk9s8BZwtlNzYoe++1dh06DYdqyuabzyJkMe7DVRH&#10;Ghyh54R3cllTFyvhw7NAIgE1TsQOT3RoA1QNBomzHeCvv91Hf8KGrJy1RKqS+597gYoz880SapNp&#10;nkcWXit4rWyuFbtv7oF4O6Yn5GQSKRiDOYkaoXkl/i9iVTIJK6l2yTcn8T70VKf3I9VikZyId06E&#10;lV07ecI77vilexXoBiACIfgIJ/qJ4g0evW+PyGIfQNcJrMtWBwCIswnu4X3FR3GtJ6/LX2D+GwAA&#10;//8DAFBLAwQUAAYACAAAACEATFlNBuIAAAALAQAADwAAAGRycy9kb3ducmV2LnhtbEyPwU7DMAyG&#10;70i8Q2QkLhNLV2jGStNpIHFBQoixw45p47URjVM1Wdu9PeEEN1v+9Pv7i+1sOzbi4I0jCatlAgyp&#10;dtpQI+Hw9Xr3CMwHRVp1jlDCBT1sy+urQuXaTfSJ4z40LIaQz5WENoQ+59zXLVrll65HireTG6wK&#10;cR0argc1xXDb8TRJBLfKUPzQqh5fWqy/92cr4SMVR0Onw6QXY2UWz5d32r0FKW9v5t0TsIBz+IPh&#10;Vz+qQxmdKncm7VknQTykWUQlZCJbA4uE2GxWwKo4pOk98LLg/zuUPwAAAP//AwBQSwECLQAUAAYA&#10;CAAAACEAtoM4kv4AAADhAQAAEwAAAAAAAAAAAAAAAAAAAAAAW0NvbnRlbnRfVHlwZXNdLnhtbFBL&#10;AQItABQABgAIAAAAIQA4/SH/1gAAAJQBAAALAAAAAAAAAAAAAAAAAC8BAABfcmVscy8ucmVsc1BL&#10;AQItABQABgAIAAAAIQDVryRJHgIAAE0EAAAOAAAAAAAAAAAAAAAAAC4CAABkcnMvZTJvRG9jLnht&#10;bFBLAQItABQABgAIAAAAIQBMWU0G4gAAAAsBAAAPAAAAAAAAAAAAAAAAAHgEAABkcnMvZG93bnJl&#10;di54bWxQSwUGAAAAAAQABADzAAAAhwUAAAAA&#10;" filled="f" stroked="f" strokeweight=".5pt">
                <v:textbox inset="1mm,1mm,1mm,1mm">
                  <w:txbxContent>
                    <w:p w14:paraId="7F77C2FD" w14:textId="77777777" w:rsidR="0022375D" w:rsidRDefault="0022375D"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H51</w:t>
                      </w:r>
                    </w:p>
                    <w:p w14:paraId="3BEECD79" w14:textId="64C89E8F" w:rsidR="00DC6857" w:rsidRPr="00176803" w:rsidRDefault="0022375D"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p>
                  </w:txbxContent>
                </v:textbox>
              </v:shape>
            </w:pict>
          </mc:Fallback>
        </mc:AlternateContent>
      </w:r>
      <w:r w:rsidR="0022375D" w:rsidRPr="001037E7">
        <w:rPr>
          <w:rFonts w:ascii="Candara" w:hAnsi="Candara"/>
          <w:noProof/>
          <w:sz w:val="14"/>
          <w:szCs w:val="14"/>
          <w:lang w:val="en-US"/>
        </w:rPr>
        <mc:AlternateContent>
          <mc:Choice Requires="wps">
            <w:drawing>
              <wp:anchor distT="0" distB="0" distL="114300" distR="114300" simplePos="0" relativeHeight="251658368" behindDoc="0" locked="0" layoutInCell="1" allowOverlap="1" wp14:anchorId="4CA7D5BB" wp14:editId="63A33A9A">
                <wp:simplePos x="0" y="0"/>
                <wp:positionH relativeFrom="column">
                  <wp:posOffset>4077970</wp:posOffset>
                </wp:positionH>
                <wp:positionV relativeFrom="paragraph">
                  <wp:posOffset>3216910</wp:posOffset>
                </wp:positionV>
                <wp:extent cx="359410" cy="359410"/>
                <wp:effectExtent l="0" t="0" r="2540" b="254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359410"/>
                        </a:xfrm>
                        <a:prstGeom prst="rect">
                          <a:avLst/>
                        </a:prstGeom>
                        <a:noFill/>
                        <a:ln w="6350">
                          <a:noFill/>
                        </a:ln>
                      </wps:spPr>
                      <wps:txbx>
                        <w:txbxContent>
                          <w:p w14:paraId="5D83A7E9" w14:textId="3CD0C521" w:rsidR="00DC6857" w:rsidRDefault="0022375D"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H33</w:t>
                            </w:r>
                          </w:p>
                          <w:p w14:paraId="72ECEDFE" w14:textId="1FEB75D9" w:rsidR="0022375D" w:rsidRPr="00176803" w:rsidRDefault="0022375D"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7D5BB" id="Text Box 146" o:spid="_x0000_s1140" type="#_x0000_t202" style="position:absolute;left:0;text-align:left;margin-left:321.1pt;margin-top:253.3pt;width:28.3pt;height:28.3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kOHwIAAE0EAAAOAAAAZHJzL2Uyb0RvYy54bWysVEtv2zAMvg/YfxB0X+w0bbAacYqsRYYB&#10;QVsgHXpWZCkxJosapcTufv0o2Xmg22nYRSbFN79Pnt11jWEHhb4GW/LxKOdMWQlVbbcl//6y/PSZ&#10;Mx+ErYQBq0r+pjy/m3/8MGtdoa5gB6ZSyCiJ9UXrSr4LwRVZ5uVONcKPwClLRg3YiEAqbrMKRUvZ&#10;G5Nd5fk0awErhyCV93T70Bv5POXXWsnwpLVXgZmSU28hnZjOTTyz+UwUWxRuV8uhDfEPXTSitlT0&#10;lOpBBMH2WP+RqqklggcdRhKaDLSupUoz0DTj/N00651wKs1Cy/HutCb//9LKx8PaPSML3RfoCMA0&#10;hHcrkD887SZrnS8Gn7hTX3jyjoN2Gpv4pREYBdJu3077VF1gki4nN7fXY7JIMg1yzHkOdujDVwUN&#10;i0LJkeBKDYjDyofe9egSa1lY1sYkyIxlbcmnk5s8BZwslNzYoe++1dh06DYdqyuab3wdIY93G6je&#10;aHCEnhPeyWVNXayED88CiQTUOBE7PNGhDVA1GCTOdoC//nYf/QkbsnLWEqlK7n/uBSrOzDdLqE2m&#10;eR5ZeKngpbK5VOy+uQfi7ZiekJNJpGAM5ihqhOaV+L+IVckkrKTaJd8cxfvQU53ej1SLRXIi3jkR&#10;Vnbt5BHvuOOX7lWgG4AIhOAjHOknind49L49Iot9AF0nsM5bHQAgzia4h/cVH8WlnrzOf4H5bwAA&#10;AP//AwBQSwMEFAAGAAgAAAAhAA9rBuXgAAAACwEAAA8AAABkcnMvZG93bnJldi54bWxMj8FOwzAM&#10;hu9IvENkJC4TSwkQbaXpNJC4IKGJscOOaZO1EY1TNVnbvT3mBEfbn35/f7GZfcdGO0QXUMH9MgNm&#10;sQ7GYaPg8PV2twIWk0aju4BWwcVG2JTXV4XOTZjw04771DAKwZhrBW1Kfc55rFvrdVyG3iLdTmHw&#10;OtE4NNwMeqJw33GRZZJ77ZA+tLq3r62tv/dnr2An5NHh6TCZxVi5xcvlA7fvSanbm3n7DCzZOf3B&#10;8KtP6lCSUxXOaCLrFMhHIQhV8JRJCYwIuV5RmYo28kEALwv+v0P5AwAA//8DAFBLAQItABQABgAI&#10;AAAAIQC2gziS/gAAAOEBAAATAAAAAAAAAAAAAAAAAAAAAABbQ29udGVudF9UeXBlc10ueG1sUEsB&#10;Ai0AFAAGAAgAAAAhADj9If/WAAAAlAEAAAsAAAAAAAAAAAAAAAAALwEAAF9yZWxzLy5yZWxzUEsB&#10;Ai0AFAAGAAgAAAAhAGu6WQ4fAgAATQQAAA4AAAAAAAAAAAAAAAAALgIAAGRycy9lMm9Eb2MueG1s&#10;UEsBAi0AFAAGAAgAAAAhAA9rBuXgAAAACwEAAA8AAAAAAAAAAAAAAAAAeQQAAGRycy9kb3ducmV2&#10;LnhtbFBLBQYAAAAABAAEAPMAAACGBQAAAAA=&#10;" filled="f" stroked="f" strokeweight=".5pt">
                <v:textbox inset="1mm,1mm,1mm,1mm">
                  <w:txbxContent>
                    <w:p w14:paraId="5D83A7E9" w14:textId="3CD0C521" w:rsidR="00DC6857" w:rsidRDefault="0022375D"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H33</w:t>
                      </w:r>
                    </w:p>
                    <w:p w14:paraId="72ECEDFE" w14:textId="1FEB75D9" w:rsidR="0022375D" w:rsidRPr="00176803" w:rsidRDefault="0022375D"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p>
                  </w:txbxContent>
                </v:textbox>
              </v:shape>
            </w:pict>
          </mc:Fallback>
        </mc:AlternateContent>
      </w:r>
      <w:r w:rsidR="00A41E6F" w:rsidRPr="001037E7">
        <w:rPr>
          <w:rFonts w:ascii="Candara" w:hAnsi="Candara"/>
          <w:noProof/>
          <w:sz w:val="14"/>
          <w:szCs w:val="14"/>
          <w:lang w:val="en-US"/>
        </w:rPr>
        <mc:AlternateContent>
          <mc:Choice Requires="wps">
            <w:drawing>
              <wp:anchor distT="0" distB="0" distL="114300" distR="114300" simplePos="0" relativeHeight="251658437" behindDoc="0" locked="0" layoutInCell="1" allowOverlap="1" wp14:anchorId="0567B743" wp14:editId="19DF950C">
                <wp:simplePos x="0" y="0"/>
                <wp:positionH relativeFrom="column">
                  <wp:posOffset>1711321</wp:posOffset>
                </wp:positionH>
                <wp:positionV relativeFrom="paragraph">
                  <wp:posOffset>3667850</wp:posOffset>
                </wp:positionV>
                <wp:extent cx="360000" cy="359410"/>
                <wp:effectExtent l="0" t="0" r="2540" b="254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47D4F286" w14:textId="37FC484D" w:rsidR="00DC6857" w:rsidRPr="0080669C" w:rsidRDefault="00735C7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7,2%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7B743" id="Text Box 149" o:spid="_x0000_s1141" type="#_x0000_t202" style="position:absolute;left:0;text-align:left;margin-left:134.75pt;margin-top:288.8pt;width:28.35pt;height:28.3pt;z-index:251658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84JAIAAE0EAAAOAAAAZHJzL2Uyb0RvYy54bWysVE1v2zAMvQ/YfxB0X+w0S7AZcYqsRYYB&#10;QVsgHXpWZCk2JosapcTufv0oxflAt9OwHBRRpMhHvifPb/vWsINC34At+XiUc6ashKqxu5J/f159&#10;+MSZD8JWwoBVJX9Vnt8u3r+bd65QN1CDqRQySmJ90bmS1yG4Isu8rFUr/AicsuTUgK0IZOIuq1B0&#10;lL012U2ez7IOsHIIUnlPp/dHJ1+k/ForGR619iowU3LCFtKKad3GNVvMRbFD4epGDjDEP6BoRWOp&#10;6DnVvQiC7bH5I1XbSAQPOowktBlo3UiVeqBuxvmbbja1cCr1QsPx7jwm///SyofDxj0hC/0X6InA&#10;1IR3a5A/PM0m65wvhpg4U194io6N9hrb+E8tMLpIs309z1P1gUk6nMxy+nEmyTWZfv44TvPOLpcd&#10;+vBVQcvipuRIdCUA4rD2IZYXxSkk1rKwaoxJlBnLupLPJtM8XTh76IaxA+4j1Ag69NueNRX1N55G&#10;yuPZFqpXahzhqAnv5KohFGvhw5NAEgEBJ2GHR1q0AaoGw46zGvDX385jPHFDXs46ElXJ/c+9QMWZ&#10;+WaJtTQQUuG1gdfG9tqw+/YOSLdjekJOpi1hwmBOW43QvpD+l7EquYSVVLvk29P2LhylTu9HquUy&#10;BZHunAhru3HyxHec8XP/ItANRARi8AFO8hPFGz6OsUdGlvsAuklkXaY6EECaTRwO7ys+ims7RV2+&#10;AovfAAAA//8DAFBLAwQUAAYACAAAACEA6ri1vuEAAAALAQAADwAAAGRycy9kb3ducmV2LnhtbEyP&#10;wU7DMBBE70j8g7VIXCrq4FIXQjZVQeKChBClB45O7CYW8TqK3ST9e8wJjqt5mnlbbGfXsdEMwXpC&#10;uF1mwAzVXltqEA6fLzf3wEJUpFXnySCcTYBteXlRqFz7iT7MuI8NSyUUcoXQxtjnnIe6NU6Fpe8N&#10;pezoB6diOoeG60FNqdx1XGSZ5E5ZSgut6s1za+rv/ckhvAv5Zel4mPRirOzi6fxGu9eIeH017x6B&#10;RTPHPxh+9ZM6lMmp8ifSgXUIQj6sE4qw3mwksESshBTAKgS5uhPAy4L//6H8AQAA//8DAFBLAQIt&#10;ABQABgAIAAAAIQC2gziS/gAAAOEBAAATAAAAAAAAAAAAAAAAAAAAAABbQ29udGVudF9UeXBlc10u&#10;eG1sUEsBAi0AFAAGAAgAAAAhADj9If/WAAAAlAEAAAsAAAAAAAAAAAAAAAAALwEAAF9yZWxzLy5y&#10;ZWxzUEsBAi0AFAAGAAgAAAAhAAf57zgkAgAATQQAAA4AAAAAAAAAAAAAAAAALgIAAGRycy9lMm9E&#10;b2MueG1sUEsBAi0AFAAGAAgAAAAhAOq4tb7hAAAACwEAAA8AAAAAAAAAAAAAAAAAfgQAAGRycy9k&#10;b3ducmV2LnhtbFBLBQYAAAAABAAEAPMAAACMBQAAAAA=&#10;" filled="f" stroked="f" strokeweight=".5pt">
                <v:textbox inset="1mm,1mm,1mm,1mm">
                  <w:txbxContent>
                    <w:p w14:paraId="47D4F286" w14:textId="37FC484D" w:rsidR="00DC6857" w:rsidRPr="0080669C" w:rsidRDefault="00735C7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7,2%</w:t>
                      </w:r>
                    </w:p>
                  </w:txbxContent>
                </v:textbox>
              </v:shape>
            </w:pict>
          </mc:Fallback>
        </mc:AlternateContent>
      </w:r>
      <w:r w:rsidR="00632E50" w:rsidRPr="001037E7">
        <w:rPr>
          <w:rFonts w:ascii="Candara" w:hAnsi="Candara"/>
          <w:noProof/>
          <w:sz w:val="14"/>
          <w:szCs w:val="14"/>
          <w:lang w:val="en-US"/>
        </w:rPr>
        <mc:AlternateContent>
          <mc:Choice Requires="wps">
            <w:drawing>
              <wp:anchor distT="0" distB="0" distL="114300" distR="114300" simplePos="0" relativeHeight="251658441" behindDoc="0" locked="0" layoutInCell="1" allowOverlap="1" wp14:anchorId="571D9278" wp14:editId="1AD50CEA">
                <wp:simplePos x="0" y="0"/>
                <wp:positionH relativeFrom="column">
                  <wp:posOffset>969009</wp:posOffset>
                </wp:positionH>
                <wp:positionV relativeFrom="paragraph">
                  <wp:posOffset>6351250</wp:posOffset>
                </wp:positionV>
                <wp:extent cx="869521" cy="495966"/>
                <wp:effectExtent l="0" t="3810" r="3175" b="3175"/>
                <wp:wrapNone/>
                <wp:docPr id="1361982853" name="Text Box 1361982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869521" cy="495966"/>
                        </a:xfrm>
                        <a:prstGeom prst="rect">
                          <a:avLst/>
                        </a:prstGeom>
                        <a:noFill/>
                        <a:ln w="6350">
                          <a:noFill/>
                        </a:ln>
                      </wps:spPr>
                      <wps:txbx>
                        <w:txbxContent>
                          <w:p w14:paraId="5495F925" w14:textId="3E5636FD" w:rsidR="00C07B47" w:rsidRDefault="00C07B47" w:rsidP="00C07B47">
                            <w:pPr>
                              <w:tabs>
                                <w:tab w:val="left" w:pos="4820"/>
                              </w:tabs>
                              <w:spacing w:after="0"/>
                              <w:rPr>
                                <w:rFonts w:ascii="Segoe UI Light" w:hAnsi="Segoe UI Light" w:cs="Segoe UI Light"/>
                                <w:sz w:val="16"/>
                                <w:szCs w:val="16"/>
                              </w:rPr>
                            </w:pPr>
                            <w:r>
                              <w:rPr>
                                <w:rFonts w:ascii="Segoe UI Light" w:hAnsi="Segoe UI Light" w:cs="Segoe UI Light"/>
                                <w:sz w:val="16"/>
                                <w:szCs w:val="16"/>
                              </w:rPr>
                              <w:t>S</w:t>
                            </w:r>
                            <w:r w:rsidRPr="00C07B47">
                              <w:rPr>
                                <w:rFonts w:ascii="Segoe UI Light" w:hAnsi="Segoe UI Light" w:cs="Segoe UI Light"/>
                                <w:sz w:val="16"/>
                                <w:szCs w:val="16"/>
                              </w:rPr>
                              <w:t>ociālā aprūpe</w:t>
                            </w:r>
                            <w:r>
                              <w:rPr>
                                <w:rFonts w:ascii="Segoe UI Light" w:hAnsi="Segoe UI Light" w:cs="Segoe UI Light"/>
                                <w:sz w:val="16"/>
                                <w:szCs w:val="16"/>
                              </w:rPr>
                              <w:t xml:space="preserve"> ar izmitināšanu</w:t>
                            </w:r>
                          </w:p>
                          <w:p w14:paraId="0DEE98CA" w14:textId="676AE9DE" w:rsidR="00632E50" w:rsidRDefault="00632E50" w:rsidP="00C07B47">
                            <w:pPr>
                              <w:tabs>
                                <w:tab w:val="left" w:pos="4820"/>
                              </w:tabs>
                              <w:spacing w:after="0"/>
                              <w:rPr>
                                <w:rFonts w:ascii="Segoe UI Light" w:hAnsi="Segoe UI Light" w:cs="Segoe UI Light"/>
                                <w:sz w:val="16"/>
                                <w:szCs w:val="16"/>
                              </w:rPr>
                            </w:pPr>
                            <w:r>
                              <w:rPr>
                                <w:rFonts w:ascii="Segoe UI Light" w:hAnsi="Segoe UI Light" w:cs="Segoe UI Light"/>
                                <w:sz w:val="16"/>
                                <w:szCs w:val="16"/>
                              </w:rPr>
                              <w:t>1,3%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D9278" id="Text Box 1361982853" o:spid="_x0000_s1142" type="#_x0000_t202" style="position:absolute;left:0;text-align:left;margin-left:76.3pt;margin-top:500.1pt;width:68.45pt;height:39.05pt;rotation:-90;z-index:251658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M0zLAIAAFwEAAAOAAAAZHJzL2Uyb0RvYy54bWysVF1v2jAUfZ+0/2D5fQToiEpEqFgrpkmo&#10;rUSnPhvHJtFsX882JOzX79oJFHV7msaDdb9yfO851yzuOq3IUTjfgCnpZDSmRBgOVWP2Jf3+sv50&#10;S4kPzFRMgRElPQlP75YfPyxaW4gp1KAq4QiCGF+0tqR1CLbIMs9roZkfgRUGkxKcZgFdt88qx1pE&#10;1yqbjsd51oKrrAMuvMfoQ5+ky4QvpeDhSUovAlElxd5COl06d/HMlgtW7B2zdcOHNtg/dKFZY/DS&#10;C9QDC4wcXPMHlG64Aw8yjDjoDKRsuEgz4DST8btptjWzIs2C5Hh7ocn/P1j+eNzaZ0dC9wU6FDAN&#10;4e0G+A+P3GSt9cVQEzn1hcfqOGgnnSYOkNBJjkLgL32KExHEQapPF3pFFwjH4G0+n00nlHBMfZ7P&#10;5nke6c96rIhpnQ9fBWgSjZI6VC+BsuPGh770XBLLDawbpZKCypC2pPnNrO/ikkFwZYYx+s7jDKHb&#10;daSpsPVJaiHGdlCdkIc0EXbvLV832MWG+fDMHO4EBnHPwxMeUgHeBoNFSQ3u19/isR6lwiwlLe5Y&#10;Sf3PA3OCEvXNoIg3eaSNhGvHXTu7a8cc9D3gGiOD2F0y8WMX1NmUDvQrPodVvBVTzHC8u6S7s3kf&#10;+s3H58TFapWKcA0tCxuztfwsf+T4pXtlzg5CBFTwEc7byIp3evS1vSKrQwDZJLHeWB0EwBVOcg/P&#10;Lb6Raz9Vvf0pLH8DAAD//wMAUEsDBBQABgAIAAAAIQCjBGw14AAAAAwBAAAPAAAAZHJzL2Rvd25y&#10;ZXYueG1sTI/NTsMwEITvSLyDtUjcqB0fmpDGqSr+LgikFiL1uI1NHBHbIXbb8PYsJziOZjTzTbWe&#10;3cBOZop98AqyhQBmfBt07zsF72+PNwWwmNBrHII3Cr5NhHV9eVFhqcPZb81plzpGJT6WqMCmNJac&#10;x9Yah3ERRuPJ+wiTw0Ry6rie8EzlbuBSiCV32HtasDiaO2vaz93RKZDOFfLr5am1Yh/x4fW+aTbP&#10;jVLXV/NmBSyZOf2F4Ref0KEmpkM4eh3ZQLqQ9CUpuM0FfaCEXIoM2IGsTOQ58Lri/0/UPwAAAP//&#10;AwBQSwECLQAUAAYACAAAACEAtoM4kv4AAADhAQAAEwAAAAAAAAAAAAAAAAAAAAAAW0NvbnRlbnRf&#10;VHlwZXNdLnhtbFBLAQItABQABgAIAAAAIQA4/SH/1gAAAJQBAAALAAAAAAAAAAAAAAAAAC8BAABf&#10;cmVscy8ucmVsc1BLAQItABQABgAIAAAAIQA2yM0zLAIAAFwEAAAOAAAAAAAAAAAAAAAAAC4CAABk&#10;cnMvZTJvRG9jLnhtbFBLAQItABQABgAIAAAAIQCjBGw14AAAAAwBAAAPAAAAAAAAAAAAAAAAAIYE&#10;AABkcnMvZG93bnJldi54bWxQSwUGAAAAAAQABADzAAAAkwUAAAAA&#10;" filled="f" stroked="f" strokeweight=".5pt">
                <v:textbox inset="1mm,1mm,1mm,1mm">
                  <w:txbxContent>
                    <w:p w14:paraId="5495F925" w14:textId="3E5636FD" w:rsidR="00C07B47" w:rsidRDefault="00C07B47" w:rsidP="00C07B47">
                      <w:pPr>
                        <w:tabs>
                          <w:tab w:val="left" w:pos="4820"/>
                        </w:tabs>
                        <w:spacing w:after="0"/>
                        <w:rPr>
                          <w:rFonts w:ascii="Segoe UI Light" w:hAnsi="Segoe UI Light" w:cs="Segoe UI Light"/>
                          <w:sz w:val="16"/>
                          <w:szCs w:val="16"/>
                        </w:rPr>
                      </w:pPr>
                      <w:r>
                        <w:rPr>
                          <w:rFonts w:ascii="Segoe UI Light" w:hAnsi="Segoe UI Light" w:cs="Segoe UI Light"/>
                          <w:sz w:val="16"/>
                          <w:szCs w:val="16"/>
                        </w:rPr>
                        <w:t>S</w:t>
                      </w:r>
                      <w:r w:rsidRPr="00C07B47">
                        <w:rPr>
                          <w:rFonts w:ascii="Segoe UI Light" w:hAnsi="Segoe UI Light" w:cs="Segoe UI Light"/>
                          <w:sz w:val="16"/>
                          <w:szCs w:val="16"/>
                        </w:rPr>
                        <w:t>ociālā aprūpe</w:t>
                      </w:r>
                      <w:r>
                        <w:rPr>
                          <w:rFonts w:ascii="Segoe UI Light" w:hAnsi="Segoe UI Light" w:cs="Segoe UI Light"/>
                          <w:sz w:val="16"/>
                          <w:szCs w:val="16"/>
                        </w:rPr>
                        <w:t xml:space="preserve"> ar izmitināšanu</w:t>
                      </w:r>
                    </w:p>
                    <w:p w14:paraId="0DEE98CA" w14:textId="676AE9DE" w:rsidR="00632E50" w:rsidRDefault="00632E50" w:rsidP="00C07B47">
                      <w:pPr>
                        <w:tabs>
                          <w:tab w:val="left" w:pos="4820"/>
                        </w:tabs>
                        <w:spacing w:after="0"/>
                        <w:rPr>
                          <w:rFonts w:ascii="Segoe UI Light" w:hAnsi="Segoe UI Light" w:cs="Segoe UI Light"/>
                          <w:sz w:val="16"/>
                          <w:szCs w:val="16"/>
                        </w:rPr>
                      </w:pPr>
                      <w:r>
                        <w:rPr>
                          <w:rFonts w:ascii="Segoe UI Light" w:hAnsi="Segoe UI Light" w:cs="Segoe UI Light"/>
                          <w:sz w:val="16"/>
                          <w:szCs w:val="16"/>
                        </w:rPr>
                        <w:t>1,3%</w:t>
                      </w:r>
                    </w:p>
                  </w:txbxContent>
                </v:textbox>
              </v:shape>
            </w:pict>
          </mc:Fallback>
        </mc:AlternateContent>
      </w:r>
      <w:r w:rsidR="00C07B47" w:rsidRPr="001037E7">
        <w:rPr>
          <w:rFonts w:ascii="Candara" w:hAnsi="Candara"/>
          <w:noProof/>
          <w:sz w:val="14"/>
          <w:szCs w:val="14"/>
          <w:lang w:val="en-US"/>
        </w:rPr>
        <mc:AlternateContent>
          <mc:Choice Requires="wps">
            <w:drawing>
              <wp:anchor distT="0" distB="0" distL="114300" distR="114300" simplePos="0" relativeHeight="251658440" behindDoc="0" locked="0" layoutInCell="1" allowOverlap="1" wp14:anchorId="34631ACE" wp14:editId="549A84EE">
                <wp:simplePos x="0" y="0"/>
                <wp:positionH relativeFrom="column">
                  <wp:posOffset>91230</wp:posOffset>
                </wp:positionH>
                <wp:positionV relativeFrom="paragraph">
                  <wp:posOffset>6575012</wp:posOffset>
                </wp:positionV>
                <wp:extent cx="1080000" cy="486000"/>
                <wp:effectExtent l="0" t="0" r="635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000" cy="486000"/>
                        </a:xfrm>
                        <a:prstGeom prst="rect">
                          <a:avLst/>
                        </a:prstGeom>
                        <a:noFill/>
                        <a:ln w="6350">
                          <a:noFill/>
                        </a:ln>
                      </wps:spPr>
                      <wps:txbx>
                        <w:txbxContent>
                          <w:p w14:paraId="00396CF7" w14:textId="77777777" w:rsidR="00DC6857" w:rsidRDefault="00C07B47"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S</w:t>
                            </w:r>
                            <w:r w:rsidRPr="00C07B47">
                              <w:rPr>
                                <w:rFonts w:ascii="Segoe UI Light" w:hAnsi="Segoe UI Light" w:cs="Segoe UI Light"/>
                                <w:sz w:val="16"/>
                                <w:szCs w:val="16"/>
                              </w:rPr>
                              <w:t>ociālā aprūpe</w:t>
                            </w:r>
                            <w:r>
                              <w:rPr>
                                <w:rFonts w:ascii="Segoe UI Light" w:hAnsi="Segoe UI Light" w:cs="Segoe UI Light"/>
                                <w:sz w:val="16"/>
                                <w:szCs w:val="16"/>
                              </w:rPr>
                              <w:t xml:space="preserve"> bez izmitināšanas</w:t>
                            </w:r>
                          </w:p>
                          <w:p w14:paraId="4F5DC06F" w14:textId="73F99D41" w:rsidR="00C07B47" w:rsidRPr="0080669C" w:rsidRDefault="00C07B47"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31ACE" id="Text Box 152" o:spid="_x0000_s1143" type="#_x0000_t202" style="position:absolute;left:0;text-align:left;margin-left:7.2pt;margin-top:517.7pt;width:85.05pt;height:38.25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ffIQIAAE4EAAAOAAAAZHJzL2Uyb0RvYy54bWysVE1v2zAMvQ/YfxB0X+y0WxYYcYqsRYYB&#10;QVsgHXpWZCkxJosapcTOfv0o2flAt9OwHBRSpMhHPtKzu64x7KDQ12BLPh7lnCkroarttuTfX5Yf&#10;ppz5IGwlDFhV8qPy/G7+/t2sdYW6gR2YSiGjINYXrSv5LgRXZJmXO9UIPwKnLBk1YCMCqbjNKhQt&#10;RW9MdpPnk6wFrByCVN7T7UNv5PMUX2slw5PWXgVmSk7YQjoxnZt4ZvOZKLYo3K6WAwzxDygaUVtK&#10;eg71IIJge6z/CNXUEsGDDiMJTQZa11KlGqiacf6mmvVOOJVqoeZ4d26T/39h5eNh7Z6Rhe4LdERg&#10;KsK7FcgfnnqTtc4Xg0/sqS88ecdCO41N/KcSGD2k3h7P/VRdYDJGy6c5/TiTZPs4nUQ5Br28dujD&#10;VwUNi0LJkfhKCMRh5UPvenKJySwsa2MSZ8aytuST2095enC2UHBjB+A91og6dJuO1RVBGn+OEOLd&#10;BqojVY7QD4V3clkTipXw4VkgTQEBp8kOT3RoA5QNBomzHeCvv91HfyKHrJy1NFUl9z/3AhVn5psl&#10;2m5TD1i4VvBa2Vwrdt/cAw3umHbIySQSJgzmJGqE5pUWYBGzkklYSblLvjmJ96GfdVogqRaL5ESD&#10;50RY2bWTJ8Jjj1+6V4FuICIQhY9wmj9RvOGj9+0ZWewD6DqRdenqQAANbaJ7WLC4Fdd68rp8Bua/&#10;AQAA//8DAFBLAwQUAAYACAAAACEAJC+I7t8AAAAMAQAADwAAAGRycy9kb3ducmV2LnhtbExPQU7D&#10;MBC8I/EHa5G4VNShpFUb4lQFiQsSQpQeenTibWIRr6PYTdLfsz3BXnZGO5qZzbeTa8WAfbCeFDzO&#10;ExBIlTeWagWH77eHNYgQNRndekIFFwywLW5vcp0ZP9IXDvtYCzahkGkFTYxdJmWoGnQ6zH2HxLeT&#10;752OTPtaml6PbO5auUiSlXTaEic0usPXBquf/dkp+FysjpZOh9HMhtLOXi4ftHuPSt3fTbtnEBGn&#10;+CeGa32uDgV3Kv2ZTBAt8zRlJe/kacnoqlinSxAlA54NyCKX/58ofgEAAP//AwBQSwECLQAUAAYA&#10;CAAAACEAtoM4kv4AAADhAQAAEwAAAAAAAAAAAAAAAAAAAAAAW0NvbnRlbnRfVHlwZXNdLnhtbFBL&#10;AQItABQABgAIAAAAIQA4/SH/1gAAAJQBAAALAAAAAAAAAAAAAAAAAC8BAABfcmVscy8ucmVsc1BL&#10;AQItABQABgAIAAAAIQCskcffIQIAAE4EAAAOAAAAAAAAAAAAAAAAAC4CAABkcnMvZTJvRG9jLnht&#10;bFBLAQItABQABgAIAAAAIQAkL4ju3wAAAAwBAAAPAAAAAAAAAAAAAAAAAHsEAABkcnMvZG93bnJl&#10;di54bWxQSwUGAAAAAAQABADzAAAAhwUAAAAA&#10;" filled="f" stroked="f" strokeweight=".5pt">
                <v:textbox inset="1mm,1mm,1mm,1mm">
                  <w:txbxContent>
                    <w:p w14:paraId="00396CF7" w14:textId="77777777" w:rsidR="00DC6857" w:rsidRDefault="00C07B47"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S</w:t>
                      </w:r>
                      <w:r w:rsidRPr="00C07B47">
                        <w:rPr>
                          <w:rFonts w:ascii="Segoe UI Light" w:hAnsi="Segoe UI Light" w:cs="Segoe UI Light"/>
                          <w:sz w:val="16"/>
                          <w:szCs w:val="16"/>
                        </w:rPr>
                        <w:t>ociālā aprūpe</w:t>
                      </w:r>
                      <w:r>
                        <w:rPr>
                          <w:rFonts w:ascii="Segoe UI Light" w:hAnsi="Segoe UI Light" w:cs="Segoe UI Light"/>
                          <w:sz w:val="16"/>
                          <w:szCs w:val="16"/>
                        </w:rPr>
                        <w:t xml:space="preserve"> bez izmitināšanas</w:t>
                      </w:r>
                    </w:p>
                    <w:p w14:paraId="4F5DC06F" w14:textId="73F99D41" w:rsidR="00C07B47" w:rsidRPr="0080669C" w:rsidRDefault="00C07B47"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2,6%</w:t>
                      </w:r>
                    </w:p>
                  </w:txbxContent>
                </v:textbox>
              </v:shape>
            </w:pict>
          </mc:Fallback>
        </mc:AlternateContent>
      </w:r>
      <w:r w:rsidR="00A1772F" w:rsidRPr="001037E7">
        <w:rPr>
          <w:rFonts w:ascii="Candara" w:hAnsi="Candara"/>
          <w:noProof/>
          <w:sz w:val="14"/>
          <w:szCs w:val="14"/>
          <w:lang w:val="en-US"/>
        </w:rPr>
        <mc:AlternateContent>
          <mc:Choice Requires="wps">
            <w:drawing>
              <wp:anchor distT="0" distB="0" distL="114300" distR="114300" simplePos="0" relativeHeight="251658439" behindDoc="0" locked="0" layoutInCell="1" allowOverlap="1" wp14:anchorId="798EB098" wp14:editId="1F85C151">
                <wp:simplePos x="0" y="0"/>
                <wp:positionH relativeFrom="column">
                  <wp:posOffset>110595</wp:posOffset>
                </wp:positionH>
                <wp:positionV relativeFrom="paragraph">
                  <wp:posOffset>5750875</wp:posOffset>
                </wp:positionV>
                <wp:extent cx="1440000" cy="359410"/>
                <wp:effectExtent l="0" t="0" r="8255" b="254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000" cy="359410"/>
                        </a:xfrm>
                        <a:prstGeom prst="rect">
                          <a:avLst/>
                        </a:prstGeom>
                        <a:noFill/>
                        <a:ln w="6350">
                          <a:noFill/>
                        </a:ln>
                      </wps:spPr>
                      <wps:txbx>
                        <w:txbxContent>
                          <w:p w14:paraId="1A4B093F" w14:textId="77777777" w:rsidR="00A1772F" w:rsidRDefault="00A1772F" w:rsidP="00DC6857">
                            <w:pPr>
                              <w:tabs>
                                <w:tab w:val="left" w:pos="4820"/>
                              </w:tabs>
                              <w:spacing w:after="0"/>
                              <w:rPr>
                                <w:rFonts w:ascii="Segoe UI Light" w:hAnsi="Segoe UI Light" w:cs="Segoe UI Light"/>
                                <w:sz w:val="16"/>
                                <w:szCs w:val="16"/>
                              </w:rPr>
                            </w:pPr>
                            <w:r w:rsidRPr="00A1772F">
                              <w:rPr>
                                <w:rFonts w:ascii="Segoe UI Light" w:hAnsi="Segoe UI Light" w:cs="Segoe UI Light"/>
                                <w:sz w:val="16"/>
                                <w:szCs w:val="16"/>
                              </w:rPr>
                              <w:t>Veselības aizsardzība</w:t>
                            </w:r>
                          </w:p>
                          <w:p w14:paraId="6AE0005D" w14:textId="26AB7242" w:rsidR="00DC6857" w:rsidRPr="0080669C" w:rsidRDefault="00397FA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6,2%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EB098" id="Text Box 151" o:spid="_x0000_s1144" type="#_x0000_t202" style="position:absolute;left:0;text-align:left;margin-left:8.7pt;margin-top:452.8pt;width:113.4pt;height:28.3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gZIJQIAAE4EAAAOAAAAZHJzL2Uyb0RvYy54bWysVE1v2zAMvQ/YfxB0X+w0adAZcYqsRYYB&#10;QVsgHXpWZCk2JomapMTOfv0o2flAt9OwHBRSpMhHPtLz+04rchDON2BKOh7llAjDoWrMrqTfX1ef&#10;7ijxgZmKKTCipEfh6f3i44d5awtxAzWoSjiCQYwvWlvSOgRbZJnntdDMj8AKg0YJTrOAqttllWMt&#10;Rtcqu8nzWdaCq6wDLrzH28feSBcpvpSCh2cpvQhElRSxhXS6dG7jmS3mrNg5ZuuGDzDYP6DQrDGY&#10;9BzqkQVG9q75I5RuuAMPMow46AykbLhINWA14/xdNZuaWZFqweZ4e26T/39h+dNhY18cCd0X6JDA&#10;VIS3a+A/PPYma60vBp/YU1949I6FdtLp+I8lEHyIvT2e+ym6QHiMNp3m+KOEo21y+3k6Tg3PLq+t&#10;8+GrAE2iUFKHfCUE7LD2IeZnxcklJjOwapRKnClD2pLOJrd5enC24AtlBuA91og6dNuONBVCGt9F&#10;zuPdFqojVu6gHwpv+apBFGvmwwtzOAUIHCc7POMhFWA2GCRKanC//nYf/ZEctFLS4lSV1P/cMyco&#10;Ud8M0jaZpX6Ea8VdK9trxez1A+DgjnGHLE8iYnJBnUTpQL/hAixjVjQxwzF3Sbcn8SH0s44LxMVy&#10;mZxw8CwLa7Ox/ER47PFr98acHYgISOETnOaPFe/46H17Rpb7ALJJZF26OhCAQ5s4HBYsbsW1nrwu&#10;n4HFbwAAAP//AwBQSwMEFAAGAAgAAAAhAHABXPffAAAACgEAAA8AAABkcnMvZG93bnJldi54bWxM&#10;j8FOwzAMhu9IvENkJC4TS4lKgdJ0GkhckNDE2IFj2nhtReNUTdZ2b485wfG3P/3+XGwW14sJx9B5&#10;0nC7TkAg1d521Gg4fL7ePIAI0ZA1vSfUcMYAm/LyojC59TN94LSPjeASCrnR0MY45FKGukVnwtoP&#10;SLw7+tGZyHFspB3NzOWulypJMulMR3yhNQO+tFh/709Ow05lXx0dD7NdTVW3ej6/0/Ytan19tWyf&#10;QERc4h8Mv/qsDiU7Vf5ENoie833KpIbH5C4DwYBKUwWi4kmmFMiykP9fKH8AAAD//wMAUEsBAi0A&#10;FAAGAAgAAAAhALaDOJL+AAAA4QEAABMAAAAAAAAAAAAAAAAAAAAAAFtDb250ZW50X1R5cGVzXS54&#10;bWxQSwECLQAUAAYACAAAACEAOP0h/9YAAACUAQAACwAAAAAAAAAAAAAAAAAvAQAAX3JlbHMvLnJl&#10;bHNQSwECLQAUAAYACAAAACEAMQYGSCUCAABOBAAADgAAAAAAAAAAAAAAAAAuAgAAZHJzL2Uyb0Rv&#10;Yy54bWxQSwECLQAUAAYACAAAACEAcAFc998AAAAKAQAADwAAAAAAAAAAAAAAAAB/BAAAZHJzL2Rv&#10;d25yZXYueG1sUEsFBgAAAAAEAAQA8wAAAIsFAAAAAA==&#10;" filled="f" stroked="f" strokeweight=".5pt">
                <v:textbox inset="1mm,1mm,1mm,1mm">
                  <w:txbxContent>
                    <w:p w14:paraId="1A4B093F" w14:textId="77777777" w:rsidR="00A1772F" w:rsidRDefault="00A1772F" w:rsidP="00DC6857">
                      <w:pPr>
                        <w:tabs>
                          <w:tab w:val="left" w:pos="4820"/>
                        </w:tabs>
                        <w:spacing w:after="0"/>
                        <w:rPr>
                          <w:rFonts w:ascii="Segoe UI Light" w:hAnsi="Segoe UI Light" w:cs="Segoe UI Light"/>
                          <w:sz w:val="16"/>
                          <w:szCs w:val="16"/>
                        </w:rPr>
                      </w:pPr>
                      <w:r w:rsidRPr="00A1772F">
                        <w:rPr>
                          <w:rFonts w:ascii="Segoe UI Light" w:hAnsi="Segoe UI Light" w:cs="Segoe UI Light"/>
                          <w:sz w:val="16"/>
                          <w:szCs w:val="16"/>
                        </w:rPr>
                        <w:t>Veselības aizsardzība</w:t>
                      </w:r>
                    </w:p>
                    <w:p w14:paraId="6AE0005D" w14:textId="26AB7242" w:rsidR="00DC6857" w:rsidRPr="0080669C" w:rsidRDefault="00397FA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6,2%</w:t>
                      </w:r>
                    </w:p>
                  </w:txbxContent>
                </v:textbox>
              </v:shape>
            </w:pict>
          </mc:Fallback>
        </mc:AlternateContent>
      </w:r>
      <w:r w:rsidR="00397FA5" w:rsidRPr="001037E7">
        <w:rPr>
          <w:rFonts w:ascii="Candara" w:hAnsi="Candara"/>
          <w:noProof/>
          <w:sz w:val="14"/>
          <w:szCs w:val="14"/>
          <w:lang w:val="en-US"/>
        </w:rPr>
        <mc:AlternateContent>
          <mc:Choice Requires="wps">
            <w:drawing>
              <wp:anchor distT="0" distB="0" distL="114300" distR="114300" simplePos="0" relativeHeight="251658438" behindDoc="0" locked="0" layoutInCell="1" allowOverlap="1" wp14:anchorId="26E19CF9" wp14:editId="6F353BE5">
                <wp:simplePos x="0" y="0"/>
                <wp:positionH relativeFrom="column">
                  <wp:posOffset>103719</wp:posOffset>
                </wp:positionH>
                <wp:positionV relativeFrom="paragraph">
                  <wp:posOffset>4629979</wp:posOffset>
                </wp:positionV>
                <wp:extent cx="1440000" cy="252000"/>
                <wp:effectExtent l="0" t="0" r="8255"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000" cy="252000"/>
                        </a:xfrm>
                        <a:prstGeom prst="rect">
                          <a:avLst/>
                        </a:prstGeom>
                        <a:noFill/>
                        <a:ln w="6350">
                          <a:noFill/>
                        </a:ln>
                      </wps:spPr>
                      <wps:txbx>
                        <w:txbxContent>
                          <w:p w14:paraId="61E857E8" w14:textId="3C805846" w:rsidR="00DC6857" w:rsidRPr="0080669C" w:rsidRDefault="00C07B47" w:rsidP="00DC6857">
                            <w:pPr>
                              <w:tabs>
                                <w:tab w:val="left" w:pos="4820"/>
                              </w:tabs>
                              <w:spacing w:after="0"/>
                              <w:rPr>
                                <w:rFonts w:ascii="Segoe UI Light" w:hAnsi="Segoe UI Light" w:cs="Segoe UI Light"/>
                                <w:b/>
                                <w:bCs/>
                                <w:sz w:val="16"/>
                                <w:szCs w:val="16"/>
                              </w:rPr>
                            </w:pPr>
                            <w:r w:rsidRPr="00C07B47">
                              <w:rPr>
                                <w:rFonts w:ascii="Segoe UI Light" w:hAnsi="Segoe UI Light" w:cs="Segoe UI Light"/>
                                <w:b/>
                                <w:bCs/>
                                <w:sz w:val="16"/>
                                <w:szCs w:val="16"/>
                              </w:rPr>
                              <w:t>Veselība un sociālā aprūpe</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19CF9" id="Text Box 150" o:spid="_x0000_s1145" type="#_x0000_t202" style="position:absolute;left:0;text-align:left;margin-left:8.15pt;margin-top:364.55pt;width:113.4pt;height:19.85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iBJwIAAE4EAAAOAAAAZHJzL2Uyb0RvYy54bWysVE1v2zAMvQ/YfxB0X+ykbbYZcYqsRYYB&#10;QVsgHXpWZCk2JosapcTufv0oxflAt9OwHBRJpMjH90jPbvvWsL1C34At+XiUc6ashKqx25J/f15+&#10;+MSZD8JWwoBVJX9Vnt/O37+bda5QE6jBVAoZBbG+6FzJ6xBckWVe1qoVfgROWTJqwFYEOuI2q1B0&#10;FL012STPp1kHWDkEqbyn2/uDkc9TfK2VDI9aexWYKTlhC2nFtG7ims1notiicHUjBxjiH1C0orGU&#10;9BTqXgTBdtj8EaptJIIHHUYS2gy0bqRKNVA14/xNNetaOJVqIXK8O9Hk/19Y+bBfuydkof8CPQmY&#10;ivBuBfKHJ26yzvli8Imc+sKTdyy019jGfyqB0UPi9vXEp+oDkzHa9XVOP84k2SY3pFciPDu/dujD&#10;VwUti5uSI+mVEIj9yoeYXxRHl5jMwrIxJmlmLOtKPr26ydODk4VeGDsAP2CNqEO/6VlTEaTx56h5&#10;vNtA9UqVIxyawju5bAjFSvjwJJC6gIBTZ4dHWrQBygbDjrMa8Nff7qM/iUNWzjrqqpL7nzuBijPz&#10;zZJsHxMHLKTD1TSRg5eHzeXB7to7oMYd0ww5mbaECYM5bjVC+0IDsIhZySSspNwlD8ftXTj0Og2Q&#10;VItFcqLGcyKs7NrJo+CR4+f+RaAbhAgk4QMc+08Ub/Q4+B4UWewC6CaJdWZ1EICaNmk4DFicistz&#10;8jp/Bua/AQAA//8DAFBLAwQUAAYACAAAACEAum2TKd0AAAAKAQAADwAAAGRycy9kb3ducmV2Lnht&#10;bEyPwU7DMBBE70j8g7VIXBB1kpYQQpwKBfgAChJXN16SqPE62E6b/j3LCW47u6PZN9V2saM4og+D&#10;IwXpKgGB1DozUKfg4/31tgARoiajR0eo4IwBtvXlRaVL4070hsdd7ASHUCi1gj7GqZQytD1aHVZu&#10;QuLbl/NWR5a+k8brE4fbUWZJkkurB+IPvZ6w6bE97Gar4Hlz/kxvZnq5y8Nh+g6+SX3WKHV9tTw9&#10;goi4xD8z/OIzOtTMtHczmSBG1vmanQrus4cUBBuyzZqHPW/yogBZV/J/hfoHAAD//wMAUEsBAi0A&#10;FAAGAAgAAAAhALaDOJL+AAAA4QEAABMAAAAAAAAAAAAAAAAAAAAAAFtDb250ZW50X1R5cGVzXS54&#10;bWxQSwECLQAUAAYACAAAACEAOP0h/9YAAACUAQAACwAAAAAAAAAAAAAAAAAvAQAAX3JlbHMvLnJl&#10;bHNQSwECLQAUAAYACAAAACEAbRbogScCAABOBAAADgAAAAAAAAAAAAAAAAAuAgAAZHJzL2Uyb0Rv&#10;Yy54bWxQSwECLQAUAAYACAAAACEAum2TKd0AAAAKAQAADwAAAAAAAAAAAAAAAACBBAAAZHJzL2Rv&#10;d25yZXYueG1sUEsFBgAAAAAEAAQA8wAAAIsFAAAAAA==&#10;" filled="f" stroked="f" strokeweight=".5pt">
                <v:textbox inset="2mm,1mm,1mm,1mm">
                  <w:txbxContent>
                    <w:p w14:paraId="61E857E8" w14:textId="3C805846" w:rsidR="00DC6857" w:rsidRPr="0080669C" w:rsidRDefault="00C07B47" w:rsidP="00DC6857">
                      <w:pPr>
                        <w:tabs>
                          <w:tab w:val="left" w:pos="4820"/>
                        </w:tabs>
                        <w:spacing w:after="0"/>
                        <w:rPr>
                          <w:rFonts w:ascii="Segoe UI Light" w:hAnsi="Segoe UI Light" w:cs="Segoe UI Light"/>
                          <w:b/>
                          <w:bCs/>
                          <w:sz w:val="16"/>
                          <w:szCs w:val="16"/>
                        </w:rPr>
                      </w:pPr>
                      <w:r w:rsidRPr="00C07B47">
                        <w:rPr>
                          <w:rFonts w:ascii="Segoe UI Light" w:hAnsi="Segoe UI Light" w:cs="Segoe UI Light"/>
                          <w:b/>
                          <w:bCs/>
                          <w:sz w:val="16"/>
                          <w:szCs w:val="16"/>
                        </w:rPr>
                        <w:t>Veselība un sociālā aprūpe</w:t>
                      </w:r>
                    </w:p>
                  </w:txbxContent>
                </v:textbox>
              </v:shape>
            </w:pict>
          </mc:Fallback>
        </mc:AlternateContent>
      </w:r>
      <w:r w:rsidR="00397FA5" w:rsidRPr="001037E7">
        <w:rPr>
          <w:rFonts w:ascii="Candara" w:hAnsi="Candara"/>
          <w:noProof/>
          <w:sz w:val="14"/>
          <w:szCs w:val="14"/>
          <w:lang w:val="en-US"/>
        </w:rPr>
        <mc:AlternateContent>
          <mc:Choice Requires="wps">
            <w:drawing>
              <wp:anchor distT="0" distB="0" distL="114300" distR="114300" simplePos="0" relativeHeight="251658442" behindDoc="0" locked="0" layoutInCell="1" allowOverlap="1" wp14:anchorId="69408926" wp14:editId="3E0A98D2">
                <wp:simplePos x="0" y="0"/>
                <wp:positionH relativeFrom="column">
                  <wp:posOffset>4439500</wp:posOffset>
                </wp:positionH>
                <wp:positionV relativeFrom="paragraph">
                  <wp:posOffset>3494194</wp:posOffset>
                </wp:positionV>
                <wp:extent cx="661958" cy="532765"/>
                <wp:effectExtent l="0" t="0" r="5080" b="635"/>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958" cy="532765"/>
                        </a:xfrm>
                        <a:prstGeom prst="rect">
                          <a:avLst/>
                        </a:prstGeom>
                        <a:noFill/>
                        <a:ln w="6350">
                          <a:noFill/>
                        </a:ln>
                      </wps:spPr>
                      <wps:txbx>
                        <w:txbxContent>
                          <w:p w14:paraId="1F4B9278" w14:textId="77777777" w:rsidR="00DC6857" w:rsidRDefault="00BD4652"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Ēku būvniecība</w:t>
                            </w:r>
                          </w:p>
                          <w:p w14:paraId="4612E506" w14:textId="547F2DBB" w:rsidR="00BD4652" w:rsidRPr="0080669C" w:rsidRDefault="00BD4652"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08926" id="Text Box 156" o:spid="_x0000_s1146" type="#_x0000_t202" style="position:absolute;left:0;text-align:left;margin-left:349.55pt;margin-top:275.15pt;width:52.1pt;height:41.95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jRJAIAAE0EAAAOAAAAZHJzL2Uyb0RvYy54bWysVE2P2yAQvVfqf0DcGzuJkrZWnFW6q1SV&#10;ot2VstWeCYbYKjAUSOz013fAzoe2PVW9YIYZZubNe3hx12lFjsL5BkxJx6OcEmE4VI3Zl/T7y/rD&#10;J0p8YKZiCowo6Ul4erd8/27R2kJMoAZVCUcwifFFa0tah2CLLPO8Fpr5EVhh0CnBaRbQdPuscqzF&#10;7FplkzyfZy24yjrgwns8feiddJnySyl4eJLSi0BUSbG3kFaX1l1cs+WCFXvHbN3woQ32D11o1hgs&#10;ekn1wAIjB9f8kUo33IEHGUYcdAZSNlwkDIhmnL9Bs62ZFQkLDsfby5j8/0vLH49b++xI6L5AhwQm&#10;EN5ugP/wOJustb4YYuJMfeExOgLtpNPxixAIXsTZni7zFF0gHA/n8/HnGQqAo2s2nXycz+K8s+tl&#10;63z4KkCTuCmpQ7pSA+y48aEPPYfEWgbWjVKJMmVIiwWmszxduHgwuTJD332rsenQ7TrSVIhvkiiP&#10;ZzuoTgjcQa8Jb/m6wS42zIdn5lAECAmFHZ5wkQqwGgw7Smpwv/52HuORG/RS0qKoSup/HpgTlKhv&#10;BlmbzvM8qvDWcLfG7tYwB30PqNsxPiHL0xYvu6DOW+lAv6L+V7EqupjhWLuku/P2PvRSx/fDxWqV&#10;glB3loWN2Vp+5jvO+KV7Zc4ORARk8BHO8mPFGz762J6R1SGAbBJZ16kOBKBmE93D+4qP4tZOUde/&#10;wPI3AAAA//8DAFBLAwQUAAYACAAAACEAANQZAOEAAAALAQAADwAAAGRycy9kb3ducmV2LnhtbEyP&#10;wU7DMAyG70i8Q2QkLhNL1rJqK02ngcQFCU2MHTimTdZGNE7VZG339pgT3Gz9n35/Lnaz69hohmA9&#10;SlgtBTCDtdcWGwmnz9eHDbAQFWrVeTQSribArry9KVSu/YQfZjzGhlEJhlxJaGPsc85D3RqnwtL3&#10;Bik7+8GpSOvQcD2oicpdxxMhMu6URbrQqt68tKb+Pl6chEOSfVk8nya9GCu7eL6+4/4tSnl/N++f&#10;gEUzxz8YfvVJHUpyqvwFdWCdhGy7XREqYb0WKTAiNiKloaIofUyAlwX//0P5AwAA//8DAFBLAQIt&#10;ABQABgAIAAAAIQC2gziS/gAAAOEBAAATAAAAAAAAAAAAAAAAAAAAAABbQ29udGVudF9UeXBlc10u&#10;eG1sUEsBAi0AFAAGAAgAAAAhADj9If/WAAAAlAEAAAsAAAAAAAAAAAAAAAAALwEAAF9yZWxzLy5y&#10;ZWxzUEsBAi0AFAAGAAgAAAAhAIvECNEkAgAATQQAAA4AAAAAAAAAAAAAAAAALgIAAGRycy9lMm9E&#10;b2MueG1sUEsBAi0AFAAGAAgAAAAhAADUGQDhAAAACwEAAA8AAAAAAAAAAAAAAAAAfgQAAGRycy9k&#10;b3ducmV2LnhtbFBLBQYAAAAABAAEAPMAAACMBQAAAAA=&#10;" filled="f" stroked="f" strokeweight=".5pt">
                <v:textbox inset="1mm,1mm,1mm,1mm">
                  <w:txbxContent>
                    <w:p w14:paraId="1F4B9278" w14:textId="77777777" w:rsidR="00DC6857" w:rsidRDefault="00BD4652"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Ēku būvniecība</w:t>
                      </w:r>
                    </w:p>
                    <w:p w14:paraId="4612E506" w14:textId="547F2DBB" w:rsidR="00BD4652" w:rsidRPr="0080669C" w:rsidRDefault="00BD4652"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2,3%</w:t>
                      </w:r>
                    </w:p>
                  </w:txbxContent>
                </v:textbox>
              </v:shape>
            </w:pict>
          </mc:Fallback>
        </mc:AlternateContent>
      </w:r>
      <w:r w:rsidR="00397FA5" w:rsidRPr="001037E7">
        <w:rPr>
          <w:rFonts w:ascii="Candara" w:hAnsi="Candara"/>
          <w:noProof/>
          <w:sz w:val="14"/>
          <w:szCs w:val="14"/>
          <w:lang w:val="en-US"/>
        </w:rPr>
        <mc:AlternateContent>
          <mc:Choice Requires="wps">
            <w:drawing>
              <wp:anchor distT="0" distB="0" distL="114300" distR="114300" simplePos="0" relativeHeight="251658443" behindDoc="0" locked="0" layoutInCell="1" allowOverlap="1" wp14:anchorId="3CEDA213" wp14:editId="54597AD7">
                <wp:simplePos x="0" y="0"/>
                <wp:positionH relativeFrom="column">
                  <wp:posOffset>4862762</wp:posOffset>
                </wp:positionH>
                <wp:positionV relativeFrom="paragraph">
                  <wp:posOffset>3369335</wp:posOffset>
                </wp:positionV>
                <wp:extent cx="920010" cy="329740"/>
                <wp:effectExtent l="9207" t="0" r="4128" b="4127"/>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20010" cy="329740"/>
                        </a:xfrm>
                        <a:prstGeom prst="rect">
                          <a:avLst/>
                        </a:prstGeom>
                        <a:noFill/>
                        <a:ln w="6350">
                          <a:noFill/>
                        </a:ln>
                      </wps:spPr>
                      <wps:txbx>
                        <w:txbxContent>
                          <w:p w14:paraId="6E0B2DED" w14:textId="3BF14B6A" w:rsidR="00DC6857" w:rsidRDefault="00397FA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Inženierbūvniecība</w:t>
                            </w:r>
                          </w:p>
                          <w:p w14:paraId="6392C800" w14:textId="5B9C538C" w:rsidR="00397FA5" w:rsidRPr="0080669C" w:rsidRDefault="00397FA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DA213" id="Text Box 157" o:spid="_x0000_s1147" type="#_x0000_t202" style="position:absolute;left:0;text-align:left;margin-left:382.9pt;margin-top:265.3pt;width:72.45pt;height:25.95pt;rotation:-90;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0t2KwIAAFwEAAAOAAAAZHJzL2Uyb0RvYy54bWysVE2P2yAQvVfqf0DcG8dJm+5acVbprlJV&#10;inZXylZ7Jhhiq8BQILHTX98BOx/a9lTVB8R88Jh5b/D8rtOKHITzDZiS5qMxJcJwqBqzK+n3l9WH&#10;G0p8YKZiCowo6VF4erd4/27e2kJMoAZVCUcQxPiitSWtQ7BFlnleC838CKwwGJTgNAtoul1WOdYi&#10;ulbZZDyeZS24yjrgwnv0PvRBukj4UgoenqT0IhBVUqwtpNWldRvXbDFnxc4xWzd8KIP9QxWaNQYv&#10;PUM9sMDI3jV/QOmGO/Agw4iDzkDKhovUA3aTj990s6mZFakXJMfbM03+/8Hyx8PGPjsSui/QoYCp&#10;CW/XwH945CZrrS+GnMipLzxmx0Y76TRxgITmMxQCv3QUOyKIg1Qfz/SKLhCOzlvMyzHCMTSd3H7+&#10;mOjPeqyIaZ0PXwVoEjcldaheAmWHtQ+xmktKTDewapRKCipD2pLOpp/6Ks4RPKHM0EZfeewhdNuO&#10;NBWWPsnjBETfFqoj8pA6whq95asGq1gzH56Zw5lAJ855eMJFKsDbYNhRUoP79Td/zEepMEpJizNW&#10;Uv9zz5ygRH0zKOJ0Fmkj4dpw18b22jB7fQ84xnmqLm3xsAvqtJUO9Cs+h2W8FUPMcLy7pNvT9j70&#10;k4/PiYvlMiXhGFoW1mZj+Un+yP5L98qcHYQIqOAjnKaRFW/06HN7RZb7ALJJYl1YHQTAEU4aDs8t&#10;vpFrO2VdfgqL3wAAAP//AwBQSwMEFAAGAAgAAAAhAEaY3c/hAAAACwEAAA8AAABkcnMvZG93bnJl&#10;di54bWxMj01LxDAURfeC/yE8wZ2TNJYSa9Nh8GsjCo4WXL5pYltsXmqTman/3rjS5eMe7j2vWi9u&#10;ZAc7h8GThmwlgFlqvRmo0/D2en+hgIWIZHD0ZDV82wDr+vSkwtL4I73YwzZ2LJVQKFFDH+NUch7a&#10;3joMKz9ZStmHnx3GdM4dNzMeU7kbuRSi4A4HSgs9Tvamt+3ndu80SOeU/Hp6aHvxHvDu+bZpNo+N&#10;1udny+YaWLRL/IPhVz+pQ52cdn5PJrBRg8rkZUI15CrPgCVCFbkEttNQyCsBvK74/x/qHwAAAP//&#10;AwBQSwECLQAUAAYACAAAACEAtoM4kv4AAADhAQAAEwAAAAAAAAAAAAAAAAAAAAAAW0NvbnRlbnRf&#10;VHlwZXNdLnhtbFBLAQItABQABgAIAAAAIQA4/SH/1gAAAJQBAAALAAAAAAAAAAAAAAAAAC8BAABf&#10;cmVscy8ucmVsc1BLAQItABQABgAIAAAAIQB240t2KwIAAFwEAAAOAAAAAAAAAAAAAAAAAC4CAABk&#10;cnMvZTJvRG9jLnhtbFBLAQItABQABgAIAAAAIQBGmN3P4QAAAAsBAAAPAAAAAAAAAAAAAAAAAIUE&#10;AABkcnMvZG93bnJldi54bWxQSwUGAAAAAAQABADzAAAAkwUAAAAA&#10;" filled="f" stroked="f" strokeweight=".5pt">
                <v:textbox inset="1mm,1mm,1mm,1mm">
                  <w:txbxContent>
                    <w:p w14:paraId="6E0B2DED" w14:textId="3BF14B6A" w:rsidR="00DC6857" w:rsidRDefault="00397FA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Inženierbūvniecība</w:t>
                      </w:r>
                    </w:p>
                    <w:p w14:paraId="6392C800" w14:textId="5B9C538C" w:rsidR="00397FA5" w:rsidRPr="0080669C" w:rsidRDefault="00397FA5"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1,7%</w:t>
                      </w:r>
                    </w:p>
                  </w:txbxContent>
                </v:textbox>
              </v:shape>
            </w:pict>
          </mc:Fallback>
        </mc:AlternateContent>
      </w:r>
      <w:r w:rsidR="00505CF7" w:rsidRPr="001037E7">
        <w:rPr>
          <w:rFonts w:ascii="Candara" w:hAnsi="Candara"/>
          <w:noProof/>
          <w:sz w:val="14"/>
          <w:szCs w:val="14"/>
          <w:lang w:val="en-US"/>
        </w:rPr>
        <mc:AlternateContent>
          <mc:Choice Requires="wps">
            <w:drawing>
              <wp:anchor distT="0" distB="0" distL="114300" distR="114300" simplePos="0" relativeHeight="251658367" behindDoc="0" locked="0" layoutInCell="1" allowOverlap="1" wp14:anchorId="4DE77047" wp14:editId="721E2AA4">
                <wp:simplePos x="0" y="0"/>
                <wp:positionH relativeFrom="column">
                  <wp:posOffset>3071128</wp:posOffset>
                </wp:positionH>
                <wp:positionV relativeFrom="paragraph">
                  <wp:posOffset>1991196</wp:posOffset>
                </wp:positionV>
                <wp:extent cx="1312697" cy="251460"/>
                <wp:effectExtent l="0" t="0" r="1905"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2697" cy="251460"/>
                        </a:xfrm>
                        <a:prstGeom prst="rect">
                          <a:avLst/>
                        </a:prstGeom>
                        <a:noFill/>
                        <a:ln w="6350">
                          <a:noFill/>
                        </a:ln>
                      </wps:spPr>
                      <wps:txbx>
                        <w:txbxContent>
                          <w:p w14:paraId="4418A2F5" w14:textId="69888DA5" w:rsidR="00DC6857" w:rsidRPr="00176803" w:rsidRDefault="00505CF7"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Transports un uzglabāšana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77047" id="Text Box 143" o:spid="_x0000_s1148" type="#_x0000_t202" style="position:absolute;left:0;text-align:left;margin-left:241.8pt;margin-top:156.8pt;width:103.35pt;height:19.8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rtUJwIAAE4EAAAOAAAAZHJzL2Uyb0RvYy54bWysVEuP2yAQvlfqf0DcGydON9tacVbprlJV&#10;inZXylZ7Jhhiq8BQILHTX98BOw9te6p6wQzznu8bz+86rchBON+AKelkNKZEGA5VY3Yl/f6y+vCJ&#10;Eh+YqZgCI0p6FJ7eLd6/m7e2EDnUoCrhCAYxvmhtSesQbJFlntdCMz8CKwwqJTjNAopul1WOtRhd&#10;qywfj2dZC66yDrjwHl8feiVdpPhSCh6epPQiEFVSrC2k06VzG89sMWfFzjFbN3wog/1DFZo1BpOe&#10;Qz2wwMjeNX+E0g134EGGEQedgZQNF6kH7GYyftPNpmZWpF5wON6ex+T/X1j+eNjYZ0dC9wU6BDA1&#10;4e0a+A+Ps8la64vBJs7UFx6tY6OddDp+sQWCjjjb43meoguEx2jTST77fEsJR11+M/k4SwPPLt7W&#10;+fBVgCbxUlKHeKUK2GHtQ8zPipNJTGZg1SiVMFOGtCWdTW/GyeGsQQ9lhsL7WmPVodt2pKmwpDyP&#10;mMe3LVRH7NxBTwpv+arBKtbMh2fmkAXYEzI7POEhFWA2GG6U1OB+/e092iM4qKWkRVaV1P/cMyco&#10;Ud8MwnaLnI00TMJ0lgR3LWyvBbPX94DEneAOWZ6u6OyCOl2lA/2KC7CMWVHFDMfcJQ2n633ouY4L&#10;xMVymYyQeJaFtdlYfgI8zvile2XODkAEhPARTvxjxRs8etsekeU+gGwSWJepDgAgaROGw4LFrbiW&#10;k9XlN7D4DQAA//8DAFBLAwQUAAYACAAAACEAEitUe94AAAALAQAADwAAAGRycy9kb3ducmV2Lnht&#10;bEyPy07DMBBF90j8gzVIbBB1Hm3UhjgVCvABFCS2bjJNosbjYDtt+vdMV3Q3j6M7Z4rtbAZxQud7&#10;SwriRQQCqbZNT62C76+P5zUIHzQ1erCECi7oYVve3xU6b+yZPvG0C63gEPK5VtCFMOZS+rpDo/3C&#10;jki8O1hndODWtbJx+szhZpBJFGXS6J74QqdHrDqsj7vJKHhbXn7ip4neV5k/jr/eVbFLKqUeH+bX&#10;FxAB5/APw1Wf1aFkp72dqPFiULBcpxmjCtL4WjCRbaIUxJ4nqzQBWRby9ofyDwAA//8DAFBLAQIt&#10;ABQABgAIAAAAIQC2gziS/gAAAOEBAAATAAAAAAAAAAAAAAAAAAAAAABbQ29udGVudF9UeXBlc10u&#10;eG1sUEsBAi0AFAAGAAgAAAAhADj9If/WAAAAlAEAAAsAAAAAAAAAAAAAAAAALwEAAF9yZWxzLy5y&#10;ZWxzUEsBAi0AFAAGAAgAAAAhAJf2u1QnAgAATgQAAA4AAAAAAAAAAAAAAAAALgIAAGRycy9lMm9E&#10;b2MueG1sUEsBAi0AFAAGAAgAAAAhABIrVHveAAAACwEAAA8AAAAAAAAAAAAAAAAAgQQAAGRycy9k&#10;b3ducmV2LnhtbFBLBQYAAAAABAAEAPMAAACMBQAAAAA=&#10;" filled="f" stroked="f" strokeweight=".5pt">
                <v:textbox inset="2mm,1mm,1mm,1mm">
                  <w:txbxContent>
                    <w:p w14:paraId="4418A2F5" w14:textId="69888DA5" w:rsidR="00DC6857" w:rsidRPr="00176803" w:rsidRDefault="00505CF7"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Transports un uzglabāšana</w:t>
                      </w:r>
                    </w:p>
                  </w:txbxContent>
                </v:textbox>
              </v:shape>
            </w:pict>
          </mc:Fallback>
        </mc:AlternateContent>
      </w:r>
      <w:r w:rsidR="00735C76" w:rsidRPr="001037E7">
        <w:rPr>
          <w:rFonts w:ascii="Candara" w:hAnsi="Candara"/>
          <w:noProof/>
          <w:sz w:val="14"/>
          <w:szCs w:val="14"/>
          <w:lang w:val="en-US"/>
        </w:rPr>
        <mc:AlternateContent>
          <mc:Choice Requires="wps">
            <w:drawing>
              <wp:anchor distT="0" distB="0" distL="114300" distR="114300" simplePos="0" relativeHeight="251658447" behindDoc="0" locked="0" layoutInCell="1" allowOverlap="1" wp14:anchorId="066BA5AA" wp14:editId="51CF3D61">
                <wp:simplePos x="0" y="0"/>
                <wp:positionH relativeFrom="column">
                  <wp:posOffset>5112400</wp:posOffset>
                </wp:positionH>
                <wp:positionV relativeFrom="paragraph">
                  <wp:posOffset>1686560</wp:posOffset>
                </wp:positionV>
                <wp:extent cx="319760" cy="253958"/>
                <wp:effectExtent l="0" t="5080" r="0" b="0"/>
                <wp:wrapNone/>
                <wp:docPr id="1483926664" name="Text Box 1483926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319760" cy="253958"/>
                        </a:xfrm>
                        <a:prstGeom prst="rect">
                          <a:avLst/>
                        </a:prstGeom>
                        <a:noFill/>
                        <a:ln w="6350">
                          <a:noFill/>
                        </a:ln>
                      </wps:spPr>
                      <wps:txbx>
                        <w:txbxContent>
                          <w:p w14:paraId="6EB614D9" w14:textId="7FEFBC89" w:rsidR="00735C76" w:rsidRPr="0080669C" w:rsidRDefault="00735C7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C30</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BA5AA" id="Text Box 1483926664" o:spid="_x0000_s1149" type="#_x0000_t202" style="position:absolute;left:0;text-align:left;margin-left:402.55pt;margin-top:132.8pt;width:25.2pt;height:20pt;rotation:-90;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g1HLAIAAFwEAAAOAAAAZHJzL2Uyb0RvYy54bWysVE1vGjEQvVfqf7B8L8uHoMmKJaKJqCqh&#10;JBKpcjZeG1b1etyxYZf++o69C0FpT1U5WPO1zzPvjZnftbVhR4W+Alvw0WDImbISysruCv79ZfXp&#10;hjMfhC2FAasKflKe3y0+fpg3Lldj2IMpFTICsT5vXMH3Ibg8y7zcq1r4AThlKakBaxHIxV1WomgI&#10;vTbZeDicZQ1g6RCk8p6iD12SLxK+1kqGJ629CswUnHoL6cR0buOZLeYi36Fw+0r2bYh/6KIWlaVL&#10;L1APIgh2wOoPqLqSCB50GEioM9C6kirNQNOMhu+m2eyFU2kWIse7C03+/8HKx+PGPSML7RdoScA0&#10;hHdrkD88cZM1zud9TeTU556q46CtxpohEKGjGQlBv/QpTcQIh6g+XehVbWCSgpPR7ecZZSSlxtPJ&#10;7fQm0p91WBHToQ9fFdQsGgVHUi+BiuPah670XBLLLawqY5KCxrKm4LPJtOvikiFwY/sxus7jDKHd&#10;tqwqqfXxJLYQY1soT8RDmoh69E6uKupiLXx4Fkg7QUHa8/BEhzZAt0FvcbYH/PW3eKwnqSjLWUM7&#10;VnD/8yBQcWa+WRJxMou0sXDt4LWzvXbsob4HWuNR6i6Z9DEGczY1Qv1Kz2EZb6WUsJLuLvj2bN6H&#10;bvPpOUm1XKYiWkMnwtpunDzLHzl+aV8Ful6IQAo+wnkbRf5Oj662U2R5CKCrJNYbq70AtMJJ7v65&#10;xTdy7aeqtz+FxW8AAAD//wMAUEsDBBQABgAIAAAAIQDNBClL4AAAAAsBAAAPAAAAZHJzL2Rvd25y&#10;ZXYueG1sTI/LTsMwEEX3SPyDNUjsqJ0UKiuNU1W8NohKFCJ1OY1NHBHbIXbb8PdMV7Ccmasz55ar&#10;yfXsaMbYBa8gmwlgxjdBd75V8PH+dCOBxYReYx+8UfBjIqyqy4sSCx1O/s0ct6llBPGxQAU2paHg&#10;PDbWOIyzMBhPt88wOkw0ji3XI54I7nqeC7HgDjtPHywO5t6a5mt7cApy52T+/frcWLGL+Lh5qOv1&#10;S63U9dW0XgJLZkp/YTjrkzpU5LQPB68j6xXITMwpSrCFuAVGCXl33uwVzDMhgVcl/9+h+gUAAP//&#10;AwBQSwECLQAUAAYACAAAACEAtoM4kv4AAADhAQAAEwAAAAAAAAAAAAAAAAAAAAAAW0NvbnRlbnRf&#10;VHlwZXNdLnhtbFBLAQItABQABgAIAAAAIQA4/SH/1gAAAJQBAAALAAAAAAAAAAAAAAAAAC8BAABf&#10;cmVscy8ucmVsc1BLAQItABQABgAIAAAAIQBY1g1HLAIAAFwEAAAOAAAAAAAAAAAAAAAAAC4CAABk&#10;cnMvZTJvRG9jLnhtbFBLAQItABQABgAIAAAAIQDNBClL4AAAAAsBAAAPAAAAAAAAAAAAAAAAAIYE&#10;AABkcnMvZG93bnJldi54bWxQSwUGAAAAAAQABADzAAAAkwUAAAAA&#10;" filled="f" stroked="f" strokeweight=".5pt">
                <v:textbox inset="1mm,1mm,1mm,1mm">
                  <w:txbxContent>
                    <w:p w14:paraId="6EB614D9" w14:textId="7FEFBC89" w:rsidR="00735C76" w:rsidRPr="0080669C" w:rsidRDefault="00735C7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C30</w:t>
                      </w:r>
                    </w:p>
                  </w:txbxContent>
                </v:textbox>
              </v:shape>
            </w:pict>
          </mc:Fallback>
        </mc:AlternateContent>
      </w:r>
      <w:r w:rsidR="00C40A33" w:rsidRPr="001037E7">
        <w:rPr>
          <w:rFonts w:ascii="Candara" w:hAnsi="Candara"/>
          <w:noProof/>
          <w:sz w:val="14"/>
          <w:szCs w:val="14"/>
          <w:lang w:val="en-US"/>
        </w:rPr>
        <mc:AlternateContent>
          <mc:Choice Requires="wps">
            <w:drawing>
              <wp:anchor distT="0" distB="0" distL="114300" distR="114300" simplePos="0" relativeHeight="251658446" behindDoc="0" locked="0" layoutInCell="1" allowOverlap="1" wp14:anchorId="2B8121D9" wp14:editId="75528271">
                <wp:simplePos x="0" y="0"/>
                <wp:positionH relativeFrom="column">
                  <wp:posOffset>4910233</wp:posOffset>
                </wp:positionH>
                <wp:positionV relativeFrom="paragraph">
                  <wp:posOffset>1686915</wp:posOffset>
                </wp:positionV>
                <wp:extent cx="319760" cy="253958"/>
                <wp:effectExtent l="0" t="5080" r="0" b="0"/>
                <wp:wrapNone/>
                <wp:docPr id="1171785161" name="Text Box 1171785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319760" cy="253958"/>
                        </a:xfrm>
                        <a:prstGeom prst="rect">
                          <a:avLst/>
                        </a:prstGeom>
                        <a:noFill/>
                        <a:ln w="6350">
                          <a:noFill/>
                        </a:ln>
                      </wps:spPr>
                      <wps:txbx>
                        <w:txbxContent>
                          <w:p w14:paraId="56B4DAF8" w14:textId="029AD756" w:rsidR="00C40A33" w:rsidRPr="0080669C" w:rsidRDefault="00C40A3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C21</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121D9" id="Text Box 1171785161" o:spid="_x0000_s1150" type="#_x0000_t202" style="position:absolute;left:0;text-align:left;margin-left:386.65pt;margin-top:132.85pt;width:25.2pt;height:20pt;rotation:-90;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3AALAIAAFwEAAAOAAAAZHJzL2Uyb0RvYy54bWysVE1vGjEQvVfqf7B8L8tHocmKJaKJqCqh&#10;JBKJcjZeG1b1etyxYTf99R17F4LSnqpysOZrn2feGzO/aWvDjgp9Bbbgo8GQM2UllJXdFfz5afXp&#10;ijMfhC2FAasK/qo8v1l8/DBvXK7GsAdTKmQEYn3euILvQ3B5lnm5V7XwA3DKUlID1iKQi7usRNEQ&#10;em2y8XA4yxrA0iFI5T1F77okXyR8rZUMD1p7FZgpOPUW0onp3MYzW8xFvkPh9pXs2xD/0EUtKkuX&#10;nqHuRBDsgNUfUHUlETzoMJBQZ6B1JVWagaYZDd9Ns9kLp9IsRI53Z5r8/4OV98eNe0QW2q/QkoBp&#10;CO/WIH944iZrnM/7msipzz1Vx0FbjTVDIEJHMxKCfulTmogRDlH9eqZXtYFJCk5G119mlJGUGk8n&#10;19OrSH/WYUVMhz58U1CzaBQcSb0EKo5rH7rSU0kst7CqjEkKGsuags8m066Lc4bAje3H6DqPM4R2&#10;27KqpNbHn2MLMbaF8pV4SBNRj97JVUVdrIUPjwJpJyhIex4e6NAG6DboLc72gL/+Fo/1JBVlOWto&#10;xwrufx4EKs7Md0siTmaRNhYuHbx0tpeOPdS3QGs8St0lkz7GYE6mRqhf6Dks462UElbS3QXfnszb&#10;0G0+PSeplstURGvoRFjbjZMn+SPHT+2LQNcLEUjBezhto8jf6dHVdoosDwF0lcR6Y7UXgFY4yd0/&#10;t/hGLv1U9fansPgNAAD//wMAUEsDBBQABgAIAAAAIQDqGh9W4AAAAAsBAAAPAAAAZHJzL2Rvd25y&#10;ZXYueG1sTI/LTsMwEEX3SPyDNUjsqJ0g2jTEqSpeGwQSpZFYTuMhiYjtELtt+HumK9jN4+jOmWI1&#10;2V4caAyddxqSmQJBrvamc42G7fvjVQYiRHQGe+9Iww8FWJXnZwXmxh/dGx02sREc4kKOGtoYh1zK&#10;ULdkMcz8QI53n360GLkdG2lGPHK47WWq1Fxa7BxfaHGgu5bqr83eakitzdLvl6e6VR8BH17vq2r9&#10;XGl9eTGtb0FEmuIfDCd9VoeSnXZ+70wQvYbFIrthlMPmigsmsuQ02Wm4TtQSZFnI/z+UvwAAAP//&#10;AwBQSwECLQAUAAYACAAAACEAtoM4kv4AAADhAQAAEwAAAAAAAAAAAAAAAAAAAAAAW0NvbnRlbnRf&#10;VHlwZXNdLnhtbFBLAQItABQABgAIAAAAIQA4/SH/1gAAAJQBAAALAAAAAAAAAAAAAAAAAC8BAABf&#10;cmVscy8ucmVsc1BLAQItABQABgAIAAAAIQDmw3AALAIAAFwEAAAOAAAAAAAAAAAAAAAAAC4CAABk&#10;cnMvZTJvRG9jLnhtbFBLAQItABQABgAIAAAAIQDqGh9W4AAAAAsBAAAPAAAAAAAAAAAAAAAAAIYE&#10;AABkcnMvZG93bnJldi54bWxQSwUGAAAAAAQABADzAAAAkwUAAAAA&#10;" filled="f" stroked="f" strokeweight=".5pt">
                <v:textbox inset="1mm,1mm,1mm,1mm">
                  <w:txbxContent>
                    <w:p w14:paraId="56B4DAF8" w14:textId="029AD756" w:rsidR="00C40A33" w:rsidRPr="0080669C" w:rsidRDefault="00C40A3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C21</w:t>
                      </w:r>
                    </w:p>
                  </w:txbxContent>
                </v:textbox>
              </v:shape>
            </w:pict>
          </mc:Fallback>
        </mc:AlternateContent>
      </w:r>
      <w:r w:rsidR="00C40A33" w:rsidRPr="001037E7">
        <w:rPr>
          <w:rFonts w:ascii="Candara" w:hAnsi="Candara"/>
          <w:noProof/>
          <w:sz w:val="14"/>
          <w:szCs w:val="14"/>
          <w:lang w:val="en-US"/>
        </w:rPr>
        <mc:AlternateContent>
          <mc:Choice Requires="wps">
            <w:drawing>
              <wp:anchor distT="0" distB="0" distL="114300" distR="114300" simplePos="0" relativeHeight="251658445" behindDoc="0" locked="0" layoutInCell="1" allowOverlap="1" wp14:anchorId="08B89880" wp14:editId="37D5C71C">
                <wp:simplePos x="0" y="0"/>
                <wp:positionH relativeFrom="column">
                  <wp:posOffset>5393367</wp:posOffset>
                </wp:positionH>
                <wp:positionV relativeFrom="paragraph">
                  <wp:posOffset>1535851</wp:posOffset>
                </wp:positionV>
                <wp:extent cx="319760" cy="253958"/>
                <wp:effectExtent l="0" t="0" r="4445" b="0"/>
                <wp:wrapNone/>
                <wp:docPr id="55204933" name="Text Box 55204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760" cy="253958"/>
                        </a:xfrm>
                        <a:prstGeom prst="rect">
                          <a:avLst/>
                        </a:prstGeom>
                        <a:noFill/>
                        <a:ln w="6350">
                          <a:noFill/>
                        </a:ln>
                      </wps:spPr>
                      <wps:txbx>
                        <w:txbxContent>
                          <w:p w14:paraId="7DFAB548" w14:textId="4CEB12E3" w:rsidR="00C40A33" w:rsidRPr="0080669C" w:rsidRDefault="00C40A3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89880" id="Text Box 55204933" o:spid="_x0000_s1151" type="#_x0000_t202" style="position:absolute;left:0;text-align:left;margin-left:424.65pt;margin-top:120.95pt;width:25.2pt;height:20pt;z-index:251658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9eJQIAAE0EAAAOAAAAZHJzL2Uyb0RvYy54bWysVE1v2zAMvQ/YfxB0X+wkSNYacYqsRYYB&#10;QVsgHXpWZCkWJouapMTufv0o2flAt9OwiyyKFPnI9+TFXddochTOKzAlHY9ySoThUCmzL+n3l/Wn&#10;G0p8YKZiGowo6Zvw9G758cOitYWYQA26Eo5gEuOL1pa0DsEWWeZ5LRrmR2CFQacE17CApttnlWMt&#10;Zm90NsnzedaCq6wDLrzH04feSZcpv5SChycpvQhElxSxhbS6tO7imi0XrNg7ZmvFBxjsH1A0TBks&#10;ek71wAIjB6f+SNUo7sCDDCMOTQZSKi5SD9jNOH/XzbZmVqRecDjensfk/19a/njc2mdHQvcFOiQw&#10;NeHtBvgPj7PJWuuLISbO1Bceo2OjnXRN/GILBC/ibN/O8xRdIBwPp+Pbz3P0cHRNZtPb2U2cd3a5&#10;bJ0PXwU0JG5K6pCuBIAdNz70oaeQWMvAWmmdKNOGtCWdT2d5unD2YHJtBtw91Ag6dLuOqAr7m8wi&#10;hHi2g+oNG3fQa8JbvlaIYsN8eGYORYDAUdjhCRepAavBsKOkBvfrb+cxHrlBLyUtiqqk/ueBOUGJ&#10;/maQtek8z6MKrw13beyuDXNo7gF1O8YnZHna4mUX9GkrHTSvqP9VrIouZjjWLunutL0PvdTx/XCx&#10;WqUg1J1lYWO2lp/4jjN+6V6ZswMRARl8hJP8WPGOjz62Z2R1CCBVIusy1YEA1Gyie3hf8VFc2ynq&#10;8hdY/gYAAP//AwBQSwMEFAAGAAgAAAAhAPHy/uDhAAAACwEAAA8AAABkcnMvZG93bnJldi54bWxM&#10;j8FOg0AQhu8mvsNmTLw07VJsKiBLU028mBhj7aHHhZ0CkZ0l7Bbo2zue9Dj/fPnnm3w3206MOPjW&#10;kYL1KgKBVDnTUq3g+PW6TED4oMnozhEquKKHXXF7k+vMuIk+cTyEWnAJ+UwraELoMyl91aDVfuV6&#10;JN6d3WB14HGopRn0xOW2k3EUbaXVLfGFRvf40mD1fbhYBR/x9tTS+TiZxVi2i+frO+3fglL3d/P+&#10;CUTAOfzB8KvP6lCwU+kuZLzoFCSb9IFRBfFmnYJgIknTRxAlJwknssjl/x+KHwAAAP//AwBQSwEC&#10;LQAUAAYACAAAACEAtoM4kv4AAADhAQAAEwAAAAAAAAAAAAAAAAAAAAAAW0NvbnRlbnRfVHlwZXNd&#10;LnhtbFBLAQItABQABgAIAAAAIQA4/SH/1gAAAJQBAAALAAAAAAAAAAAAAAAAAC8BAABfcmVscy8u&#10;cmVsc1BLAQItABQABgAIAAAAIQCehK9eJQIAAE0EAAAOAAAAAAAAAAAAAAAAAC4CAABkcnMvZTJv&#10;RG9jLnhtbFBLAQItABQABgAIAAAAIQDx8v7g4QAAAAsBAAAPAAAAAAAAAAAAAAAAAH8EAABkcnMv&#10;ZG93bnJldi54bWxQSwUGAAAAAAQABADzAAAAjQUAAAAA&#10;" filled="f" stroked="f" strokeweight=".5pt">
                <v:textbox inset="1mm,1mm,1mm,1mm">
                  <w:txbxContent>
                    <w:p w14:paraId="7DFAB548" w14:textId="4CEB12E3" w:rsidR="00C40A33" w:rsidRPr="0080669C" w:rsidRDefault="00C40A3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C17</w:t>
                      </w:r>
                    </w:p>
                  </w:txbxContent>
                </v:textbox>
              </v:shape>
            </w:pict>
          </mc:Fallback>
        </mc:AlternateContent>
      </w:r>
      <w:r w:rsidR="0003413F" w:rsidRPr="001037E7">
        <w:rPr>
          <w:rFonts w:ascii="Candara" w:hAnsi="Candara"/>
          <w:noProof/>
          <w:sz w:val="14"/>
          <w:szCs w:val="14"/>
          <w:lang w:val="en-US"/>
        </w:rPr>
        <mc:AlternateContent>
          <mc:Choice Requires="wps">
            <w:drawing>
              <wp:anchor distT="0" distB="0" distL="114300" distR="114300" simplePos="0" relativeHeight="251658444" behindDoc="0" locked="0" layoutInCell="1" allowOverlap="1" wp14:anchorId="0FCD25CD" wp14:editId="4B45E80E">
                <wp:simplePos x="0" y="0"/>
                <wp:positionH relativeFrom="column">
                  <wp:posOffset>5359716</wp:posOffset>
                </wp:positionH>
                <wp:positionV relativeFrom="paragraph">
                  <wp:posOffset>1301435</wp:posOffset>
                </wp:positionV>
                <wp:extent cx="319760" cy="253958"/>
                <wp:effectExtent l="0" t="0" r="4445" b="0"/>
                <wp:wrapNone/>
                <wp:docPr id="1906753220" name="Text Box 1906753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760" cy="253958"/>
                        </a:xfrm>
                        <a:prstGeom prst="rect">
                          <a:avLst/>
                        </a:prstGeom>
                        <a:noFill/>
                        <a:ln w="6350">
                          <a:noFill/>
                        </a:ln>
                      </wps:spPr>
                      <wps:txbx>
                        <w:txbxContent>
                          <w:p w14:paraId="6148CDD9" w14:textId="718AF804" w:rsidR="0003413F" w:rsidRPr="0080669C" w:rsidRDefault="0003413F"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C32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D25CD" id="Text Box 1906753220" o:spid="_x0000_s1152" type="#_x0000_t202" style="position:absolute;left:0;text-align:left;margin-left:422pt;margin-top:102.5pt;width:25.2pt;height:20pt;z-index:251658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76JQIAAE0EAAAOAAAAZHJzL2Uyb0RvYy54bWysVE1v2zAMvQ/YfxB0X+wkSNYacYqsRYYB&#10;QVsgHXpWZCkWJouapMTufv0o2flAt9OwiyyKFPnI9+TFXddochTOKzAlHY9ySoThUCmzL+n3l/Wn&#10;G0p8YKZiGowo6Zvw9G758cOitYWYQA26Eo5gEuOL1pa0DsEWWeZ5LRrmR2CFQacE17CApttnlWMt&#10;Zm90NsnzedaCq6wDLrzH04feSZcpv5SChycpvQhElxSxhbS6tO7imi0XrNg7ZmvFBxjsH1A0TBks&#10;ek71wAIjB6f+SNUo7sCDDCMOTQZSKi5SD9jNOH/XzbZmVqRecDjensfk/19a/njc2mdHQvcFOiQw&#10;NeHtBvgPj7PJWuuLISbO1Bceo2OjnXRN/GILBC/ibN/O8xRdIBwPp+Pbz3P0cHRNZtPb2U2cd3a5&#10;bJ0PXwU0JG5K6pCuBIAdNz70oaeQWMvAWmmdKNOGtCWdT2d5unD2YHJtBtw91Ag6dLuOqAr7m8wj&#10;hHi2g+oNG3fQa8JbvlaIYsN8eGYORYDAUdjhCRepAavBsKOkBvfrb+cxHrlBLyUtiqqk/ueBOUGJ&#10;/maQtek8z6MKrw13beyuDXNo7gF1O8YnZHna4mUX9GkrHTSvqP9VrIouZjjWLunutL0PvdTx/XCx&#10;WqUg1J1lYWO2lp/4jjN+6V6ZswMRARl8hJP8WPGOjz62Z2R1CCBVIusy1YEA1Gyie3hf8VFc2ynq&#10;8hdY/gYAAP//AwBQSwMEFAAGAAgAAAAhAKhEH1PgAAAACwEAAA8AAABkcnMvZG93bnJldi54bWxM&#10;j0FPwzAMhe9I/IfISFwmllKVqZSm00DigoQQYweOaeO1EY1TNVnb/XvMid3s56fn75XbxfViwjFY&#10;Twru1wkIpMYbS62Cw9frXQ4iRE1G955QwRkDbKvrq1IXxs/0idM+toJDKBRaQRfjUEgZmg6dDms/&#10;IPHt6EenI69jK82oZw53vUyTZCOdtsQfOj3gS4fNz/7kFHykm29Lx8NsVlNtV8/nd9q9RaVub5bd&#10;E4iIS/w3wx8+o0PFTLU/kQmiV5BnGXeJCtLkgQd25I9ZBqJmJWNFVqW87FD9AgAA//8DAFBLAQIt&#10;ABQABgAIAAAAIQC2gziS/gAAAOEBAAATAAAAAAAAAAAAAAAAAAAAAABbQ29udGVudF9UeXBlc10u&#10;eG1sUEsBAi0AFAAGAAgAAAAhADj9If/WAAAAlAEAAAsAAAAAAAAAAAAAAAAALwEAAF9yZWxzLy5y&#10;ZWxzUEsBAi0AFAAGAAgAAAAhAF5UDvolAgAATQQAAA4AAAAAAAAAAAAAAAAALgIAAGRycy9lMm9E&#10;b2MueG1sUEsBAi0AFAAGAAgAAAAhAKhEH1PgAAAACwEAAA8AAAAAAAAAAAAAAAAAfwQAAGRycy9k&#10;b3ducmV2LnhtbFBLBQYAAAAABAAEAPMAAACMBQAAAAA=&#10;" filled="f" stroked="f" strokeweight=".5pt">
                <v:textbox inset="1mm,1mm,1mm,1mm">
                  <w:txbxContent>
                    <w:p w14:paraId="6148CDD9" w14:textId="718AF804" w:rsidR="0003413F" w:rsidRPr="0080669C" w:rsidRDefault="0003413F"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C32</w:t>
                      </w:r>
                    </w:p>
                  </w:txbxContent>
                </v:textbox>
              </v:shape>
            </w:pict>
          </mc:Fallback>
        </mc:AlternateContent>
      </w:r>
      <w:r w:rsidR="00B91D83" w:rsidRPr="001037E7">
        <w:rPr>
          <w:rFonts w:ascii="Candara" w:hAnsi="Candara"/>
          <w:noProof/>
          <w:sz w:val="14"/>
          <w:szCs w:val="14"/>
          <w:lang w:val="en-US"/>
        </w:rPr>
        <mc:AlternateContent>
          <mc:Choice Requires="wps">
            <w:drawing>
              <wp:anchor distT="0" distB="0" distL="114300" distR="114300" simplePos="0" relativeHeight="251658364" behindDoc="0" locked="0" layoutInCell="1" allowOverlap="1" wp14:anchorId="3CA66D6F" wp14:editId="5C19207C">
                <wp:simplePos x="0" y="0"/>
                <wp:positionH relativeFrom="column">
                  <wp:posOffset>5006492</wp:posOffset>
                </wp:positionH>
                <wp:positionV relativeFrom="paragraph">
                  <wp:posOffset>1295489</wp:posOffset>
                </wp:positionV>
                <wp:extent cx="319760" cy="253958"/>
                <wp:effectExtent l="0" t="0" r="4445"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760" cy="253958"/>
                        </a:xfrm>
                        <a:prstGeom prst="rect">
                          <a:avLst/>
                        </a:prstGeom>
                        <a:noFill/>
                        <a:ln w="6350">
                          <a:noFill/>
                        </a:ln>
                      </wps:spPr>
                      <wps:txbx>
                        <w:txbxContent>
                          <w:p w14:paraId="5048FA9A" w14:textId="3702E499" w:rsidR="00DC6857" w:rsidRPr="0080669C" w:rsidRDefault="005251F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66D6F" id="Text Box 140" o:spid="_x0000_s1153" type="#_x0000_t202" style="position:absolute;left:0;text-align:left;margin-left:394.2pt;margin-top:102pt;width:25.2pt;height:20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kEvJQIAAE0EAAAOAAAAZHJzL2Uyb0RvYy54bWysVE1v2zAMvQ/YfxB0X+wkSNoacYqsRYYB&#10;QVsgLXqWZSk2JouapMTOfv0o2flAt9OwiyyKFPnI9+TFfdcochDW1aBzOh6llAjNoaz1Lqdvr+sv&#10;t5Q4z3TJFGiR06Nw9H75+dOiNZmYQAWqFJZgEu2y1uS08t5kSeJ4JRrmRmCERqcE2zCPpt0lpWUt&#10;Zm9UMknTedKCLY0FLpzD08feSZcxv5SC+2cpnfBE5RSx+bjauBZhTZYLlu0sM1XNBxjsH1A0rNZY&#10;9JzqkXlG9rb+I1VTcwsOpB9xaBKQsuYi9oDdjNMP3WwrZkTsBYfjzHlM7v+l5U+HrXmxxHdfoUMC&#10;YxPObID/cDibpDUuG2LCTF3mMDo02knbhC+2QPAizvZ4nqfoPOF4OB3f3czRw9E1mU3vZrdh3snl&#10;srHOfxPQkLDJqUW6IgB22Djfh55CQi0N61qpSJnSpM3pfDpL44WzB5MrPeDuoQbQvis6UpfY3+Qm&#10;QAhnBZRHbNxCrwln+LpGFBvm/AuzKAIEjsL2z7hIBVgNhh0lFdhffzsP8cgNeilpUVQ5dT/3zApK&#10;1HeNrE3naRpUeG3Ya6O4NvS+eQDU7RifkOFxi5etV6ettNC8o/5XoSq6mOZYO6fFafvge6nj++Fi&#10;tYpBqDvD/EZvDT/xHWb82r0zawYiPDL4BCf5sewDH31sz8hq70HWkazLVAcCULOR7uF9hUdxbceo&#10;y19g+RsAAP//AwBQSwMEFAAGAAgAAAAhALSK0dXfAAAACwEAAA8AAABkcnMvZG93bnJldi54bWxM&#10;j01Lw0AQhu+C/2EZwUuxG2OoS8ymVMGLIGLtweMmO02C2dmQ3Sbpv3c82eO88/B+FNvF9WLCMXSe&#10;NNyvExBItbcdNRoOX693CkSIhqzpPaGGMwbYltdXhcmtn+kTp31sBJtQyI2GNsYhlzLULToT1n5A&#10;4t/Rj85EPsdG2tHMbO56mSbJRjrTESe0ZsCXFuuf/clp+Eg33x0dD7NdTVW3ej6/0+4tan17s+ye&#10;QERc4j8Mf/W5OpTcqfInskH0Gh6VyhjVkCYZj2JCPSgeU7GSsSLLQl5uKH8BAAD//wMAUEsBAi0A&#10;FAAGAAgAAAAhALaDOJL+AAAA4QEAABMAAAAAAAAAAAAAAAAAAAAAAFtDb250ZW50X1R5cGVzXS54&#10;bWxQSwECLQAUAAYACAAAACEAOP0h/9YAAACUAQAACwAAAAAAAAAAAAAAAAAvAQAAX3JlbHMvLnJl&#10;bHNQSwECLQAUAAYACAAAACEAIeZBLyUCAABNBAAADgAAAAAAAAAAAAAAAAAuAgAAZHJzL2Uyb0Rv&#10;Yy54bWxQSwECLQAUAAYACAAAACEAtIrR1d8AAAALAQAADwAAAAAAAAAAAAAAAAB/BAAAZHJzL2Rv&#10;d25yZXYueG1sUEsFBgAAAAAEAAQA8wAAAIsFAAAAAA==&#10;" filled="f" stroked="f" strokeweight=".5pt">
                <v:textbox inset="1mm,1mm,1mm,1mm">
                  <w:txbxContent>
                    <w:p w14:paraId="5048FA9A" w14:textId="3702E499" w:rsidR="00DC6857" w:rsidRPr="0080669C" w:rsidRDefault="005251F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C29</w:t>
                      </w:r>
                    </w:p>
                  </w:txbxContent>
                </v:textbox>
              </v:shape>
            </w:pict>
          </mc:Fallback>
        </mc:AlternateContent>
      </w:r>
      <w:r w:rsidR="00DC0793" w:rsidRPr="001037E7">
        <w:rPr>
          <w:rFonts w:ascii="Candara" w:hAnsi="Candara"/>
          <w:noProof/>
          <w:sz w:val="14"/>
          <w:szCs w:val="14"/>
          <w:lang w:val="en-US"/>
        </w:rPr>
        <mc:AlternateContent>
          <mc:Choice Requires="wps">
            <w:drawing>
              <wp:anchor distT="0" distB="0" distL="114300" distR="114300" simplePos="0" relativeHeight="251658448" behindDoc="0" locked="0" layoutInCell="1" allowOverlap="1" wp14:anchorId="2DA147F1" wp14:editId="0360175E">
                <wp:simplePos x="0" y="0"/>
                <wp:positionH relativeFrom="column">
                  <wp:posOffset>4602886</wp:posOffset>
                </wp:positionH>
                <wp:positionV relativeFrom="paragraph">
                  <wp:posOffset>1635588</wp:posOffset>
                </wp:positionV>
                <wp:extent cx="360000" cy="359410"/>
                <wp:effectExtent l="0" t="0" r="2540" b="254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305DF1E2" w14:textId="58C18EF4" w:rsidR="00DC6857" w:rsidRDefault="00DC079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C26</w:t>
                            </w:r>
                          </w:p>
                          <w:p w14:paraId="5A6C4282" w14:textId="5B5E3269" w:rsidR="00DC0793" w:rsidRPr="0080669C" w:rsidRDefault="00DC079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147F1" id="Text Box 132" o:spid="_x0000_s1154" type="#_x0000_t202" style="position:absolute;left:0;text-align:left;margin-left:362.45pt;margin-top:128.8pt;width:28.35pt;height:28.3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SJJAIAAE0EAAAOAAAAZHJzL2Uyb0RvYy54bWysVE1v2zAMvQ/YfxB0X+wka9AacYqsRYYB&#10;QVsgHXpWZCkWJouapMTOfv0o2flAt9OwHBRRpMhHvifP77tGk4NwXoEp6XiUUyIMh0qZXUm/v64+&#10;3VLiAzMV02BESY/C0/vFxw/z1hZiAjXoSjiCSYwvWlvSOgRbZJnntWiYH4EVBp0SXMMCmm6XVY61&#10;mL3R2STPZ1kLrrIOuPAeTx97J12k/FIKHp6l9CIQXVLEFtLq0rqNa7aYs2LnmK0VH2Cwf0DRMGWw&#10;6DnVIwuM7J36I1WjuAMPMow4NBlIqbhIPWA34/xdN5uaWZF6weF4ex6T/39p+dNhY18cCd0X6JDA&#10;1IS3a+A/PM4ma60vhpg4U194jI6NdtI18R9bIHgRZ3s8z1N0gXA8nM5y/FHC0TW9ufs8TvPOLpet&#10;8+GrgIbETUkd0pUAsMPah1ieFaeQWMvASmmdKNOGtCWdTW/ydOHswRvaDLh7qBF06LYdURX2N7mN&#10;lMezLVRHbNxBrwlv+UohijXz4YU5FAECR2GHZ1ykBqwGw46SGtyvv53HeOQGvZS0KKqS+p975gQl&#10;+ptB1tJAUIXXhrs2tteG2TcPgLod4xOyPG0Rkwv6tJUOmjfU/zJWRRczHGuXdHvaPoRe6vh+uFgu&#10;UxDqzrKwNhvLT3zHGb92b8zZgYiADD7BSX6seMdHH9szstwHkCqRdZnqQABqNnE4vK/4KK7tFHX5&#10;Cix+AwAA//8DAFBLAwQUAAYACAAAACEAL8kdVuIAAAALAQAADwAAAGRycy9kb3ducmV2LnhtbEyP&#10;wU7DMAyG70i8Q2QkLhNLW0Y7StNpIHFBmhDbDjumTdZGNE7VZG339pgT3Gz50+/vLzaz7dioB28c&#10;CoiXETCNtVMGGwHHw/vDGpgPEpXsHGoBV+1hU97eFDJXbsIvPe5DwygEfS4FtCH0Oee+brWVful6&#10;jXQ7u8HKQOvQcDXIicJtx5MoSrmVBulDK3v91ur6e3+xAj6T9GTwfJzUYqzM4vW6w+1HEOL+bt6+&#10;AAt6Dn8w/OqTOpTkVLkLKs86AVmyeiZUQPKUpcCIyNYxDZWAx3iVAC8L/r9D+QMAAP//AwBQSwEC&#10;LQAUAAYACAAAACEAtoM4kv4AAADhAQAAEwAAAAAAAAAAAAAAAAAAAAAAW0NvbnRlbnRfVHlwZXNd&#10;LnhtbFBLAQItABQABgAIAAAAIQA4/SH/1gAAAJQBAAALAAAAAAAAAAAAAAAAAC8BAABfcmVscy8u&#10;cmVsc1BLAQItABQABgAIAAAAIQDbYXSJJAIAAE0EAAAOAAAAAAAAAAAAAAAAAC4CAABkcnMvZTJv&#10;RG9jLnhtbFBLAQItABQABgAIAAAAIQAvyR1W4gAAAAsBAAAPAAAAAAAAAAAAAAAAAH4EAABkcnMv&#10;ZG93bnJldi54bWxQSwUGAAAAAAQABADzAAAAjQUAAAAA&#10;" filled="f" stroked="f" strokeweight=".5pt">
                <v:textbox inset="1mm,1mm,1mm,1mm">
                  <w:txbxContent>
                    <w:p w14:paraId="305DF1E2" w14:textId="58C18EF4" w:rsidR="00DC6857" w:rsidRDefault="00DC079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C26</w:t>
                      </w:r>
                    </w:p>
                    <w:p w14:paraId="5A6C4282" w14:textId="5B5E3269" w:rsidR="00DC0793" w:rsidRPr="0080669C" w:rsidRDefault="00DC079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v:textbox>
              </v:shape>
            </w:pict>
          </mc:Fallback>
        </mc:AlternateContent>
      </w:r>
      <w:r w:rsidR="00DC0793" w:rsidRPr="001037E7">
        <w:rPr>
          <w:rFonts w:ascii="Candara" w:hAnsi="Candara"/>
          <w:noProof/>
          <w:sz w:val="14"/>
          <w:szCs w:val="14"/>
          <w:lang w:val="en-US"/>
        </w:rPr>
        <mc:AlternateContent>
          <mc:Choice Requires="wps">
            <w:drawing>
              <wp:anchor distT="0" distB="0" distL="114300" distR="114300" simplePos="0" relativeHeight="251658363" behindDoc="0" locked="0" layoutInCell="1" allowOverlap="1" wp14:anchorId="24BA84EA" wp14:editId="7829B30A">
                <wp:simplePos x="0" y="0"/>
                <wp:positionH relativeFrom="margin">
                  <wp:posOffset>5354083</wp:posOffset>
                </wp:positionH>
                <wp:positionV relativeFrom="paragraph">
                  <wp:posOffset>930380</wp:posOffset>
                </wp:positionV>
                <wp:extent cx="359410" cy="359410"/>
                <wp:effectExtent l="0" t="0" r="2540" b="254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359410"/>
                        </a:xfrm>
                        <a:prstGeom prst="rect">
                          <a:avLst/>
                        </a:prstGeom>
                        <a:noFill/>
                        <a:ln w="6350">
                          <a:noFill/>
                        </a:ln>
                      </wps:spPr>
                      <wps:txbx>
                        <w:txbxContent>
                          <w:p w14:paraId="3F4F50A5" w14:textId="3C4BC090" w:rsidR="00DC6857" w:rsidRDefault="00DC079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C13</w:t>
                            </w:r>
                          </w:p>
                          <w:p w14:paraId="1927C890" w14:textId="08289B2A" w:rsidR="00DC0793" w:rsidRPr="0080669C" w:rsidRDefault="00DC079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A84EA" id="Text Box 135" o:spid="_x0000_s1155" type="#_x0000_t202" style="position:absolute;left:0;text-align:left;margin-left:421.6pt;margin-top:73.25pt;width:28.3pt;height:28.3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sK/HwIAAE0EAAAOAAAAZHJzL2Uyb0RvYy54bWysVFtv2yAUfp+0/4B4X+wka7RacaqsVaZJ&#10;UVsprfpMMMRomMOAxM5+/Q7Yuajb07QXfA7nfr4Pz++6RpODcF6BKel4lFMiDIdKmV1JX19Wn75Q&#10;4gMzFdNgREmPwtO7xccP89YWYgI16Eo4gkmML1pb0joEW2SZ57VomB+BFQaNElzDAqpul1WOtZi9&#10;0dkkz2dZC66yDrjwHm8feiNdpPxSCh6epPQiEF1S7C2k06VzG89sMWfFzjFbKz60wf6hi4Ypg0XP&#10;qR5YYGTv1B+pGsUdeJBhxKHJQErFRZoBpxnn76bZ1MyKNAsux9vzmvz/S8sfDxv77EjovkKHAKYh&#10;vF0D/+FxN1lrfTH4xJ36wqN3HLSTrolfHIFgIO72eN6n6ALheDm9uf08RgtH0yDHnJdg63z4JqAh&#10;USipQ7hSA+yw9qF3PbnEWgZWSusEmTakLelsepOngLMFk2sz9N23GpsO3bYjqsL5JrcR8ni3heqI&#10;gzvoOeEtXynsYs18eGYOSYCNI7HDEx5SA1aDQaKkBvfrb/fRH7FBKyUtkqqk/ueeOUGJ/m4Qteks&#10;zyMLrxV3rWyvFbNv7gF5O8YnZHkSMdgFfRKlg+YN+b+MVdHEDMfaJd2exPvQUx3fDxfLZXJC3lkW&#10;1mZj+QnvuOOX7o05OwAREMFHONGPFe/w6H17RJb7AFIlsC5bHQBAzia4h/cVH8W1nrwuf4HFbwAA&#10;AP//AwBQSwMEFAAGAAgAAAAhAKPnxdHhAAAACwEAAA8AAABkcnMvZG93bnJldi54bWxMj0FLw0AQ&#10;he+C/2EZwUuxm6Y1pDGbUgUvghRrDx432WkSzM6G7DZJ/73jSY/D+3jzvXw3206MOPjWkYLVMgKB&#10;VDnTUq3g9Pn6kILwQZPRnSNUcEUPu+L2JteZcRN94HgMteAS8plW0ITQZ1L6qkGr/dL1SJyd3WB1&#10;4HOopRn0xOW2k3EUJdLqlvhDo3t8abD6Pl6sgkOcfLV0Pk1mMZbt4vn6Tvu3oNT93bx/AhFwDn8w&#10;/OqzOhTsVLoLGS86BelmHTPKwSZ5BMFEut3ymFJBHK1XIItc/t9Q/AAAAP//AwBQSwECLQAUAAYA&#10;CAAAACEAtoM4kv4AAADhAQAAEwAAAAAAAAAAAAAAAAAAAAAAW0NvbnRlbnRfVHlwZXNdLnhtbFBL&#10;AQItABQABgAIAAAAIQA4/SH/1gAAAJQBAAALAAAAAAAAAAAAAAAAAC8BAABfcmVscy8ucmVsc1BL&#10;AQItABQABgAIAAAAIQC3IsK/HwIAAE0EAAAOAAAAAAAAAAAAAAAAAC4CAABkcnMvZTJvRG9jLnht&#10;bFBLAQItABQABgAIAAAAIQCj58XR4QAAAAsBAAAPAAAAAAAAAAAAAAAAAHkEAABkcnMvZG93bnJl&#10;di54bWxQSwUGAAAAAAQABADzAAAAhwUAAAAA&#10;" filled="f" stroked="f" strokeweight=".5pt">
                <v:textbox inset="1mm,1mm,1mm,1mm">
                  <w:txbxContent>
                    <w:p w14:paraId="3F4F50A5" w14:textId="3C4BC090" w:rsidR="00DC6857" w:rsidRDefault="00DC079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C13</w:t>
                      </w:r>
                    </w:p>
                    <w:p w14:paraId="1927C890" w14:textId="08289B2A" w:rsidR="00DC0793" w:rsidRPr="0080669C" w:rsidRDefault="00DC0793"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0,2%</w:t>
                      </w:r>
                    </w:p>
                  </w:txbxContent>
                </v:textbox>
                <w10:wrap anchorx="margin"/>
              </v:shape>
            </w:pict>
          </mc:Fallback>
        </mc:AlternateContent>
      </w:r>
      <w:r w:rsidR="00FB4D64" w:rsidRPr="001037E7">
        <w:rPr>
          <w:rFonts w:ascii="Candara" w:hAnsi="Candara"/>
          <w:noProof/>
          <w:sz w:val="14"/>
          <w:szCs w:val="14"/>
          <w:lang w:val="en-US"/>
        </w:rPr>
        <mc:AlternateContent>
          <mc:Choice Requires="wps">
            <w:drawing>
              <wp:anchor distT="0" distB="0" distL="114300" distR="114300" simplePos="0" relativeHeight="251658360" behindDoc="0" locked="0" layoutInCell="1" allowOverlap="1" wp14:anchorId="1C006602" wp14:editId="0CE620EA">
                <wp:simplePos x="0" y="0"/>
                <wp:positionH relativeFrom="column">
                  <wp:posOffset>4610520</wp:posOffset>
                </wp:positionH>
                <wp:positionV relativeFrom="paragraph">
                  <wp:posOffset>1320289</wp:posOffset>
                </wp:positionV>
                <wp:extent cx="360000" cy="359410"/>
                <wp:effectExtent l="0" t="0" r="2540" b="254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0CBDD1D7" w14:textId="4EF09DCF" w:rsidR="00DC6857"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C20</w:t>
                            </w:r>
                          </w:p>
                          <w:p w14:paraId="413F9E89" w14:textId="339C882D" w:rsidR="00512C6E" w:rsidRPr="0080669C"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06602" id="Text Box 130" o:spid="_x0000_s1156" type="#_x0000_t202" style="position:absolute;left:0;text-align:left;margin-left:363.05pt;margin-top:103.95pt;width:28.35pt;height:28.3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NVIwIAAE0EAAAOAAAAZHJzL2Uyb0RvYy54bWysVE1v2zAMvQ/YfxB0X+w0a7AZcYqsRYYB&#10;QVsgHXpWZCk2JosapcTOfv0oxflAt9OwHBRRpMhHvifP7vrWsL1C34At+XiUc6ashKqx25J/f1l+&#10;+MSZD8JWwoBVJT8oz+/m79/NOleoG6jBVAoZJbG+6FzJ6xBckWVe1qoVfgROWXJqwFYEMnGbVSg6&#10;yt6a7CbPp1kHWDkEqbyn04ejk89Tfq2VDE9aexWYKTlhC2nFtG7ims1notiicHUjBxjiH1C0orFU&#10;9JzqQQTBdtj8kaptJIIHHUYS2gy0bqRKPVA34/xNN+taOJV6oeF4dx6T/39p5eN+7Z6Rhf4L9ERg&#10;asK7FcgfnmaTdc4XQ0ycqS88RcdGe41t/KcWGF2k2R7O81R9YJIOJ9OcfpxJck1uP38cp3lnl8sO&#10;ffiqoGVxU3IkuhIAsV/5EMuL4hQSa1lYNsYkyoxlXcmnk9s8XTh76IaxA+4j1Ag69JueNRX1N0kQ&#10;4tkGqgM1jnDUhHdy2RCKlfDhWSCJgICTsMMTLdoAVYNhx1kN+Otv5zGeuCEvZx2JquT+506g4sx8&#10;s8RaGgip8NrAa2Nzbdhdew+k2zE9ISfTljBhMKetRmhfSf+LWJVcwkqqXfLNaXsfjlKn9yPVYpGC&#10;SHdOhJVdO3niO874pX8V6AYiAjH4CCf5ieINH8fYIyOLXQDdJLIuUx0IIM0mDof3FR/FtZ2iLl+B&#10;+W8AAAD//wMAUEsDBBQABgAIAAAAIQALDOMS4QAAAAsBAAAPAAAAZHJzL2Rvd25yZXYueG1sTI/B&#10;TsMwDIbvSLxDZCQuE0sXQbt1TaeBxAUJTYwdOKZN1kY0TtVkbff2mBMcbX/6/f3FbnYdG80QrEcJ&#10;q2UCzGDttcVGwunz9WENLESFWnUejYSrCbArb28KlWs/4YcZj7FhFIIhVxLaGPuc81C3xqmw9L1B&#10;up394FSkcWi4HtRE4a7jIklS7pRF+tCq3ry0pv4+XpyEg0i/LJ5Pk16MlV08X99x/xalvL+b91tg&#10;0czxD4ZffVKHkpwqf0EdWCchE+mKUAkiyTbAiMjWgspUtEkfn4CXBf/fofwBAAD//wMAUEsBAi0A&#10;FAAGAAgAAAAhALaDOJL+AAAA4QEAABMAAAAAAAAAAAAAAAAAAAAAAFtDb250ZW50X1R5cGVzXS54&#10;bWxQSwECLQAUAAYACAAAACEAOP0h/9YAAACUAQAACwAAAAAAAAAAAAAAAAAvAQAAX3JlbHMvLnJl&#10;bHNQSwECLQAUAAYACAAAACEAec7TVSMCAABNBAAADgAAAAAAAAAAAAAAAAAuAgAAZHJzL2Uyb0Rv&#10;Yy54bWxQSwECLQAUAAYACAAAACEACwzjEuEAAAALAQAADwAAAAAAAAAAAAAAAAB9BAAAZHJzL2Rv&#10;d25yZXYueG1sUEsFBgAAAAAEAAQA8wAAAIsFAAAAAA==&#10;" filled="f" stroked="f" strokeweight=".5pt">
                <v:textbox inset="1mm,1mm,1mm,1mm">
                  <w:txbxContent>
                    <w:p w14:paraId="0CBDD1D7" w14:textId="4EF09DCF" w:rsidR="00DC6857"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C20</w:t>
                      </w:r>
                    </w:p>
                    <w:p w14:paraId="413F9E89" w14:textId="339C882D" w:rsidR="00512C6E" w:rsidRPr="0080669C"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FB4D64" w:rsidRPr="001037E7">
        <w:rPr>
          <w:rFonts w:ascii="Candara" w:hAnsi="Candara"/>
          <w:noProof/>
          <w:sz w:val="14"/>
          <w:szCs w:val="14"/>
          <w:lang w:val="en-US"/>
        </w:rPr>
        <mc:AlternateContent>
          <mc:Choice Requires="wps">
            <w:drawing>
              <wp:anchor distT="0" distB="0" distL="114300" distR="114300" simplePos="0" relativeHeight="251658362" behindDoc="0" locked="0" layoutInCell="1" allowOverlap="1" wp14:anchorId="3DE77883" wp14:editId="779596D2">
                <wp:simplePos x="0" y="0"/>
                <wp:positionH relativeFrom="column">
                  <wp:posOffset>4611156</wp:posOffset>
                </wp:positionH>
                <wp:positionV relativeFrom="paragraph">
                  <wp:posOffset>979170</wp:posOffset>
                </wp:positionV>
                <wp:extent cx="360000" cy="359410"/>
                <wp:effectExtent l="0" t="0" r="2540" b="254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39677565" w14:textId="61E96CA9" w:rsidR="00DC6857"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C22</w:t>
                            </w:r>
                          </w:p>
                          <w:p w14:paraId="6DD47B3F" w14:textId="7D24684E" w:rsidR="00512C6E" w:rsidRPr="0080669C"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77883" id="Text Box 134" o:spid="_x0000_s1157" type="#_x0000_t202" style="position:absolute;left:0;text-align:left;margin-left:363.1pt;margin-top:77.1pt;width:28.35pt;height:28.3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yAJAIAAE0EAAAOAAAAZHJzL2Uyb0RvYy54bWysVE1v2zAMvQ/YfxB0X+w0a7AZcYqsRYYB&#10;QVsgHXpWZCk2JosapcTOfv0oxflAt9OwHBRRpMhHvifP7vrWsL1C34At+XiUc6ashKqx25J/f1l+&#10;+MSZD8JWwoBVJT8oz+/m79/NOleoG6jBVAoZJbG+6FzJ6xBckWVe1qoVfgROWXJqwFYEMnGbVSg6&#10;yt6a7CbPp1kHWDkEqbyn04ejk89Tfq2VDE9aexWYKTlhC2nFtG7ims1notiicHUjBxjiH1C0orFU&#10;9JzqQQTBdtj8kaptJIIHHUYS2gy0bqRKPVA34/xNN+taOJV6oeF4dx6T/39p5eN+7Z6Rhf4L9ERg&#10;asK7FcgfnmaTdc4XQ0ycqS88RcdGe41t/KcWGF2k2R7O81R9YJIOJ9OcfpxJck1uP38cp3lnl8sO&#10;ffiqoGVxU3IkuhIAsV/5EMuL4hQSa1lYNsYkyoxlXcmnk9s8XTh76IaxA+4j1Ag69JueNRX1NxlH&#10;yuPZBqoDNY5w1IR3ctkQipXw4VkgiYCAk7DDEy3aAFWDYcdZDfjrb+cxnrghL2cdiark/udOoOLM&#10;fLPEWhoIqfDawGtjc23YXXsPpNsxPSEn05YwYTCnrUZoX0n/i1iVXMJKql3yzWl7H45Sp/cj1WKR&#10;gkh3ToSVXTt54jvO+KV/FegGIgIx+Agn+YniDR/H2CMji10A3SSyLlMdCCDNJg6H9xUfxbWdoi5f&#10;gflvAAAA//8DAFBLAwQUAAYACAAAACEAIKFizeEAAAALAQAADwAAAGRycy9kb3ducmV2LnhtbEyP&#10;wU7DMAyG70i8Q2QkLhNLF0HXdU2ngcQFCU2MHTimTdZGNE7VZG339pgT3Gz9n35/Lnaz69hohmA9&#10;SlgtE2AGa68tNhJOn68PGbAQFWrVeTQSribArry9KVSu/YQfZjzGhlEJhlxJaGPsc85D3RqnwtL3&#10;Bik7+8GpSOvQcD2oicpdx0WSpNwpi3ShVb15aU39fbw4CQeRflk8nya9GCu7eL6+4/4tSnl/N++3&#10;wKKZ4x8Mv/qkDiU5Vf6COrBOwlqkglAKnh5pIGKdiQ2wSoJYJRnwsuD/fyh/AAAA//8DAFBLAQIt&#10;ABQABgAIAAAAIQC2gziS/gAAAOEBAAATAAAAAAAAAAAAAAAAAAAAAABbQ29udGVudF9UeXBlc10u&#10;eG1sUEsBAi0AFAAGAAgAAAAhADj9If/WAAAAlAEAAAsAAAAAAAAAAAAAAAAALwEAAF9yZWxzLy5y&#10;ZWxzUEsBAi0AFAAGAAgAAAAhAAZ8nIAkAgAATQQAAA4AAAAAAAAAAAAAAAAALgIAAGRycy9lMm9E&#10;b2MueG1sUEsBAi0AFAAGAAgAAAAhACChYs3hAAAACwEAAA8AAAAAAAAAAAAAAAAAfgQAAGRycy9k&#10;b3ducmV2LnhtbFBLBQYAAAAABAAEAPMAAACMBQAAAAA=&#10;" filled="f" stroked="f" strokeweight=".5pt">
                <v:textbox inset="1mm,1mm,1mm,1mm">
                  <w:txbxContent>
                    <w:p w14:paraId="39677565" w14:textId="61E96CA9" w:rsidR="00DC6857"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C22</w:t>
                      </w:r>
                    </w:p>
                    <w:p w14:paraId="6DD47B3F" w14:textId="7D24684E" w:rsidR="00512C6E" w:rsidRPr="0080669C"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FB4D64" w:rsidRPr="001037E7">
        <w:rPr>
          <w:rFonts w:ascii="Candara" w:hAnsi="Candara"/>
          <w:noProof/>
          <w:sz w:val="14"/>
          <w:szCs w:val="14"/>
          <w:lang w:val="en-US"/>
        </w:rPr>
        <mc:AlternateContent>
          <mc:Choice Requires="wps">
            <w:drawing>
              <wp:anchor distT="0" distB="0" distL="114300" distR="114300" simplePos="0" relativeHeight="251658451" behindDoc="0" locked="0" layoutInCell="1" allowOverlap="1" wp14:anchorId="1D008A79" wp14:editId="45E526EB">
                <wp:simplePos x="0" y="0"/>
                <wp:positionH relativeFrom="column">
                  <wp:posOffset>5014338</wp:posOffset>
                </wp:positionH>
                <wp:positionV relativeFrom="paragraph">
                  <wp:posOffset>930801</wp:posOffset>
                </wp:positionV>
                <wp:extent cx="360000" cy="359410"/>
                <wp:effectExtent l="0" t="0" r="2540" b="254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7E43E979" w14:textId="0354E8BD" w:rsidR="00DC6857" w:rsidRDefault="00FB4D64"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C11</w:t>
                            </w:r>
                          </w:p>
                          <w:p w14:paraId="736AF66C" w14:textId="5DFB7F59" w:rsidR="00FB4D64" w:rsidRPr="0080669C" w:rsidRDefault="00FB4D64"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08A79" id="Text Box 136" o:spid="_x0000_s1158" type="#_x0000_t202" style="position:absolute;left:0;text-align:left;margin-left:394.85pt;margin-top:73.3pt;width:28.35pt;height:28.3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0kJAIAAE0EAAAOAAAAZHJzL2Uyb0RvYy54bWysVE1v2zAMvQ/YfxB0X+wka7AZcYqsRYYB&#10;QVsgHXpWZCk2JosapcTufv0oxflAt9OwHBRRpMhHvifPb/vWsINC34At+XiUc6ashKqxu5J/f159&#10;+MSZD8JWwoBVJX9Vnt8u3r+bd65QE6jBVAoZJbG+6FzJ6xBckWVe1qoVfgROWXJqwFYEMnGXVSg6&#10;yt6abJLns6wDrByCVN7T6f3RyRcpv9ZKhketvQrMlJywhbRiWrdxzRZzUexQuLqRAwzxDyha0Vgq&#10;ek51L4Jge2z+SNU2EsGDDiMJbQZaN1KlHqibcf6mm00tnEq90HC8O4/J/7+08uGwcU/IQv8FeiIw&#10;NeHdGuQPT7PJOueLISbO1BeeomOjvcY2/lMLjC7SbF/P81R9YJIOp7OcfpxJck1vPn8cp3lnl8sO&#10;ffiqoGVxU3IkuhIAcVj7EMuL4hQSa1lYNcYkyoxlXcln05s8XTh76IaxA+4j1Ag69NueNRX1N51E&#10;yuPZFqpXahzhqAnv5KohFGvhw5NAEgEBJ2GHR1q0AaoGw46zGvDX385jPHFDXs46ElXJ/c+9QMWZ&#10;+WaJtTQQUuG1gdfG9tqw+/YOSLdjekJOpi1hwmBOW43QvpD+l7EquYSVVLvk29P2LhylTu9HquUy&#10;BZHunAhru3HyxHec8XP/ItANRARi8AFO8hPFGz6OsUdGlvsAuklkXaY6EECaTRwO7ys+ims7RV2+&#10;AovfAAAA//8DAFBLAwQUAAYACAAAACEACjJXheEAAAALAQAADwAAAGRycy9kb3ducmV2LnhtbEyP&#10;wU7DMBBE70j8g7VIXCrqECI3hDhVQeKChCpKDxydeJtYxOsodpP07zEnOK7maeZtuV1szyYcvXEk&#10;4X6dAENqnDbUSjh+vt7lwHxQpFXvCCVc0MO2ur4qVaHdTB84HULLYgn5QknoQhgKzn3ToVV+7Qak&#10;mJ3caFWI59hyPao5ltuep0kiuFWG4kKnBnzpsPk+nK2EfSq+DJ2Os15NtVk9X95p9xakvL1Zdk/A&#10;Ai7hD4Zf/agOVXSq3Zm0Z72ETf64iWgMMiGARSLPRAaslpAmDynwquT/f6h+AAAA//8DAFBLAQIt&#10;ABQABgAIAAAAIQC2gziS/gAAAOEBAAATAAAAAAAAAAAAAAAAAAAAAABbQ29udGVudF9UeXBlc10u&#10;eG1sUEsBAi0AFAAGAAgAAAAhADj9If/WAAAAlAEAAAsAAAAAAAAAAAAAAAAALwEAAF9yZWxzLy5y&#10;ZWxzUEsBAi0AFAAGAAgAAAAhAMasPSQkAgAATQQAAA4AAAAAAAAAAAAAAAAALgIAAGRycy9lMm9E&#10;b2MueG1sUEsBAi0AFAAGAAgAAAAhAAoyV4XhAAAACwEAAA8AAAAAAAAAAAAAAAAAfgQAAGRycy9k&#10;b3ducmV2LnhtbFBLBQYAAAAABAAEAPMAAACMBQAAAAA=&#10;" filled="f" stroked="f" strokeweight=".5pt">
                <v:textbox inset="1mm,1mm,1mm,1mm">
                  <w:txbxContent>
                    <w:p w14:paraId="7E43E979" w14:textId="0354E8BD" w:rsidR="00DC6857" w:rsidRDefault="00FB4D64"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C11</w:t>
                      </w:r>
                    </w:p>
                    <w:p w14:paraId="736AF66C" w14:textId="5DFB7F59" w:rsidR="00FB4D64" w:rsidRPr="0080669C" w:rsidRDefault="00FB4D64"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p>
                  </w:txbxContent>
                </v:textbox>
              </v:shape>
            </w:pict>
          </mc:Fallback>
        </mc:AlternateContent>
      </w:r>
      <w:r w:rsidR="00664229" w:rsidRPr="001037E7">
        <w:rPr>
          <w:rFonts w:ascii="Candara" w:hAnsi="Candara"/>
          <w:noProof/>
          <w:sz w:val="14"/>
          <w:szCs w:val="14"/>
          <w:lang w:val="en-US"/>
        </w:rPr>
        <mc:AlternateContent>
          <mc:Choice Requires="wps">
            <w:drawing>
              <wp:anchor distT="0" distB="0" distL="114300" distR="114300" simplePos="0" relativeHeight="251658449" behindDoc="0" locked="0" layoutInCell="1" allowOverlap="1" wp14:anchorId="6F69CD04" wp14:editId="1D73FF4D">
                <wp:simplePos x="0" y="0"/>
                <wp:positionH relativeFrom="column">
                  <wp:posOffset>4159433</wp:posOffset>
                </wp:positionH>
                <wp:positionV relativeFrom="paragraph">
                  <wp:posOffset>684109</wp:posOffset>
                </wp:positionV>
                <wp:extent cx="426346" cy="344579"/>
                <wp:effectExtent l="0" t="0" r="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346" cy="344579"/>
                        </a:xfrm>
                        <a:prstGeom prst="rect">
                          <a:avLst/>
                        </a:prstGeom>
                        <a:noFill/>
                        <a:ln w="6350">
                          <a:noFill/>
                        </a:ln>
                      </wps:spPr>
                      <wps:txbx>
                        <w:txbxContent>
                          <w:p w14:paraId="745943F5" w14:textId="418D90A9" w:rsidR="00DC6857" w:rsidRDefault="00641947"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C13</w:t>
                            </w:r>
                          </w:p>
                          <w:p w14:paraId="0F34CBAB" w14:textId="0FAA9E49" w:rsidR="00DC6857" w:rsidRPr="0080669C" w:rsidRDefault="00641947"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9CD04" id="Text Box 115" o:spid="_x0000_s1159" type="#_x0000_t202" style="position:absolute;left:0;text-align:left;margin-left:327.5pt;margin-top:53.85pt;width:33.55pt;height:27.15pt;z-index:251658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0dnJgIAAE0EAAAOAAAAZHJzL2Uyb0RvYy54bWysVE1v2zAMvQ/YfxB0X+zEabYZcYqsRYYB&#10;QVsgLXpWZCk2JouapMTOfv0o2flAu9OwiyyKFMnH9+T5bdcochDW1aALOh6llAjNoaz1rqAvz6tP&#10;XyhxnumSKdCioEfh6O3i44d5a3IxgQpUKSzBJNrlrSlo5b3Jk8TxSjTMjcAIjU4JtmEeTbtLSsta&#10;zN6oZJKms6QFWxoLXDiHp/e9ky5ifikF949SOuGJKij25uNq47oNa7KYs3xnmalqPrTB/qGLhtUa&#10;i55T3TPPyN7W71I1NbfgQPoRhyYBKWsuIgZEM07foNlUzIiIBYfjzHlM7v+l5Q+HjXmyxHffoEMC&#10;Iwhn1sB/OpxN0hqXDzFhpi53GB2AdtI24YsQCF7E2R7P8xSdJxwPp5NZNp1RwtGVTac3n7+GeSeX&#10;y8Y6/11AQ8KmoBbpig2ww9r5PvQUEmppWNVKRcqUJm1BZ9lNGi+cPZhc6aHvvtXQtO+2HalLxJdl&#10;oYVwtoXyiMAt9Jpwhq9q7GLNnH9iFkWAkFDY/hEXqQCrwbCjpAL7+2/nIR65QS8lLYqqoO7XnllB&#10;ifqhkbVslqZBhdeGvTa214beN3eAuh3jEzI8bvGy9eq0lRaaV9T/MlRFF9Mcaxd0e9re+V7q+H64&#10;WC5jEOrOML/WG8NPfIcZP3evzJqBCI8MPsBJfix/w0cf2zOy3HuQdSTrMtWBANRspHt4X+FRXNsx&#10;6vIXWPwBAAD//wMAUEsDBBQABgAIAAAAIQDNMEhk4AAAAAsBAAAPAAAAZHJzL2Rvd25yZXYueG1s&#10;TI/BTsMwEETvSPyDtUhcKmrXUhMU4lQFiQsSQrQ9cHRiN7GI11HsJunfs5zguDOj2TflbvE9m+wY&#10;XUAFm7UAZrEJxmGr4HR8fXgEFpNGo/uAVsHVRthVtzelLkyY8dNOh9QyKsFYaAVdSkPBeWw663Vc&#10;h8Eieecwep3oHFtuRj1Tue+5FCLjXjukD50e7Etnm+/DxSv4kNmXw/NpNqupdqvn6zvu35JS93fL&#10;/glYskv6C8MvPqFDRUx1uKCJrFeQbbe0JZEh8hwYJXIpN8BqUjIpgFcl/7+h+gEAAP//AwBQSwEC&#10;LQAUAAYACAAAACEAtoM4kv4AAADhAQAAEwAAAAAAAAAAAAAAAAAAAAAAW0NvbnRlbnRfVHlwZXNd&#10;LnhtbFBLAQItABQABgAIAAAAIQA4/SH/1gAAAJQBAAALAAAAAAAAAAAAAAAAAC8BAABfcmVscy8u&#10;cmVsc1BLAQItABQABgAIAAAAIQAz50dnJgIAAE0EAAAOAAAAAAAAAAAAAAAAAC4CAABkcnMvZTJv&#10;RG9jLnhtbFBLAQItABQABgAIAAAAIQDNMEhk4AAAAAsBAAAPAAAAAAAAAAAAAAAAAIAEAABkcnMv&#10;ZG93bnJldi54bWxQSwUGAAAAAAQABADzAAAAjQUAAAAA&#10;" filled="f" stroked="f" strokeweight=".5pt">
                <v:textbox inset="1mm,1mm,1mm,1mm">
                  <w:txbxContent>
                    <w:p w14:paraId="745943F5" w14:textId="418D90A9" w:rsidR="00DC6857" w:rsidRDefault="00641947"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C13</w:t>
                      </w:r>
                    </w:p>
                    <w:p w14:paraId="0F34CBAB" w14:textId="0FAA9E49" w:rsidR="00DC6857" w:rsidRPr="0080669C" w:rsidRDefault="00641947"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p>
                  </w:txbxContent>
                </v:textbox>
              </v:shape>
            </w:pict>
          </mc:Fallback>
        </mc:AlternateContent>
      </w:r>
      <w:r w:rsidR="00912631" w:rsidRPr="001037E7">
        <w:rPr>
          <w:rFonts w:ascii="Candara" w:hAnsi="Candara"/>
          <w:noProof/>
          <w:sz w:val="14"/>
          <w:szCs w:val="14"/>
          <w:lang w:val="en-US"/>
        </w:rPr>
        <mc:AlternateContent>
          <mc:Choice Requires="wps">
            <w:drawing>
              <wp:anchor distT="0" distB="0" distL="114300" distR="114300" simplePos="0" relativeHeight="251658450" behindDoc="0" locked="0" layoutInCell="1" allowOverlap="1" wp14:anchorId="7AE1A3AD" wp14:editId="58D2F855">
                <wp:simplePos x="0" y="0"/>
                <wp:positionH relativeFrom="column">
                  <wp:posOffset>5174810</wp:posOffset>
                </wp:positionH>
                <wp:positionV relativeFrom="paragraph">
                  <wp:posOffset>156787</wp:posOffset>
                </wp:positionV>
                <wp:extent cx="539750" cy="372223"/>
                <wp:effectExtent l="0" t="0" r="0" b="889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72223"/>
                        </a:xfrm>
                        <a:prstGeom prst="rect">
                          <a:avLst/>
                        </a:prstGeom>
                        <a:noFill/>
                        <a:ln w="6350">
                          <a:noFill/>
                        </a:ln>
                      </wps:spPr>
                      <wps:txbx>
                        <w:txbxContent>
                          <w:p w14:paraId="179C1E74" w14:textId="4C07FE4E" w:rsidR="00DC6857" w:rsidRDefault="00664229"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C31</w:t>
                            </w:r>
                          </w:p>
                          <w:p w14:paraId="30FE6EC4" w14:textId="73C0EF54" w:rsidR="00DC6857" w:rsidRPr="0080669C" w:rsidRDefault="00664229"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1A3AD" id="Text Box 119" o:spid="_x0000_s1160" type="#_x0000_t202" style="position:absolute;left:0;text-align:left;margin-left:407.45pt;margin-top:12.35pt;width:42.5pt;height:29.3pt;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MKJAIAAE0EAAAOAAAAZHJzL2Uyb0RvYy54bWysVF1v2yAUfZ+0/4B4X+zEa9pZcaqsVaZJ&#10;UVspnfpMMMTWMJcBiZ39+l2w87G2T9NeMJd7uR/nHDy77RpF9sK6GnRBx6OUEqE5lLXeFvTH8/LT&#10;DSXOM10yBVoU9CAcvZ1//DBrTS4mUIEqhSWYRLu8NQWtvDd5kjheiYa5ERih0SnBNsyjabdJaVmL&#10;2RuVTNJ0mrRgS2OBC+fw9L530nnML6Xg/lFKJzxRBcXefFxtXDdhTeYzlm8tM1XNhzbYP3TRsFpj&#10;0VOqe+YZ2dn6Taqm5hYcSD/i0CQgZc1FnAGnGaevpllXzIg4C4LjzAkm9//S8of92jxZ4ruv0CGB&#10;cQhnVsB/OsQmaY3Lh5iAqcsdRodBO2mb8MURCF5EbA8nPEXnCcfDq+zL9RV6OLqy68lkkgW8k/Nl&#10;Y53/JqAhYVNQi3TFBth+5XwfegwJtTQsa6UiZUqTtqDTDNP/5cHkSg99962Gpn236Uhd4nzZ59BC&#10;ONtAecDBLfSacIYva+xixZx/YhZFgI2jsP0jLlIBVoNhR0kF9vd75yEeuUEvJS2KqqDu145ZQYn6&#10;rpG1bJqmQYWXhr00NpeG3jV3gLod4xMyPG7xsvXquJUWmhfU/yJURRfTHGsXdHPc3vle6vh+uFgs&#10;YhDqzjC/0mvDj3wHjJ+7F2bNQIRHBh/gKD+Wv+Kjj+1xX+w8yDqSdUZ1IAA1G+ke3ld4FJd2jDr/&#10;BeZ/AAAA//8DAFBLAwQUAAYACAAAACEAj6dLcOAAAAAJAQAADwAAAGRycy9kb3ducmV2LnhtbEyP&#10;TU+DQBCG7yb+h82YeGnsUtpUQJammngxMY21B48LOwUiO0vYLdB/73jS23w8eeeZfDfbTow4+NaR&#10;gtUyAoFUOdNSreD0+fqQgPBBk9GdI1RwRQ+74vYm15lxE33geAy14BDymVbQhNBnUvqqQav90vVI&#10;vDu7werA7VBLM+iJw20n4yjaSqtb4guN7vGlwer7eLEKDvH2q6XzaTKLsWwXz9d32r8Fpe7v5v0T&#10;iIBz+IPhV5/VoWCn0l3IeNEpSFablFEF8eYRBANJmvKg5GK9Blnk8v8HxQ8AAAD//wMAUEsBAi0A&#10;FAAGAAgAAAAhALaDOJL+AAAA4QEAABMAAAAAAAAAAAAAAAAAAAAAAFtDb250ZW50X1R5cGVzXS54&#10;bWxQSwECLQAUAAYACAAAACEAOP0h/9YAAACUAQAACwAAAAAAAAAAAAAAAAAvAQAAX3JlbHMvLnJl&#10;bHNQSwECLQAUAAYACAAAACEAnj3jCiQCAABNBAAADgAAAAAAAAAAAAAAAAAuAgAAZHJzL2Uyb0Rv&#10;Yy54bWxQSwECLQAUAAYACAAAACEAj6dLcOAAAAAJAQAADwAAAAAAAAAAAAAAAAB+BAAAZHJzL2Rv&#10;d25yZXYueG1sUEsFBgAAAAAEAAQA8wAAAIsFAAAAAA==&#10;" filled="f" stroked="f" strokeweight=".5pt">
                <v:textbox inset="1mm,1mm,1mm,1mm">
                  <w:txbxContent>
                    <w:p w14:paraId="179C1E74" w14:textId="4C07FE4E" w:rsidR="00DC6857" w:rsidRDefault="00664229"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C31</w:t>
                      </w:r>
                    </w:p>
                    <w:p w14:paraId="30FE6EC4" w14:textId="73C0EF54" w:rsidR="00DC6857" w:rsidRPr="0080669C" w:rsidRDefault="00664229"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57" behindDoc="0" locked="0" layoutInCell="1" allowOverlap="1" wp14:anchorId="1855D02B" wp14:editId="2F1FCAE7">
                <wp:simplePos x="0" y="0"/>
                <wp:positionH relativeFrom="column">
                  <wp:posOffset>2842539</wp:posOffset>
                </wp:positionH>
                <wp:positionV relativeFrom="paragraph">
                  <wp:posOffset>4065372</wp:posOffset>
                </wp:positionV>
                <wp:extent cx="1368000" cy="360000"/>
                <wp:effectExtent l="0" t="0" r="3810" b="254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000" cy="360000"/>
                        </a:xfrm>
                        <a:prstGeom prst="rect">
                          <a:avLst/>
                        </a:prstGeom>
                        <a:noFill/>
                        <a:ln w="6350">
                          <a:noFill/>
                        </a:ln>
                      </wps:spPr>
                      <wps:txbx>
                        <w:txbxContent>
                          <w:p w14:paraId="45AADF89" w14:textId="680617FD" w:rsidR="00DC6857" w:rsidRPr="0080669C" w:rsidRDefault="00406AEB" w:rsidP="00DC6857">
                            <w:pPr>
                              <w:tabs>
                                <w:tab w:val="left" w:pos="4820"/>
                              </w:tabs>
                              <w:spacing w:after="0"/>
                              <w:rPr>
                                <w:rFonts w:ascii="Segoe UI Light" w:hAnsi="Segoe UI Light" w:cs="Segoe UI Light"/>
                                <w:b/>
                                <w:bCs/>
                                <w:sz w:val="16"/>
                                <w:szCs w:val="16"/>
                              </w:rPr>
                            </w:pPr>
                            <w:r w:rsidRPr="00406AEB">
                              <w:rPr>
                                <w:rFonts w:ascii="Segoe UI Light" w:hAnsi="Segoe UI Light" w:cs="Segoe UI Light"/>
                                <w:b/>
                                <w:bCs/>
                                <w:sz w:val="16"/>
                                <w:szCs w:val="16"/>
                              </w:rPr>
                              <w:t>Profesionālie, zinātniskie un tehniskie 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5D02B" id="Text Box 162" o:spid="_x0000_s1161" type="#_x0000_t202" style="position:absolute;left:0;text-align:left;margin-left:223.8pt;margin-top:320.1pt;width:107.7pt;height:28.35pt;z-index:251658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VJAIAAE4EAAAOAAAAZHJzL2Uyb0RvYy54bWysVEtv2zAMvg/YfxB0X+w0aFYYcYqsRYYB&#10;QVsgHXpWZCk2JosapcTOfv0oxXmg22nYRSZFiq/vo2f3fWvYXqFvwJZ8PMo5U1ZC1dhtyb+/Lj/d&#10;ceaDsJUwYFXJD8rz+/nHD7POFeoGajCVQkZBrC86V/I6BFdkmZe1aoUfgVOWjBqwFYFU3GYVio6i&#10;tya7yfNp1gFWDkEq7+n28Wjk8xRfayXDs9ZeBWZKTrWFdGI6N/HM5jNRbFG4upFDGeIfqmhFYynp&#10;OdSjCILtsPkjVNtIBA86jCS0GWjdSJV6oG7G+btu1rVwKvVCw/HuPCb//8LKp/3avSAL/RfoCcDU&#10;hHcrkD88zSbrnC8GnzhTX3jyjo32Gtv4pRYYPaTZHs7zVH1gMkabTO/ynEySbJMpiWng2eW1Qx++&#10;KmhZFEqOhFeqQOxXPsT8oji5xGQWlo0xCTNjWVfy6eQ2Tw/OFnph7FD4sdZYdeg3PWuqWNJtxDze&#10;baA6UOcIR1J4J5cNVbESPrwIJBZQ4cTs8EyHNkDZYJA4qwF//e0++hM4ZOWsI1aV3P/cCVScmW+W&#10;YPtMnI00TEqaCGd4rWyuFbtrH4CIO6YdcjKJ9BiDOYkaoX2jBVjErGQSVlLukoeT+BCOXKcFkmqx&#10;SE5EPCfCyq6dPAEeZ/zavwl0AxCBIHyCE/9E8Q6Po+8RkcUugG4SWJepDgAQaROGw4LFrbjWk9fl&#10;NzD/DQAA//8DAFBLAwQUAAYACAAAACEAVh0n4d4AAAALAQAADwAAAGRycy9kb3ducmV2LnhtbEyP&#10;wU7DMAyG70i8Q2QkLoilLSWw0nRCBR5gA4lr1pq2WuOUJN26t8ec4GbLn35/f7lZ7CiO6MPgSEO6&#10;SkAgNa4dqNPw8f52+wgiREOtGR2hhjMG2FSXF6UpWneiLR53sRMcQqEwGvoYp0LK0PRoTVi5CYlv&#10;X85bE3n1nWy9OXG4HWWWJEpaMxB/6M2EdY/NYTdbDS/5+TO9men1XoXD9B18nfqs1vr6anl+AhFx&#10;iX8w/OqzOlTstHcztUGMGvL8QTGqQeVJBoIJpe643Z6HtVqDrEr5v0P1AwAA//8DAFBLAQItABQA&#10;BgAIAAAAIQC2gziS/gAAAOEBAAATAAAAAAAAAAAAAAAAAAAAAABbQ29udGVudF9UeXBlc10ueG1s&#10;UEsBAi0AFAAGAAgAAAAhADj9If/WAAAAlAEAAAsAAAAAAAAAAAAAAAAALwEAAF9yZWxzLy5yZWxz&#10;UEsBAi0AFAAGAAgAAAAhAP9sNdUkAgAATgQAAA4AAAAAAAAAAAAAAAAALgIAAGRycy9lMm9Eb2Mu&#10;eG1sUEsBAi0AFAAGAAgAAAAhAFYdJ+HeAAAACwEAAA8AAAAAAAAAAAAAAAAAfgQAAGRycy9kb3du&#10;cmV2LnhtbFBLBQYAAAAABAAEAPMAAACJBQAAAAA=&#10;" filled="f" stroked="f" strokeweight=".5pt">
                <v:textbox inset="2mm,1mm,1mm,1mm">
                  <w:txbxContent>
                    <w:p w14:paraId="45AADF89" w14:textId="680617FD" w:rsidR="00DC6857" w:rsidRPr="0080669C" w:rsidRDefault="00406AEB" w:rsidP="00DC6857">
                      <w:pPr>
                        <w:tabs>
                          <w:tab w:val="left" w:pos="4820"/>
                        </w:tabs>
                        <w:spacing w:after="0"/>
                        <w:rPr>
                          <w:rFonts w:ascii="Segoe UI Light" w:hAnsi="Segoe UI Light" w:cs="Segoe UI Light"/>
                          <w:b/>
                          <w:bCs/>
                          <w:sz w:val="16"/>
                          <w:szCs w:val="16"/>
                        </w:rPr>
                      </w:pPr>
                      <w:r w:rsidRPr="00406AEB">
                        <w:rPr>
                          <w:rFonts w:ascii="Segoe UI Light" w:hAnsi="Segoe UI Light" w:cs="Segoe UI Light"/>
                          <w:b/>
                          <w:bCs/>
                          <w:sz w:val="16"/>
                          <w:szCs w:val="16"/>
                        </w:rPr>
                        <w:t>Profesionālie, zinātniskie un tehniskie pakalpojumi</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61" behindDoc="0" locked="0" layoutInCell="1" allowOverlap="1" wp14:anchorId="5FA9FB76" wp14:editId="1720D42F">
                <wp:simplePos x="0" y="0"/>
                <wp:positionH relativeFrom="margin">
                  <wp:posOffset>3994099</wp:posOffset>
                </wp:positionH>
                <wp:positionV relativeFrom="paragraph">
                  <wp:posOffset>5243601</wp:posOffset>
                </wp:positionV>
                <wp:extent cx="864000" cy="504000"/>
                <wp:effectExtent l="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4000" cy="504000"/>
                        </a:xfrm>
                        <a:prstGeom prst="rect">
                          <a:avLst/>
                        </a:prstGeom>
                        <a:noFill/>
                        <a:ln w="6350">
                          <a:noFill/>
                        </a:ln>
                      </wps:spPr>
                      <wps:txbx>
                        <w:txbxContent>
                          <w:p w14:paraId="39507CF5" w14:textId="2FC4D82B" w:rsidR="00DC6857" w:rsidRPr="00574306" w:rsidRDefault="00C25BF0" w:rsidP="00DC6857">
                            <w:pPr>
                              <w:tabs>
                                <w:tab w:val="left" w:pos="4820"/>
                              </w:tabs>
                              <w:spacing w:after="0"/>
                              <w:rPr>
                                <w:rFonts w:ascii="Segoe UI Light" w:hAnsi="Segoe UI Light" w:cs="Segoe UI Light"/>
                                <w:b/>
                                <w:bCs/>
                                <w:color w:val="FFFFFF" w:themeColor="background1"/>
                                <w:sz w:val="16"/>
                                <w:szCs w:val="16"/>
                              </w:rPr>
                            </w:pPr>
                            <w:r w:rsidRPr="00C25BF0">
                              <w:rPr>
                                <w:rFonts w:ascii="Segoe UI Light" w:hAnsi="Segoe UI Light" w:cs="Segoe UI Light"/>
                                <w:b/>
                                <w:bCs/>
                                <w:color w:val="FFFFFF" w:themeColor="background1"/>
                                <w:sz w:val="16"/>
                                <w:szCs w:val="16"/>
                              </w:rPr>
                              <w:t>Lauksaimniecība, mežsaimniecība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9FB76" id="Text Box 186" o:spid="_x0000_s1162" type="#_x0000_t202" style="position:absolute;left:0;text-align:left;margin-left:314.5pt;margin-top:412.9pt;width:68.05pt;height:39.7pt;z-index:251658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dHIgIAAE0EAAAOAAAAZHJzL2Uyb0RvYy54bWysVEtv2zAMvg/YfxB0X+w0a1YYcYqsRYYB&#10;QVsgLXpWZCkxJosapcTufv0o2Xmg22nYRSbFN79Pnt12jWEHhb4GW/LxKOdMWQlVbbclf3lefrrh&#10;zAdhK2HAqpK/Kc9v5x8/zFpXqCvYgakUMkpifdG6ku9CcEWWeblTjfAjcMqSUQM2IpCK26xC0VL2&#10;xmRXeT7NWsDKIUjlPd3e90Y+T/m1VjI8au1VYKbk1FtIJ6ZzE89sPhPFFoXb1XJoQ/xDF42oLRU9&#10;pboXQbA91n+kamqJ4EGHkYQmA61rqdIMNM04fzfNeiecSrPQcrw7rcn/v7Ty4bB2T8hC9xU6AjAN&#10;4d0K5A9Pu8la54vBJ+7UF56846CdxiZ+aQRGgbTbt9M+VReYpMub6ec8J4sk03We5JjzHOzQh28K&#10;GhaFkiPBlRoQh5UPvevRJdaysKyNSZAZy9qSTyfXeQo4WSi5sUPffaux6dBtOlZXNN9kGiGPdxuo&#10;3mhwhJ4T3sllTV2shA9PAokE1DgROzzSoQ1QNRgkznaAv/52H/0JG7Jy1hKpSu5/7gUqzsx3S6h9&#10;IcpGFiZlMk0KXiqbS8Xumzsg3o7pCTmZRArGYI6iRmheif+LWJVMwkqqXfJwFO9CT3V6P1ItFsmJ&#10;eOdEWNm1k0e8446fu1eBbgAiEIIPcKSfKN7h0fv2iCz2AXSdwDpvdQCAOJvgHt5XfBSXevI6/wXm&#10;vwEAAP//AwBQSwMEFAAGAAgAAAAhAIzBVl3fAAAACwEAAA8AAABkcnMvZG93bnJldi54bWxMj0FO&#10;wzAQRfdI3MEaJDaIOolIaEMmFQpwAAoSWzcekqjxONhOm94es6LL0Xz9/161XcwojuT8YBkhXSUg&#10;iFurB+4QPj/e7tcgfFCs1WiZEM7kYVtfX1Wq1PbE73TchU7EEvalQuhDmEopfduTUX5lJ+L4+7bO&#10;qBBP10nt1CmWm1FmSVJIowaOC72aqOmpPexmg/DycP5K72Z+zQt/mH68a1KXNYi3N8vzE4hAS/gP&#10;wx9+RIc6Mu3tzNqLEaHINtElIKyzPDrExGORpyD2CJskz0DWlbx0qH8BAAD//wMAUEsBAi0AFAAG&#10;AAgAAAAhALaDOJL+AAAA4QEAABMAAAAAAAAAAAAAAAAAAAAAAFtDb250ZW50X1R5cGVzXS54bWxQ&#10;SwECLQAUAAYACAAAACEAOP0h/9YAAACUAQAACwAAAAAAAAAAAAAAAAAvAQAAX3JlbHMvLnJlbHNQ&#10;SwECLQAUAAYACAAAACEA1wg3RyICAABNBAAADgAAAAAAAAAAAAAAAAAuAgAAZHJzL2Uyb0RvYy54&#10;bWxQSwECLQAUAAYACAAAACEAjMFWXd8AAAALAQAADwAAAAAAAAAAAAAAAAB8BAAAZHJzL2Rvd25y&#10;ZXYueG1sUEsFBgAAAAAEAAQA8wAAAIgFAAAAAA==&#10;" filled="f" stroked="f" strokeweight=".5pt">
                <v:textbox inset="2mm,1mm,1mm,1mm">
                  <w:txbxContent>
                    <w:p w14:paraId="39507CF5" w14:textId="2FC4D82B" w:rsidR="00DC6857" w:rsidRPr="00574306" w:rsidRDefault="00C25BF0" w:rsidP="00DC6857">
                      <w:pPr>
                        <w:tabs>
                          <w:tab w:val="left" w:pos="4820"/>
                        </w:tabs>
                        <w:spacing w:after="0"/>
                        <w:rPr>
                          <w:rFonts w:ascii="Segoe UI Light" w:hAnsi="Segoe UI Light" w:cs="Segoe UI Light"/>
                          <w:b/>
                          <w:bCs/>
                          <w:color w:val="FFFFFF" w:themeColor="background1"/>
                          <w:sz w:val="16"/>
                          <w:szCs w:val="16"/>
                        </w:rPr>
                      </w:pPr>
                      <w:r w:rsidRPr="00C25BF0">
                        <w:rPr>
                          <w:rFonts w:ascii="Segoe UI Light" w:hAnsi="Segoe UI Light" w:cs="Segoe UI Light"/>
                          <w:b/>
                          <w:bCs/>
                          <w:color w:val="FFFFFF" w:themeColor="background1"/>
                          <w:sz w:val="16"/>
                          <w:szCs w:val="16"/>
                        </w:rPr>
                        <w:t>Lauksaimniecība, mežsaimniecība</w:t>
                      </w:r>
                    </w:p>
                  </w:txbxContent>
                </v:textbox>
                <w10:wrap anchorx="margin"/>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59" behindDoc="0" locked="0" layoutInCell="1" allowOverlap="1" wp14:anchorId="6C1A3412" wp14:editId="444C88F4">
                <wp:simplePos x="0" y="0"/>
                <wp:positionH relativeFrom="column">
                  <wp:posOffset>4380966</wp:posOffset>
                </wp:positionH>
                <wp:positionV relativeFrom="paragraph">
                  <wp:posOffset>4060622</wp:posOffset>
                </wp:positionV>
                <wp:extent cx="1080000" cy="504000"/>
                <wp:effectExtent l="0" t="0" r="6350"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000" cy="504000"/>
                        </a:xfrm>
                        <a:prstGeom prst="rect">
                          <a:avLst/>
                        </a:prstGeom>
                        <a:noFill/>
                        <a:ln w="6350">
                          <a:noFill/>
                        </a:ln>
                      </wps:spPr>
                      <wps:txbx>
                        <w:txbxContent>
                          <w:p w14:paraId="6B8CB1C8" w14:textId="4C18076B" w:rsidR="00DC6857" w:rsidRPr="00574306" w:rsidRDefault="00DE273F" w:rsidP="00DC6857">
                            <w:pPr>
                              <w:tabs>
                                <w:tab w:val="left" w:pos="4820"/>
                              </w:tabs>
                              <w:spacing w:after="0"/>
                              <w:rPr>
                                <w:rFonts w:ascii="Segoe UI Light" w:hAnsi="Segoe UI Light" w:cs="Segoe UI Light"/>
                                <w:b/>
                                <w:bCs/>
                                <w:color w:val="FFFFFF" w:themeColor="background1"/>
                                <w:sz w:val="16"/>
                                <w:szCs w:val="16"/>
                              </w:rPr>
                            </w:pPr>
                            <w:r w:rsidRPr="00DE273F">
                              <w:rPr>
                                <w:rFonts w:ascii="Segoe UI Light" w:hAnsi="Segoe UI Light" w:cs="Segoe UI Light"/>
                                <w:b/>
                                <w:bCs/>
                                <w:color w:val="FFFFFF" w:themeColor="background1"/>
                                <w:sz w:val="16"/>
                                <w:szCs w:val="16"/>
                              </w:rPr>
                              <w:t>Izmitināšana un ēdināšanas 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A3412" id="Text Box 176" o:spid="_x0000_s1163" type="#_x0000_t202" style="position:absolute;left:0;text-align:left;margin-left:344.95pt;margin-top:319.75pt;width:85.05pt;height:39.7pt;z-index:251658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7ooJQIAAE4EAAAOAAAAZHJzL2Uyb0RvYy54bWysVE1v2zAMvQ/YfxB0X+w0a1oYcYqsRYYB&#10;QVsgHXpWZCkxJosapcTufv0o2flAt9OwHBRSpKhHvifP7rrGsINCX4Mt+XiUc6ashKq225J/f1l+&#10;uuXMB2ErYcCqkr8pz+/mHz/MWleoK9iBqRQyKmJ90bqS70JwRZZ5uVON8CNwylJQAzYikIvbrELR&#10;UvXGZFd5Ps1awMohSOU97T70QT5P9bVWMjxp7VVgpuSELaQV07qJazafiWKLwu1qOcAQ/4CiEbWl&#10;S0+lHkQQbI/1H6WaWiJ40GEkoclA61qq1AN1M87fdbPeCadSLzQc705j8v+vrHw8rN0zstB9gY4I&#10;TE14twL5w9Nsstb5YsiJM/WFp+zYaKexif/UAqODNNu30zxVF5iM1fLbnH6cSYpd55+jHYueTzv0&#10;4auChkWj5Eh8JQTisPKhTz2mxMssLGtjEmfGsrbk08l1ng6cIlTc2AF4jzWiDt2mY3VFkCY3EULc&#10;20D1Rp0j9KLwTi5rQrESPjwLJBUQcFJ2eKJFG6DbYLA42wH++tt+zCdyKMpZS6oquf+5F6g4M98s&#10;0XZDmo0yTM5kmhy8dDaXjt0390DCHdMbcjKZdBiDOZoaoXmlB7CIt1JIWEl3lzwczfvQa50ekFSL&#10;RUoi4TkRVnbt5JHwOOOX7lWgG4gIROEjHPUnind89Lk9I4t9AF0nss5THQgg0Sa6hwcWX8Wln7LO&#10;n4H5bwAAAP//AwBQSwMEFAAGAAgAAAAhAJHLYbrfAAAACwEAAA8AAABkcnMvZG93bnJldi54bWxM&#10;j8FOwzAMhu9IvENkJC6IpR2stKXphAo8AAOJa9aYtlrjlCTdurfHnOBmy59+f3+1XewojujD4EhB&#10;ukpAILXODNQp+Hh/vc1BhKjJ6NERKjhjgG19eVHp0rgTveFxFzvBIRRKraCPcSqlDG2PVoeVm5D4&#10;9uW81ZFX30nj9YnD7SjXSZJJqwfiD72esOmxPexmq+D5/vyZ3sz0ssnCYfoOvkn9ulHq+mp5egQR&#10;cYl/MPzqszrU7LR3M5kgRgVZXhSM8nBXbEAwkWcJt9sreEjzAmRdyf8d6h8AAAD//wMAUEsBAi0A&#10;FAAGAAgAAAAhALaDOJL+AAAA4QEAABMAAAAAAAAAAAAAAAAAAAAAAFtDb250ZW50X1R5cGVzXS54&#10;bWxQSwECLQAUAAYACAAAACEAOP0h/9YAAACUAQAACwAAAAAAAAAAAAAAAAAvAQAAX3JlbHMvLnJl&#10;bHNQSwECLQAUAAYACAAAACEAtuu6KCUCAABOBAAADgAAAAAAAAAAAAAAAAAuAgAAZHJzL2Uyb0Rv&#10;Yy54bWxQSwECLQAUAAYACAAAACEAkcthut8AAAALAQAADwAAAAAAAAAAAAAAAAB/BAAAZHJzL2Rv&#10;d25yZXYueG1sUEsFBgAAAAAEAAQA8wAAAIsFAAAAAA==&#10;" filled="f" stroked="f" strokeweight=".5pt">
                <v:textbox inset="2mm,1mm,1mm,1mm">
                  <w:txbxContent>
                    <w:p w14:paraId="6B8CB1C8" w14:textId="4C18076B" w:rsidR="00DC6857" w:rsidRPr="00574306" w:rsidRDefault="00DE273F" w:rsidP="00DC6857">
                      <w:pPr>
                        <w:tabs>
                          <w:tab w:val="left" w:pos="4820"/>
                        </w:tabs>
                        <w:spacing w:after="0"/>
                        <w:rPr>
                          <w:rFonts w:ascii="Segoe UI Light" w:hAnsi="Segoe UI Light" w:cs="Segoe UI Light"/>
                          <w:b/>
                          <w:bCs/>
                          <w:color w:val="FFFFFF" w:themeColor="background1"/>
                          <w:sz w:val="16"/>
                          <w:szCs w:val="16"/>
                        </w:rPr>
                      </w:pPr>
                      <w:r w:rsidRPr="00DE273F">
                        <w:rPr>
                          <w:rFonts w:ascii="Segoe UI Light" w:hAnsi="Segoe UI Light" w:cs="Segoe UI Light"/>
                          <w:b/>
                          <w:bCs/>
                          <w:color w:val="FFFFFF" w:themeColor="background1"/>
                          <w:sz w:val="16"/>
                          <w:szCs w:val="16"/>
                        </w:rPr>
                        <w:t>Izmitināšana un ēdināšanas pakalpojumi</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60" behindDoc="0" locked="0" layoutInCell="1" allowOverlap="1" wp14:anchorId="377761E5" wp14:editId="79F35632">
                <wp:simplePos x="0" y="0"/>
                <wp:positionH relativeFrom="column">
                  <wp:posOffset>4419321</wp:posOffset>
                </wp:positionH>
                <wp:positionV relativeFrom="paragraph">
                  <wp:posOffset>4707052</wp:posOffset>
                </wp:positionV>
                <wp:extent cx="1080000" cy="468000"/>
                <wp:effectExtent l="0" t="0" r="6350" b="8255"/>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000" cy="468000"/>
                        </a:xfrm>
                        <a:prstGeom prst="rect">
                          <a:avLst/>
                        </a:prstGeom>
                        <a:noFill/>
                        <a:ln w="6350">
                          <a:noFill/>
                        </a:ln>
                      </wps:spPr>
                      <wps:txbx>
                        <w:txbxContent>
                          <w:p w14:paraId="63BF36CC" w14:textId="3B09BCE7" w:rsidR="00DC6857" w:rsidRDefault="00DE273F"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Ēdināšanas pakalpojumi</w:t>
                            </w:r>
                          </w:p>
                          <w:p w14:paraId="72D2BF2A" w14:textId="401F3B30" w:rsidR="00DC6857" w:rsidRPr="00176803" w:rsidRDefault="00DE273F"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3,1%</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761E5" id="Text Box 177" o:spid="_x0000_s1164" type="#_x0000_t202" style="position:absolute;left:0;text-align:left;margin-left:348pt;margin-top:370.65pt;width:85.05pt;height:36.85pt;z-index:251658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YJIQIAAE4EAAAOAAAAZHJzL2Uyb0RvYy54bWysVE1v2zAMvQ/YfxB0X+w0W1AYcYqsRYYB&#10;QVsgLXpWZCkxJosapcTOfv0o2flAt9OwHBRSpMhHPtKzu64x7KDQ12BLPh7lnCkroarttuSvL8tP&#10;t5z5IGwlDFhV8qPy/G7+8cOsdYW6gR2YSiGjINYXrSv5LgRXZJmXO9UIPwKnLBk1YCMCqbjNKhQt&#10;RW9MdpPn06wFrByCVN7T7UNv5PMUX2slw5PWXgVmSk7YQjoxnZt4ZvOZKLYo3K6WAwzxDygaUVtK&#10;eg71IIJge6z/CNXUEsGDDiMJTQZa11KlGqiacf6umvVOOJVqoeZ4d26T/39h5eNh7Z6Rhe4rdERg&#10;KsK7FcgfnnqTtc4Xg0/sqS88ecdCO41N/KcSGD2k3h7P/VRdYDJGy29z+nEmyfZ5GpXY8Ozy2qEP&#10;3xQ0LAolR+IrIRCHlQ+968klJrOwrI1JnBnL2pJPJ1/y9OBsoeDGDsB7rBF16DYdqyuCNLmNEOLd&#10;BqojVY7QD4V3clkTipXw4VkgTQEBp8kOT3RoA5QNBomzHeCvv91HfyKHrJy1NFUl9z/3AhVn5rsl&#10;2ibT1I9wreC1srlW7L65BxrcMe2Qk0kkTBjMSdQIzRstwCJmJZOwknKXfHMS70M/67RAUi0WyYkG&#10;z4mwsmsnT4THHr90bwLdQEQgCh/hNH+ieMdH79szstgH0HUi69LVgQAa2kT3sGBxK6715HX5DMx/&#10;AwAA//8DAFBLAwQUAAYACAAAACEAcrH4geIAAAALAQAADwAAAGRycy9kb3ducmV2LnhtbEyPwU7D&#10;MBBE70j8g7VIXCrqpIApIU5VkLggVYjSA0cn3iYR8TqK3ST9e5YT3GY1o9k3+WZ2nRhxCK0nDeky&#10;AYFUedtSreHw+XqzBhGiIWs6T6jhjAE2xeVFbjLrJ/rAcR9rwSUUMqOhibHPpAxVg86Epe+R2Dv6&#10;wZnI51BLO5iJy10nV0mipDMt8YfG9PjSYPW9PzkN7yv11dLxMNnFWLaL5/OOtm9R6+urefsEIuIc&#10;/8Lwi8/oUDBT6U9kg+g0qEfFW6KGh7v0FgQn1kqlIEoW6X0Cssjl/w3FDwAAAP//AwBQSwECLQAU&#10;AAYACAAAACEAtoM4kv4AAADhAQAAEwAAAAAAAAAAAAAAAAAAAAAAW0NvbnRlbnRfVHlwZXNdLnht&#10;bFBLAQItABQABgAIAAAAIQA4/SH/1gAAAJQBAAALAAAAAAAAAAAAAAAAAC8BAABfcmVscy8ucmVs&#10;c1BLAQItABQABgAIAAAAIQCUZvYJIQIAAE4EAAAOAAAAAAAAAAAAAAAAAC4CAABkcnMvZTJvRG9j&#10;LnhtbFBLAQItABQABgAIAAAAIQBysfiB4gAAAAsBAAAPAAAAAAAAAAAAAAAAAHsEAABkcnMvZG93&#10;bnJldi54bWxQSwUGAAAAAAQABADzAAAAigUAAAAA&#10;" filled="f" stroked="f" strokeweight=".5pt">
                <v:textbox inset="1mm,1mm,1mm,1mm">
                  <w:txbxContent>
                    <w:p w14:paraId="63BF36CC" w14:textId="3B09BCE7" w:rsidR="00DC6857" w:rsidRDefault="00DE273F"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Ēdināšanas pakalpojumi</w:t>
                      </w:r>
                    </w:p>
                    <w:p w14:paraId="72D2BF2A" w14:textId="401F3B30" w:rsidR="00DC6857" w:rsidRPr="00176803" w:rsidRDefault="00DE273F"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3,1%</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62" behindDoc="0" locked="0" layoutInCell="1" allowOverlap="1" wp14:anchorId="680779B2" wp14:editId="01D492BC">
                <wp:simplePos x="0" y="0"/>
                <wp:positionH relativeFrom="column">
                  <wp:posOffset>5138420</wp:posOffset>
                </wp:positionH>
                <wp:positionV relativeFrom="paragraph">
                  <wp:posOffset>6848043</wp:posOffset>
                </wp:positionV>
                <wp:extent cx="310317" cy="198603"/>
                <wp:effectExtent l="0" t="0" r="0"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317" cy="198603"/>
                        </a:xfrm>
                        <a:prstGeom prst="rect">
                          <a:avLst/>
                        </a:prstGeom>
                        <a:noFill/>
                        <a:ln w="6350">
                          <a:noFill/>
                        </a:ln>
                      </wps:spPr>
                      <wps:txbx>
                        <w:txbxContent>
                          <w:p w14:paraId="5F81068C" w14:textId="21F61D93" w:rsidR="00DC6857" w:rsidRPr="00574306" w:rsidRDefault="00C36C1A"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B</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779B2" id="Text Box 202" o:spid="_x0000_s1165" type="#_x0000_t202" style="position:absolute;left:0;text-align:left;margin-left:404.6pt;margin-top:539.2pt;width:24.45pt;height:15.65pt;z-index:251658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AB9JwIAAE0EAAAOAAAAZHJzL2Uyb0RvYy54bWysVE1v2zAMvQ/YfxB0X2zXWNoacYqsRYYB&#10;QVsgHXpWZCk2JouapMTOfv0o2flA11OxiyyKFPnI9+TZXd8qshfWNaBLmk1SSoTmUDV6W9KfL8sv&#10;N5Q4z3TFFGhR0oNw9G7++dOsM4W4ghpUJSzBJNoVnSlp7b0pksTxWrTMTcAIjU4JtmUeTbtNKss6&#10;zN6q5CpNp0kHtjIWuHAOTx8GJ53H/FIK7p+kdMITVVLE5uNq47oJazKfsWJrmakbPsJgH0DRskZj&#10;0VOqB+YZ2dnmn1Rtwy04kH7CoU1AyoaL2AN2k6VvulnXzIjYCw7HmdOY3P9Lyx/3a/Nsie+/QY8E&#10;xiacWQH/5XA2SWdcMcaEmbrCYXRotJe2DV9sgeBFnO3hNE/Re8LxMM/SPLumhKMru72ZpnmYd3K+&#10;bKzz3wW0JGxKapGuCIDtV84PoceQUEvDslEqUqY06Uo6zb+m8cLJg8mVHnEPUANo32960lSIIr8N&#10;EMLZBqoDNm5h0IQzfNkgihVz/plZFAG2hML2T7hIBVgNxh0lNdg/752HeOQGvZR0KKqSut87ZgUl&#10;6odG1q5RskGF0cin0bCXxubS0Lv2HlC3GT4hw+MWL1uvjltpoX1F/S9CVXQxzbF2Sf1xe+8HqeP7&#10;4WKxiEGoO8P8Sq8NP/IdZvzSvzJrRiI8MvgIR/mx4g0fQ+zAyGLnQTaRrPNURwJQs5Hu8X2FR3Fp&#10;x6jzX2D+FwAA//8DAFBLAwQUAAYACAAAACEAjf7g/+AAAAANAQAADwAAAGRycy9kb3ducmV2Lnht&#10;bEyPy07DMBBF90j8gzVIbBC1HfWRhjgVCvABFCS2bmySqPE42E6b/j3Dii5n7tGdM+VudgM72RB7&#10;jwrkQgCz2HjTY6vg8+PtMQcWk0ajB49WwcVG2FW3N6UujD/juz3tU8uoBGOhFXQpjQXnsems03Hh&#10;R4uUffvgdKIxtNwEfaZyN/BMiDV3uke60OnR1p1tjvvJKXhZXr7kw4Svq3U8jj8x1DJktVL3d/Pz&#10;E7Bk5/QPw58+qUNFTgc/oYlsUJCLbUYoBWKTL4ERkq9yCexAKym2G+BVya+/qH4BAAD//wMAUEsB&#10;Ai0AFAAGAAgAAAAhALaDOJL+AAAA4QEAABMAAAAAAAAAAAAAAAAAAAAAAFtDb250ZW50X1R5cGVz&#10;XS54bWxQSwECLQAUAAYACAAAACEAOP0h/9YAAACUAQAACwAAAAAAAAAAAAAAAAAvAQAAX3JlbHMv&#10;LnJlbHNQSwECLQAUAAYACAAAACEAYzQAfScCAABNBAAADgAAAAAAAAAAAAAAAAAuAgAAZHJzL2Uy&#10;b0RvYy54bWxQSwECLQAUAAYACAAAACEAjf7g/+AAAAANAQAADwAAAAAAAAAAAAAAAACBBAAAZHJz&#10;L2Rvd25yZXYueG1sUEsFBgAAAAAEAAQA8wAAAI4FAAAAAA==&#10;" filled="f" stroked="f" strokeweight=".5pt">
                <v:textbox inset="2mm,1mm,1mm,1mm">
                  <w:txbxContent>
                    <w:p w14:paraId="5F81068C" w14:textId="21F61D93" w:rsidR="00DC6857" w:rsidRPr="00574306" w:rsidRDefault="00C36C1A"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B</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58" behindDoc="0" locked="0" layoutInCell="1" allowOverlap="1" wp14:anchorId="0A3B55B3" wp14:editId="215362B6">
                <wp:simplePos x="0" y="0"/>
                <wp:positionH relativeFrom="column">
                  <wp:posOffset>1673352</wp:posOffset>
                </wp:positionH>
                <wp:positionV relativeFrom="paragraph">
                  <wp:posOffset>5605983</wp:posOffset>
                </wp:positionV>
                <wp:extent cx="1031443" cy="490119"/>
                <wp:effectExtent l="0" t="0" r="0" b="5715"/>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1443" cy="490119"/>
                        </a:xfrm>
                        <a:prstGeom prst="rect">
                          <a:avLst/>
                        </a:prstGeom>
                        <a:noFill/>
                        <a:ln w="6350">
                          <a:noFill/>
                        </a:ln>
                      </wps:spPr>
                      <wps:txbx>
                        <w:txbxContent>
                          <w:p w14:paraId="4EB3DDED" w14:textId="27256C3C" w:rsidR="00DC6857" w:rsidRPr="0080669C" w:rsidRDefault="006306F2" w:rsidP="00DC6857">
                            <w:pPr>
                              <w:tabs>
                                <w:tab w:val="left" w:pos="4820"/>
                              </w:tabs>
                              <w:spacing w:after="0"/>
                              <w:rPr>
                                <w:rFonts w:ascii="Segoe UI Light" w:hAnsi="Segoe UI Light" w:cs="Segoe UI Light"/>
                                <w:b/>
                                <w:bCs/>
                                <w:sz w:val="16"/>
                                <w:szCs w:val="16"/>
                              </w:rPr>
                            </w:pPr>
                            <w:r w:rsidRPr="006306F2">
                              <w:rPr>
                                <w:rFonts w:ascii="Segoe UI Light" w:hAnsi="Segoe UI Light" w:cs="Segoe UI Light"/>
                                <w:b/>
                                <w:bCs/>
                                <w:sz w:val="16"/>
                                <w:szCs w:val="16"/>
                              </w:rPr>
                              <w:t>Administratīvo un apkalpojošo dienestu darbība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B55B3" id="Text Box 170" o:spid="_x0000_s1166" type="#_x0000_t202" style="position:absolute;left:0;text-align:left;margin-left:131.75pt;margin-top:441.4pt;width:81.2pt;height:38.6pt;z-index:251658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m4JwIAAE4EAAAOAAAAZHJzL2Uyb0RvYy54bWysVE1v2zAMvQ/YfxB0X2w3WbYacYqsRYYB&#10;QVsgHXpWZCk2JouapMTOfv0o2U6CbqdhF5kUKX69Ry/uukaRo7CuBl3QbJJSIjSHstb7gn5/WX/4&#10;TInzTJdMgRYFPQlH75bv3y1ak4sbqECVwhIMol3emoJW3ps8SRyvRMPcBIzQaJRgG+ZRtfuktKzF&#10;6I1KbtJ0nrRgS2OBC+fw9qE30mWML6Xg/klKJzxRBcXafDxtPHfhTJYLlu8tM1XNhzLYP1TRsFpj&#10;0nOoB+YZOdj6j1BNzS04kH7CoUlAypqL2AN2k6VvutlWzIjYCw7HmfOY3P8Lyx+PW/Nsie++QIcA&#10;xiac2QD/4XA2SWtcPviEmbrcoXdotJO2CV9sgeBDnO3pPE/RecJDtHSazWZTSjjaZrdplt2GgSeX&#10;18Y6/1VAQ4JQUIt4xQrYceN87zq6hGQa1rVSETOlSVvQ+fRjGh+cLRhc6aHwvtZQte92HalLLGkW&#10;MQ93OyhP2LmFnhTO8HWNVWyY88/MIguwJ2S2f8JDKsBsMEiUVGB//e0++CM4aKWkRVYV1P08MCso&#10;Ud80wvYJORtoGJXpPCr2WtldK/rQ3AMSN8MdMjyK+Nh6NYrSQvOKC7AKWdHENMfcBfWjeO97ruMC&#10;cbFaRScknmF+o7eGj4CHGb90r8yaAQiPED7CyD+Wv8Gj9+0RWR08yDqCdZnqAACSNsI9LFjYims9&#10;el1+A8vfAAAA//8DAFBLAwQUAAYACAAAACEA60WyW98AAAALAQAADwAAAGRycy9kb3ducmV2Lnht&#10;bEyPQU7DMBBF90jcwRokNqi1E5ooDZlUKMABKEhs3dhNosbjYDttenvMCpajefr//Wq3mJGdtfOD&#10;JYRkLYBpaq0aqEP4/HhbFcB8kKTkaEkjXLWHXX17U8lS2Qu96/M+dCyGkC8lQh/CVHLu214b6dd2&#10;0hR/R+uMDPF0HVdOXmK4GXkqRM6NHCg29HLSTa/b0342CC+b61fyMNNrlvvT9O1dk7i0Qby/W56f&#10;gAW9hD8YfvWjOtTR6WBnUp6NCGn+mEUUoSjSuCESmzTbAjsgbHMhgNcV/7+h/gEAAP//AwBQSwEC&#10;LQAUAAYACAAAACEAtoM4kv4AAADhAQAAEwAAAAAAAAAAAAAAAAAAAAAAW0NvbnRlbnRfVHlwZXNd&#10;LnhtbFBLAQItABQABgAIAAAAIQA4/SH/1gAAAJQBAAALAAAAAAAAAAAAAAAAAC8BAABfcmVscy8u&#10;cmVsc1BLAQItABQABgAIAAAAIQCRIwm4JwIAAE4EAAAOAAAAAAAAAAAAAAAAAC4CAABkcnMvZTJv&#10;RG9jLnhtbFBLAQItABQABgAIAAAAIQDrRbJb3wAAAAsBAAAPAAAAAAAAAAAAAAAAAIEEAABkcnMv&#10;ZG93bnJldi54bWxQSwUGAAAAAAQABADzAAAAjQUAAAAA&#10;" filled="f" stroked="f" strokeweight=".5pt">
                <v:textbox inset="2mm,1mm,1mm,1mm">
                  <w:txbxContent>
                    <w:p w14:paraId="4EB3DDED" w14:textId="27256C3C" w:rsidR="00DC6857" w:rsidRPr="0080669C" w:rsidRDefault="006306F2" w:rsidP="00DC6857">
                      <w:pPr>
                        <w:tabs>
                          <w:tab w:val="left" w:pos="4820"/>
                        </w:tabs>
                        <w:spacing w:after="0"/>
                        <w:rPr>
                          <w:rFonts w:ascii="Segoe UI Light" w:hAnsi="Segoe UI Light" w:cs="Segoe UI Light"/>
                          <w:b/>
                          <w:bCs/>
                          <w:sz w:val="16"/>
                          <w:szCs w:val="16"/>
                        </w:rPr>
                      </w:pPr>
                      <w:r w:rsidRPr="006306F2">
                        <w:rPr>
                          <w:rFonts w:ascii="Segoe UI Light" w:hAnsi="Segoe UI Light" w:cs="Segoe UI Light"/>
                          <w:b/>
                          <w:bCs/>
                          <w:sz w:val="16"/>
                          <w:szCs w:val="16"/>
                        </w:rPr>
                        <w:t>Administratīvo un apkalpojošo dienestu darbība</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56" behindDoc="0" locked="0" layoutInCell="1" allowOverlap="1" wp14:anchorId="373F7776" wp14:editId="18D6ABE2">
                <wp:simplePos x="0" y="0"/>
                <wp:positionH relativeFrom="column">
                  <wp:posOffset>4496943</wp:posOffset>
                </wp:positionH>
                <wp:positionV relativeFrom="paragraph">
                  <wp:posOffset>2420696</wp:posOffset>
                </wp:positionV>
                <wp:extent cx="1152000" cy="359410"/>
                <wp:effectExtent l="0" t="0" r="0" b="254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000" cy="359410"/>
                        </a:xfrm>
                        <a:prstGeom prst="rect">
                          <a:avLst/>
                        </a:prstGeom>
                        <a:noFill/>
                        <a:ln w="6350">
                          <a:noFill/>
                        </a:ln>
                      </wps:spPr>
                      <wps:txbx>
                        <w:txbxContent>
                          <w:p w14:paraId="2062AD72" w14:textId="20E6BB56" w:rsidR="00DC6857" w:rsidRDefault="00BD4652"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Specializētie būvdarbi</w:t>
                            </w:r>
                          </w:p>
                          <w:p w14:paraId="3168A790" w14:textId="06FE4CC6" w:rsidR="00DC6857" w:rsidRPr="0080669C" w:rsidRDefault="00BD4652"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F7776" id="Text Box 155" o:spid="_x0000_s1167" type="#_x0000_t202" style="position:absolute;left:0;text-align:left;margin-left:354.1pt;margin-top:190.6pt;width:90.7pt;height:28.3pt;z-index:251658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SO2JAIAAE4EAAAOAAAAZHJzL2Uyb0RvYy54bWysVE1v2zAMvQ/YfxB0Xxw3TbAacYqsRYYB&#10;QVsgHXpWZCk2JomapMTOfv0o2flAt9Owi0yKFPnIR3p+32lFDsL5BkxJ89GYEmE4VI3ZlfT76+rT&#10;Z0p8YKZiCowo6VF4er/4+GHe2kLcQA2qEo5gEOOL1pa0DsEWWeZ5LTTzI7DCoFGC0yyg6nZZ5ViL&#10;0bXKbsbjWdaCq6wDLrzH28feSBcpvpSCh2cpvQhElRSxhXS6dG7jmS3mrNg5ZuuGDzDYP6DQrDGY&#10;9BzqkQVG9q75I5RuuAMPMow46AykbLhINWA1+fhdNZuaWZFqweZ4e26T/39h+dNhY18cCd0X6JDA&#10;VIS3a+A/PPYma60vBp/YU1949I6FdtLp+MUSCD7E3h7P/RRdIDxGy6fIEZo42ibTu9s8NTy7vLbO&#10;h68CNIlCSR3ylRCww9qHmJ8VJ5eYzMCqUSpxpgxpSzqbTMfpwdmCL5QZgPdYI+rQbTvSVAjpNo+c&#10;x7stVEes3EE/FN7yVYMo1syHF+ZwChA4TnZ4xkMqwGwwSJTU4H797T76IzlopaTFqSqp/7lnTlCi&#10;vhmkbTJL/QjXirtWtteK2esHwMHNcYcsTyJickGdROlAv+ECLGNWNDHDMXdJtyfxIfSzjgvExXKZ&#10;nHDwLAtrs7H8RHjs8Wv3xpwdiAhI4ROc5o8V7/jofXtGlvsAsklkXbo6EIBDmzgcFixuxbWevC6/&#10;gcVvAAAA//8DAFBLAwQUAAYACAAAACEAKNAAKOIAAAALAQAADwAAAGRycy9kb3ducmV2LnhtbEyP&#10;wU7DMAyG70i8Q2QkLhNL16EuK3WngcQFCSHGDjumTdZGNE7VZG339oQT3Gz50+/vL3az7dioB28c&#10;IayWCTBNtVOGGoTj1+uDAOaDJCU7Rxrhqj3sytubQubKTfSpx0NoWAwhn0uENoQ+59zXrbbSL12v&#10;Kd7ObrAyxHVouBrkFMNtx9MkybiVhuKHVvb6pdX19+FiET7S7GTofJzUYqzM4vn6Tvu3gHh/N++f&#10;gAU9hz8YfvWjOpTRqXIXUp51CJtEpBFFWItVHCIhxDYDViE8rjcCeFnw/x3KHwAAAP//AwBQSwEC&#10;LQAUAAYACAAAACEAtoM4kv4AAADhAQAAEwAAAAAAAAAAAAAAAAAAAAAAW0NvbnRlbnRfVHlwZXNd&#10;LnhtbFBLAQItABQABgAIAAAAIQA4/SH/1gAAAJQBAAALAAAAAAAAAAAAAAAAAC8BAABfcmVscy8u&#10;cmVsc1BLAQItABQABgAIAAAAIQBD7SO2JAIAAE4EAAAOAAAAAAAAAAAAAAAAAC4CAABkcnMvZTJv&#10;RG9jLnhtbFBLAQItABQABgAIAAAAIQAo0AAo4gAAAAsBAAAPAAAAAAAAAAAAAAAAAH4EAABkcnMv&#10;ZG93bnJldi54bWxQSwUGAAAAAAQABADzAAAAjQUAAAAA&#10;" filled="f" stroked="f" strokeweight=".5pt">
                <v:textbox inset="1mm,1mm,1mm,1mm">
                  <w:txbxContent>
                    <w:p w14:paraId="2062AD72" w14:textId="20E6BB56" w:rsidR="00DC6857" w:rsidRDefault="00BD4652"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Specializētie būvdarbi</w:t>
                      </w:r>
                    </w:p>
                    <w:p w14:paraId="3168A790" w14:textId="06FE4CC6" w:rsidR="00DC6857" w:rsidRPr="0080669C" w:rsidRDefault="00BD4652"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2,6%</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54" behindDoc="0" locked="0" layoutInCell="1" allowOverlap="1" wp14:anchorId="0D303D16" wp14:editId="0EA43DE7">
                <wp:simplePos x="0" y="0"/>
                <wp:positionH relativeFrom="margin">
                  <wp:posOffset>1738706</wp:posOffset>
                </wp:positionH>
                <wp:positionV relativeFrom="paragraph">
                  <wp:posOffset>2028418</wp:posOffset>
                </wp:positionV>
                <wp:extent cx="1024128" cy="358445"/>
                <wp:effectExtent l="0" t="0" r="5080" b="381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4128" cy="358445"/>
                        </a:xfrm>
                        <a:prstGeom prst="rect">
                          <a:avLst/>
                        </a:prstGeom>
                        <a:noFill/>
                        <a:ln w="6350">
                          <a:noFill/>
                        </a:ln>
                      </wps:spPr>
                      <wps:txbx>
                        <w:txbxContent>
                          <w:p w14:paraId="4AC79362" w14:textId="71413EA7" w:rsidR="00DC6857" w:rsidRPr="0080669C" w:rsidRDefault="00735C76" w:rsidP="00DC6857">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Valsts pārvalde un aizsardzība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03D16" id="Text Box 148" o:spid="_x0000_s1168" type="#_x0000_t202" style="position:absolute;left:0;text-align:left;margin-left:136.9pt;margin-top:159.7pt;width:80.65pt;height:28.2pt;z-index:2516584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A4JwIAAE4EAAAOAAAAZHJzL2Uyb0RvYy54bWysVEtv2zAMvg/YfxB0X+w4jxVGnCJrkWFA&#10;0BZIh54VWYqNyaImKbGzXz9Kdh7odhp2kUmR4uv76MV91yhyFNbVoAs6HqWUCM2hrPW+oN9f15/u&#10;KHGe6ZIp0KKgJ+Ho/fLjh0VrcpFBBaoUlmAQ7fLWFLTy3uRJ4nglGuZGYIRGowTbMI+q3SelZS1G&#10;b1SSpek8acGWxgIXzuHtY2+kyxhfSsH9s5ROeKIKirX5eNp47sKZLBcs31tmqpoPZbB/qKJhtcak&#10;l1CPzDNysPUfoZqaW3Ag/YhDk4CUNRexB+xmnL7rZlsxI2IvOBxnLmNy/y8sfzpuzYslvvsCHQIY&#10;m3BmA/yHw9kkrXH54BNm6nKH3qHRTtomfLEFgg9xtqfLPEXnCQ/R0mw6zpABHG2T2d10OgsDT66v&#10;jXX+q4CGBKGgFvGKFbDjxvne9ewSkmlY10pFzJQmbUHnk1kaH1wsGFzpofC+1lC173YdqUssaZqF&#10;EsLdDsoTdm6hJ4UzfF1jFRvm/AuzyALsCZntn/GQCjAbDBIlFdhff7sP/ggOWilpkVUFdT8PzApK&#10;1DeNsH1GzgYaRmUyj4q9VXa3ij40D4DEHeMOGR5FfGy9OovSQvOGC7AKWdHENMfcBfVn8cH3XMcF&#10;4mK1ik5IPMP8Rm8NPwMeZvzavTFrBiA8QvgEZ/6x/B0evW+PyOrgQdYRrOtUBwCQtBHuYcHCVtzq&#10;0ev6G1j+BgAA//8DAFBLAwQUAAYACAAAACEAskz/Id8AAAALAQAADwAAAGRycy9kb3ducmV2Lnht&#10;bEyPzU7DMBCE70i8g7VIXBB1nJ+2hDgVCvAAFCSubrwkUeN1sJ02fXvMCY47O5r5ptotZmQndH6w&#10;JEGsEmBIrdUDdRI+3l/vt8B8UKTVaAklXNDDrr6+qlSp7Zne8LQPHYsh5EsloQ9hKjn3bY9G+ZWd&#10;kOLvyzqjQjxdx7VT5xhuRp4myZobNVBs6NWETY/tcT8bCc/55VPczfRSrP1x+vauES5tpLy9WZ4e&#10;gQVcwp8ZfvEjOtSR6WBn0p6NEtJNFtGDhEw85MCiI88KAewQlU2xBV5X/P+G+gcAAP//AwBQSwEC&#10;LQAUAAYACAAAACEAtoM4kv4AAADhAQAAEwAAAAAAAAAAAAAAAAAAAAAAW0NvbnRlbnRfVHlwZXNd&#10;LnhtbFBLAQItABQABgAIAAAAIQA4/SH/1gAAAJQBAAALAAAAAAAAAAAAAAAAAC8BAABfcmVscy8u&#10;cmVsc1BLAQItABQABgAIAAAAIQBOyqA4JwIAAE4EAAAOAAAAAAAAAAAAAAAAAC4CAABkcnMvZTJv&#10;RG9jLnhtbFBLAQItABQABgAIAAAAIQCyTP8h3wAAAAsBAAAPAAAAAAAAAAAAAAAAAIEEAABkcnMv&#10;ZG93bnJldi54bWxQSwUGAAAAAAQABADzAAAAjQUAAAAA&#10;" filled="f" stroked="f" strokeweight=".5pt">
                <v:textbox inset="2mm,1mm,1mm,1mm">
                  <w:txbxContent>
                    <w:p w14:paraId="4AC79362" w14:textId="71413EA7" w:rsidR="00DC6857" w:rsidRPr="0080669C" w:rsidRDefault="00735C76" w:rsidP="00DC6857">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Valsts pārvalde un aizsardzība</w:t>
                      </w:r>
                    </w:p>
                  </w:txbxContent>
                </v:textbox>
                <w10:wrap anchorx="margin"/>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55" behindDoc="0" locked="0" layoutInCell="1" allowOverlap="1" wp14:anchorId="09295FF0" wp14:editId="13523C34">
                <wp:simplePos x="0" y="0"/>
                <wp:positionH relativeFrom="column">
                  <wp:posOffset>4423563</wp:posOffset>
                </wp:positionH>
                <wp:positionV relativeFrom="paragraph">
                  <wp:posOffset>1996694</wp:posOffset>
                </wp:positionV>
                <wp:extent cx="720000" cy="252000"/>
                <wp:effectExtent l="0" t="0" r="4445"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00" cy="252000"/>
                        </a:xfrm>
                        <a:prstGeom prst="rect">
                          <a:avLst/>
                        </a:prstGeom>
                        <a:noFill/>
                        <a:ln w="6350">
                          <a:noFill/>
                        </a:ln>
                      </wps:spPr>
                      <wps:txbx>
                        <w:txbxContent>
                          <w:p w14:paraId="5D460937" w14:textId="236AA07E" w:rsidR="00DC6857" w:rsidRPr="0080669C" w:rsidRDefault="00BD4652" w:rsidP="00DC6857">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Būvniecība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95FF0" id="Text Box 154" o:spid="_x0000_s1169" type="#_x0000_t202" style="position:absolute;left:0;text-align:left;margin-left:348.3pt;margin-top:157.2pt;width:56.7pt;height:19.85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RsIwIAAE0EAAAOAAAAZHJzL2Uyb0RvYy54bWysVE1v2zAMvQ/YfxB0X+wkazYYcYqsRYYB&#10;QVsgHXpWZCkxJosapcTufv0o2flAt9OwiyKKNPX43lPmt11j2FGhr8GWfDzKOVNWQlXbXcm/P68+&#10;fObMB2ErYcCqkr8qz28X79/NW1eoCezBVAoZNbG+aF3J9yG4Isu83KtG+BE4ZSmpARsRKMRdVqFo&#10;qXtjskmez7IWsHIIUnlPp/d9ki9Sf62VDI9aexWYKTlhC2nFtG7jmi3motihcPtaDjDEP6BoRG3p&#10;0nOrexEEO2D9R6umlggedBhJaDLQupYqzUDTjPM302z2wqk0C5Hj3Zkm///ayofjxj0hC90X6EjA&#10;NIR3a5A/PHGTtc4XQ03k1BeequOgncYm/tIIjD4kbl/PfKouMEmHn0ihnDKSUpObGES+s8vHDn34&#10;qqBhcVNyJLkSAHFc+9CXnkriXRZWtTFJMmNZW/LZ9CZPH5wz1NzYAXcPNYIO3bZjdUXzfZxGCPFs&#10;C9UrDY7Qe8I7uaoJxVr48CSQTEDAydjhkRZtgG6DYcfZHvDX385jPWlDWc5aMlXJ/c+DQMWZ+WZJ&#10;tUQIuTAF01kiB6+D7XVgD80dkG/H9IScTFvChMGcthqheSH/L+OtlBJW0t0lD6ftXeitTu9HquUy&#10;FZHvnAhru3HypHfk+Ll7EegGIQIp+AAn+4nijR59ba/I8hBA10msC6uDAOTZJPfwvuKjuI5T1eVf&#10;YPEbAAD//wMAUEsDBBQABgAIAAAAIQA4Z9Rx3gAAAAsBAAAPAAAAZHJzL2Rvd25yZXYueG1sTI9B&#10;TsMwEEX3SNzBGiQ2iDouqdWGOBUKcAAKEls3dpOo8TjYTpvenmFFlzPz9Of9cju7gZ1siL1HBWKR&#10;AbPYeNNjq+Dr8/1xDSwmjUYPHq2Ci42wrW5vSl0Yf8YPe9qlllEIxkIr6FIaC85j01mn48KPFul2&#10;8MHpRGNouQn6TOFu4Mssk9zpHulDp0dbd7Y57ian4DW/fIuHCd9WMh7HnxhqEZa1Uvd388szsGTn&#10;9A/Dnz6pQ0VOez+hiWxQIDdSEqrgSeQ5MCLWIqN2e9qscgG8Kvl1h+oXAAD//wMAUEsBAi0AFAAG&#10;AAgAAAAhALaDOJL+AAAA4QEAABMAAAAAAAAAAAAAAAAAAAAAAFtDb250ZW50X1R5cGVzXS54bWxQ&#10;SwECLQAUAAYACAAAACEAOP0h/9YAAACUAQAACwAAAAAAAAAAAAAAAAAvAQAAX3JlbHMvLnJlbHNQ&#10;SwECLQAUAAYACAAAACEABjO0bCMCAABNBAAADgAAAAAAAAAAAAAAAAAuAgAAZHJzL2Uyb0RvYy54&#10;bWxQSwECLQAUAAYACAAAACEAOGfUcd4AAAALAQAADwAAAAAAAAAAAAAAAAB9BAAAZHJzL2Rvd25y&#10;ZXYueG1sUEsFBgAAAAAEAAQA8wAAAIgFAAAAAA==&#10;" filled="f" stroked="f" strokeweight=".5pt">
                <v:textbox inset="2mm,1mm,1mm,1mm">
                  <w:txbxContent>
                    <w:p w14:paraId="5D460937" w14:textId="236AA07E" w:rsidR="00DC6857" w:rsidRPr="0080669C" w:rsidRDefault="00BD4652" w:rsidP="00DC6857">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Būvniecība</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53" behindDoc="0" locked="0" layoutInCell="1" allowOverlap="1" wp14:anchorId="54DC4B57" wp14:editId="22432824">
                <wp:simplePos x="0" y="0"/>
                <wp:positionH relativeFrom="column">
                  <wp:posOffset>3128340</wp:posOffset>
                </wp:positionH>
                <wp:positionV relativeFrom="paragraph">
                  <wp:posOffset>3399536</wp:posOffset>
                </wp:positionV>
                <wp:extent cx="900000" cy="612000"/>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612000"/>
                        </a:xfrm>
                        <a:prstGeom prst="rect">
                          <a:avLst/>
                        </a:prstGeom>
                        <a:noFill/>
                        <a:ln w="6350">
                          <a:noFill/>
                        </a:ln>
                      </wps:spPr>
                      <wps:txbx>
                        <w:txbxContent>
                          <w:p w14:paraId="758C1AA8" w14:textId="77777777" w:rsidR="00BD4652" w:rsidRDefault="00BD4652" w:rsidP="00BD4652">
                            <w:pPr>
                              <w:tabs>
                                <w:tab w:val="left" w:pos="4820"/>
                              </w:tabs>
                              <w:spacing w:after="0"/>
                              <w:rPr>
                                <w:rFonts w:ascii="Segoe UI Light" w:hAnsi="Segoe UI Light" w:cs="Segoe UI Light"/>
                                <w:color w:val="FFFFFF" w:themeColor="background1"/>
                                <w:sz w:val="16"/>
                                <w:szCs w:val="16"/>
                              </w:rPr>
                            </w:pPr>
                            <w:r w:rsidRPr="00450B94">
                              <w:rPr>
                                <w:rFonts w:ascii="Segoe UI Light" w:hAnsi="Segoe UI Light" w:cs="Segoe UI Light"/>
                                <w:color w:val="FFFFFF" w:themeColor="background1"/>
                                <w:sz w:val="16"/>
                                <w:szCs w:val="16"/>
                              </w:rPr>
                              <w:t>Uzglabāšanas un transporta palīgdarbības</w:t>
                            </w:r>
                          </w:p>
                          <w:p w14:paraId="1AE78888" w14:textId="77777777" w:rsidR="00BD4652" w:rsidRPr="00176803" w:rsidRDefault="00BD4652" w:rsidP="00BD4652">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2,2%</w:t>
                            </w:r>
                          </w:p>
                          <w:p w14:paraId="3E31BE32" w14:textId="09C728ED" w:rsidR="00DC6857" w:rsidRPr="00176803" w:rsidRDefault="00DC6857" w:rsidP="00DC6857">
                            <w:pPr>
                              <w:tabs>
                                <w:tab w:val="left" w:pos="4820"/>
                              </w:tabs>
                              <w:spacing w:after="0"/>
                              <w:rPr>
                                <w:rFonts w:ascii="Segoe UI Light" w:hAnsi="Segoe UI Light" w:cs="Segoe UI Light"/>
                                <w:color w:val="FFFFFF" w:themeColor="background1"/>
                                <w:sz w:val="16"/>
                                <w:szCs w:val="16"/>
                              </w:rPr>
                            </w:pP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4B57" id="Text Box 145" o:spid="_x0000_s1170" type="#_x0000_t202" style="position:absolute;left:0;text-align:left;margin-left:246.35pt;margin-top:267.7pt;width:70.85pt;height:48.2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3GIgIAAE0EAAAOAAAAZHJzL2Uyb0RvYy54bWysVE1v2zAMvQ/YfxB0X+y0XbAZcYqsRYYB&#10;QVsgHXpWZCk2JosapcTufv0o2flAt9OwHBRRpMhHvifPb/vWsINC34At+XSSc6ashKqxu5J/f159&#10;+MSZD8JWwoBVJX9Vnt8u3r+bd65QV1CDqRQySmJ90bmS1yG4Isu8rFUr/AScsuTUgK0IZOIuq1B0&#10;lL012VWez7IOsHIIUnlPp/eDky9Sfq2VDI9aexWYKTlhC2nFtG7jmi3motihcHUjRxjiH1C0orFU&#10;9JTqXgTB9tj8kaptJIIHHSYS2gy0bqRKPVA30/xNN5taOJV6oeF4dxqT/39p5cNh456Qhf4L9ERg&#10;asK7NcgfnmaTdc4XY0ycqS88RcdGe41t/KcWGF2k2b6e5qn6wCQdfs7jjzNJrtmU6Erzzs6XHfrw&#10;VUHL4qbkSHQlAOKw9iGWF8UxJNaysGqMSZQZyzpKev0xTxdOHrph7Ih7gBpBh37bs6ai/m5uIuXx&#10;bAvVKzWOMGjCO7lqCMVa+PAkkERAwEnY4ZEWbYCqwbjjrAb89bfzGE/ckJezjkRVcv9zL1BxZr5Z&#10;Yu16luYRLg28NLaXht23d0C6ndITcjJtCRMGc9xqhPaF9L+MVcklrKTaJd8et3dhkDq9H6mWyxRE&#10;unMirO3GySPfccbP/YtANxIRiMEHOMpPFG/4GGIHRpb7ALpJZJ2nOhJAmk0cju8rPopLO0WdvwKL&#10;3wAAAP//AwBQSwMEFAAGAAgAAAAhAHvvznPiAAAACwEAAA8AAABkcnMvZG93bnJldi54bWxMj8FO&#10;wzAMhu9IvENkJC4TS9d13ShNp4HEBWlCbDtwTJusjWicqsna7u3xTnD7LX/6/TnfTrZlg+69cShg&#10;MY+AaaycMlgLOB3fnzbAfJCoZOtQC7hqD9vi/i6XmXIjfunhEGpGJegzKaAJocs491WjrfRz12mk&#10;3dn1VgYa+5qrXo5UblseR1HKrTRIFxrZ6bdGVz+HixXwGaffBs+nUc2G0sxer3vcfQQhHh+m3Quw&#10;oKfwB8NNn9ShIKfSXVB51gpInuM1oQJWy1UCjIh0mVAob2GxAV7k/P8PxS8AAAD//wMAUEsBAi0A&#10;FAAGAAgAAAAhALaDOJL+AAAA4QEAABMAAAAAAAAAAAAAAAAAAAAAAFtDb250ZW50X1R5cGVzXS54&#10;bWxQSwECLQAUAAYACAAAACEAOP0h/9YAAACUAQAACwAAAAAAAAAAAAAAAAAvAQAAX3JlbHMvLnJl&#10;bHNQSwECLQAUAAYACAAAACEAqVn9xiICAABNBAAADgAAAAAAAAAAAAAAAAAuAgAAZHJzL2Uyb0Rv&#10;Yy54bWxQSwECLQAUAAYACAAAACEAe+/Oc+IAAAALAQAADwAAAAAAAAAAAAAAAAB8BAAAZHJzL2Rv&#10;d25yZXYueG1sUEsFBgAAAAAEAAQA8wAAAIsFAAAAAA==&#10;" filled="f" stroked="f" strokeweight=".5pt">
                <v:textbox inset="1mm,1mm,1mm,1mm">
                  <w:txbxContent>
                    <w:p w14:paraId="758C1AA8" w14:textId="77777777" w:rsidR="00BD4652" w:rsidRDefault="00BD4652" w:rsidP="00BD4652">
                      <w:pPr>
                        <w:tabs>
                          <w:tab w:val="left" w:pos="4820"/>
                        </w:tabs>
                        <w:spacing w:after="0"/>
                        <w:rPr>
                          <w:rFonts w:ascii="Segoe UI Light" w:hAnsi="Segoe UI Light" w:cs="Segoe UI Light"/>
                          <w:color w:val="FFFFFF" w:themeColor="background1"/>
                          <w:sz w:val="16"/>
                          <w:szCs w:val="16"/>
                        </w:rPr>
                      </w:pPr>
                      <w:r w:rsidRPr="00450B94">
                        <w:rPr>
                          <w:rFonts w:ascii="Segoe UI Light" w:hAnsi="Segoe UI Light" w:cs="Segoe UI Light"/>
                          <w:color w:val="FFFFFF" w:themeColor="background1"/>
                          <w:sz w:val="16"/>
                          <w:szCs w:val="16"/>
                        </w:rPr>
                        <w:t>Uzglabāšanas un transporta palīgdarbības</w:t>
                      </w:r>
                    </w:p>
                    <w:p w14:paraId="1AE78888" w14:textId="77777777" w:rsidR="00BD4652" w:rsidRPr="00176803" w:rsidRDefault="00BD4652" w:rsidP="00BD4652">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2,2%</w:t>
                      </w:r>
                    </w:p>
                    <w:p w14:paraId="3E31BE32" w14:textId="09C728ED" w:rsidR="00DC6857" w:rsidRPr="00176803" w:rsidRDefault="00DC6857" w:rsidP="00DC6857">
                      <w:pPr>
                        <w:tabs>
                          <w:tab w:val="left" w:pos="4820"/>
                        </w:tabs>
                        <w:spacing w:after="0"/>
                        <w:rPr>
                          <w:rFonts w:ascii="Segoe UI Light" w:hAnsi="Segoe UI Light" w:cs="Segoe UI Light"/>
                          <w:color w:val="FFFFFF" w:themeColor="background1"/>
                          <w:sz w:val="16"/>
                          <w:szCs w:val="16"/>
                        </w:rPr>
                      </w:pP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452" behindDoc="0" locked="0" layoutInCell="1" allowOverlap="1" wp14:anchorId="2B03C73D" wp14:editId="4AFF3BD0">
                <wp:simplePos x="0" y="0"/>
                <wp:positionH relativeFrom="column">
                  <wp:posOffset>3135122</wp:posOffset>
                </wp:positionH>
                <wp:positionV relativeFrom="paragraph">
                  <wp:posOffset>2644749</wp:posOffset>
                </wp:positionV>
                <wp:extent cx="1152000" cy="468000"/>
                <wp:effectExtent l="0" t="0" r="0" b="825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000" cy="468000"/>
                        </a:xfrm>
                        <a:prstGeom prst="rect">
                          <a:avLst/>
                        </a:prstGeom>
                        <a:noFill/>
                        <a:ln w="6350">
                          <a:noFill/>
                        </a:ln>
                      </wps:spPr>
                      <wps:txbx>
                        <w:txbxContent>
                          <w:p w14:paraId="3A70B27C" w14:textId="77777777" w:rsidR="00BD4652" w:rsidRDefault="00BD4652" w:rsidP="00DC6857">
                            <w:pPr>
                              <w:tabs>
                                <w:tab w:val="left" w:pos="4820"/>
                              </w:tabs>
                              <w:spacing w:after="0"/>
                              <w:rPr>
                                <w:rFonts w:ascii="Segoe UI Light" w:hAnsi="Segoe UI Light" w:cs="Segoe UI Light"/>
                                <w:color w:val="FFFFFF" w:themeColor="background1"/>
                                <w:sz w:val="16"/>
                                <w:szCs w:val="16"/>
                              </w:rPr>
                            </w:pPr>
                            <w:r w:rsidRPr="00BD4652">
                              <w:rPr>
                                <w:rFonts w:ascii="Segoe UI Light" w:hAnsi="Segoe UI Light" w:cs="Segoe UI Light"/>
                                <w:color w:val="FFFFFF" w:themeColor="background1"/>
                                <w:sz w:val="16"/>
                                <w:szCs w:val="16"/>
                              </w:rPr>
                              <w:t>Sauszemes un cauruļvadu transports</w:t>
                            </w:r>
                          </w:p>
                          <w:p w14:paraId="329D31BB" w14:textId="77777777" w:rsidR="008F7B15" w:rsidRDefault="00BD465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4,1%</w:t>
                            </w:r>
                          </w:p>
                          <w:p w14:paraId="06BCBBAB" w14:textId="3879C592" w:rsidR="00DC6857" w:rsidRDefault="00450B94" w:rsidP="00DC6857">
                            <w:pPr>
                              <w:tabs>
                                <w:tab w:val="left" w:pos="4820"/>
                              </w:tabs>
                              <w:spacing w:after="0"/>
                              <w:rPr>
                                <w:rFonts w:ascii="Segoe UI Light" w:hAnsi="Segoe UI Light" w:cs="Segoe UI Light"/>
                                <w:color w:val="FFFFFF" w:themeColor="background1"/>
                                <w:sz w:val="16"/>
                                <w:szCs w:val="16"/>
                              </w:rPr>
                            </w:pPr>
                            <w:r w:rsidRPr="00450B94">
                              <w:rPr>
                                <w:rFonts w:ascii="Segoe UI Light" w:hAnsi="Segoe UI Light" w:cs="Segoe UI Light"/>
                                <w:color w:val="FFFFFF" w:themeColor="background1"/>
                                <w:sz w:val="16"/>
                                <w:szCs w:val="16"/>
                              </w:rPr>
                              <w:t>Uzglabāšanas un transporta palīgdarbības</w:t>
                            </w:r>
                          </w:p>
                          <w:p w14:paraId="781835AE" w14:textId="5389958B" w:rsidR="00DC6857" w:rsidRPr="00176803" w:rsidRDefault="00DC6857" w:rsidP="00DC6857">
                            <w:pPr>
                              <w:tabs>
                                <w:tab w:val="left" w:pos="4820"/>
                              </w:tabs>
                              <w:spacing w:after="0"/>
                              <w:rPr>
                                <w:rFonts w:ascii="Segoe UI Light" w:hAnsi="Segoe UI Light" w:cs="Segoe UI Light"/>
                                <w:color w:val="FFFFFF" w:themeColor="background1"/>
                                <w:sz w:val="16"/>
                                <w:szCs w:val="16"/>
                              </w:rPr>
                            </w:pP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3C73D" id="Text Box 144" o:spid="_x0000_s1171" type="#_x0000_t202" style="position:absolute;left:0;text-align:left;margin-left:246.85pt;margin-top:208.25pt;width:90.7pt;height:36.85pt;z-index:251658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aIAIAAE4EAAAOAAAAZHJzL2Uyb0RvYy54bWysVE1v2zAMvQ/YfxB0X5y0TVAYcYqsRYYB&#10;QVsgLXpWZCk2JosapcTufv0o2flAt9Owi0yKFPnIR3p+1zWGHRT6GmzBJ6MxZ8pKKGu7K/jry+rL&#10;LWc+CFsKA1YV/F15frf4/GneulxdQQWmVMgoiPV56wpeheDyLPOyUo3wI3DKklEDNiKQirusRNFS&#10;9MZkV+PxLGsBS4cglfd0+9Ab+SLF11rJ8KS1V4GZghO2kE5M5zae2WIu8h0KV9VygCH+AUUjaktJ&#10;T6EeRBBsj/UfoZpaInjQYSShyUDrWqpUA1UzGX+oZlMJp1It1BzvTm3y/y+sfDxs3DOy0H2FjghM&#10;RXi3BvnDU2+y1vl88Ik99bkn71hop7GJXyqB0UPq7fupn6oLTMZokylxRCZJtpvZbZRj0PNrhz58&#10;U9CwKBQcia+EQBzWPvSuR5eYzMKqNiZxZixrCz67no7Tg5OFghs7AO+xRtSh23asLgnSzTRCiHdb&#10;KN+pcoR+KLyTq5pQrIUPzwJpCgg4TXZ4okMboGwwSJxVgL/+dh/9iRyyctbSVBXc/9wLVJyZ75Zo&#10;u56lfoRLBS+V7aVi98090OBOaIecTCJhwmCOokZo3mgBljErmYSVlLvg26N4H/pZpwWSarlMTjR4&#10;ToS13Th5JDz2+KV7E+gGIgJR+AjH+RP5Bz56356R5T6ArhNZ564OBNDQJrqHBYtbcaknr/NvYPEb&#10;AAD//wMAUEsDBBQABgAIAAAAIQCnywuH4QAAAAsBAAAPAAAAZHJzL2Rvd25yZXYueG1sTI/BToNA&#10;EIbvJr7DZky8NHYBLVVkaaqJF5PGWHvwuLBTILKzhN0CfXunJ73N5P/yzzf5ZradGHHwrSMF8TIC&#10;gVQ501Kt4PD1dvcIwgdNRneOUMEZPWyK66tcZ8ZN9InjPtSCS8hnWkETQp9J6asGrfZL1yNxdnSD&#10;1YHXoZZm0BOX204mUZRKq1viC43u8bXB6md/sgo+kvS7peNhMouxbBcv5x1t34NStzfz9hlEwDn8&#10;wXDRZ3Uo2Kl0JzJedAoenu7XjPIQpysQTKTrVQyivERRArLI5f8fil8AAAD//wMAUEsBAi0AFAAG&#10;AAgAAAAhALaDOJL+AAAA4QEAABMAAAAAAAAAAAAAAAAAAAAAAFtDb250ZW50X1R5cGVzXS54bWxQ&#10;SwECLQAUAAYACAAAACEAOP0h/9YAAACUAQAACwAAAAAAAAAAAAAAAAAvAQAAX3JlbHMvLnJlbHNQ&#10;SwECLQAUAAYACAAAACEA0hlf2iACAABOBAAADgAAAAAAAAAAAAAAAAAuAgAAZHJzL2Uyb0RvYy54&#10;bWxQSwECLQAUAAYACAAAACEAp8sLh+EAAAALAQAADwAAAAAAAAAAAAAAAAB6BAAAZHJzL2Rvd25y&#10;ZXYueG1sUEsFBgAAAAAEAAQA8wAAAIgFAAAAAA==&#10;" filled="f" stroked="f" strokeweight=".5pt">
                <v:textbox inset="1mm,1mm,1mm,1mm">
                  <w:txbxContent>
                    <w:p w14:paraId="3A70B27C" w14:textId="77777777" w:rsidR="00BD4652" w:rsidRDefault="00BD4652" w:rsidP="00DC6857">
                      <w:pPr>
                        <w:tabs>
                          <w:tab w:val="left" w:pos="4820"/>
                        </w:tabs>
                        <w:spacing w:after="0"/>
                        <w:rPr>
                          <w:rFonts w:ascii="Segoe UI Light" w:hAnsi="Segoe UI Light" w:cs="Segoe UI Light"/>
                          <w:color w:val="FFFFFF" w:themeColor="background1"/>
                          <w:sz w:val="16"/>
                          <w:szCs w:val="16"/>
                        </w:rPr>
                      </w:pPr>
                      <w:r w:rsidRPr="00BD4652">
                        <w:rPr>
                          <w:rFonts w:ascii="Segoe UI Light" w:hAnsi="Segoe UI Light" w:cs="Segoe UI Light"/>
                          <w:color w:val="FFFFFF" w:themeColor="background1"/>
                          <w:sz w:val="16"/>
                          <w:szCs w:val="16"/>
                        </w:rPr>
                        <w:t>Sauszemes un cauruļvadu transports</w:t>
                      </w:r>
                    </w:p>
                    <w:p w14:paraId="329D31BB" w14:textId="77777777" w:rsidR="008F7B15" w:rsidRDefault="00BD4652"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4,1%</w:t>
                      </w:r>
                    </w:p>
                    <w:p w14:paraId="06BCBBAB" w14:textId="3879C592" w:rsidR="00DC6857" w:rsidRDefault="00450B94" w:rsidP="00DC6857">
                      <w:pPr>
                        <w:tabs>
                          <w:tab w:val="left" w:pos="4820"/>
                        </w:tabs>
                        <w:spacing w:after="0"/>
                        <w:rPr>
                          <w:rFonts w:ascii="Segoe UI Light" w:hAnsi="Segoe UI Light" w:cs="Segoe UI Light"/>
                          <w:color w:val="FFFFFF" w:themeColor="background1"/>
                          <w:sz w:val="16"/>
                          <w:szCs w:val="16"/>
                        </w:rPr>
                      </w:pPr>
                      <w:r w:rsidRPr="00450B94">
                        <w:rPr>
                          <w:rFonts w:ascii="Segoe UI Light" w:hAnsi="Segoe UI Light" w:cs="Segoe UI Light"/>
                          <w:color w:val="FFFFFF" w:themeColor="background1"/>
                          <w:sz w:val="16"/>
                          <w:szCs w:val="16"/>
                        </w:rPr>
                        <w:t>Uzglabāšanas un transporta palīgdarbības</w:t>
                      </w:r>
                    </w:p>
                    <w:p w14:paraId="781835AE" w14:textId="5389958B" w:rsidR="00DC6857" w:rsidRPr="00176803" w:rsidRDefault="00DC6857" w:rsidP="00DC6857">
                      <w:pPr>
                        <w:tabs>
                          <w:tab w:val="left" w:pos="4820"/>
                        </w:tabs>
                        <w:spacing w:after="0"/>
                        <w:rPr>
                          <w:rFonts w:ascii="Segoe UI Light" w:hAnsi="Segoe UI Light" w:cs="Segoe UI Light"/>
                          <w:color w:val="FFFFFF" w:themeColor="background1"/>
                          <w:sz w:val="16"/>
                          <w:szCs w:val="16"/>
                        </w:rPr>
                      </w:pP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9" behindDoc="0" locked="0" layoutInCell="1" allowOverlap="1" wp14:anchorId="4E19B94A" wp14:editId="4BE62054">
                <wp:simplePos x="0" y="0"/>
                <wp:positionH relativeFrom="column">
                  <wp:posOffset>5057292</wp:posOffset>
                </wp:positionH>
                <wp:positionV relativeFrom="paragraph">
                  <wp:posOffset>620903</wp:posOffset>
                </wp:positionV>
                <wp:extent cx="360000" cy="359410"/>
                <wp:effectExtent l="0" t="0" r="2540" b="254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5A583BB0" w14:textId="3B44B007" w:rsidR="00DC6857" w:rsidRDefault="009C58A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C28</w:t>
                            </w:r>
                          </w:p>
                          <w:p w14:paraId="0B13C2D7" w14:textId="59E18675" w:rsidR="00DC6857" w:rsidRPr="0080669C" w:rsidRDefault="009C58A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9B94A" id="Text Box 129" o:spid="_x0000_s1172" type="#_x0000_t202" style="position:absolute;left:0;text-align:left;margin-left:398.2pt;margin-top:48.9pt;width:28.35pt;height:28.3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rJAIAAE0EAAAOAAAAZHJzL2Uyb0RvYy54bWysVE1v2zAMvQ/YfxB0X+w0bbAacYqsRYYB&#10;QVsgHXpWZCk2JosapcTufv0oxflAt9OwHBRRpMhHvifP7vrWsL1C34At+XiUc6ashKqx25J/f1l+&#10;+syZD8JWwoBVJX9Tnt/NP36Yda5QV1CDqRQySmJ90bmS1yG4Isu8rFUr/AicsuTUgK0IZOI2q1B0&#10;lL012VWeT7MOsHIIUnlPpw8HJ5+n/ForGZ609iowU3LCFtKKad3ENZvPRLFF4epGDjDEP6BoRWOp&#10;6CnVgwiC7bD5I1XbSAQPOowktBlo3UiVeqBuxvm7bta1cCr1QsPx7jQm///Sysf92j0jC/0X6InA&#10;1IR3K5A/PM0m65wvhpg4U194io6N9hrb+E8tMLpIs307zVP1gUk6nExz+nEmyTW5ub0ep3ln58sO&#10;ffiqoGVxU3IkuhIAsV/5EMuL4hgSa1lYNsYkyoxlXcmnk5s8XTh56IaxA+4D1Ag69JueNRX1dz2N&#10;lMezDVRv1DjCQRPeyWVDKFbCh2eBJAICTsIOT7RoA1QNhh1nNeCvv53HeOKGvJx1JKqS+587gYoz&#10;880Sa2kgpMJLAy+NzaVhd+09kG7H9IScTFvChMEctxqhfSX9L2JVcgkrqXbJN8ftfThInd6PVItF&#10;CiLdORFWdu3kke8445f+VaAbiAjE4CMc5SeKd3wcYg+MLHYBdJPIOk91IIA0mzgc3ld8FJd2ijp/&#10;Bea/AQAA//8DAFBLAwQUAAYACAAAACEAVx0OLuEAAAAKAQAADwAAAGRycy9kb3ducmV2LnhtbEyP&#10;QUvDQBCF74L/YRnBS7Gb1jRtYzalCl6EItYePG6y0ySYnQ3ZbZL+e8eTHof5eO972W6yrRiw940j&#10;BYt5BAKpdKahSsHp8/VhA8IHTUa3jlDBFT3s8tubTKfGjfSBwzFUgkPIp1pBHUKXSunLGq32c9ch&#10;8e/seqsDn30lTa9HDretXEZRIq1uiBtq3eFLjeX38WIVvC+Tr4bOp9HMhqKZPV8PtH8LSt3fTfsn&#10;EAGn8AfDrz6rQ85OhbuQ8aJVsN4mMaMKtmuewMBm9bgAUTC5imOQeSb/T8h/AAAA//8DAFBLAQIt&#10;ABQABgAIAAAAIQC2gziS/gAAAOEBAAATAAAAAAAAAAAAAAAAAAAAAABbQ29udGVudF9UeXBlc10u&#10;eG1sUEsBAi0AFAAGAAgAAAAhADj9If/WAAAAlAEAAAsAAAAAAAAAAAAAAAAALwEAAF9yZWxzLy5y&#10;ZWxzUEsBAi0AFAAGAAgAAAAhACaKf+skAgAATQQAAA4AAAAAAAAAAAAAAAAALgIAAGRycy9lMm9E&#10;b2MueG1sUEsBAi0AFAAGAAgAAAAhAFcdDi7hAAAACgEAAA8AAAAAAAAAAAAAAAAAfgQAAGRycy9k&#10;b3ducmV2LnhtbFBLBQYAAAAABAAEAPMAAACMBQAAAAA=&#10;" filled="f" stroked="f" strokeweight=".5pt">
                <v:textbox inset="1mm,1mm,1mm,1mm">
                  <w:txbxContent>
                    <w:p w14:paraId="5A583BB0" w14:textId="3B44B007" w:rsidR="00DC6857" w:rsidRDefault="009C58A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C28</w:t>
                      </w:r>
                    </w:p>
                    <w:p w14:paraId="0B13C2D7" w14:textId="59E18675" w:rsidR="00DC6857" w:rsidRPr="0080669C" w:rsidRDefault="009C58A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61" behindDoc="0" locked="0" layoutInCell="1" allowOverlap="1" wp14:anchorId="56730530" wp14:editId="159AF801">
                <wp:simplePos x="0" y="0"/>
                <wp:positionH relativeFrom="column">
                  <wp:posOffset>5389245</wp:posOffset>
                </wp:positionH>
                <wp:positionV relativeFrom="paragraph">
                  <wp:posOffset>616712</wp:posOffset>
                </wp:positionV>
                <wp:extent cx="300329" cy="359410"/>
                <wp:effectExtent l="0" t="0" r="5080" b="254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29" cy="359410"/>
                        </a:xfrm>
                        <a:prstGeom prst="rect">
                          <a:avLst/>
                        </a:prstGeom>
                        <a:noFill/>
                        <a:ln w="6350">
                          <a:noFill/>
                        </a:ln>
                      </wps:spPr>
                      <wps:txbx>
                        <w:txbxContent>
                          <w:p w14:paraId="6689DFDD" w14:textId="3F7C6DA8" w:rsidR="00DC6857" w:rsidRDefault="009C58A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C18</w:t>
                            </w:r>
                          </w:p>
                          <w:p w14:paraId="220AA258" w14:textId="0AD1790B" w:rsidR="00DC6857" w:rsidRPr="0080669C" w:rsidRDefault="000E11D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30530" id="Text Box 133" o:spid="_x0000_s1173" type="#_x0000_t202" style="position:absolute;left:0;text-align:left;margin-left:424.35pt;margin-top:48.55pt;width:23.65pt;height:28.3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H+4JQIAAE0EAAAOAAAAZHJzL2Uyb0RvYy54bWysVFtv2yAUfp+0/4B4X+wkbdZacaqsVaZJ&#10;UVspnfpMMMTWgMOAxO5+/Q7Yuajb07QXfA7nfr4Pz+86rchBON+AKel4lFMiDIeqMbuSfn9Zfbqh&#10;xAdmKqbAiJK+CU/vFh8/zFtbiAnUoCrhCCYxvmhtSesQbJFlntdCMz8CKwwaJTjNAqpul1WOtZhd&#10;q2yS57OsBVdZB1x4j7cPvZEuUn4pBQ9PUnoRiCop9hbS6dK5jWe2mLNi55itGz60wf6hC80ag0VP&#10;qR5YYGTvmj9S6YY78CDDiIPOQMqGizQDTjPO302zqZkVaRZcjrenNfn/l5Y/Hjb22ZHQfYEOAUxD&#10;eLsG/sPjbrLW+mLwiTv1hUfvOGgnnY5fHIFgIO727bRP0QXC8XKa59PJLSUcTdPr26tx2nd2DrbO&#10;h68CNIlCSR3ClRpgh7UPsTwrji6xloFVo1SCTBnSlnQ2vc5TwMmCEcoMffetxqZDt+1IU+F8V58j&#10;5PFuC9UbDu6g54S3fNVgF2vmwzNzSAIcCYkdnvCQCrAaDBIlNbhff7uP/ogNWilpkVQl9T/3zAlK&#10;1DeDqE1neR5ZeKm4S2V7qZi9vgfk7RifkOVJxGAX1FGUDvQr8n8Zq6KJGY61S7o9ivehpzq+Hy6W&#10;y+SEvLMsrM3G8iPecccv3StzdgAiIIKPcKQfK97h0fv2iCz3AWSTwDpvdQAAOZswHN5XfBSXevI6&#10;/wUWvwEAAP//AwBQSwMEFAAGAAgAAAAhAM4z7wzgAAAACgEAAA8AAABkcnMvZG93bnJldi54bWxM&#10;j0FPg0AQhe8m/ofNmHhp7NKqQJGlqSZeTBpj7cHjwk6ByM4Sdgv03zue9DiZL+99L9/OthMjDr51&#10;pGC1jEAgVc60VCs4fr7epSB80GR05wgVXNDDtri+ynVm3EQfOB5CLTiEfKYVNCH0mZS+atBqv3Q9&#10;Ev9ObrA68DnU0gx64nDbyXUUxdLqlrih0T2+NFh9H85Wwfs6/mrpdJzMYizbxfNlT7u3oNTtzbx7&#10;AhFwDn8w/OqzOhTsVLozGS86BelDmjCqYJOsQDCQbmIeVzL5eJ+ALHL5f0LxAwAA//8DAFBLAQIt&#10;ABQABgAIAAAAIQC2gziS/gAAAOEBAAATAAAAAAAAAAAAAAAAAAAAAABbQ29udGVudF9UeXBlc10u&#10;eG1sUEsBAi0AFAAGAAgAAAAhADj9If/WAAAAlAEAAAsAAAAAAAAAAAAAAAAALwEAAF9yZWxzLy5y&#10;ZWxzUEsBAi0AFAAGAAgAAAAhAEDcf7glAgAATQQAAA4AAAAAAAAAAAAAAAAALgIAAGRycy9lMm9E&#10;b2MueG1sUEsBAi0AFAAGAAgAAAAhAM4z7wzgAAAACgEAAA8AAAAAAAAAAAAAAAAAfwQAAGRycy9k&#10;b3ducmV2LnhtbFBLBQYAAAAABAAEAPMAAACMBQAAAAA=&#10;" filled="f" stroked="f" strokeweight=".5pt">
                <v:textbox inset="1mm,1mm,1mm,1mm">
                  <w:txbxContent>
                    <w:p w14:paraId="6689DFDD" w14:textId="3F7C6DA8" w:rsidR="00DC6857" w:rsidRDefault="009C58AA"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C18</w:t>
                      </w:r>
                    </w:p>
                    <w:p w14:paraId="220AA258" w14:textId="0AD1790B" w:rsidR="00DC6857" w:rsidRPr="0080669C" w:rsidRDefault="000E11D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8" behindDoc="0" locked="0" layoutInCell="1" allowOverlap="1" wp14:anchorId="7528F19C" wp14:editId="3EC9F72A">
                <wp:simplePos x="0" y="0"/>
                <wp:positionH relativeFrom="column">
                  <wp:posOffset>4653915</wp:posOffset>
                </wp:positionH>
                <wp:positionV relativeFrom="paragraph">
                  <wp:posOffset>601345</wp:posOffset>
                </wp:positionV>
                <wp:extent cx="359410" cy="359410"/>
                <wp:effectExtent l="0" t="0" r="2540" b="254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359410"/>
                        </a:xfrm>
                        <a:prstGeom prst="rect">
                          <a:avLst/>
                        </a:prstGeom>
                        <a:noFill/>
                        <a:ln w="6350">
                          <a:noFill/>
                        </a:ln>
                      </wps:spPr>
                      <wps:txbx>
                        <w:txbxContent>
                          <w:p w14:paraId="7C85D4A0" w14:textId="0755ABA6" w:rsidR="00DC6857" w:rsidRDefault="00B03269"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C27</w:t>
                            </w:r>
                          </w:p>
                          <w:p w14:paraId="246FD9F3" w14:textId="33060939" w:rsidR="00DC6857" w:rsidRPr="0080669C" w:rsidRDefault="00B03269"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F19C" id="Text Box 127" o:spid="_x0000_s1174" type="#_x0000_t202" style="position:absolute;left:0;text-align:left;margin-left:366.45pt;margin-top:47.35pt;width:28.3pt;height:28.3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yGHwIAAE0EAAAOAAAAZHJzL2Uyb0RvYy54bWysVEtv2zAMvg/YfxB0X+w0bdAZcYqsRYYB&#10;QVsgHXpWZCkxJosapcTufv0o2Xmg22nYRSbFN79Pnt11jWEHhb4GW/LxKOdMWQlVbbcl//6y/HTL&#10;mQ/CVsKAVSV/U57fzT9+mLWuUFewA1MpZJTE+qJ1Jd+F4Ios83KnGuFH4JQlowZsRCAVt1mFoqXs&#10;jcmu8nyatYCVQ5DKe7p96I18nvJrrWR40tqrwEzJqbeQTkznJp7ZfCaKLQq3q+XQhviHLhpRWyp6&#10;SvUggmB7rP9I1dQSwYMOIwlNBlrXUqUZaJpx/m6a9U44lWah5Xh3WpP/f2nl42HtnpGF7gt0BGAa&#10;wrsVyB+edpO1zheDT9ypLzx5x0E7jU380giMAmm3b6d9qi4wSZeTm8/XY7JIMg1yzHkOdujDVwUN&#10;i0LJkeBKDYjDyofe9egSa1lY1sYkyIxlbcmnk5s8BZwslNzYoe++1dh06DYdqyua7/o2Qh7vNlC9&#10;0eAIPSe8k8uaulgJH54FEgmocSJ2eKJDG6BqMEic7QB//e0++hM2ZOWsJVKV3P/cC1ScmW+WUJtM&#10;8zyy8FLBS2Vzqdh9cw/E2zE9ISeTSMEYzFHUCM0r8X8Rq5JJWEm1S745ivehpzq9H6kWi+REvHMi&#10;rOzaySPecccv3atANwARCMFHONJPFO/w6H17RBb7ALpOYJ23OgBAnE1wD+8rPopLPXmd/wLz3wAA&#10;AP//AwBQSwMEFAAGAAgAAAAhALhX63niAAAACgEAAA8AAABkcnMvZG93bnJldi54bWxMj8FOwzAQ&#10;RO9I/IO1SFwq6jSlTRPiVAWJC1KFaHvo0Ym3iUW8jmI3Sf8ec4Ljap5m3ubbybRswN5pSwIW8wgY&#10;UmWVplrA6fj+tAHmvCQlW0so4IYOtsX9XS4zZUf6wuHgaxZKyGVSQON9l3HuqgaNdHPbIYXsYnsj&#10;fTj7mqtejqHctDyOojU3UlNYaGSHbw1W34erEfAZr8+aLqdRzYZSz15ve9p9eCEeH6bdCzCPk/+D&#10;4Vc/qEMRnEp7JeVYKyBZxmlABaTPCbAAJJt0BawM5GqxBF7k/P8LxQ8AAAD//wMAUEsBAi0AFAAG&#10;AAgAAAAhALaDOJL+AAAA4QEAABMAAAAAAAAAAAAAAAAAAAAAAFtDb250ZW50X1R5cGVzXS54bWxQ&#10;SwECLQAUAAYACAAAACEAOP0h/9YAAACUAQAACwAAAAAAAAAAAAAAAAAvAQAAX3JlbHMvLnJlbHNQ&#10;SwECLQAUAAYACAAAACEASVB8hh8CAABNBAAADgAAAAAAAAAAAAAAAAAuAgAAZHJzL2Uyb0RvYy54&#10;bWxQSwECLQAUAAYACAAAACEAuFfreeIAAAAKAQAADwAAAAAAAAAAAAAAAAB5BAAAZHJzL2Rvd25y&#10;ZXYueG1sUEsFBgAAAAAEAAQA8wAAAIgFAAAAAA==&#10;" filled="f" stroked="f" strokeweight=".5pt">
                <v:textbox inset="1mm,1mm,1mm,1mm">
                  <w:txbxContent>
                    <w:p w14:paraId="7C85D4A0" w14:textId="0755ABA6" w:rsidR="00DC6857" w:rsidRDefault="00B03269"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C27</w:t>
                      </w:r>
                    </w:p>
                    <w:p w14:paraId="246FD9F3" w14:textId="33060939" w:rsidR="00DC6857" w:rsidRPr="0080669C" w:rsidRDefault="00B03269"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7" behindDoc="0" locked="0" layoutInCell="1" allowOverlap="1" wp14:anchorId="651BEC15" wp14:editId="7B3CDC0F">
                <wp:simplePos x="0" y="0"/>
                <wp:positionH relativeFrom="column">
                  <wp:posOffset>4155847</wp:posOffset>
                </wp:positionH>
                <wp:positionV relativeFrom="paragraph">
                  <wp:posOffset>1616557</wp:posOffset>
                </wp:positionV>
                <wp:extent cx="360000" cy="359410"/>
                <wp:effectExtent l="0" t="0" r="2540" b="254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35217855" w14:textId="0A8DDCCF" w:rsidR="00DC6857" w:rsidRDefault="000E11D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C33</w:t>
                            </w:r>
                          </w:p>
                          <w:p w14:paraId="5A907288" w14:textId="242F4E9E" w:rsidR="00DC6857" w:rsidRPr="0080669C"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BEC15" id="Text Box 126" o:spid="_x0000_s1175" type="#_x0000_t202" style="position:absolute;left:0;text-align:left;margin-left:327.25pt;margin-top:127.3pt;width:28.35pt;height:28.3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8qwJAIAAE0EAAAOAAAAZHJzL2Uyb0RvYy54bWysVE1v2zAMvQ/YfxB0X+w0bbAacYqsRYYB&#10;QVsgHXpWZCk2JosapcTufv0oxflAt9OwHBRRpMhHvifP7vrWsL1C34At+XiUc6ashKqx25J/f1l+&#10;+syZD8JWwoBVJX9Tnt/NP36Yda5QV1CDqRQySmJ90bmS1yG4Isu8rFUr/AicsuTUgK0IZOI2q1B0&#10;lL012VWeT7MOsHIIUnlPpw8HJ5+n/ForGZ609iowU3LCFtKKad3ENZvPRLFF4epGDjDEP6BoRWOp&#10;6CnVgwiC7bD5I1XbSAQPOowktBlo3UiVeqBuxvm7bta1cCr1QsPx7jQm///Sysf92j0jC/0X6InA&#10;1IR3K5A/PM0m65wvhpg4U194io6N9hrb+E8tMLpIs307zVP1gUk6nExz+nEmyTW5ub0ep3ln58sO&#10;ffiqoGVxU3IkuhIAsV/5EMuL4hgSa1lYNsYkyoxlXcmnk5s8XTh56IaxA+4D1Ag69JueNRX1d30b&#10;KY9nG6jeqHGEgya8k8uGUKyED88CSQQEnIQdnmjRBqgaDDvOasBffzuP8cQNeTnrSFQl9z93AhVn&#10;5psl1tJASIWXBl4am0vD7tp7IN2O6Qk5mbaECYM5bjVC+0r6X8Sq5BJWUu2Sb47b+3CQOr0fqRaL&#10;FES6cyKs7NrJI99xxi/9q0A3EBGIwUc4yk8U7/g4xB4YWewC6CaRdZ7qQABpNnE4vK/4KC7tFHX+&#10;Csx/AwAA//8DAFBLAwQUAAYACAAAACEAOgEKYeEAAAALAQAADwAAAGRycy9kb3ducmV2LnhtbEyP&#10;wU6DQBCG7ya+w2ZMvDR2AQsaZGiqiRcTY6w9eFzYKRDZWcJugb6925PeZjJf/vn+YruYXkw0us4y&#10;QryOQBDXVnfcIBy+Xu8eQTivWKveMiGcycG2vL4qVK7tzJ807X0jQgi7XCG03g+5lK5uySi3tgNx&#10;uB3taJQP69hIPao5hJteJlGUSaM6Dh9aNdBLS/XP/mQQPpLsu+PjYdarqepWz+d33r15xNubZfcE&#10;wtPi/2C46Ad1KINTZU+snegRsnSTBhQhSTcZiEA8xHECokK4vwyyLOT/DuUvAAAA//8DAFBLAQIt&#10;ABQABgAIAAAAIQC2gziS/gAAAOEBAAATAAAAAAAAAAAAAAAAAAAAAABbQ29udGVudF9UeXBlc10u&#10;eG1sUEsBAi0AFAAGAAgAAAAhADj9If/WAAAAlAEAAAsAAAAAAAAAAAAAAAAALwEAAF9yZWxzLy5y&#10;ZWxzUEsBAi0AFAAGAAgAAAAhACUTyrAkAgAATQQAAA4AAAAAAAAAAAAAAAAALgIAAGRycy9lMm9E&#10;b2MueG1sUEsBAi0AFAAGAAgAAAAhADoBCmHhAAAACwEAAA8AAAAAAAAAAAAAAAAAfgQAAGRycy9k&#10;b3ducmV2LnhtbFBLBQYAAAAABAAEAPMAAACMBQAAAAA=&#10;" filled="f" stroked="f" strokeweight=".5pt">
                <v:textbox inset="1mm,1mm,1mm,1mm">
                  <w:txbxContent>
                    <w:p w14:paraId="35217855" w14:textId="0A8DDCCF" w:rsidR="00DC6857" w:rsidRDefault="000E11D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C33</w:t>
                      </w:r>
                    </w:p>
                    <w:p w14:paraId="5A907288" w14:textId="242F4E9E" w:rsidR="00DC6857" w:rsidRPr="0080669C" w:rsidRDefault="00512C6E"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6" behindDoc="0" locked="0" layoutInCell="1" allowOverlap="1" wp14:anchorId="68D32402" wp14:editId="0719449C">
                <wp:simplePos x="0" y="0"/>
                <wp:positionH relativeFrom="column">
                  <wp:posOffset>4155847</wp:posOffset>
                </wp:positionH>
                <wp:positionV relativeFrom="paragraph">
                  <wp:posOffset>1164743</wp:posOffset>
                </wp:positionV>
                <wp:extent cx="360000" cy="359410"/>
                <wp:effectExtent l="0" t="0" r="2540" b="254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33A2C582" w14:textId="094A656B" w:rsidR="00DC6857" w:rsidRDefault="000E11D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C23</w:t>
                            </w:r>
                          </w:p>
                          <w:p w14:paraId="6832310D" w14:textId="17F4115A" w:rsidR="00DC6857" w:rsidRPr="0080669C" w:rsidRDefault="000E11D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32402" id="Text Box 121" o:spid="_x0000_s1176" type="#_x0000_t202" style="position:absolute;left:0;text-align:left;margin-left:327.25pt;margin-top:91.7pt;width:28.35pt;height:28.3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iK5IgIAAE0EAAAOAAAAZHJzL2Uyb0RvYy54bWysVEuP2jAQvlfqf7B8LwlLF7URYUV3RVUJ&#10;7a7EVns2jk2iOh53bEjor+/YhIe2PVXlYGY87/k+Z3bXt4btFfoGbMnHo5wzZSVUjd2W/PvL8sMn&#10;znwQthIGrCr5QXl+N3//bta5Qt1ADaZSyCiJ9UXnSl6H4Ios87JWrfAjcMqSUQO2IpCK26xC0VH2&#10;1mQ3eT7NOsDKIUjlPd0+HI18nvJrrWR40tqrwEzJqbeQTkznJp7ZfCaKLQpXN3JoQ/xDF61oLBU9&#10;p3oQQbAdNn+kahuJ4EGHkYQ2A60bqdIMNM04fzPNuhZOpVloOd6d1+T/X1r5uF+7Z2Sh/wI9AZiG&#10;8G4F8oen3WSd88XgE3fqC0/ecdBeYxv/aQRGgbTbw3mfqg9M0uVkmtOPM0mmye3nj+O07+wS7NCH&#10;rwpaFoWSI8GVGhD7lQ+xvChOLrGWhWVjTILMWNaVfDq5zVPA2UIRxg59H1uNTYd+07OmovnIn+Lj&#10;3QaqAw2OcOSEd3LZUBcr4cOzQCIBNU7EDk90aANUDQaJsxrw19/uoz9hQ1bOOiJVyf3PnUDFmflm&#10;CbW0EGLhtYLXyuZasbv2Hoi3Y3pCTiaResJgTqJGaF+J/4tYlUzCSqpd8s1JvA9HqtP7kWqxSE7E&#10;OyfCyq6dPOEdd/zSvwp0AxCBEHyEE/1E8QaPo+8RkcUugG4SWJetDgAQZxOGw/uKj+JaT16Xr8D8&#10;NwAAAP//AwBQSwMEFAAGAAgAAAAhAHTOoLrhAAAACwEAAA8AAABkcnMvZG93bnJldi54bWxMj8FO&#10;wzAQRO9I/IO1SFwqaiekoQpxqoLEBQkhSg8cndhNLOJ1FLtJ+vcsJziu5mnmbblbXM8mMwbrUUKy&#10;FsAMNl5bbCUcP1/utsBCVKhV79FIuJgAu+r6qlSF9jN+mOkQW0YlGAoloYtxKDgPTWecCms/GKTs&#10;5EenIp1jy/WoZip3PU+FyLlTFmmhU4N57kzzfTg7Ce9p/mXxdJz1aqrt6unyhvvXKOXtzbJ/BBbN&#10;Ev9g+NUndajIqfZn1IH1EvJNtiGUgu19BoyIhyRJgdUS0kwI4FXJ//9Q/QAAAP//AwBQSwECLQAU&#10;AAYACAAAACEAtoM4kv4AAADhAQAAEwAAAAAAAAAAAAAAAAAAAAAAW0NvbnRlbnRfVHlwZXNdLnht&#10;bFBLAQItABQABgAIAAAAIQA4/SH/1gAAAJQBAAALAAAAAAAAAAAAAAAAAC8BAABfcmVscy8ucmVs&#10;c1BLAQItABQABgAIAAAAIQD4DiK5IgIAAE0EAAAOAAAAAAAAAAAAAAAAAC4CAABkcnMvZTJvRG9j&#10;LnhtbFBLAQItABQABgAIAAAAIQB0zqC64QAAAAsBAAAPAAAAAAAAAAAAAAAAAHwEAABkcnMvZG93&#10;bnJldi54bWxQSwUGAAAAAAQABADzAAAAigUAAAAA&#10;" filled="f" stroked="f" strokeweight=".5pt">
                <v:textbox inset="1mm,1mm,1mm,1mm">
                  <w:txbxContent>
                    <w:p w14:paraId="33A2C582" w14:textId="094A656B" w:rsidR="00DC6857" w:rsidRDefault="000E11D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C23</w:t>
                      </w:r>
                    </w:p>
                    <w:p w14:paraId="6832310D" w14:textId="17F4115A" w:rsidR="00DC6857" w:rsidRPr="0080669C" w:rsidRDefault="000E11D6"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5" behindDoc="0" locked="0" layoutInCell="1" allowOverlap="1" wp14:anchorId="6A1518BF" wp14:editId="4663350C">
                <wp:simplePos x="0" y="0"/>
                <wp:positionH relativeFrom="column">
                  <wp:posOffset>4162425</wp:posOffset>
                </wp:positionH>
                <wp:positionV relativeFrom="paragraph">
                  <wp:posOffset>200660</wp:posOffset>
                </wp:positionV>
                <wp:extent cx="791845" cy="359410"/>
                <wp:effectExtent l="0" t="0" r="8255" b="254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359410"/>
                        </a:xfrm>
                        <a:prstGeom prst="rect">
                          <a:avLst/>
                        </a:prstGeom>
                        <a:noFill/>
                        <a:ln w="6350">
                          <a:noFill/>
                        </a:ln>
                      </wps:spPr>
                      <wps:txbx>
                        <w:txbxContent>
                          <w:p w14:paraId="1C3133D2" w14:textId="46768755" w:rsidR="00DC6857" w:rsidRDefault="00912631"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Metālapstrāde</w:t>
                            </w:r>
                          </w:p>
                          <w:p w14:paraId="4E25197F" w14:textId="42D30EEA" w:rsidR="00DC6857" w:rsidRPr="0080669C" w:rsidRDefault="00912631"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518BF" id="Text Box 107" o:spid="_x0000_s1177" type="#_x0000_t202" style="position:absolute;left:0;text-align:left;margin-left:327.75pt;margin-top:15.8pt;width:62.35pt;height:28.3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mjJQIAAE0EAAAOAAAAZHJzL2Uyb0RvYy54bWysVMlu2zAQvRfoPxC815Li2E0Ey4GbwEUB&#10;IwngFDnTFGkJpTgsSVtyv75DSl6Q5hT0Qs1w9nmPmt11jSJ7YV0NuqDZKKVEaA5lrbcF/fmy/HJD&#10;ifNMl0yBFgU9CEfv5p8/zVqTiyuoQJXCEkyiXd6aglbemzxJHK9Ew9wIjNBolGAb5lG126S0rMXs&#10;jUqu0nSatGBLY4EL5/D2oTfSecwvpeD+SUonPFEFxd58PG08N+FM5jOWby0zVc2HNtgHumhYrbHo&#10;KdUD84zsbP1PqqbmFhxIP+LQJCBlzUWcAafJ0jfTrCtmRJwFl+PMaU3u/6Xlj/u1ebbEd9+gQwDj&#10;EM6sgP9yuJukNS4ffMJOXe7QOwzaSduEL45AMBB3ezjtU3SecLz8epvdXE8o4WgaT26vs7jv5Bxs&#10;rPPfBTQkCAW1CFdsgO1XzofyLD+6hFoalrVSETKlSVvQ6XiSxoCTBSOUHvruWw1N+27TkbrE+SZZ&#10;gDzcbaA84OAWek44w5c1drFizj8ziyTAkZDY/gkPqQCrwSBRUoH989598Eds0EpJi6QqqPu9Y1ZQ&#10;on5oRG08TdPAwkvFXiqbS0XvmntA3mb4hAyPIgZbr46itNC8Iv8XoSqamOZYu6Cbo3jve6rj++Fi&#10;sYhOyDvD/EqvDT/iHXb80r0yawYgPCL4CEf6sfwNHr1vj8hi50HWEazzVgcAkLMRw+F9hUdxqUev&#10;819g/hcAAP//AwBQSwMEFAAGAAgAAAAhAPRawwTgAAAACQEAAA8AAABkcnMvZG93bnJldi54bWxM&#10;j0FPg0AQhe8m/ofNmHhp2qUYkCBDU028mBhj7aHHhZ0CkZ0l7Bbov3c96XHyvrz3TbFbTC8mGl1n&#10;GWG7iUAQ11Z33CAcv17XGQjnFWvVWyaEKznYlbc3hcq1nfmTpoNvRChhlyuE1vshl9LVLRnlNnYg&#10;DtnZjkb5cI6N1KOaQ7npZRxFqTSq47DQqoFeWqq/DxeD8BGnp47Px1mvpqpbPV/fef/mEe/vlv0T&#10;CE+L/4PhVz+oQxmcKnth7USPkCZJElCEh20KIgCPWRSDqBCyLAZZFvL/B+UPAAAA//8DAFBLAQIt&#10;ABQABgAIAAAAIQC2gziS/gAAAOEBAAATAAAAAAAAAAAAAAAAAAAAAABbQ29udGVudF9UeXBlc10u&#10;eG1sUEsBAi0AFAAGAAgAAAAhADj9If/WAAAAlAEAAAsAAAAAAAAAAAAAAAAALwEAAF9yZWxzLy5y&#10;ZWxzUEsBAi0AFAAGAAgAAAAhAHvyGaMlAgAATQQAAA4AAAAAAAAAAAAAAAAALgIAAGRycy9lMm9E&#10;b2MueG1sUEsBAi0AFAAGAAgAAAAhAPRawwTgAAAACQEAAA8AAAAAAAAAAAAAAAAAfwQAAGRycy9k&#10;b3ducmV2LnhtbFBLBQYAAAAABAAEAPMAAACMBQAAAAA=&#10;" filled="f" stroked="f" strokeweight=".5pt">
                <v:textbox inset="1mm,1mm,1mm,1mm">
                  <w:txbxContent>
                    <w:p w14:paraId="1C3133D2" w14:textId="46768755" w:rsidR="00DC6857" w:rsidRDefault="00912631"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Metālapstrāde</w:t>
                      </w:r>
                    </w:p>
                    <w:p w14:paraId="4E25197F" w14:textId="42D30EEA" w:rsidR="00DC6857" w:rsidRPr="0080669C" w:rsidRDefault="00912631"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1,2%</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4" behindDoc="0" locked="0" layoutInCell="1" allowOverlap="1" wp14:anchorId="66F6E925" wp14:editId="295B1DD7">
                <wp:simplePos x="0" y="0"/>
                <wp:positionH relativeFrom="column">
                  <wp:posOffset>3211551</wp:posOffset>
                </wp:positionH>
                <wp:positionV relativeFrom="paragraph">
                  <wp:posOffset>1601927</wp:posOffset>
                </wp:positionV>
                <wp:extent cx="900000" cy="359410"/>
                <wp:effectExtent l="0" t="0" r="0" b="254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0BEB2EDA" w14:textId="57E1CA84" w:rsidR="00DC6857" w:rsidRDefault="00912631"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Pārtikas rūpniecība</w:t>
                            </w:r>
                          </w:p>
                          <w:p w14:paraId="38971A6D" w14:textId="18B2D977" w:rsidR="00DC6857" w:rsidRPr="0080669C" w:rsidRDefault="00912631"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6E925" id="Text Box 104" o:spid="_x0000_s1178" type="#_x0000_t202" style="position:absolute;left:0;text-align:left;margin-left:252.9pt;margin-top:126.15pt;width:70.85pt;height:28.3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7XJAIAAE0EAAAOAAAAZHJzL2Uyb0RvYy54bWysVE1v2zAMvQ/YfxB0X+wkS7AacYqsRYYB&#10;QVsgLXpWZCk2JomapMTufv0o2flAt9OwHBRRpMhHvicvbjutyFE434Ap6XiUUyIMh6ox+5K+PK8/&#10;faHEB2YqpsCIkr4JT2+XHz8sWluICdSgKuEIJjG+aG1J6xBskWWe10IzPwIrDDolOM0Cmm6fVY61&#10;mF2rbJLn86wFV1kHXHiPp/e9ky5TfikFD49SehGIKiliC2l1ad3FNVsuWLF3zNYNH2Cwf0ChWWOw&#10;6DnVPQuMHFzzRyrdcAceZBhx0BlI2XCResBuxvm7brY1syL1gsPx9jwm///S8ofj1j45Erqv0CGB&#10;qQlvN8B/eJxN1lpfDDFxpr7wGB0b7aTT8R9bIHgRZ/t2nqfoAuF4eJPHHyUcXdPZzedxmnd2uWyd&#10;D98EaBI3JXVIVwLAjhsfYnlWnEJiLQPrRqlEmTKkLel8OsvThbMHbygz4O6hRtCh23WkqbC/2SRS&#10;Hs92UL1h4w56TXjL1w2i2DAfnphDESBwFHZ4xEUqwGow7Cipwf3623mMR27QS0mLoiqp/3lgTlCi&#10;vhtkbTpP8wjXhrs2dteGOeg7QN2O8QlZnraIyQV12koH+hX1v4pV0cUMx9ol3Z22d6GXOr4fLlar&#10;FIS6syxszNbyE99xxs/dK3N2ICIggw9wkh8r3vHRx/aMrA4BZJPIukx1IAA1mzgc3ld8FNd2irp8&#10;BZa/AQAA//8DAFBLAwQUAAYACAAAACEAGBEidOIAAAALAQAADwAAAGRycy9kb3ducmV2LnhtbEyP&#10;MU/DMBSEdyT+g/WQWCpqk5JQQpyqILFUQojSgdGJXxOL+DmK3ST995ipjKc73X1XbGbbsREHbxxJ&#10;uF8KYEi104YaCYevt7s1MB8UadU5Qgln9LApr68KlWs30SeO+9CwWEI+VxLaEPqcc1+3aJVfuh4p&#10;ekc3WBWiHBquBzXFctvxRIiMW2UoLrSqx9cW65/9yUr4SLJvQ8fDpBdjZRYv53fa7oKUtzfz9hlY&#10;wDlcwvCHH9GhjEyVO5H2rJOQijSiBwlJmqyAxUT28JgCqySsxPoJeFnw/x/KXwAAAP//AwBQSwEC&#10;LQAUAAYACAAAACEAtoM4kv4AAADhAQAAEwAAAAAAAAAAAAAAAAAAAAAAW0NvbnRlbnRfVHlwZXNd&#10;LnhtbFBLAQItABQABgAIAAAAIQA4/SH/1gAAAJQBAAALAAAAAAAAAAAAAAAAAC8BAABfcmVscy8u&#10;cmVsc1BLAQItABQABgAIAAAAIQCPxA7XJAIAAE0EAAAOAAAAAAAAAAAAAAAAAC4CAABkcnMvZTJv&#10;RG9jLnhtbFBLAQItABQABgAIAAAAIQAYESJ04gAAAAsBAAAPAAAAAAAAAAAAAAAAAH4EAABkcnMv&#10;ZG93bnJldi54bWxQSwUGAAAAAAQABADzAAAAjQUAAAAA&#10;" filled="f" stroked="f" strokeweight=".5pt">
                <v:textbox inset="1mm,1mm,1mm,1mm">
                  <w:txbxContent>
                    <w:p w14:paraId="0BEB2EDA" w14:textId="57E1CA84" w:rsidR="00DC6857" w:rsidRDefault="00912631"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Pārtikas rūpniecība</w:t>
                      </w:r>
                    </w:p>
                    <w:p w14:paraId="38971A6D" w14:textId="18B2D977" w:rsidR="00DC6857" w:rsidRPr="0080669C" w:rsidRDefault="00912631"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2,2%</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48" behindDoc="0" locked="0" layoutInCell="1" allowOverlap="1" wp14:anchorId="27947C13" wp14:editId="0668BCDF">
                <wp:simplePos x="0" y="0"/>
                <wp:positionH relativeFrom="column">
                  <wp:posOffset>3219856</wp:posOffset>
                </wp:positionH>
                <wp:positionV relativeFrom="paragraph">
                  <wp:posOffset>705028</wp:posOffset>
                </wp:positionV>
                <wp:extent cx="791845" cy="359410"/>
                <wp:effectExtent l="0" t="0" r="8255" b="254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359410"/>
                        </a:xfrm>
                        <a:prstGeom prst="rect">
                          <a:avLst/>
                        </a:prstGeom>
                        <a:noFill/>
                        <a:ln w="6350">
                          <a:noFill/>
                        </a:ln>
                      </wps:spPr>
                      <wps:txbx>
                        <w:txbxContent>
                          <w:p w14:paraId="39BE4C27" w14:textId="535D245F" w:rsidR="00487864" w:rsidRDefault="00487864"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Kokapstrāde</w:t>
                            </w:r>
                          </w:p>
                          <w:p w14:paraId="10C1A424" w14:textId="6F023189" w:rsidR="00DC6857" w:rsidRPr="0080669C" w:rsidRDefault="00487864"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47C13" id="Text Box 75" o:spid="_x0000_s1179" type="#_x0000_t202" style="position:absolute;left:0;text-align:left;margin-left:253.55pt;margin-top:55.5pt;width:62.35pt;height:28.3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fSJQIAAE0EAAAOAAAAZHJzL2Uyb0RvYy54bWysVFtv2yAUfp+0/4B4X+w0TdZacaqsVaZJ&#10;UVspnfpMMMRomMOAxO5+/Q7Yuajb07QXfA7nfr4Pz++6RpODcF6BKel4lFMiDIdKmV1Jv7+sPt1Q&#10;4gMzFdNgREnfhKd3i48f5q0txBXUoCvhCCYxvmhtSesQbJFlnteiYX4EVhg0SnANC6i6XVY51mL2&#10;RmdXeT7LWnCVdcCF93j70BvpIuWXUvDwJKUXgeiSYm8hnS6d23hmizkrdo7ZWvGhDfYPXTRMGSx6&#10;SvXAAiN7p/5I1SjuwIMMIw5NBlIqLtIMOM04fzfNpmZWpFlwOd6e1uT/X1r+eNjYZ0dC9wU6BDAN&#10;4e0a+A+Pu8la64vBJ+7UFx6946CddE384ggEA3G3b6d9ii4Qjpefb8c311NKOJom09vrcdp3dg62&#10;zoevAhoShZI6hCs1wA5rH2J5VhxdYi0DK6V1gkwb0pZ0NpnmKeBkwQhthr77VmPTodt2RFU433QS&#10;IY93W6jecHAHPSe85SuFXayZD8/MIQlwJCR2eMJDasBqMEiU1OB+/e0++iM2aKWkRVKV1P/cMyco&#10;0d8MojaZ5Xlk4aXiLpXtpWL2zT0gb8f4hCxPIga7oI+idNC8Iv+XsSqamOFYu6Tbo3gfeqrj++Fi&#10;uUxOyDvLwtpsLD/iHXf80r0yZwcgAiL4CEf6seIdHr1vj8hyH0CqBNZ5qwMAyNmE4fC+4qO41JPX&#10;+S+w+A0AAP//AwBQSwMEFAAGAAgAAAAhALhZNITgAAAACwEAAA8AAABkcnMvZG93bnJldi54bWxM&#10;j8FOwzAQRO9I/IO1SFwq6rgIt0rjVAWJCxJClB44OrGbWMTrKHaT9O9ZTvS4M0+zM8Vu9h0b7RBd&#10;QAVimQGzWAfjsFFw/Hp92ACLSaPRXUCr4GIj7Mrbm0LnJkz4acdDahiFYMy1gjalPuc81q31Oi5D&#10;b5G8Uxi8TnQODTeDnijcd3yVZZJ77ZA+tLq3L62tfw5nr+BjJb8dno6TWYyVWzxf3nH/lpS6v5v3&#10;W2DJzukfhr/6VB1K6lSFM5rIOgVP2VoQSoYQNIoI+ShoTEWKXEvgZcGvN5S/AAAA//8DAFBLAQIt&#10;ABQABgAIAAAAIQC2gziS/gAAAOEBAAATAAAAAAAAAAAAAAAAAAAAAABbQ29udGVudF9UeXBlc10u&#10;eG1sUEsBAi0AFAAGAAgAAAAhADj9If/WAAAAlAEAAAsAAAAAAAAAAAAAAAAALwEAAF9yZWxzLy5y&#10;ZWxzUEsBAi0AFAAGAAgAAAAhAMSQ99IlAgAATQQAAA4AAAAAAAAAAAAAAAAALgIAAGRycy9lMm9E&#10;b2MueG1sUEsBAi0AFAAGAAgAAAAhALhZNITgAAAACwEAAA8AAAAAAAAAAAAAAAAAfwQAAGRycy9k&#10;b3ducmV2LnhtbFBLBQYAAAAABAAEAPMAAACMBQAAAAA=&#10;" filled="f" stroked="f" strokeweight=".5pt">
                <v:textbox inset="1mm,1mm,1mm,1mm">
                  <w:txbxContent>
                    <w:p w14:paraId="39BE4C27" w14:textId="535D245F" w:rsidR="00487864" w:rsidRDefault="00487864"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Kokapstrāde</w:t>
                      </w:r>
                    </w:p>
                    <w:p w14:paraId="10C1A424" w14:textId="6F023189" w:rsidR="00DC6857" w:rsidRPr="0080669C" w:rsidRDefault="00487864" w:rsidP="00DC6857">
                      <w:pPr>
                        <w:tabs>
                          <w:tab w:val="left" w:pos="4820"/>
                        </w:tabs>
                        <w:spacing w:after="0"/>
                        <w:rPr>
                          <w:rFonts w:ascii="Segoe UI Light" w:hAnsi="Segoe UI Light" w:cs="Segoe UI Light"/>
                          <w:sz w:val="16"/>
                          <w:szCs w:val="16"/>
                        </w:rPr>
                      </w:pPr>
                      <w:r>
                        <w:rPr>
                          <w:rFonts w:ascii="Segoe UI Light" w:hAnsi="Segoe UI Light" w:cs="Segoe UI Light"/>
                          <w:sz w:val="16"/>
                          <w:szCs w:val="16"/>
                        </w:rPr>
                        <w:t>2,4%</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3" behindDoc="0" locked="0" layoutInCell="1" allowOverlap="1" wp14:anchorId="7B2273ED" wp14:editId="73C63EC9">
                <wp:simplePos x="0" y="0"/>
                <wp:positionH relativeFrom="column">
                  <wp:posOffset>1841856</wp:posOffset>
                </wp:positionH>
                <wp:positionV relativeFrom="paragraph">
                  <wp:posOffset>1602080</wp:posOffset>
                </wp:positionV>
                <wp:extent cx="1260000" cy="359410"/>
                <wp:effectExtent l="0" t="0" r="0" b="254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0000" cy="359410"/>
                        </a:xfrm>
                        <a:prstGeom prst="rect">
                          <a:avLst/>
                        </a:prstGeom>
                        <a:noFill/>
                        <a:ln w="6350">
                          <a:noFill/>
                        </a:ln>
                      </wps:spPr>
                      <wps:txbx>
                        <w:txbxContent>
                          <w:p w14:paraId="7F00B2C1" w14:textId="56A09B8E" w:rsidR="00DC6857" w:rsidRDefault="00487864"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Auto un moto tirdzniecība</w:t>
                            </w:r>
                          </w:p>
                          <w:p w14:paraId="46A0ACDA" w14:textId="2F3BCF3B" w:rsidR="00DC6857" w:rsidRPr="00176803" w:rsidRDefault="00487864"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273ED" id="Text Box 103" o:spid="_x0000_s1180" type="#_x0000_t202" style="position:absolute;left:0;text-align:left;margin-left:145.05pt;margin-top:126.15pt;width:99.2pt;height:28.3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PIKJQIAAE4EAAAOAAAAZHJzL2Uyb0RvYy54bWysVE1v2zAMvQ/YfxB0X+wkTbAacYqsRYYB&#10;QVsgHXpWZCk2JomapMTufv0o2flAt9OwHBRSpMhHPtKLu04rchTON2BKOh7llAjDoWrMvqTfX9af&#10;PlPiAzMVU2BESd+Ep3fLjx8WrS3EBGpQlXAEgxhftLakdQi2yDLPa6GZH4EVBo0SnGYBVbfPKsda&#10;jK5VNsnzedaCq6wDLrzH24feSJcpvpSChycpvQhElRSxhXS6dO7imS0XrNg7ZuuGDzDYP6DQrDGY&#10;9BzqgQVGDq75I5RuuAMPMow46AykbLhINWA14/xdNduaWZFqweZ4e26T/39h+eNxa58dCd0X6JDA&#10;VIS3G+A/PPYma60vBp/YU1949I6FdtLp+I8lEHyIvX0791N0gfAYbTLP8UcJR9t0dnszTg3PLq+t&#10;8+GrAE2iUFKHfCUE7LjxIeZnxcklJjOwbpRKnClD2pLOp7M8PThb8IUyA/Aea0Qdul1HmgohzW4i&#10;5/FuB9UbVu6gHwpv+bpBFBvmwzNzOAUIHCc7POEhFWA2GCRKanC//nYf/ZEctFLS4lSV1P88MCco&#10;Ud8M0jaNDcExvFbctbK7VsxB3wMO7hh3yPIk4mMX1EmUDvQrLsAqZkUTMxxzl3R3Eu9DP+u4QFys&#10;VskJB8+ysDFby0+Exx6/dK/M2YGIgBQ+wmn+WPGOj963Z2R1CCCbRNalqwMBOLSJw2HB4lZc68nr&#10;8hlY/gYAAP//AwBQSwMEFAAGAAgAAAAhADu4DM3iAAAACwEAAA8AAABkcnMvZG93bnJldi54bWxM&#10;j8FOwzAMhu9IvENkJC4TS9axqeuaTgOJCxKaGDtwTBuvjdY4VZO13dsTTnCz5U+/vz/fTbZlA/be&#10;OJKwmAtgSJXThmoJp6+3pxSYD4q0ah2hhBt62BX3d7nKtBvpE4djqFkMIZ8pCU0IXca5rxq0ys9d&#10;hxRvZ9dbFeLa11z3aozhtuWJEGtulaH4oVEdvjZYXY5XK+GQrL8NnU+jng2lmb3cPmj/HqR8fJj2&#10;W2ABp/AHw69+VIciOpXuStqzVkKyEYuIxmGVLIFF4jlNV8BKCUuRboAXOf/fofgBAAD//wMAUEsB&#10;Ai0AFAAGAAgAAAAhALaDOJL+AAAA4QEAABMAAAAAAAAAAAAAAAAAAAAAAFtDb250ZW50X1R5cGVz&#10;XS54bWxQSwECLQAUAAYACAAAACEAOP0h/9YAAACUAQAACwAAAAAAAAAAAAAAAAAvAQAAX3JlbHMv&#10;LnJlbHNQSwECLQAUAAYACAAAACEAtKjyCiUCAABOBAAADgAAAAAAAAAAAAAAAAAuAgAAZHJzL2Uy&#10;b0RvYy54bWxQSwECLQAUAAYACAAAACEAO7gMzeIAAAALAQAADwAAAAAAAAAAAAAAAAB/BAAAZHJz&#10;L2Rvd25yZXYueG1sUEsFBgAAAAAEAAQA8wAAAI4FAAAAAA==&#10;" filled="f" stroked="f" strokeweight=".5pt">
                <v:textbox inset="1mm,1mm,1mm,1mm">
                  <w:txbxContent>
                    <w:p w14:paraId="7F00B2C1" w14:textId="56A09B8E" w:rsidR="00DC6857" w:rsidRDefault="00487864"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Auto un moto tirdzniecība</w:t>
                      </w:r>
                    </w:p>
                    <w:p w14:paraId="46A0ACDA" w14:textId="2F3BCF3B" w:rsidR="00DC6857" w:rsidRPr="00176803" w:rsidRDefault="00487864"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1,9%</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2" behindDoc="0" locked="0" layoutInCell="1" allowOverlap="1" wp14:anchorId="1763903F" wp14:editId="61A171AA">
                <wp:simplePos x="0" y="0"/>
                <wp:positionH relativeFrom="column">
                  <wp:posOffset>1841906</wp:posOffset>
                </wp:positionH>
                <wp:positionV relativeFrom="paragraph">
                  <wp:posOffset>1075842</wp:posOffset>
                </wp:positionV>
                <wp:extent cx="900000" cy="359410"/>
                <wp:effectExtent l="0" t="0" r="0" b="254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39BC257C" w14:textId="3663DD8D" w:rsidR="00DC6857" w:rsidRDefault="00A442B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Vairumtirdzniecība</w:t>
                            </w:r>
                          </w:p>
                          <w:p w14:paraId="4F52987D" w14:textId="7E5EC45F" w:rsidR="00DC6857" w:rsidRPr="00176803" w:rsidRDefault="00A442B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3903F" id="Text Box 99" o:spid="_x0000_s1181" type="#_x0000_t202" style="position:absolute;left:0;text-align:left;margin-left:145.05pt;margin-top:84.7pt;width:70.85pt;height:28.3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XOQJAIAAE0EAAAOAAAAZHJzL2Uyb0RvYy54bWysVE1v2zAMvQ/YfxB0X+w0S7AacYqsRYYB&#10;QVsgLXpWZCkWJouapMTOfv0o2flAt9OwHBRRpMhHvifP77pGk4NwXoEp6XiUUyIMh0qZXUlfX1af&#10;vlDiAzMV02BESY/C07vFxw/z1hbiBmrQlXAEkxhftLakdQi2yDLPa9EwPwIrDDoluIYFNN0uqxxr&#10;MXujs5s8n2UtuMo64MJ7PH3onXSR8kspeHiS0otAdEkRW0irS+s2rtlizoqdY7ZWfIDB/gFFw5TB&#10;oudUDywwsnfqj1SN4g48yDDi0GQgpeIi9YDdjPN33WxqZkXqBYfj7XlM/v+l5Y+HjX12JHRfoUMC&#10;UxPeroH/8DibrLW+GGLiTH3hMTo22knXxH9sgeBFnO3xPE/RBcLx8DaPP0o4uibT28/jNO/sctk6&#10;H74JaEjclNQhXQkAO6x9iOVZcQqJtQyslNaJMm1IW9LZZJqnC2cP3tBmwN1DjaBDt+2IqrC/6TRS&#10;Hs+2UB2xcQe9JrzlK4Uo1syHZ+ZQBAgchR2ecJEasBoMO0pqcL/+dh7jkRv0UtKiqErqf+6ZE5To&#10;7wZZm8zSPMK14a6N7bVh9s09oG7H+IQsT1vE5II+baWD5g31v4xV0cUMx9ol3Z6296GXOr4fLpbL&#10;FIS6syyszcbyE99xxi/dG3N2ICIgg49wkh8r3vHRx/aMLPcBpEpkXaY6EICaTRwO7ys+ims7RV2+&#10;AovfAAAA//8DAFBLAwQUAAYACAAAACEAf/IGdd8AAAALAQAADwAAAGRycy9kb3ducmV2LnhtbEyP&#10;QUvDQBCF74L/YRnBS7GbxBJszKZUwYsgYu3B4yY7TRazsyG7TdJ/73jS4/A+3nyv3C2uFxOOwXpS&#10;kK4TEEiNN5ZaBcfPl7sHECFqMrr3hAouGGBXXV+VujB+pg+cDrEVXEKh0Aq6GIdCytB06HRY+wGJ&#10;s5MfnY58jq00o5653PUyS5JcOm2JP3R6wOcOm+/D2Sl4z/IvS6fjbFZTbVdPlzfav0albm+W/SOI&#10;iEv8g+FXn9WhYqfan8kE0SvItknKKAf5dgOCic19ymNqjrI8AVmV8v+G6gcAAP//AwBQSwECLQAU&#10;AAYACAAAACEAtoM4kv4AAADhAQAAEwAAAAAAAAAAAAAAAAAAAAAAW0NvbnRlbnRfVHlwZXNdLnht&#10;bFBLAQItABQABgAIAAAAIQA4/SH/1gAAAJQBAAALAAAAAAAAAAAAAAAAAC8BAABfcmVscy8ucmVs&#10;c1BLAQItABQABgAIAAAAIQAx0XOQJAIAAE0EAAAOAAAAAAAAAAAAAAAAAC4CAABkcnMvZTJvRG9j&#10;LnhtbFBLAQItABQABgAIAAAAIQB/8gZ13wAAAAsBAAAPAAAAAAAAAAAAAAAAAH4EAABkcnMvZG93&#10;bnJldi54bWxQSwUGAAAAAAQABADzAAAAigUAAAAA&#10;" filled="f" stroked="f" strokeweight=".5pt">
                <v:textbox inset="1mm,1mm,1mm,1mm">
                  <w:txbxContent>
                    <w:p w14:paraId="39BC257C" w14:textId="3663DD8D" w:rsidR="00DC6857" w:rsidRDefault="00A442B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Vairumtirdzniecība</w:t>
                      </w:r>
                    </w:p>
                    <w:p w14:paraId="4F52987D" w14:textId="7E5EC45F" w:rsidR="00DC6857" w:rsidRPr="00176803" w:rsidRDefault="00A442B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4,9%</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1" behindDoc="0" locked="0" layoutInCell="1" allowOverlap="1" wp14:anchorId="09926A1E" wp14:editId="50FDAED4">
                <wp:simplePos x="0" y="0"/>
                <wp:positionH relativeFrom="column">
                  <wp:posOffset>137897</wp:posOffset>
                </wp:positionH>
                <wp:positionV relativeFrom="paragraph">
                  <wp:posOffset>1617522</wp:posOffset>
                </wp:positionV>
                <wp:extent cx="900000" cy="359410"/>
                <wp:effectExtent l="0" t="0" r="0" b="254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74151A5F" w14:textId="20C2FD1B" w:rsidR="00DC6857" w:rsidRDefault="00A442B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Mazumtirdzniecība</w:t>
                            </w:r>
                          </w:p>
                          <w:p w14:paraId="60A1C513" w14:textId="0480AEF1" w:rsidR="00DC6857" w:rsidRPr="00176803" w:rsidRDefault="00A442B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8,3%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26A1E" id="Text Box 98" o:spid="_x0000_s1182" type="#_x0000_t202" style="position:absolute;left:0;text-align:left;margin-left:10.85pt;margin-top:127.35pt;width:70.85pt;height:28.3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I0JAIAAE0EAAAOAAAAZHJzL2Uyb0RvYy54bWysVE1v2zAMvQ/YfxB0X+w0S7AacYqsRYYB&#10;QVsgLXpWZCkWJouapMTOfv0o2flAt9OwHBRRpMhHvifP77pGk4NwXoEp6XiUUyIMh0qZXUlfX1af&#10;vlDiAzMV02BESY/C07vFxw/z1hbiBmrQlXAEkxhftLakdQi2yDLPa9EwPwIrDDoluIYFNN0uqxxr&#10;MXujs5s8n2UtuMo64MJ7PH3onXSR8kspeHiS0otAdEkRW0irS+s2rtlizoqdY7ZWfIDB/gFFw5TB&#10;oudUDywwsnfqj1SN4g48yDDi0GQgpeIi9YDdjPN33WxqZkXqBYfj7XlM/v+l5Y+HjX12JHRfoUMC&#10;UxPeroH/8DibrLW+GGLiTH3hMTo22knXxH9sgeBFnO3xPE/RBcLx8DaPP0o4uibT28/jNO/sctk6&#10;H74JaEjclNQhXQkAO6x9iOVZcQqJtQyslNaJMm1IW9LZZJqnC2cP3tBmwN1DjaBDt+2IqrC/6SxS&#10;Hs+2UB2xcQe9JrzlK4Uo1syHZ+ZQBAgchR2ecJEasBoMO0pqcL/+dh7jkRv0UtKiqErqf+6ZE5To&#10;7wZZm8zSPMK14a6N7bVh9s09oG7H+IQsT1vE5II+baWD5g31v4xV0cUMx9ol3Z6296GXOr4fLpbL&#10;FIS6syyszcbyE99xxi/dG3N2ICIgg49wkh8r3vHRx/aMLPcBpEpkXaY6EICaTRwO7ys+ims7RV2+&#10;AovfAAAA//8DAFBLAwQUAAYACAAAACEAogFUdeAAAAAKAQAADwAAAGRycy9kb3ducmV2LnhtbEyP&#10;TU/DMAyG70j8h8hIXCaWfoyCStNpIHFBQoixA8e08dqKxqmarO3+Pd4JTrblR68fF9vF9mLC0XeO&#10;FMTrCARS7UxHjYLD1+vdIwgfNBndO0IFZ/SwLa+vCp0bN9MnTvvQCA4hn2sFbQhDLqWvW7Tar92A&#10;xLujG60OPI6NNKOeOdz2MomiTFrdEV9o9YAvLdY/+5NV8JFk3x0dD7NZTVW3ej6/0+4tKHV7s+ye&#10;QARcwh8MF31Wh5KdKnci40WvIIkfmOR6v+HmAmTpBkSlII3jFGRZyP8vlL8AAAD//wMAUEsBAi0A&#10;FAAGAAgAAAAhALaDOJL+AAAA4QEAABMAAAAAAAAAAAAAAAAAAAAAAFtDb250ZW50X1R5cGVzXS54&#10;bWxQSwECLQAUAAYACAAAACEAOP0h/9YAAACUAQAACwAAAAAAAAAAAAAAAAAvAQAAX3JlbHMvLnJl&#10;bHNQSwECLQAUAAYACAAAACEA8QHSNCQCAABNBAAADgAAAAAAAAAAAAAAAAAuAgAAZHJzL2Uyb0Rv&#10;Yy54bWxQSwECLQAUAAYACAAAACEAogFUdeAAAAAKAQAADwAAAAAAAAAAAAAAAAB+BAAAZHJzL2Rv&#10;d25yZXYueG1sUEsFBgAAAAAEAAQA8wAAAIsFAAAAAA==&#10;" filled="f" stroked="f" strokeweight=".5pt">
                <v:textbox inset="1mm,1mm,1mm,1mm">
                  <w:txbxContent>
                    <w:p w14:paraId="74151A5F" w14:textId="20C2FD1B" w:rsidR="00DC6857" w:rsidRDefault="00A442B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Mazumtirdzniecība</w:t>
                      </w:r>
                    </w:p>
                    <w:p w14:paraId="60A1C513" w14:textId="0480AEF1" w:rsidR="00DC6857" w:rsidRPr="00176803" w:rsidRDefault="00A442B8"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8,3%</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66" behindDoc="0" locked="0" layoutInCell="1" allowOverlap="1" wp14:anchorId="2F28E21E" wp14:editId="4E777057">
                <wp:simplePos x="0" y="0"/>
                <wp:positionH relativeFrom="column">
                  <wp:posOffset>94006</wp:posOffset>
                </wp:positionH>
                <wp:positionV relativeFrom="paragraph">
                  <wp:posOffset>4237685</wp:posOffset>
                </wp:positionV>
                <wp:extent cx="900000" cy="359410"/>
                <wp:effectExtent l="0" t="0" r="0" b="254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1B658601" w14:textId="5DDCC232" w:rsidR="00DC6857" w:rsidRPr="00176803" w:rsidRDefault="00735C76"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10,9%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8E21E" id="Text Box 142" o:spid="_x0000_s1183" type="#_x0000_t202" style="position:absolute;left:0;text-align:left;margin-left:7.4pt;margin-top:333.7pt;width:70.85pt;height:28.3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3hJAIAAE0EAAAOAAAAZHJzL2Uyb0RvYy54bWysVE1v2zAMvQ/YfxB0X+w0S7YacYqsRYYB&#10;QVsgHXpWZCk2JomapMTOfv0o2flAt9OwHBRRpMhHvifP7zqtyEE434Ap6XiUUyIMh6oxu5J+f1l9&#10;+EyJD8xUTIERJT0KT+8W79/NW1uIG6hBVcIRTGJ80dqS1iHYIss8r4VmfgRWGHRKcJoFNN0uqxxr&#10;MbtW2U2ez7IWXGUdcOE9nj70TrpI+aUUPDxJ6UUgqqSILaTVpXUb12wxZ8XOMVs3fIDB/gGFZo3B&#10;oudUDywwsnfNH6l0wx14kGHEQWcgZcNF6gG7GedvutnUzIrUCw7H2/OY/P9Lyx8PG/vsSOi+QIcE&#10;pia8XQP/4XE2WWt9McTEmfrCY3RstJNOx39sgeBFnO3xPE/RBcLx8DaPP0o4uibT24/jNO/sctk6&#10;H74K0CRuSuqQrgSAHdY+xPKsOIXEWgZWjVKJMmVIW9LZZJqnC2cP3lBmwN1DjaBDt+1IU2F/00+R&#10;8ni2heqIjTvoNeEtXzWIYs18eGYORYDAUdjhCRepAKvBsKOkBvfrb+cxHrlBLyUtiqqk/ueeOUGJ&#10;+maQtckszSNcG+7a2F4bZq/vAXU7xidkedoiJhfUaSsd6FfU/zJWRRczHGuXdHva3ode6vh+uFgu&#10;UxDqzrKwNhvLT3zHGb90r8zZgYiADD7CSX6seMNHH9szstwHkE0i6zLVgQDUbOJweF/xUVzbKery&#10;FVj8BgAA//8DAFBLAwQUAAYACAAAACEAUkREAt8AAAAKAQAADwAAAGRycy9kb3ducmV2LnhtbEyP&#10;MWvDMBSE90L/g3iFLqGRaxwlOJZDWuhSKKVpho6y9WKLWk/GUmzn31eZmvG44+67Yjfbjo04eONI&#10;wvMyAYZUO22okXD8fnvaAPNBkVadI5RwQQ+78v6uULl2E33heAgNiyXkcyWhDaHPOfd1i1b5peuR&#10;ondyg1UhyqHhelBTLLcdT5NEcKsMxYVW9fjaYv17OFsJn6n4MXQ6TnoxVmbxcvmg/XuQ8vFh3m+B&#10;BZzDfxiu+BEdyshUuTNpz7qos0geJAixzoBdAyuxAlZJWKdZArws+O2F8g8AAP//AwBQSwECLQAU&#10;AAYACAAAACEAtoM4kv4AAADhAQAAEwAAAAAAAAAAAAAAAAAAAAAAW0NvbnRlbnRfVHlwZXNdLnht&#10;bFBLAQItABQABgAIAAAAIQA4/SH/1gAAAJQBAAALAAAAAAAAAAAAAAAAAC8BAABfcmVscy8ucmVs&#10;c1BLAQItABQABgAIAAAAIQCOs53hJAIAAE0EAAAOAAAAAAAAAAAAAAAAAC4CAABkcnMvZTJvRG9j&#10;LnhtbFBLAQItABQABgAIAAAAIQBSREQC3wAAAAoBAAAPAAAAAAAAAAAAAAAAAH4EAABkcnMvZG93&#10;bnJldi54bWxQSwUGAAAAAAQABADzAAAAigUAAAAA&#10;" filled="f" stroked="f" strokeweight=".5pt">
                <v:textbox inset="1mm,1mm,1mm,1mm">
                  <w:txbxContent>
                    <w:p w14:paraId="1B658601" w14:textId="5DDCC232" w:rsidR="00DC6857" w:rsidRPr="00176803" w:rsidRDefault="00735C76" w:rsidP="00DC6857">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10,9%</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65" behindDoc="0" locked="0" layoutInCell="1" allowOverlap="1" wp14:anchorId="67AF4C5E" wp14:editId="4B11ABC2">
                <wp:simplePos x="0" y="0"/>
                <wp:positionH relativeFrom="column">
                  <wp:posOffset>81225</wp:posOffset>
                </wp:positionH>
                <wp:positionV relativeFrom="paragraph">
                  <wp:posOffset>2065997</wp:posOffset>
                </wp:positionV>
                <wp:extent cx="1225550" cy="252000"/>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5FF74F39" w14:textId="1C379A4A" w:rsidR="00DC6857" w:rsidRPr="00176803" w:rsidRDefault="00735C76"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Izglītība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F4C5E" id="Text Box 141" o:spid="_x0000_s1184" type="#_x0000_t202" style="position:absolute;left:0;text-align:left;margin-left:6.4pt;margin-top:162.7pt;width:96.5pt;height:19.8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vH1JQIAAE4EAAAOAAAAZHJzL2Uyb0RvYy54bWysVEtv2zAMvg/YfxB0X5ykSFYYcYqsRYYB&#10;QVsgLXpWZCkxJouaxMTOfv0o2Xms22nYRSZFio/vIz27a2vDDsqHCmzBR4MhZ8pKKCu7Lfjry/LT&#10;LWcBhS2FAasKflSB380/fpg1Lldj2IEplWcUxIa8cQXfIbo8y4LcqVqEAThlyajB1wJJ9dus9KKh&#10;6LXJxsPhNGvAl86DVCHQ7UNn5PMUX2sl8UnroJCZglNtmE6fzk08s/lM5Fsv3K6SfRniH6qoRWUp&#10;6TnUg0DB9r76I1RdSQ8BNA4k1BloXUmVeqBuRsN33ax3wqnUC4ET3Bmm8P/CysfD2j17hu0XaInA&#10;1ERwK5DfA2GTNS7kvU/ENOSBvGOjrfZ1/FILjB4StscznqpFJmO08XgymZBJkm08Ib4S4NnltfMB&#10;vyqoWRQK7omvVIE4rALG/CI/ucRkFpaVMYkzY1lT8OkNhf/NQi+M7Qvvao1VY7tpWVVSSZPbyHm8&#10;20B5pM49dEMRnFxWVMVKBHwWnqaACqfJxic6tAHKBr3E2Q78z7/dR38ih6ycNTRVBQ8/9sIrzsw3&#10;S7R9ThgwTMrNNALC/LWyuVbsvr4HGtwR7ZCTSYz+aE6i9lC/0QIsYlYyCSspd8HxJN5jN+u0QFIt&#10;FsmJBs8JXNm1kyfCI8Yv7ZvwricCicJHOM2fyN/x0fl2uC/2CLpKZF1Q7QmgoU0c9gsWt+JaT16X&#10;38D8FwAAAP//AwBQSwMEFAAGAAgAAAAhAF5+ShXcAAAACgEAAA8AAABkcnMvZG93bnJldi54bWxM&#10;j8FOwzAQRO9I/IO1SFwQdWKaCKVxKhTgA2iRuLrJNokar4PttOnfs5zgOLOj2TfldrGjOKMPgyMN&#10;6SoBgdS4dqBOw+f+/fEZRIiGWjM6Qg1XDLCtbm9KU7TuQh943sVOcAmFwmjoY5wKKUPTozVh5SYk&#10;vh2dtyay9J1svblwuR2lSpJcWjMQf+jNhHWPzWk3Ww2v6+tX+jDTW5aH0/QdfJ16VWt9f7e8bEBE&#10;XOJfGH7xGR0qZjq4mdogRtaKyaOGJ5WtQXBAJRk7B3byLAVZlfL/hOoHAAD//wMAUEsBAi0AFAAG&#10;AAgAAAAhALaDOJL+AAAA4QEAABMAAAAAAAAAAAAAAAAAAAAAAFtDb250ZW50X1R5cGVzXS54bWxQ&#10;SwECLQAUAAYACAAAACEAOP0h/9YAAACUAQAACwAAAAAAAAAAAAAAAAAvAQAAX3JlbHMvLnJlbHNQ&#10;SwECLQAUAAYACAAAACEA+obx9SUCAABOBAAADgAAAAAAAAAAAAAAAAAuAgAAZHJzL2Uyb0RvYy54&#10;bWxQSwECLQAUAAYACAAAACEAXn5KFdwAAAAKAQAADwAAAAAAAAAAAAAAAAB/BAAAZHJzL2Rvd25y&#10;ZXYueG1sUEsFBgAAAAAEAAQA8wAAAIgFAAAAAA==&#10;" filled="f" stroked="f" strokeweight=".5pt">
                <v:textbox inset="2mm,1mm,1mm,1mm">
                  <w:txbxContent>
                    <w:p w14:paraId="5FF74F39" w14:textId="1C379A4A" w:rsidR="00DC6857" w:rsidRPr="00176803" w:rsidRDefault="00735C76"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Izglītība</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49" behindDoc="0" locked="0" layoutInCell="1" allowOverlap="1" wp14:anchorId="7FF703BF" wp14:editId="4257A129">
                <wp:simplePos x="0" y="0"/>
                <wp:positionH relativeFrom="column">
                  <wp:posOffset>3174724</wp:posOffset>
                </wp:positionH>
                <wp:positionV relativeFrom="paragraph">
                  <wp:posOffset>79045</wp:posOffset>
                </wp:positionV>
                <wp:extent cx="1225550" cy="252000"/>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7F0E1E37" w14:textId="4B05E239" w:rsidR="00DC6857" w:rsidRPr="0080669C" w:rsidRDefault="00487864" w:rsidP="00DC6857">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Apstrādes rūpniecība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703BF" id="Text Box 76" o:spid="_x0000_s1185" type="#_x0000_t202" style="position:absolute;left:0;text-align:left;margin-left:250pt;margin-top:6.2pt;width:96.5pt;height:19.8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4gJQIAAE4EAAAOAAAAZHJzL2Uyb0RvYy54bWysVEtv2zAMvg/YfxB0X5ykSLYacYqsRYYB&#10;QVsgHXpWZCkxJouaxMTOfv0o2Xms22nYRSZFio/vIz27a2vDDsqHCmzBR4MhZ8pKKCu7Lfi3l+WH&#10;T5wFFLYUBqwq+FEFfjd//27WuFyNYQemVJ5REBvyxhV8h+jyLAtyp2oRBuCUJaMGXwsk1W+z0ouG&#10;otcmGw+H06wBXzoPUoVAtw+dkc9TfK2VxCetg0JmCk61YTp9OjfxzOYzkW+9cLtK9mWIf6iiFpWl&#10;pOdQDwIF2/vqj1B1JT0E0DiQUGegdSVV6oG6GQ3fdLPeCadSLwROcGeYwv8LKx8Pa/fsGbafoSUC&#10;UxPBrUB+D4RN1riQ9z4R05AH8o6NttrX8UstMHpI2B7PeKoWmYzRxuPJZEImSbbxhPhKgGeX184H&#10;/KKgZlEouCe+UgXisAoY84v85BKTWVhWxiTOjGVNwac3FP43C70wti+8qzVWje2mZVVJJU1uI+fx&#10;bgPlkTr30A1FcHJZURUrEfBZeJoCKpwmG5/o0AYoG/QSZzvwP/92H/2JHLJy1tBUFTz82AuvODNf&#10;LdH2MWHAMCk30wgI89fK5lqx+/oeaHBHtENOJjH6ozmJ2kP9SguwiFnJJKyk3AXHk3iP3azTAkm1&#10;WCQnGjwncGXXTp4Ijxi/tK/Cu54IJAof4TR/In/DR+fb4b7YI+gqkXVBtSeAhjZx2C9Y3IprPXld&#10;fgPzXwAAAP//AwBQSwMEFAAGAAgAAAAhAIEg4QbcAAAACQEAAA8AAABkcnMvZG93bnJldi54bWxM&#10;j8FOwzAQRO9I/IO1SFwQtRPaCEKcCgX4AAoSVzdekqjxOthOm/49ywmOO280O1NtFzeKI4Y4eNKQ&#10;rRQIpNbbgToNH++vt/cgYjJkzegJNZwxwra+vKhMaf2J3vC4S53gEIql0dCnNJVSxrZHZ+LKT0jM&#10;vnxwJvEZOmmDOXG4G2WuVCGdGYg/9GbCpsf2sJudhuf1+TO7mellU8TD9B1Dk4W80fr6anl6BJFw&#10;SX9m+K3P1aHmTns/k41i1LBRirckBvkaBBuKhzsW9kzyDGRdyf8L6h8AAAD//wMAUEsBAi0AFAAG&#10;AAgAAAAhALaDOJL+AAAA4QEAABMAAAAAAAAAAAAAAAAAAAAAAFtDb250ZW50X1R5cGVzXS54bWxQ&#10;SwECLQAUAAYACAAAACEAOP0h/9YAAACUAQAACwAAAAAAAAAAAAAAAAAvAQAAX3JlbHMvLnJlbHNQ&#10;SwECLQAUAAYACAAAACEAhTS+ICUCAABOBAAADgAAAAAAAAAAAAAAAAAuAgAAZHJzL2Uyb0RvYy54&#10;bWxQSwECLQAUAAYACAAAACEAgSDhBtwAAAAJAQAADwAAAAAAAAAAAAAAAAB/BAAAZHJzL2Rvd25y&#10;ZXYueG1sUEsFBgAAAAAEAAQA8wAAAIgFAAAAAA==&#10;" filled="f" stroked="f" strokeweight=".5pt">
                <v:textbox inset="2mm,1mm,1mm,1mm">
                  <w:txbxContent>
                    <w:p w14:paraId="7F0E1E37" w14:textId="4B05E239" w:rsidR="00DC6857" w:rsidRPr="0080669C" w:rsidRDefault="00487864" w:rsidP="00DC6857">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Apstrādes rūpniecība</w:t>
                      </w:r>
                    </w:p>
                  </w:txbxContent>
                </v:textbox>
              </v:shape>
            </w:pict>
          </mc:Fallback>
        </mc:AlternateContent>
      </w:r>
      <w:r w:rsidR="00DC6857" w:rsidRPr="001037E7">
        <w:rPr>
          <w:rFonts w:ascii="Candara" w:hAnsi="Candara"/>
          <w:noProof/>
          <w:sz w:val="14"/>
          <w:szCs w:val="14"/>
          <w:lang w:val="en-US"/>
        </w:rPr>
        <mc:AlternateContent>
          <mc:Choice Requires="wps">
            <w:drawing>
              <wp:anchor distT="0" distB="0" distL="114300" distR="114300" simplePos="0" relativeHeight="251658350" behindDoc="0" locked="0" layoutInCell="1" allowOverlap="1" wp14:anchorId="36CE7597" wp14:editId="2981F793">
                <wp:simplePos x="0" y="0"/>
                <wp:positionH relativeFrom="column">
                  <wp:posOffset>82243</wp:posOffset>
                </wp:positionH>
                <wp:positionV relativeFrom="paragraph">
                  <wp:posOffset>76835</wp:posOffset>
                </wp:positionV>
                <wp:extent cx="1225550" cy="25200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2AB0A003" w14:textId="1DA87098" w:rsidR="00DC6857" w:rsidRPr="00176803" w:rsidRDefault="00A442B8"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Tirdzniecība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E7597" id="Text Box 94" o:spid="_x0000_s1186" type="#_x0000_t202" style="position:absolute;left:0;text-align:left;margin-left:6.5pt;margin-top:6.05pt;width:96.5pt;height:19.8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lyJAIAAE4EAAAOAAAAZHJzL2Uyb0RvYy54bWysVE1v2zAMvQ/YfxB0X5ykSDYYcYqsRYYB&#10;QVsgHXpWZCk2JouaxMTufv0o2flYt9OwiyyJFPn4HunFbdcYdlQ+1GALPhmNOVNWQlnbfcG/Pa8/&#10;fOIsoLClMGBVwV9V4LfL9+8WrcvVFCowpfKMgtiQt67gFaLLsyzISjUijMApS0YNvhFIR7/PSi9a&#10;it6YbDoez7MWfOk8SBUC3d73Rr5M8bVWEh+1DgqZKThhw7T6tO7imi0XIt974apaDjDEP6BoRG0p&#10;6TnUvUDBDr7+I1RTSw8BNI4kNBloXUuVaqBqJuM31Wwr4VSqhcgJ7kxT+H9h5cNx6548w+4zdCRg&#10;KiK4DcjvgbjJWhfywSdyGvJA3rHQTvsmfqkERg+J29czn6pDJmO06XQ2m5FJkm06I70S4dnltfMB&#10;vyhoWNwU3JNeCYE4bgLG/CI/ucRkFta1MUkzY1lb8PkNhf/NQi+MHYD3WCNq7HYdq0uCNE8Q4t0O&#10;yleq3EPfFMHJdU0oNiLgk/DUBQScOhsfadEGKBsMO84q8D//dh/9SRyyctZSVxU8/DgIrzgzXy3J&#10;9jFxwDAdbuaREOavD7vrgz00d0CNO6EZcjJtoz+a01Z7aF5oAFYxK5mElZS74Hja3mHf6zRAUq1W&#10;yYkazwnc2K2TJ8Ejx8/di/BuEAJJwgc49Z/I3+jR+/a8rw4Iuk5iXVgdBKCmTRoOAxan4vqcvC6/&#10;geUvAAAA//8DAFBLAwQUAAYACAAAACEAo3DIydsAAAAIAQAADwAAAGRycy9kb3ducmV2LnhtbEyP&#10;wU7DMBBE70j8g7VIXBB1HGhUhTgVCvABtEhc3XhJosbrYDtt+vcsJzitZmc1+6baLm4UJwxx8KRB&#10;rTIQSK23A3UaPvZv9xsQMRmyZvSEGi4YYVtfX1WmtP5M73japU5wCMXSaOhTmkopY9ujM3HlJyT2&#10;vnxwJrEMnbTBnDncjTLPskI6MxB/6M2ETY/tcTc7DS+Pl091N9PruojH6TuGRoW80fr2Znl+ApFw&#10;SX/H8IvP6FAz08HPZKMYWT9wlcQzVyDYz7OCFwcNa7UBWVfyf4H6BwAA//8DAFBLAQItABQABgAI&#10;AAAAIQC2gziS/gAAAOEBAAATAAAAAAAAAAAAAAAAAAAAAABbQ29udGVudF9UeXBlc10ueG1sUEsB&#10;Ai0AFAAGAAgAAAAhADj9If/WAAAAlAEAAAsAAAAAAAAAAAAAAAAALwEAAF9yZWxzLy5yZWxzUEsB&#10;Ai0AFAAGAAgAAAAhACdp+XIkAgAATgQAAA4AAAAAAAAAAAAAAAAALgIAAGRycy9lMm9Eb2MueG1s&#10;UEsBAi0AFAAGAAgAAAAhAKNwyMnbAAAACAEAAA8AAAAAAAAAAAAAAAAAfgQAAGRycy9kb3ducmV2&#10;LnhtbFBLBQYAAAAABAAEAPMAAACGBQAAAAA=&#10;" filled="f" stroked="f" strokeweight=".5pt">
                <v:textbox inset="2mm,1mm,1mm,1mm">
                  <w:txbxContent>
                    <w:p w14:paraId="2AB0A003" w14:textId="1DA87098" w:rsidR="00DC6857" w:rsidRPr="00176803" w:rsidRDefault="00A442B8" w:rsidP="00DC6857">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Tirdzniecība</w:t>
                      </w:r>
                    </w:p>
                  </w:txbxContent>
                </v:textbox>
              </v:shape>
            </w:pict>
          </mc:Fallback>
        </mc:AlternateContent>
      </w:r>
      <w:r w:rsidR="00DC6857" w:rsidRPr="00D829F0">
        <w:rPr>
          <w:rFonts w:ascii="Source Sans Pro" w:hAnsi="Source Sans Pro"/>
          <w:noProof/>
          <w:lang w:val="en-US"/>
        </w:rPr>
        <mc:AlternateContent>
          <mc:Choice Requires="cx1">
            <w:drawing>
              <wp:inline distT="0" distB="0" distL="0" distR="0" wp14:anchorId="7A039472" wp14:editId="245975E2">
                <wp:extent cx="5743346" cy="7136308"/>
                <wp:effectExtent l="0" t="0" r="0" b="0"/>
                <wp:docPr id="357" name="Chart 357"/>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8"/>
                  </a:graphicData>
                </a:graphic>
              </wp:inline>
            </w:drawing>
          </mc:Choice>
          <mc:Fallback xmlns:arto="http://schemas.microsoft.com/office/word/2006/arto" xmlns:w16cei="http://schemas.microsoft.com/office/word/2026/wordml/cei">
            <w:drawing xmlns:w="http://schemas.openxmlformats.org/wordprocessingml/2006/main">
              <wp:inline xmlns:wp="http://schemas.openxmlformats.org/drawingml/2006/wordprocessingDrawing" xmlns:wp14="http://schemas.microsoft.com/office/word/2010/wordprocessingDrawing" distT="0" distB="0" distL="0" distR="0" wp14:anchorId="7A039472" wp14:editId="245975E2">
                <wp:extent cx="5743346" cy="7136308"/>
                <wp:effectExtent l="0" t="0" r="0" b="0"/>
                <wp:docPr id="357" name="Chart 35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xmlns:mc="http://schemas.openxmlformats.org/markup-compatibility/2006">
                      <pic:nvPicPr>
                        <pic:cNvPr id="357" name="Chart 357"/>
                        <pic:cNvPicPr>
                          <a:picLocks noGrp="1" noRot="1" noChangeAspect="1" noMove="1" noResize="1" noEditPoints="1" noAdjustHandles="1" noChangeArrowheads="1" noChangeShapeType="1"/>
                        </pic:cNvPicPr>
                      </pic:nvPicPr>
                      <pic:blipFill>
                        <a:blip xmlns:r="http://schemas.openxmlformats.org/officeDocument/2006/relationships" r:embed="rId59"/>
                        <a:stretch>
                          <a:fillRect/>
                        </a:stretch>
                      </pic:blipFill>
                      <pic:spPr>
                        <a:xfrm>
                          <a:off x="0" y="0"/>
                          <a:ext cx="5742940" cy="7136130"/>
                        </a:xfrm>
                        <a:prstGeom prst="rect">
                          <a:avLst/>
                        </a:prstGeom>
                      </pic:spPr>
                    </pic:pic>
                  </a:graphicData>
                </a:graphic>
              </wp:inline>
            </w:drawing>
          </mc:Fallback>
        </mc:AlternateContent>
      </w:r>
    </w:p>
    <w:p w14:paraId="4CCEC885" w14:textId="190CEFFF" w:rsidR="00653AD9" w:rsidRDefault="00DC6857" w:rsidP="00DC6857">
      <w:pPr>
        <w:spacing w:after="120"/>
        <w:jc w:val="both"/>
        <w:rPr>
          <w:rFonts w:ascii="Segoe UI Light" w:hAnsi="Segoe UI Light" w:cs="Segoe UI Light"/>
          <w:sz w:val="16"/>
          <w:szCs w:val="16"/>
        </w:rPr>
      </w:pPr>
      <w:r>
        <w:rPr>
          <w:rFonts w:ascii="Segoe UI Light" w:hAnsi="Segoe UI Light" w:cs="Segoe UI Light"/>
          <w:sz w:val="16"/>
          <w:szCs w:val="16"/>
        </w:rPr>
        <w:t xml:space="preserve">A01 – Augkopība un lopkopība; </w:t>
      </w:r>
      <w:r w:rsidRPr="001037E7">
        <w:rPr>
          <w:rFonts w:ascii="Segoe UI Light" w:hAnsi="Segoe UI Light" w:cs="Segoe UI Light"/>
          <w:sz w:val="16"/>
          <w:szCs w:val="16"/>
        </w:rPr>
        <w:t xml:space="preserve">A02 – Mežsaimniecība; A03 – Zivsaimniecība; B – Ieguves rūpniecība, karjeri; C11 – Dzērienu ražošana; C13 – Tekstilizstrādājumu ražošana; C18 – Poligrāfija; C20 – Ķīmiskā rūpniecība; C22 – Gumijas un plastmasas izstrādājumu ražošana; C23 – Nemetālisko minerālu izstrādājumu ražošana; C26 – Datoru, elektronisko iekārtu ražošana; C27 – Elektrisko iekārtu ražošana; C28 – Iekārtu, mehānismu un mašīnu ražošana; C33 – Iekārtu remonts; D – Elektroenerģija, gāzes, siltumapgāde; E – Ūdens apgāde, notekūdeņu, atkritumu apsaimniekošana; H51 – Gaisa transports; H53 – Pasta un kurjeru darbība; K64 – Finanšu pakalpojumi; K65 – Apdrošināšana; K66 – Finanšu palīgdarbības; M69 – Juridiskie, grāmatvedības pakalpojumi; M70 – Centrālo biroju darbība, konsultēšana; M71 – Arhitektūras, inženiertehniski pakalpojumi; M72 – Zinātniskās pētniecības darbs; M73 – Reklāmas, tirgus izpēte; M74 – Citi profesionālie, zinātniskie un tehniskie pakalpojumi; N77 – Iznomāšana un līzings; </w:t>
      </w:r>
      <w:r>
        <w:rPr>
          <w:rFonts w:ascii="Segoe UI Light" w:hAnsi="Segoe UI Light" w:cs="Segoe UI Light"/>
          <w:sz w:val="16"/>
          <w:szCs w:val="16"/>
        </w:rPr>
        <w:t xml:space="preserve">N78 – Personāla nodrošināšana; </w:t>
      </w:r>
      <w:r w:rsidRPr="001037E7">
        <w:rPr>
          <w:rFonts w:ascii="Segoe UI Light" w:hAnsi="Segoe UI Light" w:cs="Segoe UI Light"/>
          <w:sz w:val="16"/>
          <w:szCs w:val="16"/>
        </w:rPr>
        <w:t>N79 – Ceļojumu biroju darbība; N81 – Ēku uzturēšana; N82 – Biroju darbība; R91 – Kultūras iestāžu darbība; R92 – Azartspēles un derības; R93 – Sporta, atpūtas darbības; S94 Sabiedrisko, politisko organizāciju darbība; S96 – Individuālie pakalpojumi</w:t>
      </w:r>
      <w:r w:rsidR="00653AD9">
        <w:rPr>
          <w:rFonts w:ascii="Segoe UI Light" w:hAnsi="Segoe UI Light" w:cs="Segoe UI Light"/>
          <w:sz w:val="16"/>
          <w:szCs w:val="16"/>
        </w:rPr>
        <w:t>.</w:t>
      </w:r>
    </w:p>
    <w:p w14:paraId="252B7586" w14:textId="6BA8FBBF" w:rsidR="0066279C" w:rsidRPr="00D829F0" w:rsidRDefault="0066279C" w:rsidP="005349C0">
      <w:pPr>
        <w:spacing w:after="120"/>
        <w:jc w:val="both"/>
        <w:rPr>
          <w:rFonts w:ascii="Source Sans Pro" w:hAnsi="Source Sans Pro"/>
          <w:sz w:val="16"/>
          <w:szCs w:val="16"/>
        </w:rPr>
      </w:pPr>
      <w:r w:rsidRPr="00D829F0">
        <w:rPr>
          <w:rFonts w:ascii="Source Sans Pro" w:hAnsi="Source Sans Pro"/>
          <w:sz w:val="16"/>
          <w:szCs w:val="16"/>
        </w:rPr>
        <w:t>Avots: CSP</w:t>
      </w:r>
    </w:p>
    <w:p w14:paraId="66479161" w14:textId="77777777" w:rsidR="0066279C" w:rsidRPr="00D829F0" w:rsidRDefault="0066279C" w:rsidP="00867A48">
      <w:pPr>
        <w:spacing w:after="120"/>
        <w:jc w:val="right"/>
        <w:rPr>
          <w:rFonts w:ascii="Source Sans Pro" w:hAnsi="Source Sans Pro"/>
          <w:szCs w:val="20"/>
        </w:rPr>
      </w:pPr>
      <w:r w:rsidRPr="00D829F0">
        <w:rPr>
          <w:rFonts w:ascii="Source Sans Pro" w:hAnsi="Source Sans Pro"/>
          <w:szCs w:val="20"/>
        </w:rPr>
        <w:lastRenderedPageBreak/>
        <w:t>2.4. attēls</w:t>
      </w:r>
    </w:p>
    <w:p w14:paraId="62A118FE" w14:textId="76E2410F" w:rsidR="0066279C" w:rsidRPr="00EA278B" w:rsidRDefault="0066279C" w:rsidP="00867A48">
      <w:pPr>
        <w:tabs>
          <w:tab w:val="center" w:pos="1560"/>
          <w:tab w:val="center" w:pos="3261"/>
          <w:tab w:val="center" w:pos="4536"/>
          <w:tab w:val="center" w:pos="5670"/>
          <w:tab w:val="center" w:pos="8080"/>
        </w:tabs>
        <w:spacing w:after="120"/>
        <w:jc w:val="center"/>
        <w:rPr>
          <w:rFonts w:ascii="Segoe UI Light" w:hAnsi="Segoe UI Light"/>
          <w:i/>
          <w:sz w:val="16"/>
          <w:szCs w:val="20"/>
        </w:rPr>
      </w:pPr>
      <w:r w:rsidRPr="00EA278B">
        <w:rPr>
          <w:rFonts w:ascii="Segoe UI Light" w:hAnsi="Segoe UI Light"/>
          <w:b/>
          <w:sz w:val="18"/>
          <w:szCs w:val="24"/>
        </w:rPr>
        <w:t>Aizņemto darbavietu skaita izmaiņas</w:t>
      </w:r>
      <w:r w:rsidRPr="00EA278B">
        <w:rPr>
          <w:rFonts w:ascii="Segoe UI Light" w:hAnsi="Segoe UI Light"/>
          <w:b/>
          <w:sz w:val="18"/>
          <w:szCs w:val="24"/>
        </w:rPr>
        <w:br/>
      </w:r>
      <w:r w:rsidRPr="00EA278B">
        <w:rPr>
          <w:rFonts w:ascii="Segoe UI Light" w:hAnsi="Segoe UI Light"/>
          <w:i/>
          <w:sz w:val="16"/>
          <w:szCs w:val="20"/>
        </w:rPr>
        <w:tab/>
      </w:r>
      <w:r w:rsidRPr="00EA278B">
        <w:rPr>
          <w:rFonts w:ascii="Segoe UI Light" w:hAnsi="Segoe UI Light"/>
          <w:bCs/>
          <w:i/>
          <w:sz w:val="16"/>
          <w:szCs w:val="20"/>
        </w:rPr>
        <w:t>202</w:t>
      </w:r>
      <w:r w:rsidR="00EA278B">
        <w:rPr>
          <w:rFonts w:ascii="Segoe UI Light" w:hAnsi="Segoe UI Light"/>
          <w:bCs/>
          <w:i/>
          <w:sz w:val="16"/>
          <w:szCs w:val="20"/>
        </w:rPr>
        <w:t>5</w:t>
      </w:r>
      <w:r w:rsidRPr="00EA278B">
        <w:rPr>
          <w:rFonts w:ascii="Segoe UI Light" w:hAnsi="Segoe UI Light"/>
          <w:bCs/>
          <w:i/>
          <w:sz w:val="16"/>
          <w:szCs w:val="20"/>
        </w:rPr>
        <w:t>.</w:t>
      </w:r>
      <w:r w:rsidR="00806714">
        <w:rPr>
          <w:rFonts w:ascii="Segoe UI Light" w:hAnsi="Segoe UI Light"/>
          <w:bCs/>
          <w:i/>
          <w:sz w:val="16"/>
          <w:szCs w:val="20"/>
        </w:rPr>
        <w:t> </w:t>
      </w:r>
      <w:r w:rsidR="0080669C" w:rsidRPr="00EA278B">
        <w:rPr>
          <w:rFonts w:ascii="Segoe UI Light" w:hAnsi="Segoe UI Light"/>
          <w:i/>
          <w:sz w:val="16"/>
          <w:szCs w:val="20"/>
        </w:rPr>
        <w:t>gad</w:t>
      </w:r>
      <w:r w:rsidRPr="00EA278B">
        <w:rPr>
          <w:rFonts w:ascii="Segoe UI Light" w:hAnsi="Segoe UI Light"/>
          <w:i/>
          <w:sz w:val="16"/>
          <w:szCs w:val="20"/>
        </w:rPr>
        <w:t xml:space="preserve">s salīdzinājumā ar </w:t>
      </w:r>
      <w:r w:rsidRPr="00EA278B">
        <w:rPr>
          <w:rFonts w:ascii="Segoe UI Light" w:hAnsi="Segoe UI Light"/>
          <w:bCs/>
          <w:i/>
          <w:sz w:val="16"/>
          <w:szCs w:val="20"/>
        </w:rPr>
        <w:t>202</w:t>
      </w:r>
      <w:r w:rsidR="00EA278B">
        <w:rPr>
          <w:rFonts w:ascii="Segoe UI Light" w:hAnsi="Segoe UI Light"/>
          <w:bCs/>
          <w:i/>
          <w:sz w:val="16"/>
          <w:szCs w:val="20"/>
        </w:rPr>
        <w:t>3</w:t>
      </w:r>
      <w:r w:rsidRPr="00EA278B">
        <w:rPr>
          <w:rFonts w:ascii="Segoe UI Light" w:hAnsi="Segoe UI Light"/>
          <w:bCs/>
          <w:i/>
          <w:sz w:val="16"/>
          <w:szCs w:val="20"/>
        </w:rPr>
        <w:t>.</w:t>
      </w:r>
      <w:r w:rsidR="00806714">
        <w:rPr>
          <w:rFonts w:ascii="Segoe UI Light" w:hAnsi="Segoe UI Light"/>
          <w:bCs/>
          <w:i/>
          <w:sz w:val="16"/>
          <w:szCs w:val="20"/>
        </w:rPr>
        <w:t> </w:t>
      </w:r>
      <w:r w:rsidR="0080669C" w:rsidRPr="00EA278B">
        <w:rPr>
          <w:rFonts w:ascii="Segoe UI Light" w:hAnsi="Segoe UI Light"/>
          <w:i/>
          <w:sz w:val="16"/>
          <w:szCs w:val="20"/>
        </w:rPr>
        <w:t>gad</w:t>
      </w:r>
      <w:r w:rsidRPr="00EA278B">
        <w:rPr>
          <w:rFonts w:ascii="Segoe UI Light" w:hAnsi="Segoe UI Light"/>
          <w:i/>
          <w:sz w:val="16"/>
          <w:szCs w:val="20"/>
        </w:rPr>
        <w:t>u, tūkstošos</w:t>
      </w:r>
    </w:p>
    <w:p w14:paraId="5948B18C" w14:textId="3A731BEC" w:rsidR="0066279C" w:rsidRPr="00D829F0" w:rsidRDefault="00F4200B" w:rsidP="00867A48">
      <w:pPr>
        <w:tabs>
          <w:tab w:val="center" w:pos="1560"/>
          <w:tab w:val="center" w:pos="3261"/>
          <w:tab w:val="center" w:pos="4536"/>
          <w:tab w:val="center" w:pos="5670"/>
          <w:tab w:val="center" w:pos="8080"/>
        </w:tabs>
        <w:spacing w:after="120"/>
        <w:jc w:val="center"/>
        <w:rPr>
          <w:rFonts w:ascii="Source Sans Pro" w:hAnsi="Source Sans Pro" w:cs="Segoe UI"/>
          <w:color w:val="FF0000"/>
          <w:sz w:val="14"/>
          <w:szCs w:val="14"/>
        </w:rPr>
      </w:pPr>
      <w:r w:rsidRPr="00D829F0">
        <w:rPr>
          <w:rFonts w:ascii="Source Sans Pro" w:hAnsi="Source Sans Pro"/>
          <w:noProof/>
          <w:color w:val="FF0000"/>
          <w:sz w:val="12"/>
          <w:lang w:val="en-US"/>
        </w:rPr>
        <w:drawing>
          <wp:inline distT="0" distB="0" distL="0" distR="0" wp14:anchorId="0598F759" wp14:editId="2B508A4B">
            <wp:extent cx="5759450" cy="3600000"/>
            <wp:effectExtent l="0" t="0" r="0" b="635"/>
            <wp:docPr id="332077474" name="Chart 3320774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4D02991" w14:textId="77777777" w:rsidR="0066279C" w:rsidRPr="00D829F0" w:rsidRDefault="0066279C" w:rsidP="00867A48">
      <w:pPr>
        <w:spacing w:after="120"/>
        <w:jc w:val="both"/>
        <w:rPr>
          <w:rFonts w:ascii="Source Sans Pro" w:hAnsi="Source Sans Pro"/>
          <w:sz w:val="16"/>
          <w:szCs w:val="16"/>
        </w:rPr>
      </w:pPr>
      <w:r w:rsidRPr="00D829F0">
        <w:rPr>
          <w:rFonts w:ascii="Source Sans Pro" w:hAnsi="Source Sans Pro"/>
          <w:sz w:val="16"/>
          <w:szCs w:val="16"/>
        </w:rPr>
        <w:t>Avots: CSP</w:t>
      </w:r>
    </w:p>
    <w:p w14:paraId="621BD6ED" w14:textId="61112F57" w:rsidR="0066279C" w:rsidRPr="00D829F0" w:rsidRDefault="0066279C" w:rsidP="00867A48">
      <w:pPr>
        <w:spacing w:after="120"/>
        <w:jc w:val="both"/>
        <w:rPr>
          <w:rFonts w:ascii="Source Sans Pro" w:hAnsi="Source Sans Pro"/>
          <w:szCs w:val="26"/>
        </w:rPr>
      </w:pPr>
    </w:p>
    <w:p w14:paraId="50D7741F" w14:textId="1FCF89C1" w:rsidR="0066279C" w:rsidRPr="00D829F0" w:rsidRDefault="0066279C" w:rsidP="00867A48">
      <w:pPr>
        <w:spacing w:after="120"/>
        <w:jc w:val="both"/>
        <w:rPr>
          <w:rFonts w:ascii="Source Sans Pro" w:hAnsi="Source Sans Pro"/>
          <w:color w:val="000000" w:themeColor="text1"/>
          <w:szCs w:val="26"/>
        </w:rPr>
      </w:pPr>
      <w:r w:rsidRPr="00D829F0">
        <w:rPr>
          <w:rFonts w:ascii="Source Sans Pro" w:hAnsi="Source Sans Pro"/>
          <w:szCs w:val="26"/>
        </w:rPr>
        <w:t xml:space="preserve">Aizņemto darbavietu skaits </w:t>
      </w:r>
      <w:r w:rsidR="00F270E6" w:rsidRPr="00D829F0">
        <w:rPr>
          <w:rFonts w:ascii="Source Sans Pro" w:hAnsi="Source Sans Pro"/>
          <w:szCs w:val="26"/>
        </w:rPr>
        <w:t>2025.</w:t>
      </w:r>
      <w:r w:rsidR="00806714">
        <w:rPr>
          <w:rFonts w:ascii="Source Sans Pro" w:hAnsi="Source Sans Pro"/>
          <w:szCs w:val="26"/>
        </w:rPr>
        <w:t> </w:t>
      </w:r>
      <w:r w:rsidR="0080669C" w:rsidRPr="00D829F0">
        <w:rPr>
          <w:rFonts w:ascii="Source Sans Pro" w:hAnsi="Source Sans Pro"/>
          <w:szCs w:val="26"/>
        </w:rPr>
        <w:t>gad</w:t>
      </w:r>
      <w:r w:rsidRPr="00D829F0">
        <w:rPr>
          <w:rFonts w:ascii="Source Sans Pro" w:hAnsi="Source Sans Pro"/>
          <w:szCs w:val="26"/>
        </w:rPr>
        <w:t xml:space="preserve">ā salīdzinājumā ar </w:t>
      </w:r>
      <w:r w:rsidR="00F270E6" w:rsidRPr="00D829F0">
        <w:rPr>
          <w:rFonts w:ascii="Source Sans Pro" w:hAnsi="Source Sans Pro"/>
          <w:szCs w:val="26"/>
        </w:rPr>
        <w:t>2023.</w:t>
      </w:r>
      <w:r w:rsidR="00806714">
        <w:rPr>
          <w:rFonts w:ascii="Source Sans Pro" w:hAnsi="Source Sans Pro"/>
          <w:szCs w:val="26"/>
        </w:rPr>
        <w:t> </w:t>
      </w:r>
      <w:r w:rsidR="0080669C" w:rsidRPr="00D829F0">
        <w:rPr>
          <w:rFonts w:ascii="Source Sans Pro" w:hAnsi="Source Sans Pro"/>
          <w:szCs w:val="26"/>
        </w:rPr>
        <w:t>gad</w:t>
      </w:r>
      <w:r w:rsidRPr="00D829F0">
        <w:rPr>
          <w:rFonts w:ascii="Source Sans Pro" w:hAnsi="Source Sans Pro"/>
          <w:szCs w:val="26"/>
        </w:rPr>
        <w:t>u kopumā samazinājās par 2</w:t>
      </w:r>
      <w:r w:rsidR="00F270E6" w:rsidRPr="00D829F0">
        <w:rPr>
          <w:rFonts w:ascii="Source Sans Pro" w:hAnsi="Source Sans Pro"/>
          <w:szCs w:val="26"/>
        </w:rPr>
        <w:t>,9</w:t>
      </w:r>
      <w:r w:rsidR="00806714">
        <w:rPr>
          <w:rFonts w:ascii="Source Sans Pro" w:hAnsi="Source Sans Pro"/>
          <w:szCs w:val="26"/>
        </w:rPr>
        <w:t> </w:t>
      </w:r>
      <w:r w:rsidRPr="00D829F0">
        <w:rPr>
          <w:rFonts w:ascii="Source Sans Pro" w:hAnsi="Source Sans Pro"/>
          <w:szCs w:val="26"/>
        </w:rPr>
        <w:t xml:space="preserve">tūkst. Lielākais darba vietu samazinājums ir bijis apstrādes rūpniecībā, </w:t>
      </w:r>
      <w:r w:rsidR="00F270E6" w:rsidRPr="00D829F0">
        <w:rPr>
          <w:rFonts w:ascii="Source Sans Pro" w:hAnsi="Source Sans Pro"/>
          <w:szCs w:val="26"/>
        </w:rPr>
        <w:t>tirdzniecībā un transportā</w:t>
      </w:r>
      <w:r w:rsidRPr="00D829F0">
        <w:rPr>
          <w:rFonts w:ascii="Source Sans Pro" w:hAnsi="Source Sans Pro"/>
          <w:szCs w:val="26"/>
        </w:rPr>
        <w:t>, savukārt lielākais pieaugums</w:t>
      </w:r>
      <w:r w:rsidR="00F270E6" w:rsidRPr="00D829F0">
        <w:rPr>
          <w:rFonts w:ascii="Source Sans Pro" w:hAnsi="Source Sans Pro"/>
          <w:szCs w:val="26"/>
        </w:rPr>
        <w:t xml:space="preserve"> </w:t>
      </w:r>
      <w:r w:rsidRPr="00D829F0">
        <w:rPr>
          <w:rFonts w:ascii="Source Sans Pro" w:hAnsi="Source Sans Pro"/>
          <w:szCs w:val="26"/>
        </w:rPr>
        <w:t xml:space="preserve">– veselības un sociālās aprūpes nozarē, izmitināšanas un ēdināšanas pakalpojumu nozarē un </w:t>
      </w:r>
      <w:r w:rsidR="00F270E6" w:rsidRPr="00D829F0">
        <w:rPr>
          <w:rFonts w:ascii="Source Sans Pro" w:hAnsi="Source Sans Pro"/>
          <w:szCs w:val="26"/>
        </w:rPr>
        <w:t>valsts pārvaldē un aizsardzībā</w:t>
      </w:r>
      <w:r w:rsidRPr="00D829F0">
        <w:rPr>
          <w:rFonts w:ascii="Source Sans Pro" w:hAnsi="Source Sans Pro"/>
          <w:szCs w:val="26"/>
        </w:rPr>
        <w:t>.</w:t>
      </w:r>
    </w:p>
    <w:p w14:paraId="33F1A1FA" w14:textId="22D9C988" w:rsidR="00405DC3" w:rsidRPr="00885891"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jc w:val="right"/>
        <w:rPr>
          <w:rFonts w:ascii="Segoe UI Light" w:hAnsi="Segoe UI Light"/>
          <w:b/>
          <w:bCs/>
          <w:sz w:val="18"/>
          <w:szCs w:val="18"/>
        </w:rPr>
      </w:pPr>
      <w:r w:rsidRPr="00885891">
        <w:rPr>
          <w:rFonts w:ascii="Segoe UI Light" w:hAnsi="Segoe UI Light"/>
          <w:b/>
          <w:bCs/>
          <w:sz w:val="18"/>
          <w:szCs w:val="18"/>
        </w:rPr>
        <w:t xml:space="preserve">CSP </w:t>
      </w:r>
      <w:r w:rsidR="00437AC2">
        <w:rPr>
          <w:rFonts w:ascii="Segoe UI Light" w:hAnsi="Segoe UI Light"/>
          <w:b/>
          <w:bCs/>
          <w:sz w:val="18"/>
          <w:szCs w:val="18"/>
        </w:rPr>
        <w:t xml:space="preserve">veiktā </w:t>
      </w:r>
      <w:r w:rsidRPr="00885891">
        <w:rPr>
          <w:rFonts w:ascii="Segoe UI Light" w:hAnsi="Segoe UI Light"/>
          <w:b/>
          <w:bCs/>
          <w:sz w:val="18"/>
          <w:szCs w:val="18"/>
        </w:rPr>
        <w:t>vakanču monitoringa dati</w:t>
      </w:r>
    </w:p>
    <w:p w14:paraId="57DFBA1A" w14:textId="77777777" w:rsidR="00405DC3" w:rsidRPr="0021795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5435"/>
        </w:tabs>
        <w:spacing w:after="60"/>
        <w:jc w:val="both"/>
        <w:rPr>
          <w:rFonts w:ascii="Segoe UI Light" w:hAnsi="Segoe UI Light"/>
          <w:b/>
          <w:bCs/>
          <w:i/>
          <w:iCs/>
          <w:sz w:val="16"/>
          <w:szCs w:val="16"/>
        </w:rPr>
      </w:pPr>
      <w:r w:rsidRPr="0021795B">
        <w:rPr>
          <w:rFonts w:ascii="Segoe UI Light" w:hAnsi="Segoe UI Light"/>
          <w:b/>
          <w:bCs/>
          <w:i/>
          <w:iCs/>
          <w:sz w:val="16"/>
          <w:szCs w:val="16"/>
        </w:rPr>
        <w:t>Par monitoringu:</w:t>
      </w:r>
    </w:p>
    <w:p w14:paraId="759F345B" w14:textId="5CA9D1D1" w:rsidR="00BE6190"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5435"/>
        </w:tabs>
        <w:spacing w:after="60"/>
        <w:jc w:val="both"/>
        <w:rPr>
          <w:rFonts w:ascii="Segoe UI Light" w:hAnsi="Segoe UI Light"/>
          <w:i/>
          <w:iCs/>
          <w:sz w:val="16"/>
          <w:szCs w:val="16"/>
        </w:rPr>
      </w:pPr>
      <w:r w:rsidRPr="00360FBB">
        <w:rPr>
          <w:rFonts w:ascii="Segoe UI Light" w:hAnsi="Segoe UI Light"/>
          <w:i/>
          <w:iCs/>
          <w:sz w:val="16"/>
          <w:szCs w:val="16"/>
        </w:rPr>
        <w:t>2024.</w:t>
      </w:r>
      <w:r w:rsidR="00806714">
        <w:rPr>
          <w:rFonts w:ascii="Segoe UI Light" w:hAnsi="Segoe UI Light"/>
          <w:i/>
          <w:iCs/>
          <w:sz w:val="16"/>
          <w:szCs w:val="16"/>
        </w:rPr>
        <w:t> </w:t>
      </w:r>
      <w:r w:rsidRPr="00360FBB">
        <w:rPr>
          <w:rFonts w:ascii="Segoe UI Light" w:hAnsi="Segoe UI Light"/>
          <w:i/>
          <w:iCs/>
          <w:sz w:val="16"/>
          <w:szCs w:val="16"/>
        </w:rPr>
        <w:t xml:space="preserve">gadā Latvijā tika pārskatīta darba tirgus prognozēšanas pieeja, īstermiņa </w:t>
      </w:r>
      <w:r w:rsidRPr="1DCEBE8E">
        <w:rPr>
          <w:rFonts w:ascii="Segoe UI Light" w:hAnsi="Segoe UI Light"/>
          <w:i/>
          <w:iCs/>
          <w:sz w:val="16"/>
          <w:szCs w:val="16"/>
        </w:rPr>
        <w:t>prognozēšan</w:t>
      </w:r>
      <w:r w:rsidR="714311A0" w:rsidRPr="1DCEBE8E">
        <w:rPr>
          <w:rFonts w:ascii="Segoe UI Light" w:hAnsi="Segoe UI Light"/>
          <w:i/>
          <w:iCs/>
          <w:sz w:val="16"/>
          <w:szCs w:val="16"/>
        </w:rPr>
        <w:t>as koordināciju</w:t>
      </w:r>
      <w:r w:rsidRPr="00360FBB">
        <w:rPr>
          <w:rFonts w:ascii="Segoe UI Light" w:hAnsi="Segoe UI Light"/>
          <w:i/>
          <w:iCs/>
          <w:sz w:val="16"/>
          <w:szCs w:val="16"/>
        </w:rPr>
        <w:t xml:space="preserve"> uzticot </w:t>
      </w:r>
      <w:r w:rsidR="23D19A0A" w:rsidRPr="1DCEBE8E">
        <w:rPr>
          <w:rFonts w:ascii="Segoe UI Light" w:hAnsi="Segoe UI Light"/>
          <w:i/>
          <w:iCs/>
          <w:sz w:val="16"/>
          <w:szCs w:val="16"/>
        </w:rPr>
        <w:t>EM</w:t>
      </w:r>
      <w:r w:rsidRPr="1DCEBE8E">
        <w:rPr>
          <w:rFonts w:ascii="Segoe UI Light" w:hAnsi="Segoe UI Light"/>
          <w:i/>
          <w:iCs/>
          <w:sz w:val="16"/>
          <w:szCs w:val="16"/>
        </w:rPr>
        <w:t>.</w:t>
      </w:r>
      <w:r w:rsidRPr="00360FBB">
        <w:rPr>
          <w:rFonts w:ascii="Segoe UI Light" w:hAnsi="Segoe UI Light"/>
          <w:i/>
          <w:iCs/>
          <w:sz w:val="16"/>
          <w:szCs w:val="16"/>
        </w:rPr>
        <w:t xml:space="preserve"> </w:t>
      </w:r>
      <w:r w:rsidR="00806714">
        <w:rPr>
          <w:rFonts w:ascii="Segoe UI Light" w:hAnsi="Segoe UI Light"/>
          <w:i/>
          <w:sz w:val="16"/>
          <w:szCs w:val="16"/>
        </w:rPr>
        <w:t>T</w:t>
      </w:r>
      <w:r w:rsidRPr="00C95224">
        <w:rPr>
          <w:rFonts w:ascii="Segoe UI Light" w:hAnsi="Segoe UI Light"/>
          <w:i/>
          <w:sz w:val="16"/>
          <w:szCs w:val="16"/>
        </w:rPr>
        <w:t>iek izstrādāts mākslīgā intelekta rīks īstermiņa darba tirgus analīzei un prognozēšanai.</w:t>
      </w:r>
      <w:r w:rsidRPr="00360FBB">
        <w:rPr>
          <w:rFonts w:ascii="Segoe UI Light" w:hAnsi="Segoe UI Light"/>
          <w:i/>
          <w:iCs/>
          <w:sz w:val="16"/>
          <w:szCs w:val="16"/>
        </w:rPr>
        <w:t xml:space="preserve"> Tā pamatā ir CSP </w:t>
      </w:r>
      <w:r w:rsidR="001255EE">
        <w:rPr>
          <w:rFonts w:ascii="Segoe UI Light" w:hAnsi="Segoe UI Light"/>
          <w:i/>
          <w:iCs/>
          <w:sz w:val="16"/>
          <w:szCs w:val="16"/>
        </w:rPr>
        <w:t xml:space="preserve">veiktais </w:t>
      </w:r>
      <w:r w:rsidRPr="00360FBB">
        <w:rPr>
          <w:rFonts w:ascii="Segoe UI Light" w:hAnsi="Segoe UI Light"/>
          <w:i/>
          <w:iCs/>
          <w:sz w:val="16"/>
          <w:szCs w:val="16"/>
        </w:rPr>
        <w:t>vakanču monitorings - darba tirgus novērojums, kurā tiek apkopoti un analizēti darba sludinājumi no četriem lielākajiem Latvijas vakanču portāliem (nva.gov.lv, cv.lv, visidarbi.lv un ss.lv). Dati tiek regulāri skrāpēti un apvienoti vienotā datubāzē, kurā unikālās vakances tiek bagātinātas ar mākslīgā intelekta (LLM) klasifikāciju pēc profesijām (ISCO kodi), prasmēm (ESCO), nozarēm (NACE) un ģeogrāfijas, kā arī sasaistītas ar Uzņēmumu reģistra datiem.</w:t>
      </w:r>
    </w:p>
    <w:p w14:paraId="5FAFD61A" w14:textId="2743F874" w:rsidR="00405DC3" w:rsidRPr="00BE6190"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5435"/>
        </w:tabs>
        <w:spacing w:before="120" w:after="0"/>
        <w:jc w:val="both"/>
        <w:rPr>
          <w:rFonts w:ascii="Segoe UI Light" w:hAnsi="Segoe UI Light"/>
          <w:i/>
          <w:iCs/>
          <w:sz w:val="16"/>
          <w:szCs w:val="16"/>
        </w:rPr>
      </w:pPr>
      <w:r w:rsidRPr="00E71C9B">
        <w:rPr>
          <w:rFonts w:ascii="Segoe UI Light" w:hAnsi="Segoe UI Light"/>
          <w:b/>
          <w:bCs/>
          <w:sz w:val="16"/>
          <w:szCs w:val="16"/>
        </w:rPr>
        <w:t>Vakanču pieprasījumā dominē praktiskās un pakalpojumu profesijas</w:t>
      </w:r>
    </w:p>
    <w:p w14:paraId="77B582FA" w14:textId="3634A395" w:rsidR="00405DC3" w:rsidRPr="00E71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5435"/>
        </w:tabs>
        <w:spacing w:before="120" w:afterLines="30" w:after="72"/>
        <w:jc w:val="both"/>
        <w:rPr>
          <w:rFonts w:ascii="Segoe UI Light" w:hAnsi="Segoe UI Light"/>
          <w:sz w:val="16"/>
          <w:szCs w:val="16"/>
        </w:rPr>
      </w:pPr>
      <w:r w:rsidRPr="00706F8E">
        <w:rPr>
          <w:rFonts w:ascii="Segoe UI Light" w:hAnsi="Segoe UI Light"/>
          <w:sz w:val="16"/>
          <w:szCs w:val="16"/>
        </w:rPr>
        <w:t xml:space="preserve">Analizētajā periodā reģistrēti </w:t>
      </w:r>
      <w:r w:rsidRPr="00706F8E">
        <w:rPr>
          <w:rFonts w:ascii="Segoe UI Light" w:hAnsi="Segoe UI Light"/>
          <w:b/>
          <w:bCs/>
          <w:sz w:val="16"/>
          <w:szCs w:val="16"/>
        </w:rPr>
        <w:t>~6</w:t>
      </w:r>
      <w:r w:rsidR="00F16B8A" w:rsidRPr="00706F8E">
        <w:rPr>
          <w:rFonts w:ascii="Segoe UI Light" w:hAnsi="Segoe UI Light"/>
          <w:b/>
          <w:bCs/>
          <w:sz w:val="16"/>
          <w:szCs w:val="16"/>
        </w:rPr>
        <w:t>7</w:t>
      </w:r>
      <w:r w:rsidR="003624F1">
        <w:rPr>
          <w:rFonts w:ascii="Segoe UI Light" w:hAnsi="Segoe UI Light"/>
          <w:b/>
          <w:bCs/>
          <w:sz w:val="16"/>
          <w:szCs w:val="16"/>
        </w:rPr>
        <w:t> </w:t>
      </w:r>
      <w:r w:rsidR="000165CD" w:rsidRPr="00706F8E">
        <w:rPr>
          <w:rFonts w:ascii="Segoe UI Light" w:hAnsi="Segoe UI Light"/>
          <w:b/>
          <w:bCs/>
          <w:sz w:val="16"/>
          <w:szCs w:val="16"/>
        </w:rPr>
        <w:t>tūkst.</w:t>
      </w:r>
      <w:r w:rsidR="00F16B8A" w:rsidRPr="00706F8E">
        <w:rPr>
          <w:rFonts w:ascii="Segoe UI Light" w:hAnsi="Segoe UI Light"/>
          <w:b/>
          <w:bCs/>
          <w:sz w:val="16"/>
          <w:szCs w:val="16"/>
        </w:rPr>
        <w:t xml:space="preserve"> </w:t>
      </w:r>
      <w:r w:rsidR="00BF6715" w:rsidRPr="00BF6715">
        <w:rPr>
          <w:rFonts w:ascii="Segoe UI Light" w:hAnsi="Segoe UI Light"/>
          <w:b/>
          <w:bCs/>
          <w:sz w:val="16"/>
          <w:szCs w:val="16"/>
        </w:rPr>
        <w:t xml:space="preserve">unikālu vakanču </w:t>
      </w:r>
      <w:r w:rsidR="003E2AEF" w:rsidRPr="00706F8E">
        <w:rPr>
          <w:rFonts w:ascii="Segoe UI Light" w:hAnsi="Segoe UI Light"/>
          <w:sz w:val="16"/>
          <w:szCs w:val="16"/>
        </w:rPr>
        <w:t>(</w:t>
      </w:r>
      <w:r w:rsidR="00B54539">
        <w:rPr>
          <w:rFonts w:ascii="Segoe UI Light" w:hAnsi="Segoe UI Light"/>
          <w:sz w:val="16"/>
          <w:szCs w:val="16"/>
        </w:rPr>
        <w:t>p</w:t>
      </w:r>
      <w:r w:rsidR="00276A7B" w:rsidRPr="00706F8E">
        <w:rPr>
          <w:rFonts w:ascii="Segoe UI Light" w:hAnsi="Segoe UI Light"/>
          <w:sz w:val="16"/>
          <w:szCs w:val="16"/>
        </w:rPr>
        <w:t>rofesiju analīze balstīta uz 62</w:t>
      </w:r>
      <w:r w:rsidR="003624F1">
        <w:rPr>
          <w:rFonts w:ascii="Segoe UI Light" w:hAnsi="Segoe UI Light"/>
          <w:sz w:val="16"/>
          <w:szCs w:val="16"/>
        </w:rPr>
        <w:t> </w:t>
      </w:r>
      <w:r w:rsidR="00276A7B" w:rsidRPr="00706F8E">
        <w:rPr>
          <w:rFonts w:ascii="Segoe UI Light" w:hAnsi="Segoe UI Light"/>
          <w:sz w:val="16"/>
          <w:szCs w:val="16"/>
        </w:rPr>
        <w:t>tūkst. vakancēm</w:t>
      </w:r>
      <w:r w:rsidR="00C34E06">
        <w:rPr>
          <w:rFonts w:ascii="Segoe UI Light" w:hAnsi="Segoe UI Light"/>
          <w:sz w:val="16"/>
          <w:szCs w:val="16"/>
        </w:rPr>
        <w:t xml:space="preserve">, </w:t>
      </w:r>
      <w:r w:rsidR="00A63BAF">
        <w:rPr>
          <w:rFonts w:ascii="Segoe UI Light" w:hAnsi="Segoe UI Light"/>
          <w:sz w:val="16"/>
          <w:szCs w:val="16"/>
        </w:rPr>
        <w:t>par kurām ir pieejama pilnīga informācija</w:t>
      </w:r>
      <w:r w:rsidR="002E4632" w:rsidRPr="00706F8E">
        <w:rPr>
          <w:rFonts w:ascii="Segoe UI Light" w:hAnsi="Segoe UI Light"/>
          <w:sz w:val="16"/>
          <w:szCs w:val="16"/>
        </w:rPr>
        <w:t>)</w:t>
      </w:r>
      <w:r w:rsidRPr="00706F8E">
        <w:rPr>
          <w:rFonts w:ascii="Segoe UI Light" w:hAnsi="Segoe UI Light"/>
          <w:sz w:val="16"/>
          <w:szCs w:val="16"/>
        </w:rPr>
        <w:t>.</w:t>
      </w:r>
      <w:r w:rsidR="0053401E">
        <w:rPr>
          <w:rFonts w:ascii="Segoe UI Light" w:hAnsi="Segoe UI Light"/>
          <w:sz w:val="16"/>
          <w:szCs w:val="16"/>
        </w:rPr>
        <w:t xml:space="preserve"> P</w:t>
      </w:r>
      <w:r w:rsidRPr="00706F8E">
        <w:rPr>
          <w:rFonts w:ascii="Segoe UI Light" w:hAnsi="Segoe UI Light"/>
          <w:sz w:val="16"/>
          <w:szCs w:val="16"/>
        </w:rPr>
        <w:t xml:space="preserve">ieprasītākās profesijas ietver - pārdevēji </w:t>
      </w:r>
      <w:r w:rsidR="001E0173">
        <w:rPr>
          <w:rFonts w:ascii="Segoe UI Light" w:hAnsi="Segoe UI Light"/>
          <w:sz w:val="16"/>
          <w:szCs w:val="16"/>
        </w:rPr>
        <w:t>(</w:t>
      </w:r>
      <w:r w:rsidRPr="00706F8E">
        <w:rPr>
          <w:rFonts w:ascii="Segoe UI Light" w:hAnsi="Segoe UI Light"/>
          <w:sz w:val="16"/>
          <w:szCs w:val="16"/>
        </w:rPr>
        <w:t xml:space="preserve">6,3% no </w:t>
      </w:r>
      <w:r w:rsidR="008F280E">
        <w:rPr>
          <w:rFonts w:ascii="Segoe UI Light" w:hAnsi="Segoe UI Light"/>
          <w:sz w:val="16"/>
          <w:szCs w:val="16"/>
        </w:rPr>
        <w:t>analizētajām</w:t>
      </w:r>
      <w:r w:rsidRPr="00706F8E">
        <w:rPr>
          <w:rFonts w:ascii="Segoe UI Light" w:hAnsi="Segoe UI Light"/>
          <w:sz w:val="16"/>
          <w:szCs w:val="16"/>
        </w:rPr>
        <w:t xml:space="preserve"> vakancēm), apkopēji (</w:t>
      </w:r>
      <w:r w:rsidR="00841076">
        <w:rPr>
          <w:rFonts w:ascii="Segoe UI Light" w:hAnsi="Segoe UI Light"/>
          <w:sz w:val="16"/>
          <w:szCs w:val="16"/>
        </w:rPr>
        <w:t>5,7</w:t>
      </w:r>
      <w:r w:rsidRPr="00706F8E">
        <w:rPr>
          <w:rFonts w:ascii="Segoe UI Light" w:hAnsi="Segoe UI Light"/>
          <w:sz w:val="16"/>
          <w:szCs w:val="16"/>
        </w:rPr>
        <w:t>%</w:t>
      </w:r>
      <w:r w:rsidRPr="000E08D2">
        <w:rPr>
          <w:rFonts w:ascii="Segoe UI Light" w:hAnsi="Segoe UI Light"/>
          <w:sz w:val="16"/>
          <w:szCs w:val="16"/>
        </w:rPr>
        <w:t xml:space="preserve">) un kravas automašīnu vadītāji (3,1%). </w:t>
      </w:r>
      <w:r w:rsidR="00826961" w:rsidRPr="00136007">
        <w:rPr>
          <w:rFonts w:ascii="Segoe UI Light" w:hAnsi="Segoe UI Light"/>
          <w:b/>
          <w:bCs/>
          <w:sz w:val="16"/>
          <w:szCs w:val="16"/>
        </w:rPr>
        <w:t>Kopumā p</w:t>
      </w:r>
      <w:r w:rsidRPr="00136007">
        <w:rPr>
          <w:rFonts w:ascii="Segoe UI Light" w:hAnsi="Segoe UI Light"/>
          <w:b/>
          <w:bCs/>
          <w:sz w:val="16"/>
          <w:szCs w:val="16"/>
        </w:rPr>
        <w:t>ieprasījums koncentrējas tirdzniecībā, transportā, ēdināšanā, uzkopšanā un būvniecības palīgdarbos</w:t>
      </w:r>
      <w:r w:rsidRPr="000E08D2">
        <w:rPr>
          <w:rFonts w:ascii="Segoe UI Light" w:hAnsi="Segoe UI Light"/>
          <w:sz w:val="16"/>
          <w:szCs w:val="16"/>
        </w:rPr>
        <w:t>, norādot uz stabilu pieprasījumu pēc zemākas un vidējas kvalifikācijas darbaspēka.</w:t>
      </w:r>
      <w:r w:rsidRPr="00E71C9B">
        <w:rPr>
          <w:rFonts w:ascii="Segoe UI Light" w:hAnsi="Segoe UI Light"/>
          <w:sz w:val="16"/>
          <w:szCs w:val="16"/>
        </w:rPr>
        <w:t xml:space="preserve"> </w:t>
      </w:r>
      <w:r w:rsidR="00BF6715">
        <w:rPr>
          <w:rFonts w:ascii="Segoe UI Light" w:hAnsi="Segoe UI Light"/>
          <w:sz w:val="16"/>
          <w:szCs w:val="16"/>
        </w:rPr>
        <w:t xml:space="preserve"> </w:t>
      </w:r>
    </w:p>
    <w:p w14:paraId="74314007" w14:textId="2E4E0249" w:rsidR="00405DC3" w:rsidRPr="00117638"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5435"/>
        </w:tabs>
        <w:spacing w:after="30"/>
        <w:jc w:val="both"/>
        <w:rPr>
          <w:rFonts w:ascii="Segoe UI Light" w:hAnsi="Segoe UI Light"/>
          <w:sz w:val="16"/>
          <w:szCs w:val="16"/>
        </w:rPr>
      </w:pPr>
      <w:r w:rsidRPr="004823EA">
        <w:rPr>
          <w:rFonts w:ascii="Segoe UI Light" w:hAnsi="Segoe UI Light"/>
          <w:sz w:val="16"/>
          <w:szCs w:val="16"/>
        </w:rPr>
        <w:t xml:space="preserve">Vakanču ilguma rādītāji atklāj būtiskas atšķirības starp profesijām. Īsākais tipiskais vakances ilgums (mediāna) bija apkopējiem un vieglo automobīļu vadītājiem, </w:t>
      </w:r>
      <w:r w:rsidR="004823EA" w:rsidRPr="004823EA">
        <w:rPr>
          <w:rFonts w:ascii="Segoe UI Light" w:hAnsi="Segoe UI Light"/>
          <w:sz w:val="16"/>
          <w:szCs w:val="16"/>
        </w:rPr>
        <w:t>attiecīgi</w:t>
      </w:r>
      <w:r w:rsidRPr="004823EA">
        <w:rPr>
          <w:rFonts w:ascii="Segoe UI Light" w:hAnsi="Segoe UI Light"/>
          <w:sz w:val="16"/>
          <w:szCs w:val="16"/>
        </w:rPr>
        <w:t xml:space="preserve"> 4 un 6 dienas, kas liecina par ātru darbinieku piesaisti un augstu darbaspēka apriti. Savukārt būvniecības palīgstrādniekiem un automehāniķiem vakances tirgū saglabājās ilgāk</w:t>
      </w:r>
      <w:r w:rsidR="00DD554E">
        <w:rPr>
          <w:rFonts w:ascii="Segoe UI Light" w:hAnsi="Segoe UI Light"/>
          <w:sz w:val="16"/>
          <w:szCs w:val="16"/>
        </w:rPr>
        <w:t xml:space="preserve"> (33 un 29 dienas)</w:t>
      </w:r>
      <w:r w:rsidRPr="004823EA">
        <w:rPr>
          <w:rFonts w:ascii="Segoe UI Light" w:hAnsi="Segoe UI Light"/>
          <w:sz w:val="16"/>
          <w:szCs w:val="16"/>
        </w:rPr>
        <w:t>, norādot uz kvalificēta darbaspēka trūkumu.</w:t>
      </w:r>
      <w:r w:rsidR="00F3011E">
        <w:rPr>
          <w:rFonts w:ascii="Segoe UI Light" w:hAnsi="Segoe UI Light"/>
          <w:sz w:val="16"/>
          <w:szCs w:val="16"/>
        </w:rPr>
        <w:t xml:space="preserve"> </w:t>
      </w:r>
      <w:r w:rsidR="008A3500">
        <w:rPr>
          <w:rFonts w:ascii="Segoe UI Light" w:hAnsi="Segoe UI Light"/>
          <w:sz w:val="16"/>
          <w:szCs w:val="16"/>
        </w:rPr>
        <w:t>Vienlaikus v</w:t>
      </w:r>
      <w:r w:rsidRPr="00117638">
        <w:rPr>
          <w:rFonts w:ascii="Segoe UI Light" w:hAnsi="Segoe UI Light"/>
          <w:sz w:val="16"/>
          <w:szCs w:val="16"/>
        </w:rPr>
        <w:t xml:space="preserve">airākās profesijās </w:t>
      </w:r>
      <w:r w:rsidR="008A3500">
        <w:rPr>
          <w:rFonts w:ascii="Segoe UI Light" w:hAnsi="Segoe UI Light"/>
          <w:sz w:val="16"/>
          <w:szCs w:val="16"/>
        </w:rPr>
        <w:t>ir</w:t>
      </w:r>
      <w:r w:rsidRPr="00117638">
        <w:rPr>
          <w:rFonts w:ascii="Segoe UI Light" w:hAnsi="Segoe UI Light"/>
          <w:sz w:val="16"/>
          <w:szCs w:val="16"/>
        </w:rPr>
        <w:t xml:space="preserve"> būtiskas atšķirības starp vidējo un mediāno vakances ilgumu. Piemēram, vieglo automobiļu vadītājiem</w:t>
      </w:r>
      <w:r w:rsidR="004434B3">
        <w:rPr>
          <w:rFonts w:ascii="Segoe UI Light" w:hAnsi="Segoe UI Light"/>
          <w:sz w:val="16"/>
          <w:szCs w:val="16"/>
        </w:rPr>
        <w:t xml:space="preserve"> </w:t>
      </w:r>
      <w:r w:rsidRPr="00117638">
        <w:rPr>
          <w:rFonts w:ascii="Segoe UI Light" w:hAnsi="Segoe UI Light"/>
          <w:sz w:val="16"/>
          <w:szCs w:val="16"/>
        </w:rPr>
        <w:t>mediāna ir 6 dienas, bet vidējais ilgums 28 dienas</w:t>
      </w:r>
      <w:r w:rsidR="00980C00">
        <w:rPr>
          <w:rFonts w:ascii="Segoe UI Light" w:hAnsi="Segoe UI Light"/>
          <w:sz w:val="16"/>
          <w:szCs w:val="16"/>
        </w:rPr>
        <w:t xml:space="preserve">, savukārt </w:t>
      </w:r>
      <w:r w:rsidRPr="00117638">
        <w:rPr>
          <w:rFonts w:ascii="Segoe UI Light" w:hAnsi="Segoe UI Light"/>
          <w:sz w:val="16"/>
          <w:szCs w:val="16"/>
        </w:rPr>
        <w:t>apkopēj</w:t>
      </w:r>
      <w:r w:rsidR="00980C00">
        <w:rPr>
          <w:rFonts w:ascii="Segoe UI Light" w:hAnsi="Segoe UI Light"/>
          <w:sz w:val="16"/>
          <w:szCs w:val="16"/>
        </w:rPr>
        <w:t>i</w:t>
      </w:r>
      <w:r w:rsidR="00E94B1F">
        <w:rPr>
          <w:rFonts w:ascii="Segoe UI Light" w:hAnsi="Segoe UI Light"/>
          <w:sz w:val="16"/>
          <w:szCs w:val="16"/>
        </w:rPr>
        <w:t xml:space="preserve">em 4 un 20 dienas. </w:t>
      </w:r>
      <w:r w:rsidRPr="00117638">
        <w:rPr>
          <w:rFonts w:ascii="Segoe UI Light" w:hAnsi="Segoe UI Light"/>
          <w:sz w:val="16"/>
          <w:szCs w:val="16"/>
        </w:rPr>
        <w:t>Tas liecina, ka lielākā daļa vakanču tiek aizpildītas salīdzinoši ātri, bet daļa sludinājumu saglabājas</w:t>
      </w:r>
      <w:r w:rsidR="00E94B1F">
        <w:rPr>
          <w:rFonts w:ascii="Segoe UI Light" w:hAnsi="Segoe UI Light"/>
          <w:sz w:val="16"/>
          <w:szCs w:val="16"/>
        </w:rPr>
        <w:t xml:space="preserve"> aktīvi</w:t>
      </w:r>
      <w:r w:rsidRPr="00117638">
        <w:rPr>
          <w:rFonts w:ascii="Segoe UI Light" w:hAnsi="Segoe UI Light"/>
          <w:sz w:val="16"/>
          <w:szCs w:val="16"/>
        </w:rPr>
        <w:t xml:space="preserve"> ilgstoši, paaugstinot vidējos rādītājus. Š</w:t>
      </w:r>
      <w:r w:rsidR="005A1B5F">
        <w:rPr>
          <w:rFonts w:ascii="Segoe UI Light" w:hAnsi="Segoe UI Light"/>
          <w:sz w:val="16"/>
          <w:szCs w:val="16"/>
        </w:rPr>
        <w:t xml:space="preserve">is </w:t>
      </w:r>
      <w:r w:rsidR="00A53C59">
        <w:rPr>
          <w:rFonts w:ascii="Segoe UI Light" w:hAnsi="Segoe UI Light"/>
          <w:sz w:val="16"/>
          <w:szCs w:val="16"/>
        </w:rPr>
        <w:t>īpaši iezīmējas</w:t>
      </w:r>
      <w:r w:rsidRPr="00117638">
        <w:rPr>
          <w:rFonts w:ascii="Segoe UI Light" w:hAnsi="Segoe UI Light"/>
          <w:sz w:val="16"/>
          <w:szCs w:val="16"/>
        </w:rPr>
        <w:t xml:space="preserve"> vienkāršajām profesijām, kur </w:t>
      </w:r>
      <w:r w:rsidR="00D67A52">
        <w:rPr>
          <w:rFonts w:ascii="Segoe UI Light" w:hAnsi="Segoe UI Light"/>
          <w:sz w:val="16"/>
          <w:szCs w:val="16"/>
        </w:rPr>
        <w:t>parādās</w:t>
      </w:r>
      <w:r w:rsidR="00A53C59">
        <w:rPr>
          <w:rFonts w:ascii="Segoe UI Light" w:hAnsi="Segoe UI Light"/>
          <w:sz w:val="16"/>
          <w:szCs w:val="16"/>
        </w:rPr>
        <w:t xml:space="preserve"> </w:t>
      </w:r>
      <w:r w:rsidRPr="00117638">
        <w:rPr>
          <w:rFonts w:ascii="Segoe UI Light" w:hAnsi="Segoe UI Light"/>
          <w:sz w:val="16"/>
          <w:szCs w:val="16"/>
        </w:rPr>
        <w:t>"ghost vacancies" efekts - vakances tiek uzturētas aktīvas ilgāk, nekā faktiski nepieciešams darbinieku piesaistei, vai arī nepārtraukti tiek atjaunotas augstas darbinieku rotācijas dēļ.</w:t>
      </w:r>
    </w:p>
    <w:p w14:paraId="4E75AD6A" w14:textId="77777777" w:rsidR="000C4188" w:rsidRDefault="000C4188">
      <w:pPr>
        <w:spacing w:after="0"/>
        <w:rPr>
          <w:rFonts w:ascii="Segoe UI Light" w:hAnsi="Segoe UI Light"/>
          <w:b/>
          <w:bCs/>
          <w:sz w:val="16"/>
          <w:szCs w:val="16"/>
        </w:rPr>
      </w:pPr>
      <w:r>
        <w:rPr>
          <w:rFonts w:ascii="Segoe UI Light" w:hAnsi="Segoe UI Light"/>
          <w:b/>
          <w:bCs/>
          <w:sz w:val="16"/>
          <w:szCs w:val="16"/>
        </w:rPr>
        <w:br w:type="page"/>
      </w:r>
    </w:p>
    <w:p w14:paraId="4C3CBB70" w14:textId="4D14AB23" w:rsidR="004F48DA" w:rsidRPr="00537560"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5435"/>
        </w:tabs>
        <w:spacing w:after="0"/>
        <w:jc w:val="both"/>
        <w:rPr>
          <w:rFonts w:ascii="Segoe UI Light" w:hAnsi="Segoe UI Light"/>
          <w:sz w:val="16"/>
          <w:szCs w:val="16"/>
        </w:rPr>
      </w:pPr>
      <w:r w:rsidRPr="0021795B">
        <w:rPr>
          <w:rFonts w:ascii="Segoe UI Light" w:hAnsi="Segoe UI Light"/>
          <w:b/>
          <w:bCs/>
          <w:sz w:val="16"/>
          <w:szCs w:val="16"/>
        </w:rPr>
        <w:lastRenderedPageBreak/>
        <w:t>Prasmju griezumā darba tirgū dominē tehniskās un profesionālās prasmes</w:t>
      </w:r>
      <w:r w:rsidRPr="00706F8E">
        <w:rPr>
          <w:rFonts w:ascii="Segoe UI Light" w:hAnsi="Segoe UI Light"/>
          <w:sz w:val="16"/>
          <w:szCs w:val="16"/>
        </w:rPr>
        <w:t>, īpaši transporta, loģistikas</w:t>
      </w:r>
      <w:r w:rsidR="001E3FD6">
        <w:rPr>
          <w:rFonts w:ascii="Segoe UI Light" w:hAnsi="Segoe UI Light"/>
          <w:sz w:val="16"/>
          <w:szCs w:val="16"/>
        </w:rPr>
        <w:t>, tirdzniecība un</w:t>
      </w:r>
      <w:r w:rsidRPr="00706F8E">
        <w:rPr>
          <w:rFonts w:ascii="Segoe UI Light" w:hAnsi="Segoe UI Light"/>
          <w:sz w:val="16"/>
          <w:szCs w:val="16"/>
        </w:rPr>
        <w:t xml:space="preserve"> pakalpojumu jomās. Visbiežāk pieprasītā prasme </w:t>
      </w:r>
      <w:r w:rsidR="00403E28">
        <w:rPr>
          <w:rFonts w:ascii="Segoe UI Light" w:hAnsi="Segoe UI Light"/>
          <w:sz w:val="16"/>
          <w:szCs w:val="16"/>
        </w:rPr>
        <w:t xml:space="preserve">ietver </w:t>
      </w:r>
      <w:r w:rsidRPr="00706F8E">
        <w:rPr>
          <w:rFonts w:ascii="Segoe UI Light" w:hAnsi="Segoe UI Light"/>
          <w:sz w:val="16"/>
          <w:szCs w:val="16"/>
        </w:rPr>
        <w:t>transportlīdzekļu vadīšana, kas veidoja 3,</w:t>
      </w:r>
      <w:r w:rsidR="00860124" w:rsidRPr="00706F8E">
        <w:rPr>
          <w:rFonts w:ascii="Segoe UI Light" w:hAnsi="Segoe UI Light"/>
          <w:sz w:val="16"/>
          <w:szCs w:val="16"/>
        </w:rPr>
        <w:t>9</w:t>
      </w:r>
      <w:r w:rsidRPr="00706F8E">
        <w:rPr>
          <w:rFonts w:ascii="Segoe UI Light" w:hAnsi="Segoe UI Light"/>
          <w:sz w:val="16"/>
          <w:szCs w:val="16"/>
        </w:rPr>
        <w:t>% no visām identificētajām prasmēm</w:t>
      </w:r>
      <w:r w:rsidR="00DD554E">
        <w:rPr>
          <w:rFonts w:ascii="Segoe UI Light" w:hAnsi="Segoe UI Light"/>
          <w:sz w:val="16"/>
          <w:szCs w:val="16"/>
        </w:rPr>
        <w:t>. S</w:t>
      </w:r>
      <w:r w:rsidR="002E3B88">
        <w:rPr>
          <w:rFonts w:ascii="Segoe UI Light" w:hAnsi="Segoe UI Light"/>
          <w:sz w:val="16"/>
          <w:szCs w:val="16"/>
        </w:rPr>
        <w:t>avukārt</w:t>
      </w:r>
      <w:r w:rsidR="00DD554E">
        <w:rPr>
          <w:rFonts w:ascii="Segoe UI Light" w:hAnsi="Segoe UI Light"/>
          <w:sz w:val="16"/>
          <w:szCs w:val="16"/>
        </w:rPr>
        <w:t xml:space="preserve">, </w:t>
      </w:r>
      <w:r w:rsidR="002E3B88">
        <w:rPr>
          <w:rFonts w:ascii="Segoe UI Light" w:hAnsi="Segoe UI Light"/>
          <w:sz w:val="16"/>
          <w:szCs w:val="16"/>
        </w:rPr>
        <w:t>augsts pieprasījums saglabājas arī pēc inventāra pārvaldības</w:t>
      </w:r>
      <w:r w:rsidR="00B44677">
        <w:rPr>
          <w:rFonts w:ascii="Segoe UI Light" w:hAnsi="Segoe UI Light"/>
          <w:sz w:val="16"/>
          <w:szCs w:val="16"/>
        </w:rPr>
        <w:t>, kases aparāta lietošanas, uzkopšanas un ēdiena gatavošanas prasmēm</w:t>
      </w:r>
      <w:r w:rsidR="002E62AE">
        <w:rPr>
          <w:rFonts w:ascii="Segoe UI Light" w:hAnsi="Segoe UI Light"/>
          <w:sz w:val="16"/>
          <w:szCs w:val="16"/>
        </w:rPr>
        <w:t xml:space="preserve">, </w:t>
      </w:r>
      <w:r w:rsidRPr="00706F8E">
        <w:rPr>
          <w:rFonts w:ascii="Segoe UI Light" w:hAnsi="Segoe UI Light"/>
          <w:sz w:val="16"/>
          <w:szCs w:val="16"/>
        </w:rPr>
        <w:t xml:space="preserve">kas raksturīgas tirdzniecības, loģistikas un pakalpojumu sektoram. </w:t>
      </w:r>
      <w:r w:rsidR="001B0E1F" w:rsidRPr="001B0E1F">
        <w:rPr>
          <w:rFonts w:ascii="Segoe UI Light" w:hAnsi="Segoe UI Light"/>
          <w:sz w:val="16"/>
          <w:szCs w:val="16"/>
        </w:rPr>
        <w:t>Vienlaikus darba devēji bieži pieprasa arī klientu apkalpošanas prasmes</w:t>
      </w:r>
      <w:r w:rsidR="00E831B6">
        <w:rPr>
          <w:rFonts w:ascii="Segoe UI Light" w:hAnsi="Segoe UI Light"/>
          <w:sz w:val="16"/>
          <w:szCs w:val="16"/>
        </w:rPr>
        <w:t xml:space="preserve"> </w:t>
      </w:r>
      <w:r w:rsidR="001B0E1F" w:rsidRPr="001B0E1F">
        <w:rPr>
          <w:rFonts w:ascii="Segoe UI Light" w:hAnsi="Segoe UI Light"/>
          <w:sz w:val="16"/>
          <w:szCs w:val="16"/>
        </w:rPr>
        <w:t>(1,6%), pārdošanas aktivitātes un projektu vadību, kā arī pamata digitālās prasmes, tostarp MS Office lietošanu (1,9%), vispārīgas datorprasmes un datu analīzi. Tas liecina, ka līdzās praktiskām un operacionālām iemaņām arvien nozīmīgākas kļūst arī komunikācijas un pamata digitālās kompetences</w:t>
      </w:r>
      <w:r w:rsidR="003C4D35">
        <w:rPr>
          <w:rFonts w:ascii="Segoe UI Light" w:hAnsi="Segoe UI Light"/>
          <w:sz w:val="16"/>
          <w:szCs w:val="16"/>
        </w:rPr>
        <w:t>.</w:t>
      </w:r>
      <w:r w:rsidRPr="00706F8E">
        <w:rPr>
          <w:rFonts w:ascii="Segoe UI Light" w:hAnsi="Segoe UI Light"/>
          <w:sz w:val="16"/>
          <w:szCs w:val="16"/>
        </w:rPr>
        <w:t xml:space="preserve"> </w:t>
      </w:r>
    </w:p>
    <w:p w14:paraId="093C22A3" w14:textId="249CF00C" w:rsidR="00405DC3" w:rsidRPr="00BB257D"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5435"/>
        </w:tabs>
        <w:spacing w:before="240" w:after="0"/>
        <w:jc w:val="both"/>
        <w:rPr>
          <w:rFonts w:ascii="Segoe UI Light" w:hAnsi="Segoe UI Light"/>
          <w:b/>
          <w:bCs/>
          <w:sz w:val="16"/>
          <w:szCs w:val="16"/>
        </w:rPr>
      </w:pPr>
      <w:r w:rsidRPr="00BB257D">
        <w:rPr>
          <w:rFonts w:ascii="Segoe UI Light" w:hAnsi="Segoe UI Light"/>
          <w:b/>
          <w:bCs/>
          <w:sz w:val="16"/>
          <w:szCs w:val="16"/>
        </w:rPr>
        <w:t>Pieprasītākās profesijas Latvijā un vakanču publicēšanas ilgums*</w:t>
      </w:r>
      <w:r w:rsidRPr="00BB257D">
        <w:rPr>
          <w:rFonts w:ascii="Segoe UI Light" w:hAnsi="Segoe UI Light"/>
          <w:sz w:val="16"/>
          <w:szCs w:val="16"/>
        </w:rPr>
        <w:t xml:space="preserve">,                            </w:t>
      </w:r>
      <w:r w:rsidRPr="00BB257D">
        <w:rPr>
          <w:rFonts w:ascii="Segoe UI Light" w:hAnsi="Segoe UI Light"/>
          <w:b/>
          <w:bCs/>
          <w:sz w:val="16"/>
          <w:szCs w:val="16"/>
        </w:rPr>
        <w:t>Pieprasītākās prasmes* Latvijā,</w:t>
      </w:r>
    </w:p>
    <w:p w14:paraId="630977C4" w14:textId="40981CF8" w:rsidR="00405DC3" w:rsidRPr="00BB257D"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left" w:pos="4736"/>
          <w:tab w:val="left" w:pos="5435"/>
        </w:tabs>
        <w:jc w:val="both"/>
        <w:rPr>
          <w:rFonts w:ascii="Segoe UI Light" w:hAnsi="Segoe UI Light"/>
          <w:i/>
          <w:iCs/>
          <w:sz w:val="16"/>
          <w:szCs w:val="16"/>
        </w:rPr>
      </w:pPr>
      <w:r w:rsidRPr="00BB257D">
        <w:rPr>
          <w:rFonts w:ascii="Segoe UI Light" w:hAnsi="Segoe UI Light"/>
          <w:i/>
          <w:iCs/>
          <w:sz w:val="14"/>
          <w:szCs w:val="14"/>
        </w:rPr>
        <w:t xml:space="preserve">                   periodā no 2025.</w:t>
      </w:r>
      <w:r w:rsidR="008E03A7">
        <w:rPr>
          <w:rFonts w:ascii="Segoe UI Light" w:hAnsi="Segoe UI Light"/>
          <w:i/>
          <w:iCs/>
          <w:sz w:val="14"/>
          <w:szCs w:val="14"/>
        </w:rPr>
        <w:t> </w:t>
      </w:r>
      <w:r w:rsidRPr="00BB257D">
        <w:rPr>
          <w:rFonts w:ascii="Segoe UI Light" w:hAnsi="Segoe UI Light"/>
          <w:i/>
          <w:iCs/>
          <w:sz w:val="14"/>
          <w:szCs w:val="14"/>
        </w:rPr>
        <w:t>gada oktobra – 2026.</w:t>
      </w:r>
      <w:r w:rsidR="008E03A7">
        <w:rPr>
          <w:rFonts w:ascii="Segoe UI Light" w:hAnsi="Segoe UI Light"/>
          <w:i/>
          <w:iCs/>
          <w:sz w:val="14"/>
          <w:szCs w:val="14"/>
        </w:rPr>
        <w:t> </w:t>
      </w:r>
      <w:r w:rsidRPr="00BB257D">
        <w:rPr>
          <w:rFonts w:ascii="Segoe UI Light" w:hAnsi="Segoe UI Light"/>
          <w:i/>
          <w:iCs/>
          <w:sz w:val="14"/>
          <w:szCs w:val="14"/>
        </w:rPr>
        <w:t>gada februārim, tūkst.                  periodā no 2025.</w:t>
      </w:r>
      <w:r w:rsidR="008E03A7">
        <w:rPr>
          <w:rFonts w:ascii="Segoe UI Light" w:hAnsi="Segoe UI Light"/>
          <w:i/>
          <w:iCs/>
          <w:sz w:val="14"/>
          <w:szCs w:val="14"/>
        </w:rPr>
        <w:t> </w:t>
      </w:r>
      <w:r w:rsidRPr="00BB257D">
        <w:rPr>
          <w:rFonts w:ascii="Segoe UI Light" w:hAnsi="Segoe UI Light"/>
          <w:i/>
          <w:iCs/>
          <w:sz w:val="14"/>
          <w:szCs w:val="14"/>
        </w:rPr>
        <w:t>gada oktobra – 2026.</w:t>
      </w:r>
      <w:r w:rsidR="008E03A7">
        <w:rPr>
          <w:rFonts w:ascii="Segoe UI Light" w:hAnsi="Segoe UI Light"/>
          <w:i/>
          <w:iCs/>
          <w:sz w:val="14"/>
          <w:szCs w:val="14"/>
        </w:rPr>
        <w:t> </w:t>
      </w:r>
      <w:r w:rsidRPr="00BB257D">
        <w:rPr>
          <w:rFonts w:ascii="Segoe UI Light" w:hAnsi="Segoe UI Light"/>
          <w:i/>
          <w:iCs/>
          <w:sz w:val="14"/>
          <w:szCs w:val="14"/>
        </w:rPr>
        <w:t>gada februārim, tūkst.</w:t>
      </w:r>
    </w:p>
    <w:p w14:paraId="7D448F03" w14:textId="5940F242" w:rsidR="00405DC3" w:rsidRPr="008257E1" w:rsidRDefault="0025600D"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highlight w:val="yellow"/>
        </w:rPr>
      </w:pPr>
      <w:r>
        <w:rPr>
          <w:noProof/>
        </w:rPr>
        <mc:AlternateContent>
          <mc:Choice Requires="wps">
            <w:drawing>
              <wp:anchor distT="0" distB="0" distL="114300" distR="114300" simplePos="0" relativeHeight="251658347" behindDoc="0" locked="0" layoutInCell="1" allowOverlap="1" wp14:anchorId="22A3BF30" wp14:editId="0B2E9661">
                <wp:simplePos x="0" y="0"/>
                <wp:positionH relativeFrom="column">
                  <wp:posOffset>4879476</wp:posOffset>
                </wp:positionH>
                <wp:positionV relativeFrom="paragraph">
                  <wp:posOffset>803462</wp:posOffset>
                </wp:positionV>
                <wp:extent cx="376517" cy="210263"/>
                <wp:effectExtent l="0" t="0" r="0" b="0"/>
                <wp:wrapNone/>
                <wp:docPr id="884156679"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5909E93B" w14:textId="77777777" w:rsidR="0025253C" w:rsidRDefault="0025253C" w:rsidP="00D85E2D">
                            <w:pPr>
                              <w:rPr>
                                <w:rFonts w:ascii="Segoe UI Light" w:hAnsi="Segoe UI Light" w:cs="Segoe UI Light"/>
                                <w:b/>
                                <w:bCs/>
                                <w:color w:val="FFFFFF" w:themeColor="background1"/>
                                <w:sz w:val="14"/>
                                <w:szCs w:val="16"/>
                              </w:rPr>
                            </w:pPr>
                          </w:p>
                          <w:p w14:paraId="2E88CCC5" w14:textId="77777777" w:rsidR="0025253C" w:rsidRDefault="0025253C" w:rsidP="00D85E2D">
                            <w:pPr>
                              <w:rPr>
                                <w:rFonts w:ascii="Segoe UI Light" w:hAnsi="Segoe UI Light" w:cs="Segoe UI Light"/>
                                <w:b/>
                                <w:bCs/>
                                <w:color w:val="FFFFFF" w:themeColor="background1"/>
                                <w:sz w:val="14"/>
                                <w:szCs w:val="16"/>
                              </w:rPr>
                            </w:pPr>
                          </w:p>
                          <w:p w14:paraId="63D07569" w14:textId="328B50D4"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3BF30" id="Text Box 214" o:spid="_x0000_s1187" type="#_x0000_t202" style="position:absolute;left:0;text-align:left;margin-left:384.2pt;margin-top:63.25pt;width:29.65pt;height:16.5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yvGwIAADQEAAAOAAAAZHJzL2Uyb0RvYy54bWysU8lu2zAQvRfoPxC815K8toLlwE3gooCR&#10;BHCKnGmKtARQHJakLblf3yHlDWlPQS7UDGc0y3uP87uuUeQgrKtBFzQbpJQIzaGs9a6gv15WX75S&#10;4jzTJVOgRUGPwtG7xedP89bkYggVqFJYgkW0y1tT0Mp7kyeJ45VomBuAERqDEmzDPLp2l5SWtVi9&#10;UckwTadJC7Y0FrhwDm8f+iBdxPpSCu6fpHTCE1VQnM3H08ZzG85kMWf5zjJT1fw0BnvHFA2rNTa9&#10;lHpgnpG9rf8p1dTcggPpBxyaBKSsuYg74DZZ+mabTcWMiLsgOM5cYHIfV5Y/Hjbm2RLffYcOCQyA&#10;tMblDi/DPp20TfjipATjCOHxApvoPOF4OZpNJ9mMEo6hYZYOp6NQJbn+bKzzPwQ0JBgFtchKBIsd&#10;1s73qeeU0EvDqlYqMqM0aQs6HU3S+MMlgsWVxh7XUYPlu21H6hLXmF4W2UJ5xP0s9NQ7w1c1TrFm&#10;zj8zi1zjSqhf/4SHVIDd4GRRUoH987/7kI8UYJSSFrVTUPd7z6ygRP3USM63bDwOYovOeDIbomNv&#10;I9vbiN4394DyzPClGB7NkO/V2ZQWmleU+TJ0xRDTHHsX1J/Ne98rGp8JF8tlTEJ5GebXemN4KB1w&#10;DRi/dK/MmhMRHhl8hLPKWP6Gjz63Z2S59yDrSFZAukf1RABKM9J9ekZB+7d+zLo+9sVfAAAA//8D&#10;AFBLAwQUAAYACAAAACEAO5jcbOIAAAALAQAADwAAAGRycy9kb3ducmV2LnhtbEyPy07DMBBF90j8&#10;gzVI7KhDRB6kcaoqUoWEYNHSDTsndpOo9jjEbhv4eoZVWc7coztnytVsDTvryQ8OBTwuImAaW6cG&#10;7ATsPzYPOTAfJCppHGoB39rDqrq9KWWh3AW3+rwLHaMS9IUU0IcwFpz7ttdW+oUbNVJ2cJOVgcap&#10;42qSFyq3hsdRlHIrB6QLvRx13ev2uDtZAa/15l1um9jmP6Z+eTusx6/9ZyLE/d28XgILeg5XGP70&#10;SR0qcmrcCZVnRkCW5k+EUhCnCTAi8jjLgDW0SZ5T4FXJ//9Q/QIAAP//AwBQSwECLQAUAAYACAAA&#10;ACEAtoM4kv4AAADhAQAAEwAAAAAAAAAAAAAAAAAAAAAAW0NvbnRlbnRfVHlwZXNdLnhtbFBLAQIt&#10;ABQABgAIAAAAIQA4/SH/1gAAAJQBAAALAAAAAAAAAAAAAAAAAC8BAABfcmVscy8ucmVsc1BLAQIt&#10;ABQABgAIAAAAIQDfSnyvGwIAADQEAAAOAAAAAAAAAAAAAAAAAC4CAABkcnMvZTJvRG9jLnhtbFBL&#10;AQItABQABgAIAAAAIQA7mNxs4gAAAAsBAAAPAAAAAAAAAAAAAAAAAHUEAABkcnMvZG93bnJldi54&#10;bWxQSwUGAAAAAAQABADzAAAAhAUAAAAA&#10;" filled="f" stroked="f" strokeweight=".5pt">
                <v:textbox>
                  <w:txbxContent>
                    <w:p w14:paraId="5909E93B" w14:textId="77777777" w:rsidR="0025253C" w:rsidRDefault="0025253C" w:rsidP="00D85E2D">
                      <w:pPr>
                        <w:rPr>
                          <w:rFonts w:ascii="Segoe UI Light" w:hAnsi="Segoe UI Light" w:cs="Segoe UI Light"/>
                          <w:b/>
                          <w:bCs/>
                          <w:color w:val="FFFFFF" w:themeColor="background1"/>
                          <w:sz w:val="14"/>
                          <w:szCs w:val="16"/>
                        </w:rPr>
                      </w:pPr>
                    </w:p>
                    <w:p w14:paraId="2E88CCC5" w14:textId="77777777" w:rsidR="0025253C" w:rsidRDefault="0025253C" w:rsidP="00D85E2D">
                      <w:pPr>
                        <w:rPr>
                          <w:rFonts w:ascii="Segoe UI Light" w:hAnsi="Segoe UI Light" w:cs="Segoe UI Light"/>
                          <w:b/>
                          <w:bCs/>
                          <w:color w:val="FFFFFF" w:themeColor="background1"/>
                          <w:sz w:val="14"/>
                          <w:szCs w:val="16"/>
                        </w:rPr>
                      </w:pPr>
                    </w:p>
                    <w:p w14:paraId="63D07569" w14:textId="328B50D4"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3,4</w:t>
                      </w:r>
                    </w:p>
                  </w:txbxContent>
                </v:textbox>
              </v:shape>
            </w:pict>
          </mc:Fallback>
        </mc:AlternateContent>
      </w:r>
      <w:r w:rsidR="00DE4C6C">
        <w:rPr>
          <w:noProof/>
        </w:rPr>
        <mc:AlternateContent>
          <mc:Choice Requires="wps">
            <w:drawing>
              <wp:anchor distT="0" distB="0" distL="114300" distR="114300" simplePos="0" relativeHeight="251658341" behindDoc="0" locked="0" layoutInCell="1" allowOverlap="1" wp14:anchorId="6E2D5525" wp14:editId="63057898">
                <wp:simplePos x="0" y="0"/>
                <wp:positionH relativeFrom="column">
                  <wp:posOffset>3537942</wp:posOffset>
                </wp:positionH>
                <wp:positionV relativeFrom="paragraph">
                  <wp:posOffset>270510</wp:posOffset>
                </wp:positionV>
                <wp:extent cx="287336" cy="293312"/>
                <wp:effectExtent l="0" t="0" r="0" b="0"/>
                <wp:wrapNone/>
                <wp:docPr id="1506791832" name="Text Box 214"/>
                <wp:cNvGraphicFramePr/>
                <a:graphic xmlns:a="http://schemas.openxmlformats.org/drawingml/2006/main">
                  <a:graphicData uri="http://schemas.microsoft.com/office/word/2010/wordprocessingShape">
                    <wps:wsp>
                      <wps:cNvSpPr txBox="1"/>
                      <wps:spPr>
                        <a:xfrm>
                          <a:off x="0" y="0"/>
                          <a:ext cx="287336" cy="293312"/>
                        </a:xfrm>
                        <a:prstGeom prst="rect">
                          <a:avLst/>
                        </a:prstGeom>
                        <a:noFill/>
                        <a:ln w="6350">
                          <a:noFill/>
                        </a:ln>
                      </wps:spPr>
                      <wps:txbx>
                        <w:txbxContent>
                          <w:p w14:paraId="3E7E0566" w14:textId="77777777" w:rsidR="0025253C" w:rsidRDefault="0025253C" w:rsidP="00D85E2D">
                            <w:pPr>
                              <w:rPr>
                                <w:rFonts w:ascii="Segoe UI Light" w:hAnsi="Segoe UI Light" w:cs="Segoe UI Light"/>
                                <w:b/>
                                <w:bCs/>
                                <w:color w:val="FFFFFF" w:themeColor="background1"/>
                                <w:sz w:val="14"/>
                                <w:szCs w:val="16"/>
                              </w:rPr>
                            </w:pPr>
                          </w:p>
                          <w:p w14:paraId="7DF2C9B8" w14:textId="77777777" w:rsidR="0025253C" w:rsidRDefault="0025253C" w:rsidP="00D85E2D">
                            <w:pPr>
                              <w:rPr>
                                <w:rFonts w:ascii="Segoe UI Light" w:hAnsi="Segoe UI Light" w:cs="Segoe UI Light"/>
                                <w:b/>
                                <w:bCs/>
                                <w:color w:val="FFFFFF" w:themeColor="background1"/>
                                <w:sz w:val="14"/>
                                <w:szCs w:val="16"/>
                              </w:rPr>
                            </w:pPr>
                          </w:p>
                          <w:p w14:paraId="42B133DE" w14:textId="25A8AA49"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D5525" id="_x0000_s1188" type="#_x0000_t202" style="position:absolute;left:0;text-align:left;margin-left:278.6pt;margin-top:21.3pt;width:22.6pt;height:23.1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B9GwIAADQEAAAOAAAAZHJzL2Uyb0RvYy54bWysU8tu2zAQvBfoPxC817Jlx0kEy4GbwEUB&#10;IwngFDnTFGkJILksSVtyv75Lyi+kPRW9UMvd1exjhrOHTiuyF843YEo6GgwpEYZD1ZhtSX+8Lb/c&#10;UeIDMxVTYERJD8LTh/nnT7PWFiKHGlQlHEEQ44vWlrQOwRZZ5nktNPMDsMJgUILTLODVbbPKsRbR&#10;tcry4XCateAq64AL79H71AfpPOFLKXh4kdKLQFRJsbeQTpfOTTyz+YwVW8ds3fBjG+wfutCsMVj0&#10;DPXEAiM71/wBpRvuwIMMAw46AykbLtIMOM1o+GGadc2sSLPgcrw9r8n/P1j+vF/bV0dC9xU6JDAu&#10;pLW+8OiM83TS6fjFTgnGcYWH89pEFwhHZ353Ox5PKeEYyu/H41EeUbLLz9b58E2AJtEoqUNW0rLY&#10;fuVDn3pKibUMLBulEjPKkLak0/HNMP1wjiC4Mljj0mq0QrfpSFPhGNPUQvRtoDrgfA566r3lywa7&#10;WDEfXplDrnEk1G94wUMqwGpwtCipwf36mz/mIwUYpaRF7ZTU/9wxJyhR3w2Scz+aTKLY0mVyc5vj&#10;xV1HNtcRs9OPgPIc4UuxPJkxP6iTKR3od5T5IlbFEDMca5c0nMzH0CsanwkXi0VKQnlZFlZmbXmE&#10;jnuNO37r3pmzRyICMvgMJ5Wx4gMffW7PyGIXQDaJrMtWjwSgNBPdx2cUtX99T1mXxz7/DQAA//8D&#10;AFBLAwQUAAYACAAAACEAQaDjRuEAAAAJAQAADwAAAGRycy9kb3ducmV2LnhtbEyPwU7DMBBE70j8&#10;g7VI3KiD1QQrxKmqSBUSooeWXrg58TaJiNchdtvA19ec4Liap5m3xWq2Azvj5HtHCh4XCTCkxpme&#10;WgWH982DBOaDJqMHR6jgGz2sytubQufGXWiH531oWSwhn2sFXQhjzrlvOrTaL9yIFLOjm6wO8Zxa&#10;biZ9ieV24CJJMm51T3Gh0yNWHTaf+5NV8FpttnpXCyt/hurl7bgevw4fqVL3d/P6GVjAOfzB8Ksf&#10;1aGMTrU7kfFsUJCmTyKiCpYiAxaBLBFLYLUCKSXwsuD/PyivAAAA//8DAFBLAQItABQABgAIAAAA&#10;IQC2gziS/gAAAOEBAAATAAAAAAAAAAAAAAAAAAAAAABbQ29udGVudF9UeXBlc10ueG1sUEsBAi0A&#10;FAAGAAgAAAAhADj9If/WAAAAlAEAAAsAAAAAAAAAAAAAAAAALwEAAF9yZWxzLy5yZWxzUEsBAi0A&#10;FAAGAAgAAAAhACtI8H0bAgAANAQAAA4AAAAAAAAAAAAAAAAALgIAAGRycy9lMm9Eb2MueG1sUEsB&#10;Ai0AFAAGAAgAAAAhAEGg40bhAAAACQEAAA8AAAAAAAAAAAAAAAAAdQQAAGRycy9kb3ducmV2Lnht&#10;bFBLBQYAAAAABAAEAPMAAACDBQAAAAA=&#10;" filled="f" stroked="f" strokeweight=".5pt">
                <v:textbox>
                  <w:txbxContent>
                    <w:p w14:paraId="3E7E0566" w14:textId="77777777" w:rsidR="0025253C" w:rsidRDefault="0025253C" w:rsidP="00D85E2D">
                      <w:pPr>
                        <w:rPr>
                          <w:rFonts w:ascii="Segoe UI Light" w:hAnsi="Segoe UI Light" w:cs="Segoe UI Light"/>
                          <w:b/>
                          <w:bCs/>
                          <w:color w:val="FFFFFF" w:themeColor="background1"/>
                          <w:sz w:val="14"/>
                          <w:szCs w:val="16"/>
                        </w:rPr>
                      </w:pPr>
                    </w:p>
                    <w:p w14:paraId="7DF2C9B8" w14:textId="77777777" w:rsidR="0025253C" w:rsidRDefault="0025253C" w:rsidP="00D85E2D">
                      <w:pPr>
                        <w:rPr>
                          <w:rFonts w:ascii="Segoe UI Light" w:hAnsi="Segoe UI Light" w:cs="Segoe UI Light"/>
                          <w:b/>
                          <w:bCs/>
                          <w:color w:val="FFFFFF" w:themeColor="background1"/>
                          <w:sz w:val="14"/>
                          <w:szCs w:val="16"/>
                        </w:rPr>
                      </w:pPr>
                    </w:p>
                    <w:p w14:paraId="42B133DE" w14:textId="25A8AA49"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1,2</w:t>
                      </w:r>
                    </w:p>
                  </w:txbxContent>
                </v:textbox>
              </v:shape>
            </w:pict>
          </mc:Fallback>
        </mc:AlternateContent>
      </w:r>
      <w:r w:rsidR="00DE4C6C">
        <w:rPr>
          <w:noProof/>
        </w:rPr>
        <mc:AlternateContent>
          <mc:Choice Requires="wps">
            <w:drawing>
              <wp:anchor distT="0" distB="0" distL="114300" distR="114300" simplePos="0" relativeHeight="251658342" behindDoc="0" locked="0" layoutInCell="1" allowOverlap="1" wp14:anchorId="0C05035B" wp14:editId="0B881D81">
                <wp:simplePos x="0" y="0"/>
                <wp:positionH relativeFrom="column">
                  <wp:posOffset>3686046</wp:posOffset>
                </wp:positionH>
                <wp:positionV relativeFrom="paragraph">
                  <wp:posOffset>223061</wp:posOffset>
                </wp:positionV>
                <wp:extent cx="390654" cy="210185"/>
                <wp:effectExtent l="0" t="0" r="0" b="0"/>
                <wp:wrapNone/>
                <wp:docPr id="1090986316" name="Text Box 214"/>
                <wp:cNvGraphicFramePr/>
                <a:graphic xmlns:a="http://schemas.openxmlformats.org/drawingml/2006/main">
                  <a:graphicData uri="http://schemas.microsoft.com/office/word/2010/wordprocessingShape">
                    <wps:wsp>
                      <wps:cNvSpPr txBox="1"/>
                      <wps:spPr>
                        <a:xfrm>
                          <a:off x="0" y="0"/>
                          <a:ext cx="390654" cy="210185"/>
                        </a:xfrm>
                        <a:prstGeom prst="rect">
                          <a:avLst/>
                        </a:prstGeom>
                        <a:noFill/>
                        <a:ln w="6350">
                          <a:noFill/>
                        </a:ln>
                      </wps:spPr>
                      <wps:txbx>
                        <w:txbxContent>
                          <w:p w14:paraId="7727A916" w14:textId="77777777" w:rsidR="0025253C" w:rsidRDefault="0025253C" w:rsidP="00D85E2D">
                            <w:pPr>
                              <w:rPr>
                                <w:rFonts w:ascii="Segoe UI Light" w:hAnsi="Segoe UI Light" w:cs="Segoe UI Light"/>
                                <w:b/>
                                <w:bCs/>
                                <w:color w:val="FFFFFF" w:themeColor="background1"/>
                                <w:sz w:val="14"/>
                                <w:szCs w:val="16"/>
                              </w:rPr>
                            </w:pPr>
                          </w:p>
                          <w:p w14:paraId="179A366C" w14:textId="77777777" w:rsidR="0025253C" w:rsidRDefault="0025253C" w:rsidP="00D85E2D">
                            <w:pPr>
                              <w:rPr>
                                <w:rFonts w:ascii="Segoe UI Light" w:hAnsi="Segoe UI Light" w:cs="Segoe UI Light"/>
                                <w:b/>
                                <w:bCs/>
                                <w:color w:val="FFFFFF" w:themeColor="background1"/>
                                <w:sz w:val="14"/>
                                <w:szCs w:val="16"/>
                              </w:rPr>
                            </w:pPr>
                          </w:p>
                          <w:p w14:paraId="0D61FD83" w14:textId="5299811E"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5035B" id="_x0000_s1189" type="#_x0000_t202" style="position:absolute;left:0;text-align:left;margin-left:290.25pt;margin-top:17.55pt;width:30.75pt;height:16.5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cFHAIAADQEAAAOAAAAZHJzL2Uyb0RvYy54bWysU8lu2zAQvRfIPxC815K8NREsB04CFwWM&#10;JIAT5ExTpCWA4rAkbcn9+g4pb0h7KnqhZjijWd57nN13jSJ7YV0NuqDZIKVEaA5lrbcFfX9bfr2l&#10;xHmmS6ZAi4IehKP385svs9bkYggVqFJYgkW0y1tT0Mp7kyeJ45VomBuAERqDEmzDPLp2m5SWtVi9&#10;UckwTadJC7Y0FrhwDm+f+iCdx/pSCu5fpHTCE1VQnM3H08ZzE85kPmP51jJT1fw4BvuHKRpWa2x6&#10;LvXEPCM7W/9Rqqm5BQfSDzg0CUhZcxF3wG2y9NM264oZEXdBcJw5w+T+X1n+vF+bV0t89wAdEhgA&#10;aY3LHV6GfTppm/DFSQnGEcLDGTbRecLxcnSXTidjSjiGhlma3U5CleTys7HOfxfQkGAU1CIrESy2&#10;Xznfp55SQi8Ny1qpyIzSpC3odDRJ4w/nCBZXGntcRg2W7zYdqUtcYzo6LbKB8oD7Weipd4Yva5xi&#10;xZx/ZRa5xpVQv/4FD6kAu8HRoqQC++tv9yEfKcAoJS1qp6Du545ZQYn6oZGcu2w8DmKLznjybYiO&#10;vY5sriN61zwCyjPDl2J4NEO+VydTWmg+UOaL0BVDTHPsXVB/Mh99r2h8JlwsFjEJ5WWYX+m14aF0&#10;wDVg/NZ9MGuORHhk8BlOKmP5Jz763J6Rxc6DrCNZAeke1SMBKM1I9/EZBe1f+zHr8tjnvwEAAP//&#10;AwBQSwMEFAAGAAgAAAAhAEdWJLngAAAACQEAAA8AAABkcnMvZG93bnJldi54bWxMj01Lw0AQhu+C&#10;/2EZwZvdNJoSYjalBIogemjtxdskO02C+xGz2zb66x1PepthHt553nI9WyPONIXBOwXLRQKCXOv1&#10;4DoFh7ftXQ4iRHQajXek4IsCrKvrqxIL7S9uR+d97ASHuFCggj7GsZAytD1ZDAs/kuPb0U8WI69T&#10;J/WEFw63RqZJspIWB8cfehyp7qn92J+sgud6+4q7JrX5t6mfXo6b8fPwnil1ezNvHkFEmuMfDL/6&#10;rA4VOzX+5HQQRkGWJxmjCu6zJQgGVg8pl2t4yFOQVSn/N6h+AAAA//8DAFBLAQItABQABgAIAAAA&#10;IQC2gziS/gAAAOEBAAATAAAAAAAAAAAAAAAAAAAAAABbQ29udGVudF9UeXBlc10ueG1sUEsBAi0A&#10;FAAGAAgAAAAhADj9If/WAAAAlAEAAAsAAAAAAAAAAAAAAAAALwEAAF9yZWxzLy5yZWxzUEsBAi0A&#10;FAAGAAgAAAAhAIDkhwUcAgAANAQAAA4AAAAAAAAAAAAAAAAALgIAAGRycy9lMm9Eb2MueG1sUEsB&#10;Ai0AFAAGAAgAAAAhAEdWJLngAAAACQEAAA8AAAAAAAAAAAAAAAAAdgQAAGRycy9kb3ducmV2Lnht&#10;bFBLBQYAAAAABAAEAPMAAACDBQAAAAA=&#10;" filled="f" stroked="f" strokeweight=".5pt">
                <v:textbox>
                  <w:txbxContent>
                    <w:p w14:paraId="7727A916" w14:textId="77777777" w:rsidR="0025253C" w:rsidRDefault="0025253C" w:rsidP="00D85E2D">
                      <w:pPr>
                        <w:rPr>
                          <w:rFonts w:ascii="Segoe UI Light" w:hAnsi="Segoe UI Light" w:cs="Segoe UI Light"/>
                          <w:b/>
                          <w:bCs/>
                          <w:color w:val="FFFFFF" w:themeColor="background1"/>
                          <w:sz w:val="14"/>
                          <w:szCs w:val="16"/>
                        </w:rPr>
                      </w:pPr>
                    </w:p>
                    <w:p w14:paraId="179A366C" w14:textId="77777777" w:rsidR="0025253C" w:rsidRDefault="0025253C" w:rsidP="00D85E2D">
                      <w:pPr>
                        <w:rPr>
                          <w:rFonts w:ascii="Segoe UI Light" w:hAnsi="Segoe UI Light" w:cs="Segoe UI Light"/>
                          <w:b/>
                          <w:bCs/>
                          <w:color w:val="FFFFFF" w:themeColor="background1"/>
                          <w:sz w:val="14"/>
                          <w:szCs w:val="16"/>
                        </w:rPr>
                      </w:pPr>
                    </w:p>
                    <w:p w14:paraId="0D61FD83" w14:textId="5299811E"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1,2</w:t>
                      </w:r>
                    </w:p>
                  </w:txbxContent>
                </v:textbox>
              </v:shape>
            </w:pict>
          </mc:Fallback>
        </mc:AlternateContent>
      </w:r>
      <w:r w:rsidR="00DE4C6C">
        <w:rPr>
          <w:noProof/>
        </w:rPr>
        <mc:AlternateContent>
          <mc:Choice Requires="wps">
            <w:drawing>
              <wp:anchor distT="0" distB="0" distL="114300" distR="114300" simplePos="0" relativeHeight="251658344" behindDoc="0" locked="0" layoutInCell="1" allowOverlap="1" wp14:anchorId="4D2F871F" wp14:editId="22E33F97">
                <wp:simplePos x="0" y="0"/>
                <wp:positionH relativeFrom="column">
                  <wp:posOffset>4425156</wp:posOffset>
                </wp:positionH>
                <wp:positionV relativeFrom="paragraph">
                  <wp:posOffset>314960</wp:posOffset>
                </wp:positionV>
                <wp:extent cx="376517" cy="210263"/>
                <wp:effectExtent l="0" t="0" r="0" b="0"/>
                <wp:wrapNone/>
                <wp:docPr id="1974625684"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446AC85D" w14:textId="77777777" w:rsidR="0025253C" w:rsidRDefault="0025253C" w:rsidP="00D85E2D">
                            <w:pPr>
                              <w:rPr>
                                <w:rFonts w:ascii="Segoe UI Light" w:hAnsi="Segoe UI Light" w:cs="Segoe UI Light"/>
                                <w:b/>
                                <w:bCs/>
                                <w:color w:val="FFFFFF" w:themeColor="background1"/>
                                <w:sz w:val="14"/>
                                <w:szCs w:val="16"/>
                              </w:rPr>
                            </w:pPr>
                          </w:p>
                          <w:p w14:paraId="6BEDA339" w14:textId="77777777" w:rsidR="0025253C" w:rsidRDefault="0025253C" w:rsidP="00D85E2D">
                            <w:pPr>
                              <w:rPr>
                                <w:rFonts w:ascii="Segoe UI Light" w:hAnsi="Segoe UI Light" w:cs="Segoe UI Light"/>
                                <w:b/>
                                <w:bCs/>
                                <w:color w:val="FFFFFF" w:themeColor="background1"/>
                                <w:sz w:val="14"/>
                                <w:szCs w:val="16"/>
                              </w:rPr>
                            </w:pPr>
                          </w:p>
                          <w:p w14:paraId="5FABFDC5" w14:textId="65FB4A7E"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F871F" id="_x0000_s1190" type="#_x0000_t202" style="position:absolute;left:0;text-align:left;margin-left:348.45pt;margin-top:24.8pt;width:29.65pt;height:16.5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ZHAIAADQEAAAOAAAAZHJzL2Uyb0RvYy54bWysU8lu2zAQvRfoPxC815K8toLlwE3gooCR&#10;BHCKnGmKtARQHJakLblf3yHlDWlPQS7UDGc0y3uP87uuUeQgrKtBFzQbpJQIzaGs9a6gv15WX75S&#10;4jzTJVOgRUGPwtG7xedP89bkYggVqFJYgkW0y1tT0Mp7kyeJ45VomBuAERqDEmzDPLp2l5SWtVi9&#10;UckwTadJC7Y0FrhwDm8f+iBdxPpSCu6fpHTCE1VQnM3H08ZzG85kMWf5zjJT1fw0BnvHFA2rNTa9&#10;lHpgnpG9rf8p1dTcggPpBxyaBKSsuYg74DZZ+mabTcWMiLsgOM5cYHIfV5Y/Hjbm2RLffYcOCQyA&#10;tMblDi/DPp20TfjipATjCOHxApvoPOF4OZpNJ9mMEo6hYZYOp6NQJbn+bKzzPwQ0JBgFtchKBIsd&#10;1s73qeeU0EvDqlYqMqM0aQs6HU3S+MMlgsWVxh7XUYPlu21H6hLXmI7Pi2yhPOJ+FnrqneGrGqdY&#10;M+efmUWucSXUr3/CQyrAbnCyKKnA/vnffchHCjBKSYvaKaj7vWdWUKJ+aiTnWzYeB7FFZzyZDdGx&#10;t5HtbUTvm3tAeWb4UgyPZsj36mxKC80rynwZumKIaY69C+rP5r3vFY3PhIvlMiahvAzza70xPJQO&#10;uAaMX7pXZs2JCI8MPsJZZSx/w0ef2zOy3HuQdSQrIN2jeiIApRnpPj2joP1bP2ZdH/viLwAAAP//&#10;AwBQSwMEFAAGAAgAAAAhAOL1hebhAAAACQEAAA8AAABkcnMvZG93bnJldi54bWxMj8tOwzAQRfdI&#10;/IM1SOyoQ0TdJGRSVZEqJASLlm7YOfE0ifAjxG4b+HrMCpaje3TvmXI9G83ONPnBWYT7RQKMbOvU&#10;YDuEw9v2LgPmg7RKamcJ4Ys8rKvrq1IWyl3sjs770LFYYn0hEfoQxoJz3/ZkpF+4kWzMjm4yMsRz&#10;6ria5CWWG83TJBHcyMHGhV6OVPfUfuxPBuG53r7KXZOa7FvXTy/Hzfh5eF8i3t7Mm0dggebwB8Ov&#10;flSHKjo17mSVZxpB5CKPKMJDLoBFYLUUKbAGIUtXwKuS//+g+gEAAP//AwBQSwECLQAUAAYACAAA&#10;ACEAtoM4kv4AAADhAQAAEwAAAAAAAAAAAAAAAAAAAAAAW0NvbnRlbnRfVHlwZXNdLnhtbFBLAQIt&#10;ABQABgAIAAAAIQA4/SH/1gAAAJQBAAALAAAAAAAAAAAAAAAAAC8BAABfcmVscy8ucmVsc1BLAQIt&#10;ABQABgAIAAAAIQDePe+ZHAIAADQEAAAOAAAAAAAAAAAAAAAAAC4CAABkcnMvZTJvRG9jLnhtbFBL&#10;AQItABQABgAIAAAAIQDi9YXm4QAAAAkBAAAPAAAAAAAAAAAAAAAAAHYEAABkcnMvZG93bnJldi54&#10;bWxQSwUGAAAAAAQABADzAAAAhAUAAAAA&#10;" filled="f" stroked="f" strokeweight=".5pt">
                <v:textbox>
                  <w:txbxContent>
                    <w:p w14:paraId="446AC85D" w14:textId="77777777" w:rsidR="0025253C" w:rsidRDefault="0025253C" w:rsidP="00D85E2D">
                      <w:pPr>
                        <w:rPr>
                          <w:rFonts w:ascii="Segoe UI Light" w:hAnsi="Segoe UI Light" w:cs="Segoe UI Light"/>
                          <w:b/>
                          <w:bCs/>
                          <w:color w:val="FFFFFF" w:themeColor="background1"/>
                          <w:sz w:val="14"/>
                          <w:szCs w:val="16"/>
                        </w:rPr>
                      </w:pPr>
                    </w:p>
                    <w:p w14:paraId="6BEDA339" w14:textId="77777777" w:rsidR="0025253C" w:rsidRDefault="0025253C" w:rsidP="00D85E2D">
                      <w:pPr>
                        <w:rPr>
                          <w:rFonts w:ascii="Segoe UI Light" w:hAnsi="Segoe UI Light" w:cs="Segoe UI Light"/>
                          <w:b/>
                          <w:bCs/>
                          <w:color w:val="FFFFFF" w:themeColor="background1"/>
                          <w:sz w:val="14"/>
                          <w:szCs w:val="16"/>
                        </w:rPr>
                      </w:pPr>
                    </w:p>
                    <w:p w14:paraId="5FABFDC5" w14:textId="65FB4A7E"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2,7</w:t>
                      </w:r>
                    </w:p>
                  </w:txbxContent>
                </v:textbox>
              </v:shape>
            </w:pict>
          </mc:Fallback>
        </mc:AlternateContent>
      </w:r>
      <w:r w:rsidR="00DE4C6C">
        <w:rPr>
          <w:noProof/>
        </w:rPr>
        <mc:AlternateContent>
          <mc:Choice Requires="wps">
            <w:drawing>
              <wp:anchor distT="0" distB="0" distL="114300" distR="114300" simplePos="0" relativeHeight="251658346" behindDoc="0" locked="0" layoutInCell="1" allowOverlap="1" wp14:anchorId="6252ABB5" wp14:editId="3E74A8DB">
                <wp:simplePos x="0" y="0"/>
                <wp:positionH relativeFrom="column">
                  <wp:posOffset>4801143</wp:posOffset>
                </wp:positionH>
                <wp:positionV relativeFrom="paragraph">
                  <wp:posOffset>524289</wp:posOffset>
                </wp:positionV>
                <wp:extent cx="376517" cy="210263"/>
                <wp:effectExtent l="0" t="0" r="0" b="0"/>
                <wp:wrapNone/>
                <wp:docPr id="826437727"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34B8E757" w14:textId="77777777" w:rsidR="0025253C" w:rsidRDefault="0025253C" w:rsidP="00D85E2D">
                            <w:pPr>
                              <w:rPr>
                                <w:rFonts w:ascii="Segoe UI Light" w:hAnsi="Segoe UI Light" w:cs="Segoe UI Light"/>
                                <w:b/>
                                <w:bCs/>
                                <w:color w:val="FFFFFF" w:themeColor="background1"/>
                                <w:sz w:val="14"/>
                                <w:szCs w:val="16"/>
                              </w:rPr>
                            </w:pPr>
                          </w:p>
                          <w:p w14:paraId="6FE3BF64" w14:textId="77777777" w:rsidR="0025253C" w:rsidRDefault="0025253C" w:rsidP="00D85E2D">
                            <w:pPr>
                              <w:rPr>
                                <w:rFonts w:ascii="Segoe UI Light" w:hAnsi="Segoe UI Light" w:cs="Segoe UI Light"/>
                                <w:b/>
                                <w:bCs/>
                                <w:color w:val="FFFFFF" w:themeColor="background1"/>
                                <w:sz w:val="14"/>
                                <w:szCs w:val="16"/>
                              </w:rPr>
                            </w:pPr>
                          </w:p>
                          <w:p w14:paraId="1E148A78" w14:textId="7465A181"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2ABB5" id="_x0000_s1191" type="#_x0000_t202" style="position:absolute;left:0;text-align:left;margin-left:378.05pt;margin-top:41.3pt;width:29.65pt;height:16.5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6BMHAIAADQEAAAOAAAAZHJzL2Uyb0RvYy54bWysU8lu2zAQvRfoPxC815K8toLlwE3gooCR&#10;BHCKnGmKtARQHJakLblf3yHlDWlPQS7UDGc0y3uP87uuUeQgrKtBFzQbpJQIzaGs9a6gv15WX75S&#10;4jzTJVOgRUGPwtG7xedP89bkYggVqFJYgkW0y1tT0Mp7kyeJ45VomBuAERqDEmzDPLp2l5SWtVi9&#10;UckwTadJC7Y0FrhwDm8f+iBdxPpSCu6fpHTCE1VQnM3H08ZzG85kMWf5zjJT1fw0BnvHFA2rNTa9&#10;lHpgnpG9rf8p1dTcggPpBxyaBKSsuYg74DZZ+mabTcWMiLsgOM5cYHIfV5Y/Hjbm2RLffYcOCQyA&#10;tMblDi/DPp20TfjipATjCOHxApvoPOF4OZpNJ9mMEo6hYZYOp6NQJbn+bKzzPwQ0JBgFtchKBIsd&#10;1s73qeeU0EvDqlYqMqM0aQs6HU3S+MMlgsWVxh7XUYPlu21H6hLXmE7Oi2yhPOJ+FnrqneGrGqdY&#10;M+efmUWucSXUr3/CQyrAbnCyKKnA/vnffchHCjBKSYvaKaj7vWdWUKJ+aiTnWzYeB7FFZzyZDdGx&#10;t5HtbUTvm3tAeWb4UgyPZsj36mxKC80rynwZumKIaY69C+rP5r3vFY3PhIvlMiahvAzza70xPJQO&#10;uAaMX7pXZs2JCI8MPsJZZSx/w0ef2zOy3HuQdSQrIN2jeiIApRnpPj2joP1bP2ZdH/viLwAAAP//&#10;AwBQSwMEFAAGAAgAAAAhAOG4aK3iAAAACgEAAA8AAABkcnMvZG93bnJldi54bWxMj8FOwzAQRO9I&#10;/QdrK3GjTiKSRiFOVUWqkBAcWnrh5sTbJMJeh9htA1+POdHjap5m3pab2Wh2wckNlgTEqwgYUmvV&#10;QJ2A4/vuIQfmvCQltSUU8I0ONtXirpSFslfa4+XgOxZKyBVSQO/9WHDu2h6NdCs7IoXsZCcjfTin&#10;jqtJXkO50TyJoowbOVBY6OWIdY/t5+FsBLzUuze5bxKT/+j6+fW0Hb+OH6kQ98t5+wTM4+z/YfjT&#10;D+pQBafGnkk5pgWs0ywOqIA8yYAFII/TR2BNION0Dbwq+e0L1S8AAAD//wMAUEsBAi0AFAAGAAgA&#10;AAAhALaDOJL+AAAA4QEAABMAAAAAAAAAAAAAAAAAAAAAAFtDb250ZW50X1R5cGVzXS54bWxQSwEC&#10;LQAUAAYACAAAACEAOP0h/9YAAACUAQAACwAAAAAAAAAAAAAAAAAvAQAAX3JlbHMvLnJlbHNQSwEC&#10;LQAUAAYACAAAACEAoY+gTBwCAAA0BAAADgAAAAAAAAAAAAAAAAAuAgAAZHJzL2Uyb0RvYy54bWxQ&#10;SwECLQAUAAYACAAAACEA4bhoreIAAAAKAQAADwAAAAAAAAAAAAAAAAB2BAAAZHJzL2Rvd25yZXYu&#10;eG1sUEsFBgAAAAAEAAQA8wAAAIUFAAAAAA==&#10;" filled="f" stroked="f" strokeweight=".5pt">
                <v:textbox>
                  <w:txbxContent>
                    <w:p w14:paraId="34B8E757" w14:textId="77777777" w:rsidR="0025253C" w:rsidRDefault="0025253C" w:rsidP="00D85E2D">
                      <w:pPr>
                        <w:rPr>
                          <w:rFonts w:ascii="Segoe UI Light" w:hAnsi="Segoe UI Light" w:cs="Segoe UI Light"/>
                          <w:b/>
                          <w:bCs/>
                          <w:color w:val="FFFFFF" w:themeColor="background1"/>
                          <w:sz w:val="14"/>
                          <w:szCs w:val="16"/>
                        </w:rPr>
                      </w:pPr>
                    </w:p>
                    <w:p w14:paraId="6FE3BF64" w14:textId="77777777" w:rsidR="0025253C" w:rsidRDefault="0025253C" w:rsidP="00D85E2D">
                      <w:pPr>
                        <w:rPr>
                          <w:rFonts w:ascii="Segoe UI Light" w:hAnsi="Segoe UI Light" w:cs="Segoe UI Light"/>
                          <w:b/>
                          <w:bCs/>
                          <w:color w:val="FFFFFF" w:themeColor="background1"/>
                          <w:sz w:val="14"/>
                          <w:szCs w:val="16"/>
                        </w:rPr>
                      </w:pPr>
                    </w:p>
                    <w:p w14:paraId="1E148A78" w14:textId="7465A181"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1,1</w:t>
                      </w:r>
                    </w:p>
                  </w:txbxContent>
                </v:textbox>
              </v:shape>
            </w:pict>
          </mc:Fallback>
        </mc:AlternateContent>
      </w:r>
      <w:r w:rsidR="00DE4C6C">
        <w:rPr>
          <w:noProof/>
        </w:rPr>
        <mc:AlternateContent>
          <mc:Choice Requires="wps">
            <w:drawing>
              <wp:anchor distT="0" distB="0" distL="114300" distR="114300" simplePos="0" relativeHeight="251658345" behindDoc="0" locked="0" layoutInCell="1" allowOverlap="1" wp14:anchorId="4729B857" wp14:editId="77D86381">
                <wp:simplePos x="0" y="0"/>
                <wp:positionH relativeFrom="column">
                  <wp:posOffset>4636641</wp:posOffset>
                </wp:positionH>
                <wp:positionV relativeFrom="paragraph">
                  <wp:posOffset>388423</wp:posOffset>
                </wp:positionV>
                <wp:extent cx="376517" cy="210263"/>
                <wp:effectExtent l="0" t="0" r="0" b="0"/>
                <wp:wrapNone/>
                <wp:docPr id="1756550928"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08FBBF1A" w14:textId="77777777" w:rsidR="0025253C" w:rsidRDefault="0025253C" w:rsidP="00D85E2D">
                            <w:pPr>
                              <w:rPr>
                                <w:rFonts w:ascii="Segoe UI Light" w:hAnsi="Segoe UI Light" w:cs="Segoe UI Light"/>
                                <w:b/>
                                <w:bCs/>
                                <w:color w:val="FFFFFF" w:themeColor="background1"/>
                                <w:sz w:val="14"/>
                                <w:szCs w:val="16"/>
                              </w:rPr>
                            </w:pPr>
                          </w:p>
                          <w:p w14:paraId="1ABE53C6" w14:textId="77777777" w:rsidR="0025253C" w:rsidRDefault="0025253C" w:rsidP="00D85E2D">
                            <w:pPr>
                              <w:rPr>
                                <w:rFonts w:ascii="Segoe UI Light" w:hAnsi="Segoe UI Light" w:cs="Segoe UI Light"/>
                                <w:b/>
                                <w:bCs/>
                                <w:color w:val="FFFFFF" w:themeColor="background1"/>
                                <w:sz w:val="14"/>
                                <w:szCs w:val="16"/>
                              </w:rPr>
                            </w:pPr>
                          </w:p>
                          <w:p w14:paraId="41AA2BC8" w14:textId="79F1DAFB"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9B857" id="_x0000_s1192" type="#_x0000_t202" style="position:absolute;left:0;text-align:left;margin-left:365.1pt;margin-top:30.6pt;width:29.65pt;height:16.5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HoHAIAADQEAAAOAAAAZHJzL2Uyb0RvYy54bWysU8lu2zAQvRfoPxC815K8KK1gOXATuChg&#10;JAGcImeaIi0BFIclaUvu13dIeUPaU9ELNcMZzfLe4/y+bxU5COsa0CXNRiklQnOoGr0r6Y/X1afP&#10;lDjPdMUUaFHSo3D0fvHxw7wzhRhDDaoSlmAR7YrOlLT23hRJ4ngtWuZGYITGoATbMo+u3SWVZR1W&#10;b1UyTtM86cBWxgIXzuHt4xCki1hfSsH9s5ROeKJKirP5eNp4bsOZLOas2Flm6oafxmD/MEXLGo1N&#10;L6UemWdkb5s/SrUNt+BA+hGHNgEpGy7iDrhNlr7bZlMzI+IuCI4zF5jc/yvLnw4b82KJ779CjwQG&#10;QDrjCoeXYZ9e2jZ8cVKCcYTweIFN9J5wvJzc5bPsjhKOoXGWjvNJqJJcfzbW+W8CWhKMklpkJYLF&#10;Dmvnh9RzSuilYdUoFZlRmnQlzSezNP5wiWBxpbHHddRg+X7bk6bCNfL8vMgWqiPuZ2Gg3hm+anCK&#10;NXP+hVnkGldC/fpnPKQC7AYni5Ia7K+/3Yd8pACjlHSonZK6n3tmBSXqu0ZyvmTTaRBbdKazuzE6&#10;9jayvY3offsAKM8MX4rh0Qz5Xp1NaaF9Q5kvQ1cMMc2xd0n92Xzwg6LxmXCxXMYklJdhfq03hofS&#10;AdeA8Wv/xqw5EeGRwSc4q4wV7/gYcgdGlnsPsolkBaQHVE8EoDQj3adnFLR/68es62Nf/AYAAP//&#10;AwBQSwMEFAAGAAgAAAAhAMlR3iTiAAAACQEAAA8AAABkcnMvZG93bnJldi54bWxMj8FOwkAQhu8m&#10;vsNmTLzJliJQaqeENCEmRg4gF2/b7tA2dmdrd4Hq07ue9DSZzJd/vj9bj6YTFxpcaxlhOolAEFdW&#10;t1wjHN+2DwkI5xVr1VkmhC9ysM5vbzKVanvlPV0OvhYhhF2qEBrv+1RKVzVklJvYnjjcTnYwyod1&#10;qKUe1DWEm07GUbSQRrUcPjSqp6Kh6uNwNggvxXan9mVsku+ueH49bfrP4/sc8f5u3DyB8DT6Pxh+&#10;9YM65MGptGfWTnQIy1kUBxRhMQ0zAMtkNQdRIqweZyDzTP5vkP8AAAD//wMAUEsBAi0AFAAGAAgA&#10;AAAhALaDOJL+AAAA4QEAABMAAAAAAAAAAAAAAAAAAAAAAFtDb250ZW50X1R5cGVzXS54bWxQSwEC&#10;LQAUAAYACAAAACEAOP0h/9YAAACUAQAACwAAAAAAAAAAAAAAAAAvAQAAX3JlbHMvLnJlbHNQSwEC&#10;LQAUAAYACAAAACEAYV8B6BwCAAA0BAAADgAAAAAAAAAAAAAAAAAuAgAAZHJzL2Uyb0RvYy54bWxQ&#10;SwECLQAUAAYACAAAACEAyVHeJOIAAAAJAQAADwAAAAAAAAAAAAAAAAB2BAAAZHJzL2Rvd25yZXYu&#10;eG1sUEsFBgAAAAAEAAQA8wAAAIUFAAAAAA==&#10;" filled="f" stroked="f" strokeweight=".5pt">
                <v:textbox>
                  <w:txbxContent>
                    <w:p w14:paraId="08FBBF1A" w14:textId="77777777" w:rsidR="0025253C" w:rsidRDefault="0025253C" w:rsidP="00D85E2D">
                      <w:pPr>
                        <w:rPr>
                          <w:rFonts w:ascii="Segoe UI Light" w:hAnsi="Segoe UI Light" w:cs="Segoe UI Light"/>
                          <w:b/>
                          <w:bCs/>
                          <w:color w:val="FFFFFF" w:themeColor="background1"/>
                          <w:sz w:val="14"/>
                          <w:szCs w:val="16"/>
                        </w:rPr>
                      </w:pPr>
                    </w:p>
                    <w:p w14:paraId="1ABE53C6" w14:textId="77777777" w:rsidR="0025253C" w:rsidRDefault="0025253C" w:rsidP="00D85E2D">
                      <w:pPr>
                        <w:rPr>
                          <w:rFonts w:ascii="Segoe UI Light" w:hAnsi="Segoe UI Light" w:cs="Segoe UI Light"/>
                          <w:b/>
                          <w:bCs/>
                          <w:color w:val="FFFFFF" w:themeColor="background1"/>
                          <w:sz w:val="14"/>
                          <w:szCs w:val="16"/>
                        </w:rPr>
                      </w:pPr>
                    </w:p>
                    <w:p w14:paraId="41AA2BC8" w14:textId="79F1DAFB"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1,5</w:t>
                      </w:r>
                    </w:p>
                  </w:txbxContent>
                </v:textbox>
              </v:shape>
            </w:pict>
          </mc:Fallback>
        </mc:AlternateContent>
      </w:r>
      <w:r w:rsidR="00DE4C6C">
        <w:rPr>
          <w:noProof/>
        </w:rPr>
        <mc:AlternateContent>
          <mc:Choice Requires="wps">
            <w:drawing>
              <wp:anchor distT="0" distB="0" distL="114300" distR="114300" simplePos="0" relativeHeight="251658328" behindDoc="0" locked="0" layoutInCell="1" allowOverlap="1" wp14:anchorId="5D4841B5" wp14:editId="0766CD7E">
                <wp:simplePos x="0" y="0"/>
                <wp:positionH relativeFrom="column">
                  <wp:posOffset>4830407</wp:posOffset>
                </wp:positionH>
                <wp:positionV relativeFrom="paragraph">
                  <wp:posOffset>1727330</wp:posOffset>
                </wp:positionV>
                <wp:extent cx="376517" cy="210263"/>
                <wp:effectExtent l="0" t="0" r="0" b="0"/>
                <wp:wrapNone/>
                <wp:docPr id="725628167"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52D4EE80" w14:textId="77777777" w:rsidR="0025253C" w:rsidRDefault="0025253C">
                            <w:pPr>
                              <w:rPr>
                                <w:rFonts w:ascii="Segoe UI Light" w:hAnsi="Segoe UI Light" w:cs="Segoe UI Light"/>
                                <w:b/>
                                <w:bCs/>
                                <w:color w:val="FFFFFF" w:themeColor="background1"/>
                                <w:sz w:val="14"/>
                                <w:szCs w:val="16"/>
                              </w:rPr>
                            </w:pPr>
                          </w:p>
                          <w:p w14:paraId="351A20E4" w14:textId="77777777" w:rsidR="0025253C" w:rsidRDefault="0025253C">
                            <w:pPr>
                              <w:rPr>
                                <w:rFonts w:ascii="Segoe UI Light" w:hAnsi="Segoe UI Light" w:cs="Segoe UI Light"/>
                                <w:b/>
                                <w:bCs/>
                                <w:color w:val="FFFFFF" w:themeColor="background1"/>
                                <w:sz w:val="14"/>
                                <w:szCs w:val="16"/>
                              </w:rPr>
                            </w:pPr>
                          </w:p>
                          <w:p w14:paraId="17328979" w14:textId="4E6AB89B" w:rsidR="00D85E2D" w:rsidRPr="00D85E2D" w:rsidRDefault="009D6115">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841B5" id="_x0000_s1193" type="#_x0000_t202" style="position:absolute;left:0;text-align:left;margin-left:380.35pt;margin-top:136pt;width:29.65pt;height:16.5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U49HAIAADQEAAAOAAAAZHJzL2Uyb0RvYy54bWysU8lu2zAQvRfoPxC815K8toLlwE3gooCR&#10;BHCKnGmKtARQHJakLblf3yHlDWlPQS7UDGc0y3uP87uuUeQgrKtBFzQbpJQIzaGs9a6gv15WX75S&#10;4jzTJVOgRUGPwtG7xedP89bkYggVqFJYgkW0y1tT0Mp7kyeJ45VomBuAERqDEmzDPLp2l5SWtVi9&#10;UckwTadJC7Y0FrhwDm8f+iBdxPpSCu6fpHTCE1VQnM3H08ZzG85kMWf5zjJT1fw0BnvHFA2rNTa9&#10;lHpgnpG9rf8p1dTcggPpBxyaBKSsuYg74DZZ+mabTcWMiLsgOM5cYHIfV5Y/Hjbm2RLffYcOCQyA&#10;tMblDi/DPp20TfjipATjCOHxApvoPOF4OZpNJ9mMEo6hYZYOp6NQJbn+bKzzPwQ0JBgFtchKBIsd&#10;1s73qeeU0EvDqlYqMqM0aQs6HU3S+MMlgsWVxh7XUYPlu21H6hLXmM7Oi2yhPOJ+FnrqneGrGqdY&#10;M+efmUWucSXUr3/CQyrAbnCyKKnA/vnffchHCjBKSYvaKaj7vWdWUKJ+aiTnWzYeB7FFZzyZDdGx&#10;t5HtbUTvm3tAeWb4UgyPZsj36mxKC80rynwZumKIaY69C+rP5r3vFY3PhIvlMiahvAzza70xPJQO&#10;uAaMX7pXZs2JCI8MPsJZZSx/w0ef2zOy3HuQdSQrIN2jeiIApRnpPj2joP1bP2ZdH/viLwAAAP//&#10;AwBQSwMEFAAGAAgAAAAhAOBOy+3iAAAACwEAAA8AAABkcnMvZG93bnJldi54bWxMj01Lw0AURfdC&#10;/8PwCu7sTCNtQsyklEARRBet3bibZF6T4HzEzLSN/nqfK7t8vMO95xabyRp2wTH03klYLgQwdI3X&#10;vWslHN93DxmwEJXTyniHEr4xwKac3RUq1/7q9ng5xJZRiAu5ktDFOOSch6ZDq8LCD+jod/KjVZHO&#10;seV6VFcKt4YnQqy5Vb2jhk4NWHXYfB7OVsJLtXtT+zqx2Y+pnl9P2+Hr+LGS8n4+bZ+ARZziPwx/&#10;+qQOJTnV/ux0YEZCuhYpoRKSNKFRRGRUCKyW8ChWS+BlwW83lL8AAAD//wMAUEsBAi0AFAAGAAgA&#10;AAAhALaDOJL+AAAA4QEAABMAAAAAAAAAAAAAAAAAAAAAAFtDb250ZW50X1R5cGVzXS54bWxQSwEC&#10;LQAUAAYACAAAACEAOP0h/9YAAACUAQAACwAAAAAAAAAAAAAAAAAvAQAAX3JlbHMvLnJlbHNQSwEC&#10;LQAUAAYACAAAACEAHu1OPRwCAAA0BAAADgAAAAAAAAAAAAAAAAAuAgAAZHJzL2Uyb0RvYy54bWxQ&#10;SwECLQAUAAYACAAAACEA4E7L7eIAAAALAQAADwAAAAAAAAAAAAAAAAB2BAAAZHJzL2Rvd25yZXYu&#10;eG1sUEsFBgAAAAAEAAQA8wAAAIUFAAAAAA==&#10;" filled="f" stroked="f" strokeweight=".5pt">
                <v:textbox>
                  <w:txbxContent>
                    <w:p w14:paraId="52D4EE80" w14:textId="77777777" w:rsidR="0025253C" w:rsidRDefault="0025253C">
                      <w:pPr>
                        <w:rPr>
                          <w:rFonts w:ascii="Segoe UI Light" w:hAnsi="Segoe UI Light" w:cs="Segoe UI Light"/>
                          <w:b/>
                          <w:bCs/>
                          <w:color w:val="FFFFFF" w:themeColor="background1"/>
                          <w:sz w:val="14"/>
                          <w:szCs w:val="16"/>
                        </w:rPr>
                      </w:pPr>
                    </w:p>
                    <w:p w14:paraId="351A20E4" w14:textId="77777777" w:rsidR="0025253C" w:rsidRDefault="0025253C">
                      <w:pPr>
                        <w:rPr>
                          <w:rFonts w:ascii="Segoe UI Light" w:hAnsi="Segoe UI Light" w:cs="Segoe UI Light"/>
                          <w:b/>
                          <w:bCs/>
                          <w:color w:val="FFFFFF" w:themeColor="background1"/>
                          <w:sz w:val="14"/>
                          <w:szCs w:val="16"/>
                        </w:rPr>
                      </w:pPr>
                    </w:p>
                    <w:p w14:paraId="17328979" w14:textId="4E6AB89B" w:rsidR="00D85E2D" w:rsidRPr="00D85E2D" w:rsidRDefault="009D6115">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9,3</w:t>
                      </w:r>
                    </w:p>
                  </w:txbxContent>
                </v:textbox>
              </v:shape>
            </w:pict>
          </mc:Fallback>
        </mc:AlternateContent>
      </w:r>
      <w:r w:rsidR="00DE4C6C">
        <w:rPr>
          <w:noProof/>
        </w:rPr>
        <mc:AlternateContent>
          <mc:Choice Requires="wps">
            <w:drawing>
              <wp:anchor distT="0" distB="0" distL="114300" distR="114300" simplePos="0" relativeHeight="251658329" behindDoc="0" locked="0" layoutInCell="1" allowOverlap="1" wp14:anchorId="6C8F8FFB" wp14:editId="41E00116">
                <wp:simplePos x="0" y="0"/>
                <wp:positionH relativeFrom="column">
                  <wp:posOffset>4426616</wp:posOffset>
                </wp:positionH>
                <wp:positionV relativeFrom="paragraph">
                  <wp:posOffset>2284316</wp:posOffset>
                </wp:positionV>
                <wp:extent cx="376517" cy="210263"/>
                <wp:effectExtent l="0" t="0" r="0" b="0"/>
                <wp:wrapNone/>
                <wp:docPr id="1651942994"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04871027" w14:textId="77777777" w:rsidR="0025253C" w:rsidRDefault="0025253C" w:rsidP="00D85E2D">
                            <w:pPr>
                              <w:rPr>
                                <w:rFonts w:ascii="Segoe UI Light" w:hAnsi="Segoe UI Light" w:cs="Segoe UI Light"/>
                                <w:b/>
                                <w:bCs/>
                                <w:color w:val="FFFFFF" w:themeColor="background1"/>
                                <w:sz w:val="14"/>
                                <w:szCs w:val="16"/>
                              </w:rPr>
                            </w:pPr>
                          </w:p>
                          <w:p w14:paraId="506EEBDF" w14:textId="77777777" w:rsidR="0025253C" w:rsidRDefault="0025253C" w:rsidP="00D85E2D">
                            <w:pPr>
                              <w:rPr>
                                <w:rFonts w:ascii="Segoe UI Light" w:hAnsi="Segoe UI Light" w:cs="Segoe UI Light"/>
                                <w:b/>
                                <w:bCs/>
                                <w:color w:val="FFFFFF" w:themeColor="background1"/>
                                <w:sz w:val="14"/>
                                <w:szCs w:val="16"/>
                              </w:rPr>
                            </w:pPr>
                          </w:p>
                          <w:p w14:paraId="4479B4BD" w14:textId="6F390206" w:rsidR="00D85E2D" w:rsidRPr="00D85E2D" w:rsidRDefault="009D611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F8FFB" id="_x0000_s1194" type="#_x0000_t202" style="position:absolute;left:0;text-align:left;margin-left:348.55pt;margin-top:179.85pt;width:29.65pt;height:16.5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tmHAIAADQEAAAOAAAAZHJzL2Uyb0RvYy54bWysU8lu2zAQvRfoPxC815K8JoLlwE3gooCR&#10;BHCKnGmKtARQHJakLblf3yHlDWlPRS/UDGc0y3uP84euUeQgrKtBFzQbpJQIzaGs9a6gP95WX+4o&#10;cZ7pkinQoqBH4ejD4vOneWtyMYQKVCkswSLa5a0paOW9yZPE8Uo0zA3ACI1BCbZhHl27S0rLWqze&#10;qGSYptOkBVsaC1w4h7dPfZAuYn0pBfcvUjrhiSoozubjaeO5DWeymLN8Z5mpan4ag/3DFA2rNTa9&#10;lHpinpG9rf8o1dTcggPpBxyaBKSsuYg74DZZ+mGbTcWMiLsgOM5cYHL/ryx/PmzMqyW++wodEhgA&#10;aY3LHV6GfTppm/DFSQnGEcLjBTbRecLxcjSbTrIZJRxDwywdTkehSnL92VjnvwloSDAKapGVCBY7&#10;rJ3vU88poZeGVa1UZEZp0hZ0Opqk8YdLBIsrjT2uowbLd9uO1CWuMb07L7KF8oj7Weipd4avapxi&#10;zZx/ZRa5xpVQv/4FD6kAu8HJoqQC++tv9yEfKcAoJS1qp6Du555ZQYn6rpGc+2w8DmKLzngyG6Jj&#10;byPb24jeN4+A8szwpRgezZDv1dmUFpp3lPkydMUQ0xx7F9SfzUffKxqfCRfLZUxCeRnm13pjeCgd&#10;cA0Yv3XvzJoTER4ZfIazylj+gY8+t2dkufcg60hWQLpH9UQASjPSfXpGQfu3fsy6PvbFbwAAAP//&#10;AwBQSwMEFAAGAAgAAAAhAOAYfP7jAAAACwEAAA8AAABkcnMvZG93bnJldi54bWxMj8tOwzAQRfdI&#10;/IM1SOyo00CexKmqSBUSgkVLN+yceJpExOMQu23o1+OuYDkzR3fOLVazHtgJJ9sbErBcBMCQGqN6&#10;agXsPzYPKTDrJCk5GEIBP2hhVd7eFDJX5kxbPO1cy3wI2VwK6Jwbc85t06GWdmFGJH87mElL58ep&#10;5WqSZx+uBx4GQcy17Ml/6OSIVYfN1+6oBbxWm3e5rUOdXobq5e2wHr/3n5EQ93fz+hmYw9n9wXDV&#10;9+pQeqfaHElZNgiIs2TpUQGPUZYA80QSxU/Aar/JwhR4WfD/HcpfAAAA//8DAFBLAQItABQABgAI&#10;AAAAIQC2gziS/gAAAOEBAAATAAAAAAAAAAAAAAAAAAAAAABbQ29udGVudF9UeXBlc10ueG1sUEsB&#10;Ai0AFAAGAAgAAAAhADj9If/WAAAAlAEAAAsAAAAAAAAAAAAAAAAALwEAAF9yZWxzLy5yZWxzUEsB&#10;Ai0AFAAGAAgAAAAhAB10+2YcAgAANAQAAA4AAAAAAAAAAAAAAAAALgIAAGRycy9lMm9Eb2MueG1s&#10;UEsBAi0AFAAGAAgAAAAhAOAYfP7jAAAACwEAAA8AAAAAAAAAAAAAAAAAdgQAAGRycy9kb3ducmV2&#10;LnhtbFBLBQYAAAAABAAEAPMAAACGBQAAAAA=&#10;" filled="f" stroked="f" strokeweight=".5pt">
                <v:textbox>
                  <w:txbxContent>
                    <w:p w14:paraId="04871027" w14:textId="77777777" w:rsidR="0025253C" w:rsidRDefault="0025253C" w:rsidP="00D85E2D">
                      <w:pPr>
                        <w:rPr>
                          <w:rFonts w:ascii="Segoe UI Light" w:hAnsi="Segoe UI Light" w:cs="Segoe UI Light"/>
                          <w:b/>
                          <w:bCs/>
                          <w:color w:val="FFFFFF" w:themeColor="background1"/>
                          <w:sz w:val="14"/>
                          <w:szCs w:val="16"/>
                        </w:rPr>
                      </w:pPr>
                    </w:p>
                    <w:p w14:paraId="506EEBDF" w14:textId="77777777" w:rsidR="0025253C" w:rsidRDefault="0025253C" w:rsidP="00D85E2D">
                      <w:pPr>
                        <w:rPr>
                          <w:rFonts w:ascii="Segoe UI Light" w:hAnsi="Segoe UI Light" w:cs="Segoe UI Light"/>
                          <w:b/>
                          <w:bCs/>
                          <w:color w:val="FFFFFF" w:themeColor="background1"/>
                          <w:sz w:val="14"/>
                          <w:szCs w:val="16"/>
                        </w:rPr>
                      </w:pPr>
                    </w:p>
                    <w:p w14:paraId="4479B4BD" w14:textId="6F390206" w:rsidR="00D85E2D" w:rsidRPr="00D85E2D" w:rsidRDefault="009D611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4,3</w:t>
                      </w:r>
                    </w:p>
                  </w:txbxContent>
                </v:textbox>
              </v:shape>
            </w:pict>
          </mc:Fallback>
        </mc:AlternateContent>
      </w:r>
      <w:r w:rsidR="00DE4C6C">
        <w:rPr>
          <w:noProof/>
        </w:rPr>
        <mc:AlternateContent>
          <mc:Choice Requires="wps">
            <w:drawing>
              <wp:anchor distT="0" distB="0" distL="114300" distR="114300" simplePos="0" relativeHeight="251658338" behindDoc="0" locked="0" layoutInCell="1" allowOverlap="1" wp14:anchorId="2596F4DC" wp14:editId="635178DA">
                <wp:simplePos x="0" y="0"/>
                <wp:positionH relativeFrom="column">
                  <wp:posOffset>3002205</wp:posOffset>
                </wp:positionH>
                <wp:positionV relativeFrom="paragraph">
                  <wp:posOffset>925131</wp:posOffset>
                </wp:positionV>
                <wp:extent cx="376517" cy="210263"/>
                <wp:effectExtent l="0" t="0" r="0" b="0"/>
                <wp:wrapNone/>
                <wp:docPr id="1481591614"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6856A3FB" w14:textId="77777777" w:rsidR="0025253C" w:rsidRDefault="0025253C" w:rsidP="00D85E2D">
                            <w:pPr>
                              <w:rPr>
                                <w:rFonts w:ascii="Segoe UI Light" w:hAnsi="Segoe UI Light" w:cs="Segoe UI Light"/>
                                <w:b/>
                                <w:bCs/>
                                <w:color w:val="FFFFFF" w:themeColor="background1"/>
                                <w:sz w:val="14"/>
                                <w:szCs w:val="16"/>
                              </w:rPr>
                            </w:pPr>
                          </w:p>
                          <w:p w14:paraId="38E05169" w14:textId="77777777" w:rsidR="0025253C" w:rsidRDefault="0025253C" w:rsidP="00D85E2D">
                            <w:pPr>
                              <w:rPr>
                                <w:rFonts w:ascii="Segoe UI Light" w:hAnsi="Segoe UI Light" w:cs="Segoe UI Light"/>
                                <w:b/>
                                <w:bCs/>
                                <w:color w:val="FFFFFF" w:themeColor="background1"/>
                                <w:sz w:val="14"/>
                                <w:szCs w:val="16"/>
                              </w:rPr>
                            </w:pPr>
                          </w:p>
                          <w:p w14:paraId="006840A8" w14:textId="790F99B6"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6F4DC" id="_x0000_s1195" type="#_x0000_t202" style="position:absolute;left:0;text-align:left;margin-left:236.4pt;margin-top:72.85pt;width:29.65pt;height:16.5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SzHAIAADQEAAAOAAAAZHJzL2Uyb0RvYy54bWysU8lu2zAQvRfoPxC815K8JoLlwE3gooCR&#10;BHCKnGmKtARQHJakLblf3yHlDWlPRS/UDGc0y3uP84euUeQgrKtBFzQbpJQIzaGs9a6gP95WX+4o&#10;cZ7pkinQoqBH4ejD4vOneWtyMYQKVCkswSLa5a0paOW9yZPE8Uo0zA3ACI1BCbZhHl27S0rLWqze&#10;qGSYptOkBVsaC1w4h7dPfZAuYn0pBfcvUjrhiSoozubjaeO5DWeymLN8Z5mpan4ag/3DFA2rNTa9&#10;lHpinpG9rf8o1dTcggPpBxyaBKSsuYg74DZZ+mGbTcWMiLsgOM5cYHL/ryx/PmzMqyW++wodEhgA&#10;aY3LHV6GfTppm/DFSQnGEcLjBTbRecLxcjSbTrIZJRxDwywdTkehSnL92VjnvwloSDAKapGVCBY7&#10;rJ3vU88poZeGVa1UZEZp0hZ0Opqk8YdLBIsrjT2uowbLd9uO1CWuMb0/L7KF8oj7Weipd4avapxi&#10;zZx/ZRa5xpVQv/4FD6kAu8HJoqQC++tv9yEfKcAoJS1qp6Du555ZQYn6rpGc+2w8DmKLzngyG6Jj&#10;byPb24jeN4+A8szwpRgezZDv1dmUFpp3lPkydMUQ0xx7F9SfzUffKxqfCRfLZUxCeRnm13pjeCgd&#10;cA0Yv3XvzJoTER4ZfIazylj+gY8+t2dkufcg60hWQLpH9UQASjPSfXpGQfu3fsy6PvbFbwAAAP//&#10;AwBQSwMEFAAGAAgAAAAhAEiax+niAAAACwEAAA8AAABkcnMvZG93bnJldi54bWxMj0FPg0AQhe8m&#10;/ofNmHizS7EIQZamIWlMjB5ae/E2sFMgsrvIblv01zue9Pjmvbz3TbGezSDONPneWQXLRQSCbON0&#10;b1sFh7ftXQbCB7QaB2dJwRd5WJfXVwXm2l3sjs770AousT5HBV0IYy6lbzoy6BduJMve0U0GA8up&#10;lXrCC5ebQcZR9CAN9pYXOhyp6qj52J+Mgudq+4q7OjbZ91A9vRw34+fhPVHq9mbePIIINIe/MPzi&#10;MzqUzFS7k9VeDApWaczogY1VkoLgRHIfL0HUfEmzDGRZyP8/lD8AAAD//wMAUEsBAi0AFAAGAAgA&#10;AAAhALaDOJL+AAAA4QEAABMAAAAAAAAAAAAAAAAAAAAAAFtDb250ZW50X1R5cGVzXS54bWxQSwEC&#10;LQAUAAYACAAAACEAOP0h/9YAAACUAQAACwAAAAAAAAAAAAAAAAAvAQAAX3JlbHMvLnJlbHNQSwEC&#10;LQAUAAYACAAAACEAYsa0sxwCAAA0BAAADgAAAAAAAAAAAAAAAAAuAgAAZHJzL2Uyb0RvYy54bWxQ&#10;SwECLQAUAAYACAAAACEASJrH6eIAAAALAQAADwAAAAAAAAAAAAAAAAB2BAAAZHJzL2Rvd25yZXYu&#10;eG1sUEsFBgAAAAAEAAQA8wAAAIUFAAAAAA==&#10;" filled="f" stroked="f" strokeweight=".5pt">
                <v:textbox>
                  <w:txbxContent>
                    <w:p w14:paraId="6856A3FB" w14:textId="77777777" w:rsidR="0025253C" w:rsidRDefault="0025253C" w:rsidP="00D85E2D">
                      <w:pPr>
                        <w:rPr>
                          <w:rFonts w:ascii="Segoe UI Light" w:hAnsi="Segoe UI Light" w:cs="Segoe UI Light"/>
                          <w:b/>
                          <w:bCs/>
                          <w:color w:val="FFFFFF" w:themeColor="background1"/>
                          <w:sz w:val="14"/>
                          <w:szCs w:val="16"/>
                        </w:rPr>
                      </w:pPr>
                    </w:p>
                    <w:p w14:paraId="38E05169" w14:textId="77777777" w:rsidR="0025253C" w:rsidRDefault="0025253C" w:rsidP="00D85E2D">
                      <w:pPr>
                        <w:rPr>
                          <w:rFonts w:ascii="Segoe UI Light" w:hAnsi="Segoe UI Light" w:cs="Segoe UI Light"/>
                          <w:b/>
                          <w:bCs/>
                          <w:color w:val="FFFFFF" w:themeColor="background1"/>
                          <w:sz w:val="14"/>
                          <w:szCs w:val="16"/>
                        </w:rPr>
                      </w:pPr>
                    </w:p>
                    <w:p w14:paraId="006840A8" w14:textId="790F99B6"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3,5</w:t>
                      </w:r>
                    </w:p>
                  </w:txbxContent>
                </v:textbox>
              </v:shape>
            </w:pict>
          </mc:Fallback>
        </mc:AlternateContent>
      </w:r>
      <w:r w:rsidR="00DE4C6C">
        <w:rPr>
          <w:noProof/>
        </w:rPr>
        <mc:AlternateContent>
          <mc:Choice Requires="wps">
            <w:drawing>
              <wp:anchor distT="0" distB="0" distL="114300" distR="114300" simplePos="0" relativeHeight="251658333" behindDoc="0" locked="0" layoutInCell="1" allowOverlap="1" wp14:anchorId="6EDCC206" wp14:editId="77257122">
                <wp:simplePos x="0" y="0"/>
                <wp:positionH relativeFrom="column">
                  <wp:posOffset>3241481</wp:posOffset>
                </wp:positionH>
                <wp:positionV relativeFrom="paragraph">
                  <wp:posOffset>1996440</wp:posOffset>
                </wp:positionV>
                <wp:extent cx="376517" cy="210263"/>
                <wp:effectExtent l="0" t="0" r="0" b="0"/>
                <wp:wrapNone/>
                <wp:docPr id="1827212875"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7A80C14E" w14:textId="77777777" w:rsidR="0025253C" w:rsidRDefault="0025253C" w:rsidP="00D85E2D">
                            <w:pPr>
                              <w:rPr>
                                <w:rFonts w:ascii="Segoe UI Light" w:hAnsi="Segoe UI Light" w:cs="Segoe UI Light"/>
                                <w:b/>
                                <w:bCs/>
                                <w:color w:val="FFFFFF" w:themeColor="background1"/>
                                <w:sz w:val="14"/>
                                <w:szCs w:val="16"/>
                              </w:rPr>
                            </w:pPr>
                          </w:p>
                          <w:p w14:paraId="6551B2B5" w14:textId="77777777" w:rsidR="0025253C" w:rsidRDefault="0025253C" w:rsidP="00D85E2D">
                            <w:pPr>
                              <w:rPr>
                                <w:rFonts w:ascii="Segoe UI Light" w:hAnsi="Segoe UI Light" w:cs="Segoe UI Light"/>
                                <w:b/>
                                <w:bCs/>
                                <w:color w:val="FFFFFF" w:themeColor="background1"/>
                                <w:sz w:val="14"/>
                                <w:szCs w:val="16"/>
                              </w:rPr>
                            </w:pPr>
                          </w:p>
                          <w:p w14:paraId="20CCA670" w14:textId="6688CCEE" w:rsidR="00D85E2D" w:rsidRPr="00D85E2D" w:rsidRDefault="003D2D96"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CC206" id="_x0000_s1196" type="#_x0000_t202" style="position:absolute;left:0;text-align:left;margin-left:255.25pt;margin-top:157.2pt;width:29.65pt;height:16.5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y6GgIAADQEAAAOAAAAZHJzL2Uyb0RvYy54bWysU8lu2zAQvRfoPxC815K8toLlwE3gooCR&#10;BHCKnGmKtARQHJakLblf3yHlDWlPQS7UcGb0ZnmP87uuUeQgrKtBFzQbpJQIzaGs9a6gv15WX75S&#10;4jzTJVOgRUGPwtG7xedP89bkYggVqFJYgiDa5a0paOW9yZPE8Uo0zA3ACI1BCbZhHq92l5SWtYje&#10;qGSYptOkBVsaC1w4h96HPkgXEV9Kwf2TlE54ogqKvfl42nhuw5ks5izfWWaqmp/aYO/oomG1xqIX&#10;qAfmGdnb+h+opuYWHEg/4NAkIGXNRZwBp8nSN9NsKmZEnAWX48xlTe7jYPnjYWOeLfHdd+iQwLCQ&#10;1rjcoTPM00nbhC92SjCOKzxe1iY6Tzg6R7PpJJtRwjE0zNLhdBRQkuvPxjr/Q0BDglFQi6zEZbHD&#10;2vk+9ZwSamlY1UpFZpQmbUGno0kaf7hEEFxprHFtNVi+23akLnGMWWQ2+LZQHnE+Cz31zvBVjV2s&#10;mfPPzCLXOBLq1z/hIRVgNThZlFRg//zPH/KRAoxS0qJ2Cup+75kVlKifGsn5lo3HQWzxMp7Mhnix&#10;t5HtbUTvm3tAeWb4UgyPZsj36mxKC80rynwZqmKIaY61C+rP5r3vFY3PhIvlMiahvAzza70xPECH&#10;vYYdv3SvzJoTER4ZfISzylj+ho8+t2dkufcg60jWdasnAlCake7TMwrav73HrOtjX/wFAAD//wMA&#10;UEsDBBQABgAIAAAAIQCyVuMD4wAAAAsBAAAPAAAAZHJzL2Rvd25yZXYueG1sTI/LTsMwEEX3SPyD&#10;NUjsqJMSlxLiVFWkCgnRRUs37Jx4mkT4EWK3DXw9wwqWM3N059xiNVnDzjiG3jsJ6SwBhq7xunet&#10;hMPb5m4JLETltDLeoYQvDLAqr68KlWt/cTs872PLKMSFXEnoYhxyzkPToVVh5gd0dDv60apI49hy&#10;PaoLhVvD50my4Fb1jj50asCqw+Zjf7ISXqrNVu3quV1+m+r59bgePg/vQsrbm2n9BCziFP9g+NUn&#10;dSjJqfYnpwMzEkSaCEIl3KdZBowIsXikMjVtsgcBvCz4/w7lDwAAAP//AwBQSwECLQAUAAYACAAA&#10;ACEAtoM4kv4AAADhAQAAEwAAAAAAAAAAAAAAAAAAAAAAW0NvbnRlbnRfVHlwZXNdLnhtbFBLAQIt&#10;ABQABgAIAAAAIQA4/SH/1gAAAJQBAAALAAAAAAAAAAAAAAAAAC8BAABfcmVscy8ucmVsc1BLAQIt&#10;ABQABgAIAAAAIQC/21y6GgIAADQEAAAOAAAAAAAAAAAAAAAAAC4CAABkcnMvZTJvRG9jLnhtbFBL&#10;AQItABQABgAIAAAAIQCyVuMD4wAAAAsBAAAPAAAAAAAAAAAAAAAAAHQEAABkcnMvZG93bnJldi54&#10;bWxQSwUGAAAAAAQABADzAAAAhAUAAAAA&#10;" filled="f" stroked="f" strokeweight=".5pt">
                <v:textbox>
                  <w:txbxContent>
                    <w:p w14:paraId="7A80C14E" w14:textId="77777777" w:rsidR="0025253C" w:rsidRDefault="0025253C" w:rsidP="00D85E2D">
                      <w:pPr>
                        <w:rPr>
                          <w:rFonts w:ascii="Segoe UI Light" w:hAnsi="Segoe UI Light" w:cs="Segoe UI Light"/>
                          <w:b/>
                          <w:bCs/>
                          <w:color w:val="FFFFFF" w:themeColor="background1"/>
                          <w:sz w:val="14"/>
                          <w:szCs w:val="16"/>
                        </w:rPr>
                      </w:pPr>
                    </w:p>
                    <w:p w14:paraId="6551B2B5" w14:textId="77777777" w:rsidR="0025253C" w:rsidRDefault="0025253C" w:rsidP="00D85E2D">
                      <w:pPr>
                        <w:rPr>
                          <w:rFonts w:ascii="Segoe UI Light" w:hAnsi="Segoe UI Light" w:cs="Segoe UI Light"/>
                          <w:b/>
                          <w:bCs/>
                          <w:color w:val="FFFFFF" w:themeColor="background1"/>
                          <w:sz w:val="14"/>
                          <w:szCs w:val="16"/>
                        </w:rPr>
                      </w:pPr>
                    </w:p>
                    <w:p w14:paraId="20CCA670" w14:textId="6688CCEE" w:rsidR="00D85E2D" w:rsidRPr="00D85E2D" w:rsidRDefault="003D2D96"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1,5</w:t>
                      </w:r>
                    </w:p>
                  </w:txbxContent>
                </v:textbox>
              </v:shape>
            </w:pict>
          </mc:Fallback>
        </mc:AlternateContent>
      </w:r>
      <w:r w:rsidR="00DE4C6C">
        <w:rPr>
          <w:noProof/>
        </w:rPr>
        <mc:AlternateContent>
          <mc:Choice Requires="wps">
            <w:drawing>
              <wp:anchor distT="0" distB="0" distL="114300" distR="114300" simplePos="0" relativeHeight="251658334" behindDoc="0" locked="0" layoutInCell="1" allowOverlap="1" wp14:anchorId="7C34E5B3" wp14:editId="2A9E1D6B">
                <wp:simplePos x="0" y="0"/>
                <wp:positionH relativeFrom="column">
                  <wp:posOffset>3164202</wp:posOffset>
                </wp:positionH>
                <wp:positionV relativeFrom="paragraph">
                  <wp:posOffset>1830484</wp:posOffset>
                </wp:positionV>
                <wp:extent cx="375920" cy="210185"/>
                <wp:effectExtent l="0" t="0" r="0" b="0"/>
                <wp:wrapNone/>
                <wp:docPr id="1205335419" name="Text Box 214"/>
                <wp:cNvGraphicFramePr/>
                <a:graphic xmlns:a="http://schemas.openxmlformats.org/drawingml/2006/main">
                  <a:graphicData uri="http://schemas.microsoft.com/office/word/2010/wordprocessingShape">
                    <wps:wsp>
                      <wps:cNvSpPr txBox="1"/>
                      <wps:spPr>
                        <a:xfrm>
                          <a:off x="0" y="0"/>
                          <a:ext cx="375920" cy="210185"/>
                        </a:xfrm>
                        <a:prstGeom prst="rect">
                          <a:avLst/>
                        </a:prstGeom>
                        <a:noFill/>
                        <a:ln w="6350">
                          <a:noFill/>
                        </a:ln>
                      </wps:spPr>
                      <wps:txbx>
                        <w:txbxContent>
                          <w:p w14:paraId="5752B589" w14:textId="77777777" w:rsidR="0025253C" w:rsidRDefault="0025253C" w:rsidP="00D85E2D">
                            <w:pPr>
                              <w:rPr>
                                <w:rFonts w:ascii="Segoe UI Light" w:hAnsi="Segoe UI Light" w:cs="Segoe UI Light"/>
                                <w:b/>
                                <w:bCs/>
                                <w:color w:val="FFFFFF" w:themeColor="background1"/>
                                <w:sz w:val="14"/>
                                <w:szCs w:val="16"/>
                              </w:rPr>
                            </w:pPr>
                          </w:p>
                          <w:p w14:paraId="1849B50D" w14:textId="77777777" w:rsidR="0025253C" w:rsidRDefault="0025253C" w:rsidP="00D85E2D">
                            <w:pPr>
                              <w:rPr>
                                <w:rFonts w:ascii="Segoe UI Light" w:hAnsi="Segoe UI Light" w:cs="Segoe UI Light"/>
                                <w:b/>
                                <w:bCs/>
                                <w:color w:val="FFFFFF" w:themeColor="background1"/>
                                <w:sz w:val="14"/>
                                <w:szCs w:val="16"/>
                              </w:rPr>
                            </w:pPr>
                          </w:p>
                          <w:p w14:paraId="0661FF73" w14:textId="292AC35E" w:rsidR="00D85E2D" w:rsidRPr="00D85E2D" w:rsidRDefault="003D2D96"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4E5B3" id="_x0000_s1197" type="#_x0000_t202" style="position:absolute;left:0;text-align:left;margin-left:249.15pt;margin-top:144.15pt;width:29.6pt;height:16.5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ANIGwIAADQEAAAOAAAAZHJzL2Uyb0RvYy54bWysU8tu2zAQvBfoPxC815IcO04Ey4GbwEUB&#10;IwngFDnTFGkJoLgsSVtyv75LSn4g7anoZbXkrvYxM5w/dI0iB2FdDbqg2SilRGgOZa13Bf3xtvpy&#10;R4nzTJdMgRYFPQpHHxafP81bk4sxVKBKYQkW0S5vTUEr702eJI5XomFuBEZoDEqwDfN4tLuktKzF&#10;6o1Kxml6m7RgS2OBC+fw9qkP0kWsL6Xg/kVKJzxRBcXZfLQ22m2wyWLO8p1lpqr5MAb7hykaVmts&#10;ei71xDwje1v/UaqpuQUH0o84NAlIWXMRd8BtsvTDNpuKGRF3QXCcOcPk/l9Z/nzYmFdLfPcVOiQw&#10;ANIalzu8DPt00jbhi5MSjCOExzNsovOE4+XNbHo/xgjH0DhLs7tpqJJcfjbW+W8CGhKcglpkJYLF&#10;Dmvn+9RTSuilYVUrFZlRmrQFvb2ZpvGHcwSLK409LqMGz3fbjtQlrjE7L7KF8oj7Weipd4avapxi&#10;zZx/ZRa5xsFRv/4FjVSA3WDwKKnA/vrbfchHCjBKSYvaKaj7uWdWUKK+ayTnPptMgtjiYTKdBXDs&#10;dWR7HdH75hFQnhm+FMOjG/K9OrnSQvOOMl+GrhhimmPvgvqT++h7ReMz4WK5jEkoL8P8Wm8MD6UD&#10;rgHjt+6dWTMQ4ZHBZzipjOUf+Ohze0aWew+yjmQFpHtUBwJQmpHu4RkF7V+fY9blsS9+AwAA//8D&#10;AFBLAwQUAAYACAAAACEAD3hzaOIAAAALAQAADwAAAGRycy9kb3ducmV2LnhtbEyPwU7DMAyG70i8&#10;Q2Qkbixdt0IpTaep0oSE4LCxCze38dqKxilNthWenuwEN1v+9Pv789VkenGi0XWWFcxnEQji2uqO&#10;GwX7981dCsJ5ZI29ZVLwTQ5WxfVVjpm2Z97SaecbEULYZaig9X7IpHR1SwbdzA7E4Xawo0Ef1rGR&#10;esRzCDe9jKPoXhrsOHxocaCypfpzdzQKXsrNG26r2KQ/ffn8elgPX/uPRKnbm2n9BMLT5P9guOgH&#10;dSiCU2WPrJ3oFSwf00VAFcTpZQhEkjwkICoFi3i+BFnk8n+H4hcAAP//AwBQSwECLQAUAAYACAAA&#10;ACEAtoM4kv4AAADhAQAAEwAAAAAAAAAAAAAAAAAAAAAAW0NvbnRlbnRfVHlwZXNdLnhtbFBLAQIt&#10;ABQABgAIAAAAIQA4/SH/1gAAAJQBAAALAAAAAAAAAAAAAAAAAC8BAABfcmVscy8ucmVsc1BLAQIt&#10;ABQABgAIAAAAIQB8nANIGwIAADQEAAAOAAAAAAAAAAAAAAAAAC4CAABkcnMvZTJvRG9jLnhtbFBL&#10;AQItABQABgAIAAAAIQAPeHNo4gAAAAsBAAAPAAAAAAAAAAAAAAAAAHUEAABkcnMvZG93bnJldi54&#10;bWxQSwUGAAAAAAQABADzAAAAhAUAAAAA&#10;" filled="f" stroked="f" strokeweight=".5pt">
                <v:textbox>
                  <w:txbxContent>
                    <w:p w14:paraId="5752B589" w14:textId="77777777" w:rsidR="0025253C" w:rsidRDefault="0025253C" w:rsidP="00D85E2D">
                      <w:pPr>
                        <w:rPr>
                          <w:rFonts w:ascii="Segoe UI Light" w:hAnsi="Segoe UI Light" w:cs="Segoe UI Light"/>
                          <w:b/>
                          <w:bCs/>
                          <w:color w:val="FFFFFF" w:themeColor="background1"/>
                          <w:sz w:val="14"/>
                          <w:szCs w:val="16"/>
                        </w:rPr>
                      </w:pPr>
                    </w:p>
                    <w:p w14:paraId="1849B50D" w14:textId="77777777" w:rsidR="0025253C" w:rsidRDefault="0025253C" w:rsidP="00D85E2D">
                      <w:pPr>
                        <w:rPr>
                          <w:rFonts w:ascii="Segoe UI Light" w:hAnsi="Segoe UI Light" w:cs="Segoe UI Light"/>
                          <w:b/>
                          <w:bCs/>
                          <w:color w:val="FFFFFF" w:themeColor="background1"/>
                          <w:sz w:val="14"/>
                          <w:szCs w:val="16"/>
                        </w:rPr>
                      </w:pPr>
                    </w:p>
                    <w:p w14:paraId="0661FF73" w14:textId="292AC35E" w:rsidR="00D85E2D" w:rsidRPr="00D85E2D" w:rsidRDefault="003D2D96"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1,4</w:t>
                      </w:r>
                    </w:p>
                  </w:txbxContent>
                </v:textbox>
              </v:shape>
            </w:pict>
          </mc:Fallback>
        </mc:AlternateContent>
      </w:r>
      <w:r w:rsidR="00DE4C6C">
        <w:rPr>
          <w:noProof/>
        </w:rPr>
        <mc:AlternateContent>
          <mc:Choice Requires="wps">
            <w:drawing>
              <wp:anchor distT="0" distB="0" distL="114300" distR="114300" simplePos="0" relativeHeight="251658335" behindDoc="0" locked="0" layoutInCell="1" allowOverlap="1" wp14:anchorId="0E54766B" wp14:editId="509A3B8E">
                <wp:simplePos x="0" y="0"/>
                <wp:positionH relativeFrom="column">
                  <wp:posOffset>3102610</wp:posOffset>
                </wp:positionH>
                <wp:positionV relativeFrom="paragraph">
                  <wp:posOffset>1729105</wp:posOffset>
                </wp:positionV>
                <wp:extent cx="375920" cy="210185"/>
                <wp:effectExtent l="0" t="0" r="0" b="0"/>
                <wp:wrapNone/>
                <wp:docPr id="606124917" name="Text Box 214"/>
                <wp:cNvGraphicFramePr/>
                <a:graphic xmlns:a="http://schemas.openxmlformats.org/drawingml/2006/main">
                  <a:graphicData uri="http://schemas.microsoft.com/office/word/2010/wordprocessingShape">
                    <wps:wsp>
                      <wps:cNvSpPr txBox="1"/>
                      <wps:spPr>
                        <a:xfrm>
                          <a:off x="0" y="0"/>
                          <a:ext cx="375920" cy="210185"/>
                        </a:xfrm>
                        <a:prstGeom prst="rect">
                          <a:avLst/>
                        </a:prstGeom>
                        <a:noFill/>
                        <a:ln w="6350">
                          <a:noFill/>
                        </a:ln>
                      </wps:spPr>
                      <wps:txbx>
                        <w:txbxContent>
                          <w:p w14:paraId="15C2A645" w14:textId="77777777" w:rsidR="0025253C" w:rsidRDefault="0025253C" w:rsidP="00D85E2D">
                            <w:pPr>
                              <w:rPr>
                                <w:rFonts w:ascii="Segoe UI Light" w:hAnsi="Segoe UI Light" w:cs="Segoe UI Light"/>
                                <w:b/>
                                <w:bCs/>
                                <w:color w:val="FFFFFF" w:themeColor="background1"/>
                                <w:sz w:val="14"/>
                                <w:szCs w:val="16"/>
                              </w:rPr>
                            </w:pPr>
                          </w:p>
                          <w:p w14:paraId="242EB9D4" w14:textId="77777777" w:rsidR="0025253C" w:rsidRDefault="0025253C" w:rsidP="00D85E2D">
                            <w:pPr>
                              <w:rPr>
                                <w:rFonts w:ascii="Segoe UI Light" w:hAnsi="Segoe UI Light" w:cs="Segoe UI Light"/>
                                <w:b/>
                                <w:bCs/>
                                <w:color w:val="FFFFFF" w:themeColor="background1"/>
                                <w:sz w:val="14"/>
                                <w:szCs w:val="16"/>
                              </w:rPr>
                            </w:pPr>
                          </w:p>
                          <w:p w14:paraId="060BBD9D" w14:textId="6895BF1E" w:rsidR="00D85E2D" w:rsidRPr="00D85E2D" w:rsidRDefault="003D2D96"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4766B" id="_x0000_s1198" type="#_x0000_t202" style="position:absolute;left:0;text-align:left;margin-left:244.3pt;margin-top:136.15pt;width:29.6pt;height:16.5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KLsHAIAADQEAAAOAAAAZHJzL2Uyb0RvYy54bWysU8tu2zAQvBfoPxC815IcO04Ey4GbwEUB&#10;IwngFDnTFGkJoLgsSVtyv75LSn4g7anoZbXkrvYxM5w/dI0iB2FdDbqg2SilRGgOZa13Bf3xtvpy&#10;R4nzTJdMgRYFPQpHHxafP81bk4sxVKBKYQkW0S5vTUEr702eJI5XomFuBEZoDEqwDfN4tLuktKzF&#10;6o1Kxml6m7RgS2OBC+fw9qkP0kWsL6Xg/kVKJzxRBcXZfLQ22m2wyWLO8p1lpqr5MAb7hykaVmts&#10;ei71xDwje1v/UaqpuQUH0o84NAlIWXMRd8BtsvTDNpuKGRF3QXCcOcPk/l9Z/nzYmFdLfPcVOiQw&#10;ANIalzu8DPt00jbhi5MSjCOExzNsovOE4+XNbHo/xgjH0DhLs7tpqJJcfjbW+W8CGhKcglpkJYLF&#10;Dmvn+9RTSuilYVUrFZlRmrQFvb2ZpvGHcwSLK409LqMGz3fbjtQlrjEbnxbZQnnE/Sz01DvDVzVO&#10;sWbOvzKLXOPgqF//gkYqwG4weJRUYH/97T7kIwUYpaRF7RTU/dwzKyhR3zWSc59NJkFs8TCZzgI4&#10;9jqyvY7offMIKM8MX4rh0Q35Xp1caaF5R5kvQ1cMMc2xd0H9yX30vaLxmXCxXMYklJdhfq03hofS&#10;AdeA8Vv3zqwZiPDI4DOcVMbyD3z0uT0jy70HWUeyAtI9qgMBKM1I9/CMgvavzzHr8tgXvwEAAP//&#10;AwBQSwMEFAAGAAgAAAAhAGbrzM7jAAAACwEAAA8AAABkcnMvZG93bnJldi54bWxMj8FOwzAQRO9I&#10;/IO1SNyo0zRpoxCnqiJVSAgOLb1wc2I3iWqvQ+y2ga9nOZXjap9m3hTryRp20aPvHQqYzyJgGhun&#10;emwFHD62TxkwHyQqaRxqAd/aw7q8vytkrtwVd/qyDy2jEPS5FNCFMOSc+6bTVvqZGzTS7+hGKwOd&#10;Y8vVKK8Ubg2Po2jJreyRGjo56KrTzWl/tgJeq+273NWxzX5M9fJ23Axfh89UiMeHafMMLOgp3GD4&#10;0yd1KMmpdmdUnhkBSZYtCRUQr+IFMCLSZEVjagGLKE2AlwX/v6H8BQAA//8DAFBLAQItABQABgAI&#10;AAAAIQC2gziS/gAAAOEBAAATAAAAAAAAAAAAAAAAAAAAAABbQ29udGVudF9UeXBlc10ueG1sUEsB&#10;Ai0AFAAGAAgAAAAhADj9If/WAAAAlAEAAAsAAAAAAAAAAAAAAAAALwEAAF9yZWxzLy5yZWxzUEsB&#10;Ai0AFAAGAAgAAAAhALxMouwcAgAANAQAAA4AAAAAAAAAAAAAAAAALgIAAGRycy9lMm9Eb2MueG1s&#10;UEsBAi0AFAAGAAgAAAAhAGbrzM7jAAAACwEAAA8AAAAAAAAAAAAAAAAAdgQAAGRycy9kb3ducmV2&#10;LnhtbFBLBQYAAAAABAAEAPMAAACGBQAAAAA=&#10;" filled="f" stroked="f" strokeweight=".5pt">
                <v:textbox>
                  <w:txbxContent>
                    <w:p w14:paraId="15C2A645" w14:textId="77777777" w:rsidR="0025253C" w:rsidRDefault="0025253C" w:rsidP="00D85E2D">
                      <w:pPr>
                        <w:rPr>
                          <w:rFonts w:ascii="Segoe UI Light" w:hAnsi="Segoe UI Light" w:cs="Segoe UI Light"/>
                          <w:b/>
                          <w:bCs/>
                          <w:color w:val="FFFFFF" w:themeColor="background1"/>
                          <w:sz w:val="14"/>
                          <w:szCs w:val="16"/>
                        </w:rPr>
                      </w:pPr>
                    </w:p>
                    <w:p w14:paraId="242EB9D4" w14:textId="77777777" w:rsidR="0025253C" w:rsidRDefault="0025253C" w:rsidP="00D85E2D">
                      <w:pPr>
                        <w:rPr>
                          <w:rFonts w:ascii="Segoe UI Light" w:hAnsi="Segoe UI Light" w:cs="Segoe UI Light"/>
                          <w:b/>
                          <w:bCs/>
                          <w:color w:val="FFFFFF" w:themeColor="background1"/>
                          <w:sz w:val="14"/>
                          <w:szCs w:val="16"/>
                        </w:rPr>
                      </w:pPr>
                    </w:p>
                    <w:p w14:paraId="060BBD9D" w14:textId="6895BF1E" w:rsidR="00D85E2D" w:rsidRPr="00D85E2D" w:rsidRDefault="003D2D96"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1,3</w:t>
                      </w:r>
                    </w:p>
                  </w:txbxContent>
                </v:textbox>
              </v:shape>
            </w:pict>
          </mc:Fallback>
        </mc:AlternateContent>
      </w:r>
      <w:r w:rsidR="00DE4C6C">
        <w:rPr>
          <w:noProof/>
        </w:rPr>
        <mc:AlternateContent>
          <mc:Choice Requires="wps">
            <w:drawing>
              <wp:anchor distT="0" distB="0" distL="114300" distR="114300" simplePos="0" relativeHeight="251658336" behindDoc="0" locked="0" layoutInCell="1" allowOverlap="1" wp14:anchorId="0E2F8E89" wp14:editId="7FD24E73">
                <wp:simplePos x="0" y="0"/>
                <wp:positionH relativeFrom="column">
                  <wp:posOffset>3007995</wp:posOffset>
                </wp:positionH>
                <wp:positionV relativeFrom="paragraph">
                  <wp:posOffset>1614805</wp:posOffset>
                </wp:positionV>
                <wp:extent cx="375920" cy="210185"/>
                <wp:effectExtent l="0" t="0" r="0" b="0"/>
                <wp:wrapNone/>
                <wp:docPr id="681608271" name="Text Box 214"/>
                <wp:cNvGraphicFramePr/>
                <a:graphic xmlns:a="http://schemas.openxmlformats.org/drawingml/2006/main">
                  <a:graphicData uri="http://schemas.microsoft.com/office/word/2010/wordprocessingShape">
                    <wps:wsp>
                      <wps:cNvSpPr txBox="1"/>
                      <wps:spPr>
                        <a:xfrm>
                          <a:off x="0" y="0"/>
                          <a:ext cx="375920" cy="210185"/>
                        </a:xfrm>
                        <a:prstGeom prst="rect">
                          <a:avLst/>
                        </a:prstGeom>
                        <a:noFill/>
                        <a:ln w="6350">
                          <a:noFill/>
                        </a:ln>
                      </wps:spPr>
                      <wps:txbx>
                        <w:txbxContent>
                          <w:p w14:paraId="0205822E" w14:textId="77777777" w:rsidR="0025253C" w:rsidRDefault="0025253C" w:rsidP="00D85E2D">
                            <w:pPr>
                              <w:rPr>
                                <w:rFonts w:ascii="Segoe UI Light" w:hAnsi="Segoe UI Light" w:cs="Segoe UI Light"/>
                                <w:b/>
                                <w:bCs/>
                                <w:color w:val="FFFFFF" w:themeColor="background1"/>
                                <w:sz w:val="14"/>
                                <w:szCs w:val="16"/>
                              </w:rPr>
                            </w:pPr>
                          </w:p>
                          <w:p w14:paraId="0754F328" w14:textId="77777777" w:rsidR="0025253C" w:rsidRDefault="0025253C" w:rsidP="00D85E2D">
                            <w:pPr>
                              <w:rPr>
                                <w:rFonts w:ascii="Segoe UI Light" w:hAnsi="Segoe UI Light" w:cs="Segoe UI Light"/>
                                <w:b/>
                                <w:bCs/>
                                <w:color w:val="FFFFFF" w:themeColor="background1"/>
                                <w:sz w:val="14"/>
                                <w:szCs w:val="16"/>
                              </w:rPr>
                            </w:pPr>
                          </w:p>
                          <w:p w14:paraId="44A5EA43" w14:textId="53D1D729"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F8E89" id="_x0000_s1199" type="#_x0000_t202" style="position:absolute;left:0;text-align:left;margin-left:236.85pt;margin-top:127.15pt;width:29.6pt;height:16.5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05GwIAADQEAAAOAAAAZHJzL2Uyb0RvYy54bWysU8lu2zAQvRfIPxC8x5K8xIlgOXATuChg&#10;JAGcImeaIi0BFIclaUvu13dIeUPaU9HLaMgZzfLe4+yxaxTZC+tq0AXNBiklQnMoa70t6I/35e09&#10;Jc4zXTIFWhT0IBx9nN98mbUmF0OoQJXCEiyiXd6aglbemzxJHK9Ew9wAjNAYlGAb5vFot0lpWYvV&#10;G5UM0/QuacGWxgIXzuHtcx+k81hfSsH9q5ROeKIKirP5aG20m2CT+YzlW8tMVfPjGOwfpmhYrbHp&#10;udQz84zsbP1HqabmFhxIP+DQJCBlzUXcAbfJ0k/brCtmRNwFwXHmDJP7f2X5y35t3izx3VfokMAA&#10;SGtc7vAy7NNJ24QvTkowjhAezrCJzhOOl6Pp5GGIEY6hYZZm95NQJbn8bKzz3wQ0JDgFtchKBIvt&#10;V873qaeU0EvDslYqMqM0aQt6N5qk8YdzBIsrjT0uowbPd5uO1CWuMR2dFtlAecD9LPTUO8OXNU6x&#10;Ys6/MYtc4+CoX/+KRirAbnD0KKnA/vrbfchHCjBKSYvaKaj7uWNWUKK+ayTnIRuPg9jiYTyZBnDs&#10;dWRzHdG75glQnhm+FMOjG/K9OrnSQvOBMl+ErhhimmPvgvqT++R7ReMz4WKxiEkoL8P8Sq8ND6UD&#10;rgHj9+6DWXMkwiODL3BSGcs/8dHn9owsdh5kHckKSPeoHglAaUa6j88oaP/6HLMuj33+GwAA//8D&#10;AFBLAwQUAAYACAAAACEAMz9nD+MAAAALAQAADwAAAGRycy9kb3ducmV2LnhtbEyPy07DMBBF90j8&#10;gzVI7KhDHiRN41RVpAoJ0UVLN+wmsZtExOMQu23g6zErWM7M0Z1zi/WsB3ZRk+0NCXhcBMAUNUb2&#10;1Ao4vm0fMmDWIUkcDCkBX8rCury9KTCX5kp7dTm4lvkQsjkK6Jwbc85t0ymNdmFGRf52MpNG58ep&#10;5XLCqw/XAw+D4Ilr7Ml/6HBUVaeaj8NZC3iptjvc16HOvofq+fW0GT+P74kQ93fzZgXMqdn9wfCr&#10;79Wh9E61OZO0bBAQp1HqUQFhEkfAPJFE4RJY7TdZGgMvC/6/Q/kDAAD//wMAUEsBAi0AFAAGAAgA&#10;AAAhALaDOJL+AAAA4QEAABMAAAAAAAAAAAAAAAAAAAAAAFtDb250ZW50X1R5cGVzXS54bWxQSwEC&#10;LQAUAAYACAAAACEAOP0h/9YAAACUAQAACwAAAAAAAAAAAAAAAAAvAQAAX3JlbHMvLnJlbHNQSwEC&#10;LQAUAAYACAAAACEAw/7tORsCAAA0BAAADgAAAAAAAAAAAAAAAAAuAgAAZHJzL2Uyb0RvYy54bWxQ&#10;SwECLQAUAAYACAAAACEAMz9nD+MAAAALAQAADwAAAAAAAAAAAAAAAAB1BAAAZHJzL2Rvd25yZXYu&#10;eG1sUEsFBgAAAAAEAAQA8wAAAIUFAAAAAA==&#10;" filled="f" stroked="f" strokeweight=".5pt">
                <v:textbox>
                  <w:txbxContent>
                    <w:p w14:paraId="0205822E" w14:textId="77777777" w:rsidR="0025253C" w:rsidRDefault="0025253C" w:rsidP="00D85E2D">
                      <w:pPr>
                        <w:rPr>
                          <w:rFonts w:ascii="Segoe UI Light" w:hAnsi="Segoe UI Light" w:cs="Segoe UI Light"/>
                          <w:b/>
                          <w:bCs/>
                          <w:color w:val="FFFFFF" w:themeColor="background1"/>
                          <w:sz w:val="14"/>
                          <w:szCs w:val="16"/>
                        </w:rPr>
                      </w:pPr>
                    </w:p>
                    <w:p w14:paraId="0754F328" w14:textId="77777777" w:rsidR="0025253C" w:rsidRDefault="0025253C" w:rsidP="00D85E2D">
                      <w:pPr>
                        <w:rPr>
                          <w:rFonts w:ascii="Segoe UI Light" w:hAnsi="Segoe UI Light" w:cs="Segoe UI Light"/>
                          <w:b/>
                          <w:bCs/>
                          <w:color w:val="FFFFFF" w:themeColor="background1"/>
                          <w:sz w:val="14"/>
                          <w:szCs w:val="16"/>
                        </w:rPr>
                      </w:pPr>
                    </w:p>
                    <w:p w14:paraId="44A5EA43" w14:textId="53D1D729"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1,1</w:t>
                      </w:r>
                    </w:p>
                  </w:txbxContent>
                </v:textbox>
              </v:shape>
            </w:pict>
          </mc:Fallback>
        </mc:AlternateContent>
      </w:r>
      <w:r w:rsidR="00DE4C6C">
        <w:rPr>
          <w:noProof/>
        </w:rPr>
        <mc:AlternateContent>
          <mc:Choice Requires="wps">
            <w:drawing>
              <wp:anchor distT="0" distB="0" distL="114300" distR="114300" simplePos="0" relativeHeight="251658332" behindDoc="0" locked="0" layoutInCell="1" allowOverlap="1" wp14:anchorId="41CD3961" wp14:editId="154900B7">
                <wp:simplePos x="0" y="0"/>
                <wp:positionH relativeFrom="column">
                  <wp:posOffset>3432524</wp:posOffset>
                </wp:positionH>
                <wp:positionV relativeFrom="paragraph">
                  <wp:posOffset>2075180</wp:posOffset>
                </wp:positionV>
                <wp:extent cx="376517" cy="210263"/>
                <wp:effectExtent l="0" t="0" r="0" b="0"/>
                <wp:wrapNone/>
                <wp:docPr id="175518026"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00E3D809" w14:textId="77777777" w:rsidR="0025253C" w:rsidRDefault="0025253C" w:rsidP="00D85E2D">
                            <w:pPr>
                              <w:rPr>
                                <w:rFonts w:ascii="Segoe UI Light" w:hAnsi="Segoe UI Light" w:cs="Segoe UI Light"/>
                                <w:b/>
                                <w:bCs/>
                                <w:color w:val="FFFFFF" w:themeColor="background1"/>
                                <w:sz w:val="14"/>
                                <w:szCs w:val="16"/>
                              </w:rPr>
                            </w:pPr>
                          </w:p>
                          <w:p w14:paraId="7FAAD8E2" w14:textId="77777777" w:rsidR="0025253C" w:rsidRDefault="0025253C" w:rsidP="00D85E2D">
                            <w:pPr>
                              <w:rPr>
                                <w:rFonts w:ascii="Segoe UI Light" w:hAnsi="Segoe UI Light" w:cs="Segoe UI Light"/>
                                <w:b/>
                                <w:bCs/>
                                <w:color w:val="FFFFFF" w:themeColor="background1"/>
                                <w:sz w:val="14"/>
                                <w:szCs w:val="16"/>
                              </w:rPr>
                            </w:pPr>
                          </w:p>
                          <w:p w14:paraId="52320528" w14:textId="34382400" w:rsidR="00D85E2D" w:rsidRPr="00D85E2D" w:rsidRDefault="003D2D96"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D3961" id="_x0000_s1200" type="#_x0000_t202" style="position:absolute;left:0;text-align:left;margin-left:270.3pt;margin-top:163.4pt;width:29.65pt;height:16.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oBZHAIAADQEAAAOAAAAZHJzL2Uyb0RvYy54bWysU8lu2zAQvRfoPxC815K8toLlwE3gooCR&#10;BHCKnGmKtARQHJakLblf3yHlDWlPQS7UDGc0y3uP87uuUeQgrKtBFzQbpJQIzaGs9a6gv15WX75S&#10;4jzTJVOgRUGPwtG7xedP89bkYggVqFJYgkW0y1tT0Mp7kyeJ45VomBuAERqDEmzDPLp2l5SWtVi9&#10;UckwTadJC7Y0FrhwDm8f+iBdxPpSCu6fpHTCE1VQnM3H08ZzG85kMWf5zjJT1fw0BnvHFA2rNTa9&#10;lHpgnpG9rf8p1dTcggPpBxyaBKSsuYg74DZZ+mabTcWMiLsgOM5cYHIfV5Y/Hjbm2RLffYcOCQyA&#10;tMblDi/DPp20TfjipATjCOHxApvoPOF4OZpNJ9mMEo6hYZYOp6NQJbn+bKzzPwQ0JBgFtchKBIsd&#10;1s73qeeU0EvDqlYqMqM0aQs6HU3S+MMlgsWVxh7XUYPlu21H6hLXmI3Pi2yhPOJ+FnrqneGrGqdY&#10;M+efmUWucSXUr3/CQyrAbnCyKKnA/vnffchHCjBKSYvaKaj7vWdWUKJ+aiTnWzYeB7FFZzyZDdGx&#10;t5HtbUTvm3tAeWb4UgyPZsj36mxKC80rynwZumKIaY69C+rP5r3vFY3PhIvlMiahvAzza70xPJQO&#10;uAaMX7pXZs2JCI8MPsJZZSx/w0ef2zOy3HuQdSQrIN2jeiIApRnpPj2joP1bP2ZdH/viLwAAAP//&#10;AwBQSwMEFAAGAAgAAAAhAK4tywPiAAAACwEAAA8AAABkcnMvZG93bnJldi54bWxMj0FPg0AQhe8m&#10;/ofNmHiziyikIEvTkDQmRg+tvXhb2CkQ2Vlkty366x1P9TYz7+XN94rVbAdxwsn3jhTcLyIQSI0z&#10;PbUK9u+buyUIHzQZPThCBd/oYVVeXxU6N+5MWzztQis4hHyuFXQhjLmUvunQar9wIxJrBzdZHXid&#10;WmkmfeZwO8g4ilJpdU/8odMjVh02n7ujVfBSbd70to7t8meonl8P6/Fr/5EodXszr59ABJzDxQx/&#10;+IwOJTPV7kjGi0FB8hilbFXwEKfcgR1JlmUgar7wBLIs5P8O5S8AAAD//wMAUEsBAi0AFAAGAAgA&#10;AAAhALaDOJL+AAAA4QEAABMAAAAAAAAAAAAAAAAAAAAAAFtDb250ZW50X1R5cGVzXS54bWxQSwEC&#10;LQAUAAYACAAAACEAOP0h/9YAAACUAQAACwAAAAAAAAAAAAAAAAAvAQAAX3JlbHMvLnJlbHNQSwEC&#10;LQAUAAYACAAAACEAwR6AWRwCAAA0BAAADgAAAAAAAAAAAAAAAAAuAgAAZHJzL2Uyb0RvYy54bWxQ&#10;SwECLQAUAAYACAAAACEAri3LA+IAAAALAQAADwAAAAAAAAAAAAAAAAB2BAAAZHJzL2Rvd25yZXYu&#10;eG1sUEsFBgAAAAAEAAQA8wAAAIUFAAAAAA==&#10;" filled="f" stroked="f" strokeweight=".5pt">
                <v:textbox>
                  <w:txbxContent>
                    <w:p w14:paraId="00E3D809" w14:textId="77777777" w:rsidR="0025253C" w:rsidRDefault="0025253C" w:rsidP="00D85E2D">
                      <w:pPr>
                        <w:rPr>
                          <w:rFonts w:ascii="Segoe UI Light" w:hAnsi="Segoe UI Light" w:cs="Segoe UI Light"/>
                          <w:b/>
                          <w:bCs/>
                          <w:color w:val="FFFFFF" w:themeColor="background1"/>
                          <w:sz w:val="14"/>
                          <w:szCs w:val="16"/>
                        </w:rPr>
                      </w:pPr>
                    </w:p>
                    <w:p w14:paraId="7FAAD8E2" w14:textId="77777777" w:rsidR="0025253C" w:rsidRDefault="0025253C" w:rsidP="00D85E2D">
                      <w:pPr>
                        <w:rPr>
                          <w:rFonts w:ascii="Segoe UI Light" w:hAnsi="Segoe UI Light" w:cs="Segoe UI Light"/>
                          <w:b/>
                          <w:bCs/>
                          <w:color w:val="FFFFFF" w:themeColor="background1"/>
                          <w:sz w:val="14"/>
                          <w:szCs w:val="16"/>
                        </w:rPr>
                      </w:pPr>
                    </w:p>
                    <w:p w14:paraId="52320528" w14:textId="34382400" w:rsidR="00D85E2D" w:rsidRPr="00D85E2D" w:rsidRDefault="003D2D96"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1,7</w:t>
                      </w:r>
                    </w:p>
                  </w:txbxContent>
                </v:textbox>
              </v:shape>
            </w:pict>
          </mc:Fallback>
        </mc:AlternateContent>
      </w:r>
      <w:r w:rsidR="00DE4C6C">
        <w:rPr>
          <w:noProof/>
        </w:rPr>
        <mc:AlternateContent>
          <mc:Choice Requires="wps">
            <w:drawing>
              <wp:anchor distT="0" distB="0" distL="114300" distR="114300" simplePos="0" relativeHeight="251658331" behindDoc="0" locked="0" layoutInCell="1" allowOverlap="1" wp14:anchorId="12EA0109" wp14:editId="5B515C72">
                <wp:simplePos x="0" y="0"/>
                <wp:positionH relativeFrom="column">
                  <wp:posOffset>3587655</wp:posOffset>
                </wp:positionH>
                <wp:positionV relativeFrom="paragraph">
                  <wp:posOffset>2285351</wp:posOffset>
                </wp:positionV>
                <wp:extent cx="376517" cy="210263"/>
                <wp:effectExtent l="0" t="0" r="0" b="0"/>
                <wp:wrapNone/>
                <wp:docPr id="1036708489"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16DB5FE4" w14:textId="77777777" w:rsidR="0025253C" w:rsidRDefault="0025253C" w:rsidP="00D85E2D">
                            <w:pPr>
                              <w:rPr>
                                <w:rFonts w:ascii="Segoe UI Light" w:hAnsi="Segoe UI Light" w:cs="Segoe UI Light"/>
                                <w:b/>
                                <w:bCs/>
                                <w:color w:val="FFFFFF" w:themeColor="background1"/>
                                <w:sz w:val="14"/>
                                <w:szCs w:val="16"/>
                              </w:rPr>
                            </w:pPr>
                          </w:p>
                          <w:p w14:paraId="767DE25A" w14:textId="77777777" w:rsidR="0025253C" w:rsidRDefault="0025253C" w:rsidP="00D85E2D">
                            <w:pPr>
                              <w:rPr>
                                <w:rFonts w:ascii="Segoe UI Light" w:hAnsi="Segoe UI Light" w:cs="Segoe UI Light"/>
                                <w:b/>
                                <w:bCs/>
                                <w:color w:val="FFFFFF" w:themeColor="background1"/>
                                <w:sz w:val="14"/>
                                <w:szCs w:val="16"/>
                              </w:rPr>
                            </w:pPr>
                          </w:p>
                          <w:p w14:paraId="729DC947" w14:textId="68C9E140" w:rsidR="00D85E2D" w:rsidRPr="00D85E2D" w:rsidRDefault="009D611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A0109" id="_x0000_s1201" type="#_x0000_t202" style="position:absolute;left:0;text-align:left;margin-left:282.5pt;margin-top:179.95pt;width:29.65pt;height:16.5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HAIAADQEAAAOAAAAZHJzL2Uyb0RvYy54bWysU8lu2zAQvRfoPxC815K8toLlwE3gooCR&#10;BHCKnGmKtARQHJakLblf3yHlDWlPQS7UDGc0y3uP87uuUeQgrKtBFzQbpJQIzaGs9a6gv15WX75S&#10;4jzTJVOgRUGPwtG7xedP89bkYggVqFJYgkW0y1tT0Mp7kyeJ45VomBuAERqDEmzDPLp2l5SWtVi9&#10;UckwTadJC7Y0FrhwDm8f+iBdxPpSCu6fpHTCE1VQnM3H08ZzG85kMWf5zjJT1fw0BnvHFA2rNTa9&#10;lHpgnpG9rf8p1dTcggPpBxyaBKSsuYg74DZZ+mabTcWMiLsgOM5cYHIfV5Y/Hjbm2RLffYcOCQyA&#10;tMblDi/DPp20TfjipATjCOHxApvoPOF4OZpNJ9mMEo6hYZYOp6NQJbn+bKzzPwQ0JBgFtchKBIsd&#10;1s73qeeU0EvDqlYqMqM0aQs6HU3S+MMlgsWVxh7XUYPlu21H6hLXmE3Oi2yhPOJ+FnrqneGrGqdY&#10;M+efmUWucSXUr3/CQyrAbnCyKKnA/vnffchHCjBKSYvaKaj7vWdWUKJ+aiTnWzYeB7FFZzyZDdGx&#10;t5HtbUTvm3tAeWb4UgyPZsj36mxKC80rynwZumKIaY69C+rP5r3vFY3PhIvlMiahvAzza70xPJQO&#10;uAaMX7pXZs2JCI8MPsJZZSx/w0ef2zOy3HuQdSQrIN2jeiIApRnpPj2joP1bP2ZdH/viLwAAAP//&#10;AwBQSwMEFAAGAAgAAAAhAPfxVOLjAAAACwEAAA8AAABkcnMvZG93bnJldi54bWxMj09Pg0AQxe8m&#10;fofNmHiziyCkIEvTkDQmph5ae/E2sFMg7h9kty366d2e9Pjmvbz5vXI1a8XONLnBGgGPiwgYmdbK&#10;wXQCDu+bhyUw59FIVNaQgG9ysKpub0ospL2YHZ33vmOhxLgCBfTejwXnru1Jo1vYkUzwjnbS6IOc&#10;Oi4nvIRyrXgcRRnXOJjwoceR6p7az/1JC3itN2+4a2K9/FH1y/a4Hr8OH6kQ93fz+hmYp9n/heGK&#10;H9ChCkyNPRnpmBKQZmnY4gUkaZ4DC4ksfkqANeGSJxHwquT/N1S/AAAA//8DAFBLAQItABQABgAI&#10;AAAAIQC2gziS/gAAAOEBAAATAAAAAAAAAAAAAAAAAAAAAABbQ29udGVudF9UeXBlc10ueG1sUEsB&#10;Ai0AFAAGAAgAAAAhADj9If/WAAAAlAEAAAsAAAAAAAAAAAAAAAAALwEAAF9yZWxzLy5yZWxzUEsB&#10;Ai0AFAAGAAgAAAAhAL6sz4wcAgAANAQAAA4AAAAAAAAAAAAAAAAALgIAAGRycy9lMm9Eb2MueG1s&#10;UEsBAi0AFAAGAAgAAAAhAPfxVOLjAAAACwEAAA8AAAAAAAAAAAAAAAAAdgQAAGRycy9kb3ducmV2&#10;LnhtbFBLBQYAAAAABAAEAPMAAACGBQAAAAA=&#10;" filled="f" stroked="f" strokeweight=".5pt">
                <v:textbox>
                  <w:txbxContent>
                    <w:p w14:paraId="16DB5FE4" w14:textId="77777777" w:rsidR="0025253C" w:rsidRDefault="0025253C" w:rsidP="00D85E2D">
                      <w:pPr>
                        <w:rPr>
                          <w:rFonts w:ascii="Segoe UI Light" w:hAnsi="Segoe UI Light" w:cs="Segoe UI Light"/>
                          <w:b/>
                          <w:bCs/>
                          <w:color w:val="FFFFFF" w:themeColor="background1"/>
                          <w:sz w:val="14"/>
                          <w:szCs w:val="16"/>
                        </w:rPr>
                      </w:pPr>
                    </w:p>
                    <w:p w14:paraId="767DE25A" w14:textId="77777777" w:rsidR="0025253C" w:rsidRDefault="0025253C" w:rsidP="00D85E2D">
                      <w:pPr>
                        <w:rPr>
                          <w:rFonts w:ascii="Segoe UI Light" w:hAnsi="Segoe UI Light" w:cs="Segoe UI Light"/>
                          <w:b/>
                          <w:bCs/>
                          <w:color w:val="FFFFFF" w:themeColor="background1"/>
                          <w:sz w:val="14"/>
                          <w:szCs w:val="16"/>
                        </w:rPr>
                      </w:pPr>
                    </w:p>
                    <w:p w14:paraId="729DC947" w14:textId="68C9E140" w:rsidR="00D85E2D" w:rsidRPr="00D85E2D" w:rsidRDefault="009D611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2,7</w:t>
                      </w:r>
                    </w:p>
                  </w:txbxContent>
                </v:textbox>
              </v:shape>
            </w:pict>
          </mc:Fallback>
        </mc:AlternateContent>
      </w:r>
      <w:r w:rsidR="00DE4C6C">
        <w:rPr>
          <w:noProof/>
        </w:rPr>
        <mc:AlternateContent>
          <mc:Choice Requires="wps">
            <w:drawing>
              <wp:anchor distT="0" distB="0" distL="114300" distR="114300" simplePos="0" relativeHeight="251658343" behindDoc="0" locked="0" layoutInCell="1" allowOverlap="1" wp14:anchorId="36D0D53B" wp14:editId="708A48E4">
                <wp:simplePos x="0" y="0"/>
                <wp:positionH relativeFrom="column">
                  <wp:posOffset>3985827</wp:posOffset>
                </wp:positionH>
                <wp:positionV relativeFrom="paragraph">
                  <wp:posOffset>353117</wp:posOffset>
                </wp:positionV>
                <wp:extent cx="376517" cy="210263"/>
                <wp:effectExtent l="0" t="0" r="0" b="0"/>
                <wp:wrapNone/>
                <wp:docPr id="1319066052"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38655FA8" w14:textId="77777777" w:rsidR="0025253C" w:rsidRDefault="0025253C" w:rsidP="00D85E2D">
                            <w:pPr>
                              <w:rPr>
                                <w:rFonts w:ascii="Segoe UI Light" w:hAnsi="Segoe UI Light" w:cs="Segoe UI Light"/>
                                <w:b/>
                                <w:bCs/>
                                <w:color w:val="FFFFFF" w:themeColor="background1"/>
                                <w:sz w:val="14"/>
                                <w:szCs w:val="16"/>
                              </w:rPr>
                            </w:pPr>
                          </w:p>
                          <w:p w14:paraId="79EC5B9B" w14:textId="77777777" w:rsidR="0025253C" w:rsidRDefault="0025253C" w:rsidP="00D85E2D">
                            <w:pPr>
                              <w:rPr>
                                <w:rFonts w:ascii="Segoe UI Light" w:hAnsi="Segoe UI Light" w:cs="Segoe UI Light"/>
                                <w:b/>
                                <w:bCs/>
                                <w:color w:val="FFFFFF" w:themeColor="background1"/>
                                <w:sz w:val="14"/>
                                <w:szCs w:val="16"/>
                              </w:rPr>
                            </w:pPr>
                          </w:p>
                          <w:p w14:paraId="6851443A" w14:textId="23D33882"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0D53B" id="_x0000_s1202" type="#_x0000_t202" style="position:absolute;left:0;text-align:left;margin-left:313.85pt;margin-top:27.8pt;width:29.65pt;height:16.5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4oHAIAADQEAAAOAAAAZHJzL2Uyb0RvYy54bWysU8lu2zAQvRfoPxC815K8toLlwE3gooCR&#10;BHCKnGmKtARQHJakLblf3yHlDWlPQS7UDGc0y3uP87uuUeQgrKtBFzQbpJQIzaGs9a6gv15WX75S&#10;4jzTJVOgRUGPwtG7xedP89bkYggVqFJYgkW0y1tT0Mp7kyeJ45VomBuAERqDEmzDPLp2l5SWtVi9&#10;UckwTadJC7Y0FrhwDm8f+iBdxPpSCu6fpHTCE1VQnM3H08ZzG85kMWf5zjJT1fw0BnvHFA2rNTa9&#10;lHpgnpG9rf8p1dTcggPpBxyaBKSsuYg74DZZ+mabTcWMiLsgOM5cYHIfV5Y/Hjbm2RLffYcOCQyA&#10;tMblDi/DPp20TfjipATjCOHxApvoPOF4OZpNJ9mMEo6hYZYOp6NQJbn+bKzzPwQ0JBgFtchKBIsd&#10;1s73qeeU0EvDqlYqMqM0aQs6HU3S+MMlgsWVxh7XUYPlu21H6hLXmE3Pi2yhPOJ+FnrqneGrGqdY&#10;M+efmUWucSXUr3/CQyrAbnCyKKnA/vnffchHCjBKSYvaKaj7vWdWUKJ+aiTnWzYeB7FFZzyZDdGx&#10;t5HtbUTvm3tAeWb4UgyPZsj36mxKC80rynwZumKIaY69C+rP5r3vFY3PhIvlMiahvAzza70xPJQO&#10;uAaMX7pXZs2JCI8MPsJZZSx/w0ef2zOy3HuQdSQrIN2jeiIApRnpPj2joP1bP2ZdH/viLwAAAP//&#10;AwBQSwMEFAAGAAgAAAAhAMEFN+ngAAAACQEAAA8AAABkcnMvZG93bnJldi54bWxMj01Lw0AURfeC&#10;/2F4gjs7MZBkiHkpJVAE0UVrN+4mmWkSnI+YmbbRX+9zZZePd7j33Gq9WMPOeg6jdwiPqwSYdp1X&#10;o+sRDu/bBwEsROmUNN5phG8dYF3f3lSyVP7idvq8jz2jEBdKiTDEOJWch27QVoaVn7Sj39HPVkY6&#10;556rWV4o3BqeJknOrRwdNQxy0s2gu8/9ySK8NNs3uWtTK35M8/x63Exfh48M8f5u2TwBi3qJ/zD8&#10;6ZM61OTU+pNTgRmEPC0KQhGyLAdGQC4KGtciCFEAryt+vaD+BQAA//8DAFBLAQItABQABgAIAAAA&#10;IQC2gziS/gAAAOEBAAATAAAAAAAAAAAAAAAAAAAAAABbQ29udGVudF9UeXBlc10ueG1sUEsBAi0A&#10;FAAGAAgAAAAhADj9If/WAAAAlAEAAAsAAAAAAAAAAAAAAAAALwEAAF9yZWxzLy5yZWxzUEsBAi0A&#10;FAAGAAgAAAAhAH58bigcAgAANAQAAA4AAAAAAAAAAAAAAAAALgIAAGRycy9lMm9Eb2MueG1sUEsB&#10;Ai0AFAAGAAgAAAAhAMEFN+ngAAAACQEAAA8AAAAAAAAAAAAAAAAAdgQAAGRycy9kb3ducmV2Lnht&#10;bFBLBQYAAAAABAAEAPMAAACDBQAAAAA=&#10;" filled="f" stroked="f" strokeweight=".5pt">
                <v:textbox>
                  <w:txbxContent>
                    <w:p w14:paraId="38655FA8" w14:textId="77777777" w:rsidR="0025253C" w:rsidRDefault="0025253C" w:rsidP="00D85E2D">
                      <w:pPr>
                        <w:rPr>
                          <w:rFonts w:ascii="Segoe UI Light" w:hAnsi="Segoe UI Light" w:cs="Segoe UI Light"/>
                          <w:b/>
                          <w:bCs/>
                          <w:color w:val="FFFFFF" w:themeColor="background1"/>
                          <w:sz w:val="14"/>
                          <w:szCs w:val="16"/>
                        </w:rPr>
                      </w:pPr>
                    </w:p>
                    <w:p w14:paraId="79EC5B9B" w14:textId="77777777" w:rsidR="0025253C" w:rsidRDefault="0025253C" w:rsidP="00D85E2D">
                      <w:pPr>
                        <w:rPr>
                          <w:rFonts w:ascii="Segoe UI Light" w:hAnsi="Segoe UI Light" w:cs="Segoe UI Light"/>
                          <w:b/>
                          <w:bCs/>
                          <w:color w:val="FFFFFF" w:themeColor="background1"/>
                          <w:sz w:val="14"/>
                          <w:szCs w:val="16"/>
                        </w:rPr>
                      </w:pPr>
                    </w:p>
                    <w:p w14:paraId="6851443A" w14:textId="23D33882" w:rsidR="00D85E2D" w:rsidRPr="00D85E2D" w:rsidRDefault="00B25F3C"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4,0</w:t>
                      </w:r>
                    </w:p>
                  </w:txbxContent>
                </v:textbox>
              </v:shape>
            </w:pict>
          </mc:Fallback>
        </mc:AlternateContent>
      </w:r>
      <w:r w:rsidR="00DE4C6C">
        <w:rPr>
          <w:noProof/>
        </w:rPr>
        <mc:AlternateContent>
          <mc:Choice Requires="wps">
            <w:drawing>
              <wp:anchor distT="0" distB="0" distL="114300" distR="114300" simplePos="0" relativeHeight="251658340" behindDoc="0" locked="0" layoutInCell="1" allowOverlap="1" wp14:anchorId="0A0BC069" wp14:editId="3F669552">
                <wp:simplePos x="0" y="0"/>
                <wp:positionH relativeFrom="column">
                  <wp:posOffset>3383439</wp:posOffset>
                </wp:positionH>
                <wp:positionV relativeFrom="paragraph">
                  <wp:posOffset>339225</wp:posOffset>
                </wp:positionV>
                <wp:extent cx="376517" cy="210263"/>
                <wp:effectExtent l="0" t="0" r="0" b="0"/>
                <wp:wrapNone/>
                <wp:docPr id="233027049"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19E560FC" w14:textId="77777777" w:rsidR="0025253C" w:rsidRDefault="0025253C" w:rsidP="00D85E2D">
                            <w:pPr>
                              <w:rPr>
                                <w:rFonts w:ascii="Segoe UI Light" w:hAnsi="Segoe UI Light" w:cs="Segoe UI Light"/>
                                <w:b/>
                                <w:bCs/>
                                <w:color w:val="FFFFFF" w:themeColor="background1"/>
                                <w:sz w:val="14"/>
                                <w:szCs w:val="16"/>
                              </w:rPr>
                            </w:pPr>
                          </w:p>
                          <w:p w14:paraId="74383479" w14:textId="77777777" w:rsidR="0025253C" w:rsidRDefault="0025253C" w:rsidP="00D85E2D">
                            <w:pPr>
                              <w:rPr>
                                <w:rFonts w:ascii="Segoe UI Light" w:hAnsi="Segoe UI Light" w:cs="Segoe UI Light"/>
                                <w:b/>
                                <w:bCs/>
                                <w:color w:val="FFFFFF" w:themeColor="background1"/>
                                <w:sz w:val="14"/>
                                <w:szCs w:val="16"/>
                              </w:rPr>
                            </w:pPr>
                          </w:p>
                          <w:p w14:paraId="47EB9D88" w14:textId="792B880C"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BC069" id="_x0000_s1203" type="#_x0000_t202" style="position:absolute;left:0;text-align:left;margin-left:266.4pt;margin-top:26.7pt;width:29.65pt;height:16.55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H9HAIAADQEAAAOAAAAZHJzL2Uyb0RvYy54bWysU8lu2zAQvRfoPxC815K8toLlwE3gooCR&#10;BHCKnGmKtARQHJakLblf3yHlDWlPQS7UDGc0y3uP87uuUeQgrKtBFzQbpJQIzaGs9a6gv15WX75S&#10;4jzTJVOgRUGPwtG7xedP89bkYggVqFJYgkW0y1tT0Mp7kyeJ45VomBuAERqDEmzDPLp2l5SWtVi9&#10;UckwTadJC7Y0FrhwDm8f+iBdxPpSCu6fpHTCE1VQnM3H08ZzG85kMWf5zjJT1fw0BnvHFA2rNTa9&#10;lHpgnpG9rf8p1dTcggPpBxyaBKSsuYg74DZZ+mabTcWMiLsgOM5cYHIfV5Y/Hjbm2RLffYcOCQyA&#10;tMblDi/DPp20TfjipATjCOHxApvoPOF4OZpNJ9mMEo6hYZYOp6NQJbn+bKzzPwQ0JBgFtchKBIsd&#10;1s73qeeU0EvDqlYqMqM0aQs6HU3S+MMlgsWVxh7XUYPlu21H6hLXmM3Oi2yhPOJ+FnrqneGrGqdY&#10;M+efmUWucSXUr3/CQyrAbnCyKKnA/vnffchHCjBKSYvaKaj7vWdWUKJ+aiTnWzYeB7FFZzyZDdGx&#10;t5HtbUTvm3tAeWb4UgyPZsj36mxKC80rynwZumKIaY69C+rP5r3vFY3PhIvlMiahvAzza70xPJQO&#10;uAaMX7pXZs2JCI8MPsJZZSx/w0ef2zOy3HuQdSQrIN2jeiIApRnpPj2joP1bP2ZdH/viLwAAAP//&#10;AwBQSwMEFAAGAAgAAAAhABQellfhAAAACQEAAA8AAABkcnMvZG93bnJldi54bWxMj8FOwzAQRO9I&#10;/IO1SNyo00CqNI1TVZEqJASHll64beJtEhGvQ+y2ga/HPcFtRzuaeZOvJ9OLM42us6xgPotAENdW&#10;d9woOLxvH1IQziNr7C2Tgm9ysC5ub3LMtL3wjs5734gQwi5DBa33Qyalq1sy6GZ2IA6/ox0N+iDH&#10;RuoRLyHc9DKOooU02HFoaHGgsqX6c38yCl7K7RvuqtikP335/HrcDF+Hj0Sp+7tpswLhafJ/Zrji&#10;B3QoAlNlT6yd6BUkj3FA99fjCUQwJMt4DqJSkC4SkEUu/y8ofgEAAP//AwBQSwECLQAUAAYACAAA&#10;ACEAtoM4kv4AAADhAQAAEwAAAAAAAAAAAAAAAAAAAAAAW0NvbnRlbnRfVHlwZXNdLnhtbFBLAQIt&#10;ABQABgAIAAAAIQA4/SH/1gAAAJQBAAALAAAAAAAAAAAAAAAAAC8BAABfcmVscy8ucmVsc1BLAQIt&#10;ABQABgAIAAAAIQABziH9HAIAADQEAAAOAAAAAAAAAAAAAAAAAC4CAABkcnMvZTJvRG9jLnhtbFBL&#10;AQItABQABgAIAAAAIQAUHpZX4QAAAAkBAAAPAAAAAAAAAAAAAAAAAHYEAABkcnMvZG93bnJldi54&#10;bWxQSwUGAAAAAAQABADzAAAAhAUAAAAA&#10;" filled="f" stroked="f" strokeweight=".5pt">
                <v:textbox>
                  <w:txbxContent>
                    <w:p w14:paraId="19E560FC" w14:textId="77777777" w:rsidR="0025253C" w:rsidRDefault="0025253C" w:rsidP="00D85E2D">
                      <w:pPr>
                        <w:rPr>
                          <w:rFonts w:ascii="Segoe UI Light" w:hAnsi="Segoe UI Light" w:cs="Segoe UI Light"/>
                          <w:b/>
                          <w:bCs/>
                          <w:color w:val="FFFFFF" w:themeColor="background1"/>
                          <w:sz w:val="14"/>
                          <w:szCs w:val="16"/>
                        </w:rPr>
                      </w:pPr>
                    </w:p>
                    <w:p w14:paraId="74383479" w14:textId="77777777" w:rsidR="0025253C" w:rsidRDefault="0025253C" w:rsidP="00D85E2D">
                      <w:pPr>
                        <w:rPr>
                          <w:rFonts w:ascii="Segoe UI Light" w:hAnsi="Segoe UI Light" w:cs="Segoe UI Light"/>
                          <w:b/>
                          <w:bCs/>
                          <w:color w:val="FFFFFF" w:themeColor="background1"/>
                          <w:sz w:val="14"/>
                          <w:szCs w:val="16"/>
                        </w:rPr>
                      </w:pPr>
                    </w:p>
                    <w:p w14:paraId="47EB9D88" w14:textId="792B880C"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1,5</w:t>
                      </w:r>
                    </w:p>
                  </w:txbxContent>
                </v:textbox>
              </v:shape>
            </w:pict>
          </mc:Fallback>
        </mc:AlternateContent>
      </w:r>
      <w:r w:rsidR="00DE4C6C">
        <w:rPr>
          <w:noProof/>
        </w:rPr>
        <mc:AlternateContent>
          <mc:Choice Requires="wps">
            <w:drawing>
              <wp:anchor distT="0" distB="0" distL="114300" distR="114300" simplePos="0" relativeHeight="251658339" behindDoc="0" locked="0" layoutInCell="1" allowOverlap="1" wp14:anchorId="0724EE83" wp14:editId="1526B523">
                <wp:simplePos x="0" y="0"/>
                <wp:positionH relativeFrom="column">
                  <wp:posOffset>3212461</wp:posOffset>
                </wp:positionH>
                <wp:positionV relativeFrom="paragraph">
                  <wp:posOffset>524510</wp:posOffset>
                </wp:positionV>
                <wp:extent cx="376517" cy="210263"/>
                <wp:effectExtent l="0" t="0" r="0" b="0"/>
                <wp:wrapNone/>
                <wp:docPr id="799511719"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46EE53E3" w14:textId="77777777" w:rsidR="0025253C" w:rsidRDefault="0025253C" w:rsidP="00D85E2D">
                            <w:pPr>
                              <w:rPr>
                                <w:rFonts w:ascii="Segoe UI Light" w:hAnsi="Segoe UI Light" w:cs="Segoe UI Light"/>
                                <w:b/>
                                <w:bCs/>
                                <w:color w:val="FFFFFF" w:themeColor="background1"/>
                                <w:sz w:val="14"/>
                                <w:szCs w:val="16"/>
                              </w:rPr>
                            </w:pPr>
                          </w:p>
                          <w:p w14:paraId="1D04BAE3" w14:textId="77777777" w:rsidR="0025253C" w:rsidRDefault="0025253C" w:rsidP="00D85E2D">
                            <w:pPr>
                              <w:rPr>
                                <w:rFonts w:ascii="Segoe UI Light" w:hAnsi="Segoe UI Light" w:cs="Segoe UI Light"/>
                                <w:b/>
                                <w:bCs/>
                                <w:color w:val="FFFFFF" w:themeColor="background1"/>
                                <w:sz w:val="14"/>
                                <w:szCs w:val="16"/>
                              </w:rPr>
                            </w:pPr>
                          </w:p>
                          <w:p w14:paraId="72E615A7" w14:textId="160F36BD"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4EE83" id="_x0000_s1204" type="#_x0000_t202" style="position:absolute;left:0;text-align:left;margin-left:252.95pt;margin-top:41.3pt;width:29.65pt;height:16.5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5SmHAIAADQEAAAOAAAAZHJzL2Uyb0RvYy54bWysU8lu2zAQvRfoPxC815K8JoLlwE3gooCR&#10;BHCKnGmKtARQHJakLblf3yHlDWlPRS/UDGc0y3uP84euUeQgrKtBFzQbpJQIzaGs9a6gP95WX+4o&#10;cZ7pkinQoqBH4ejD4vOneWtyMYQKVCkswSLa5a0paOW9yZPE8Uo0zA3ACI1BCbZhHl27S0rLWqze&#10;qGSYptOkBVsaC1w4h7dPfZAuYn0pBfcvUjrhiSoozubjaeO5DWeymLN8Z5mpan4ag/3DFA2rNTa9&#10;lHpinpG9rf8o1dTcggPpBxyaBKSsuYg74DZZ+mGbTcWMiLsgOM5cYHL/ryx/PmzMqyW++wodEhgA&#10;aY3LHV6GfTppm/DFSQnGEcLjBTbRecLxcjSbTrIZJRxDwywdTkehSnL92VjnvwloSDAKapGVCBY7&#10;rJ3vU88poZeGVa1UZEZp0hZ0Opqk8YdLBIsrjT2uowbLd9uO1CWuMbs7L7KF8oj7Weipd4avapxi&#10;zZx/ZRa5xpVQv/4FD6kAu8HJoqQC++tv9yEfKcAoJS1qp6Du555ZQYn6rpGc+2w8DmKLzngyG6Jj&#10;byPb24jeN4+A8szwpRgezZDv1dmUFpp3lPkydMUQ0xx7F9SfzUffKxqfCRfLZUxCeRnm13pjeCgd&#10;cA0Yv3XvzJoTER4ZfIazylj+gY8+t2dkufcg60hWQLpH9UQASjPSfXpGQfu3fsy6PvbFbwAAAP//&#10;AwBQSwMEFAAGAAgAAAAhAJAWgq/hAAAACgEAAA8AAABkcnMvZG93bnJldi54bWxMj01Lw0AURfeC&#10;/2F4gjs7aWBiTDMpJVAE0UVrN+5eMq9J6HzEzLSN/nrHlS4f93DveeV6NppdaPKDsxKWiwQY2dap&#10;wXYSDu/bhxyYD2gVamdJwhd5WFe3NyUWyl3tji770LFYYn2BEvoQxoJz3/Zk0C/cSDZmRzcZDPGc&#10;Oq4mvMZyo3maJBk3ONi40ONIdU/taX82El7q7RvumtTk37p+fj1uxs/Dh5Dy/m7erIAFmsMfDL/6&#10;UR2q6NS4s1WeaQkiEU8RlZCnGbAIiEykwJpILsUj8Krk/1+ofgAAAP//AwBQSwECLQAUAAYACAAA&#10;ACEAtoM4kv4AAADhAQAAEwAAAAAAAAAAAAAAAAAAAAAAW0NvbnRlbnRfVHlwZXNdLnhtbFBLAQIt&#10;ABQABgAIAAAAIQA4/SH/1gAAAJQBAAALAAAAAAAAAAAAAAAAAC8BAABfcmVscy8ucmVsc1BLAQIt&#10;ABQABgAIAAAAIQACV5SmHAIAADQEAAAOAAAAAAAAAAAAAAAAAC4CAABkcnMvZTJvRG9jLnhtbFBL&#10;AQItABQABgAIAAAAIQCQFoKv4QAAAAoBAAAPAAAAAAAAAAAAAAAAAHYEAABkcnMvZG93bnJldi54&#10;bWxQSwUGAAAAAAQABADzAAAAhAUAAAAA&#10;" filled="f" stroked="f" strokeweight=".5pt">
                <v:textbox>
                  <w:txbxContent>
                    <w:p w14:paraId="46EE53E3" w14:textId="77777777" w:rsidR="0025253C" w:rsidRDefault="0025253C" w:rsidP="00D85E2D">
                      <w:pPr>
                        <w:rPr>
                          <w:rFonts w:ascii="Segoe UI Light" w:hAnsi="Segoe UI Light" w:cs="Segoe UI Light"/>
                          <w:b/>
                          <w:bCs/>
                          <w:color w:val="FFFFFF" w:themeColor="background1"/>
                          <w:sz w:val="14"/>
                          <w:szCs w:val="16"/>
                        </w:rPr>
                      </w:pPr>
                    </w:p>
                    <w:p w14:paraId="1D04BAE3" w14:textId="77777777" w:rsidR="0025253C" w:rsidRDefault="0025253C" w:rsidP="00D85E2D">
                      <w:pPr>
                        <w:rPr>
                          <w:rFonts w:ascii="Segoe UI Light" w:hAnsi="Segoe UI Light" w:cs="Segoe UI Light"/>
                          <w:b/>
                          <w:bCs/>
                          <w:color w:val="FFFFFF" w:themeColor="background1"/>
                          <w:sz w:val="14"/>
                          <w:szCs w:val="16"/>
                        </w:rPr>
                      </w:pPr>
                    </w:p>
                    <w:p w14:paraId="72E615A7" w14:textId="160F36BD"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2,4</w:t>
                      </w:r>
                    </w:p>
                  </w:txbxContent>
                </v:textbox>
              </v:shape>
            </w:pict>
          </mc:Fallback>
        </mc:AlternateContent>
      </w:r>
      <w:r w:rsidR="00DE4C6C">
        <w:rPr>
          <w:noProof/>
        </w:rPr>
        <mc:AlternateContent>
          <mc:Choice Requires="wps">
            <w:drawing>
              <wp:anchor distT="0" distB="0" distL="114300" distR="114300" simplePos="0" relativeHeight="251658330" behindDoc="0" locked="0" layoutInCell="1" allowOverlap="1" wp14:anchorId="367A46D8" wp14:editId="01969C62">
                <wp:simplePos x="0" y="0"/>
                <wp:positionH relativeFrom="column">
                  <wp:posOffset>3984683</wp:posOffset>
                </wp:positionH>
                <wp:positionV relativeFrom="paragraph">
                  <wp:posOffset>2406840</wp:posOffset>
                </wp:positionV>
                <wp:extent cx="440086" cy="210185"/>
                <wp:effectExtent l="0" t="0" r="0" b="0"/>
                <wp:wrapNone/>
                <wp:docPr id="983048930" name="Text Box 214"/>
                <wp:cNvGraphicFramePr/>
                <a:graphic xmlns:a="http://schemas.openxmlformats.org/drawingml/2006/main">
                  <a:graphicData uri="http://schemas.microsoft.com/office/word/2010/wordprocessingShape">
                    <wps:wsp>
                      <wps:cNvSpPr txBox="1"/>
                      <wps:spPr>
                        <a:xfrm>
                          <a:off x="0" y="0"/>
                          <a:ext cx="440086" cy="210185"/>
                        </a:xfrm>
                        <a:prstGeom prst="rect">
                          <a:avLst/>
                        </a:prstGeom>
                        <a:noFill/>
                        <a:ln w="6350">
                          <a:noFill/>
                        </a:ln>
                      </wps:spPr>
                      <wps:txbx>
                        <w:txbxContent>
                          <w:p w14:paraId="00991D19" w14:textId="77777777" w:rsidR="0025253C" w:rsidRDefault="0025253C" w:rsidP="00D85E2D">
                            <w:pPr>
                              <w:rPr>
                                <w:rFonts w:ascii="Segoe UI Light" w:hAnsi="Segoe UI Light" w:cs="Segoe UI Light"/>
                                <w:b/>
                                <w:bCs/>
                                <w:color w:val="FFFFFF" w:themeColor="background1"/>
                                <w:sz w:val="14"/>
                                <w:szCs w:val="16"/>
                              </w:rPr>
                            </w:pPr>
                          </w:p>
                          <w:p w14:paraId="7A12E96A" w14:textId="77777777" w:rsidR="0025253C" w:rsidRDefault="0025253C" w:rsidP="00D85E2D">
                            <w:pPr>
                              <w:rPr>
                                <w:rFonts w:ascii="Segoe UI Light" w:hAnsi="Segoe UI Light" w:cs="Segoe UI Light"/>
                                <w:b/>
                                <w:bCs/>
                                <w:color w:val="FFFFFF" w:themeColor="background1"/>
                                <w:sz w:val="14"/>
                                <w:szCs w:val="16"/>
                              </w:rPr>
                            </w:pPr>
                          </w:p>
                          <w:p w14:paraId="57A5FA40" w14:textId="60B3A63B" w:rsidR="00D85E2D" w:rsidRPr="00D85E2D" w:rsidRDefault="009D611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A46D8" id="_x0000_s1205" type="#_x0000_t202" style="position:absolute;left:0;text-align:left;margin-left:313.75pt;margin-top:189.5pt;width:34.65pt;height:16.5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tSHAIAADQEAAAOAAAAZHJzL2Uyb0RvYy54bWysU8tu2zAQvBfIPxC8x5Jc23EEy4GbwEUB&#10;IwngBDnTFGkJoLgsSVtyv75Lyi+kPRW9ULvc1T5mhrOHrlFkL6yrQRc0G6SUCM2hrPW2oO9vy9sp&#10;Jc4zXTIFWhT0IBx9mN98mbUmF0OoQJXCEiyiXd6aglbemzxJHK9Ew9wAjNAYlGAb5tG126S0rMXq&#10;jUqGaTpJWrClscCFc3j71AfpPNaXUnD/IqUTnqiC4mw+njaem3Am8xnLt5aZqubHMdg/TNGwWmPT&#10;c6kn5hnZ2fqPUk3NLTiQfsChSUDKmou4A26TpZ+2WVfMiLgLguPMGSb3/8ry5/3avFriu2/QIYEB&#10;kNa43OFl2KeTtglfnJRgHCE8nGETnSccL0ejNJ1OKOEYGmZpNh2HKsnlZ2Od/y6gIcEoqEVWIlhs&#10;v3K+Tz2lhF4alrVSkRmlSVvQyddxGn84R7C40tjjMmqwfLfpSF3iGnf3p0U2UB5wPws99c7wZY1T&#10;rJjzr8wi17gS6te/4CEVYDc4WpRUYH/97T7kIwUYpaRF7RTU/dwxKyhRPzSSc58hJCi26IzGd0N0&#10;7HVkcx3Ru+YRUJ4ZvhTDoxnyvTqZ0kLzgTJfhK4YYppj74L6k/noe0XjM+FisYhJKC/D/EqvDQ+l&#10;A64B47fug1lzJMIjg89wUhnLP/HR5/aMLHYeZB3JCkj3qB4JQGlGuo/PKGj/2o9Zl8c+/w0AAP//&#10;AwBQSwMEFAAGAAgAAAAhACKXJVHjAAAACwEAAA8AAABkcnMvZG93bnJldi54bWxMj0FPg0AQhe8m&#10;/ofNmHizC2hpiyxNQ9KYGD209uJtYKdAZHeR3bbor3c86XEyL+99X76eTC/ONPrOWQXxLAJBtna6&#10;s42Cw9v2bgnCB7Qae2dJwRd5WBfXVzlm2l3sjs770AgusT5DBW0IQyalr1sy6GduIMu/oxsNBj7H&#10;RuoRL1xueplEUSoNdpYXWhyobKn+2J+Mgudy+4q7KjHL7758ejluhs/D+1yp25tp8wgi0BT+wvCL&#10;z+hQMFPlTlZ70StIk8WcowruFyuW4kS6SlmmUvAQJzHIIpf/HYofAAAA//8DAFBLAQItABQABgAI&#10;AAAAIQC2gziS/gAAAOEBAAATAAAAAAAAAAAAAAAAAAAAAABbQ29udGVudF9UeXBlc10ueG1sUEsB&#10;Ai0AFAAGAAgAAAAhADj9If/WAAAAlAEAAAsAAAAAAAAAAAAAAAAALwEAAF9yZWxzLy5yZWxzUEsB&#10;Ai0AFAAGAAgAAAAhANN2e1IcAgAANAQAAA4AAAAAAAAAAAAAAAAALgIAAGRycy9lMm9Eb2MueG1s&#10;UEsBAi0AFAAGAAgAAAAhACKXJVHjAAAACwEAAA8AAAAAAAAAAAAAAAAAdgQAAGRycy9kb3ducmV2&#10;LnhtbFBLBQYAAAAABAAEAPMAAACGBQAAAAA=&#10;" filled="f" stroked="f" strokeweight=".5pt">
                <v:textbox>
                  <w:txbxContent>
                    <w:p w14:paraId="00991D19" w14:textId="77777777" w:rsidR="0025253C" w:rsidRDefault="0025253C" w:rsidP="00D85E2D">
                      <w:pPr>
                        <w:rPr>
                          <w:rFonts w:ascii="Segoe UI Light" w:hAnsi="Segoe UI Light" w:cs="Segoe UI Light"/>
                          <w:b/>
                          <w:bCs/>
                          <w:color w:val="FFFFFF" w:themeColor="background1"/>
                          <w:sz w:val="14"/>
                          <w:szCs w:val="16"/>
                        </w:rPr>
                      </w:pPr>
                    </w:p>
                    <w:p w14:paraId="7A12E96A" w14:textId="77777777" w:rsidR="0025253C" w:rsidRDefault="0025253C" w:rsidP="00D85E2D">
                      <w:pPr>
                        <w:rPr>
                          <w:rFonts w:ascii="Segoe UI Light" w:hAnsi="Segoe UI Light" w:cs="Segoe UI Light"/>
                          <w:b/>
                          <w:bCs/>
                          <w:color w:val="FFFFFF" w:themeColor="background1"/>
                          <w:sz w:val="14"/>
                          <w:szCs w:val="16"/>
                        </w:rPr>
                      </w:pPr>
                    </w:p>
                    <w:p w14:paraId="57A5FA40" w14:textId="60B3A63B" w:rsidR="00D85E2D" w:rsidRPr="00D85E2D" w:rsidRDefault="009D611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2,9</w:t>
                      </w:r>
                    </w:p>
                  </w:txbxContent>
                </v:textbox>
              </v:shape>
            </w:pict>
          </mc:Fallback>
        </mc:AlternateContent>
      </w:r>
      <w:r w:rsidR="000F0D3B">
        <w:rPr>
          <w:noProof/>
        </w:rPr>
        <w:drawing>
          <wp:anchor distT="0" distB="0" distL="114300" distR="114300" simplePos="0" relativeHeight="251658327" behindDoc="0" locked="0" layoutInCell="1" allowOverlap="1" wp14:anchorId="7ED3F5A9" wp14:editId="721997AE">
            <wp:simplePos x="0" y="0"/>
            <wp:positionH relativeFrom="column">
              <wp:posOffset>2724459</wp:posOffset>
            </wp:positionH>
            <wp:positionV relativeFrom="paragraph">
              <wp:posOffset>545594</wp:posOffset>
            </wp:positionV>
            <wp:extent cx="2454102" cy="1569639"/>
            <wp:effectExtent l="0" t="0" r="0" b="0"/>
            <wp:wrapNone/>
            <wp:docPr id="347907481" name="Chart 1">
              <a:extLst xmlns:a="http://schemas.openxmlformats.org/drawingml/2006/main">
                <a:ext uri="{FF2B5EF4-FFF2-40B4-BE49-F238E27FC236}">
                  <a16:creationId xmlns:a16="http://schemas.microsoft.com/office/drawing/2014/main" id="{7255F12F-8F3F-12DC-69DD-DF786B6700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page">
              <wp14:pctWidth>0</wp14:pctWidth>
            </wp14:sizeRelH>
            <wp14:sizeRelV relativeFrom="page">
              <wp14:pctHeight>0</wp14:pctHeight>
            </wp14:sizeRelV>
          </wp:anchor>
        </w:drawing>
      </w:r>
      <w:r w:rsidR="00D85E2D">
        <w:rPr>
          <w:noProof/>
        </w:rPr>
        <mc:AlternateContent>
          <mc:Choice Requires="wps">
            <w:drawing>
              <wp:anchor distT="0" distB="0" distL="114300" distR="114300" simplePos="0" relativeHeight="251658337" behindDoc="0" locked="0" layoutInCell="1" allowOverlap="1" wp14:anchorId="059AF54A" wp14:editId="6C897871">
                <wp:simplePos x="0" y="0"/>
                <wp:positionH relativeFrom="column">
                  <wp:posOffset>3003282</wp:posOffset>
                </wp:positionH>
                <wp:positionV relativeFrom="paragraph">
                  <wp:posOffset>1390755</wp:posOffset>
                </wp:positionV>
                <wp:extent cx="376517" cy="210263"/>
                <wp:effectExtent l="0" t="0" r="0" b="0"/>
                <wp:wrapNone/>
                <wp:docPr id="1913571226" name="Text Box 214"/>
                <wp:cNvGraphicFramePr/>
                <a:graphic xmlns:a="http://schemas.openxmlformats.org/drawingml/2006/main">
                  <a:graphicData uri="http://schemas.microsoft.com/office/word/2010/wordprocessingShape">
                    <wps:wsp>
                      <wps:cNvSpPr txBox="1"/>
                      <wps:spPr>
                        <a:xfrm>
                          <a:off x="0" y="0"/>
                          <a:ext cx="376517" cy="210263"/>
                        </a:xfrm>
                        <a:prstGeom prst="rect">
                          <a:avLst/>
                        </a:prstGeom>
                        <a:noFill/>
                        <a:ln w="6350">
                          <a:noFill/>
                        </a:ln>
                      </wps:spPr>
                      <wps:txbx>
                        <w:txbxContent>
                          <w:p w14:paraId="08C4D650" w14:textId="77777777" w:rsidR="0025253C" w:rsidRDefault="0025253C" w:rsidP="00D85E2D">
                            <w:pPr>
                              <w:rPr>
                                <w:rFonts w:ascii="Segoe UI Light" w:hAnsi="Segoe UI Light" w:cs="Segoe UI Light"/>
                                <w:b/>
                                <w:bCs/>
                                <w:color w:val="FFFFFF" w:themeColor="background1"/>
                                <w:sz w:val="14"/>
                                <w:szCs w:val="16"/>
                              </w:rPr>
                            </w:pPr>
                          </w:p>
                          <w:p w14:paraId="60CBA86C" w14:textId="77777777" w:rsidR="0025253C" w:rsidRDefault="0025253C" w:rsidP="00D85E2D">
                            <w:pPr>
                              <w:rPr>
                                <w:rFonts w:ascii="Segoe UI Light" w:hAnsi="Segoe UI Light" w:cs="Segoe UI Light"/>
                                <w:b/>
                                <w:bCs/>
                                <w:color w:val="FFFFFF" w:themeColor="background1"/>
                                <w:sz w:val="14"/>
                                <w:szCs w:val="16"/>
                              </w:rPr>
                            </w:pPr>
                          </w:p>
                          <w:p w14:paraId="27D51B8C" w14:textId="66FD20C3"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AF54A" id="_x0000_s1206" type="#_x0000_t202" style="position:absolute;left:0;text-align:left;margin-left:236.5pt;margin-top:109.5pt;width:29.65pt;height:16.5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4jGgIAADQEAAAOAAAAZHJzL2Uyb0RvYy54bWysU8lu2zAQvRfoPxC815K8JoLlwE3gooCR&#10;BHCKnGmKtARQHJakLblf3yHlDWlPRS/UcGb0ZnmP84euUeQgrKtBFzQbpJQIzaGs9a6gP95WX+4o&#10;cZ7pkinQoqBH4ejD4vOneWtyMYQKVCksQRDt8tYUtPLe5EnieCUa5gZghMagBNswj1e7S0rLWkRv&#10;VDJM02nSgi2NBS6cQ+9TH6SLiC+l4P5FSic8UQXF3nw8bTy34UwWc5bvLDNVzU9tsH/oomG1xqIX&#10;qCfmGdnb+g+opuYWHEg/4NAkIGXNRZwBp8nSD9NsKmZEnAWX48xlTe7/wfLnw8a8WuK7r9AhgWEh&#10;rXG5Q2eYp5O2CV/slGAcV3i8rE10nnB0jmbTSTajhGNomKXD6SigJNefjXX+m4CGBKOgFlmJy2KH&#10;tfN96jkl1NKwqpWKzChN2oJOR5M0/nCJILjSWOPaarB8t+1IXeIYd5HZ4NtCecT5LPTUO8NXNXax&#10;Zs6/Motc40ioX/+Ch1SA1eBkUVKB/fU3f8hHCjBKSYvaKaj7uWdWUKK+ayTnPhuPg9jiZTyZDfFi&#10;byPb24jeN4+A8szwpRgezZDv1dmUFpp3lPkyVMUQ0xxrF9SfzUffKxqfCRfLZUxCeRnm13pjeIAO&#10;ew07fuvemTUnIjwy+AxnlbH8Ax99bs/Icu9B1pGs61ZPBKA0I92nZxS0f3uPWdfHvvgNAAD//wMA&#10;UEsDBBQABgAIAAAAIQAV1xLC4wAAAAsBAAAPAAAAZHJzL2Rvd25yZXYueG1sTI/NTsMwEITvSLyD&#10;tUjcqBOHQAlxqipShYTg0NILt03sJhH+CbHbBp6e5QS33Z3R7DflaraGnfQUBu8kpIsEmHatV4Pr&#10;JOzfNjdLYCGiU2i80xK+dIBVdXlRYqH82W31aRc7RiEuFCihj3EsOA9try2GhR+1I+3gJ4uR1qnj&#10;asIzhVvDRZLccYuDow89jrrudfuxO1oJz/XmFbeNsMtvUz+9HNbj5/49l/L6al4/Aot6jn9m+MUn&#10;dKiIqfFHpwIzEm7vM+oSJYj0gQZy5JnIgDV0yUUKvCr5/w7VDwAAAP//AwBQSwECLQAUAAYACAAA&#10;ACEAtoM4kv4AAADhAQAAEwAAAAAAAAAAAAAAAAAAAAAAW0NvbnRlbnRfVHlwZXNdLnhtbFBLAQIt&#10;ABQABgAIAAAAIQA4/SH/1gAAAJQBAAALAAAAAAAAAAAAAAAAAC8BAABfcmVscy8ucmVsc1BLAQIt&#10;ABQABgAIAAAAIQCcPw4jGgIAADQEAAAOAAAAAAAAAAAAAAAAAC4CAABkcnMvZTJvRG9jLnhtbFBL&#10;AQItABQABgAIAAAAIQAV1xLC4wAAAAsBAAAPAAAAAAAAAAAAAAAAAHQEAABkcnMvZG93bnJldi54&#10;bWxQSwUGAAAAAAQABADzAAAAhAUAAAAA&#10;" filled="f" stroked="f" strokeweight=".5pt">
                <v:textbox>
                  <w:txbxContent>
                    <w:p w14:paraId="08C4D650" w14:textId="77777777" w:rsidR="0025253C" w:rsidRDefault="0025253C" w:rsidP="00D85E2D">
                      <w:pPr>
                        <w:rPr>
                          <w:rFonts w:ascii="Segoe UI Light" w:hAnsi="Segoe UI Light" w:cs="Segoe UI Light"/>
                          <w:b/>
                          <w:bCs/>
                          <w:color w:val="FFFFFF" w:themeColor="background1"/>
                          <w:sz w:val="14"/>
                          <w:szCs w:val="16"/>
                        </w:rPr>
                      </w:pPr>
                    </w:p>
                    <w:p w14:paraId="60CBA86C" w14:textId="77777777" w:rsidR="0025253C" w:rsidRDefault="0025253C" w:rsidP="00D85E2D">
                      <w:pPr>
                        <w:rPr>
                          <w:rFonts w:ascii="Segoe UI Light" w:hAnsi="Segoe UI Light" w:cs="Segoe UI Light"/>
                          <w:b/>
                          <w:bCs/>
                          <w:color w:val="FFFFFF" w:themeColor="background1"/>
                          <w:sz w:val="14"/>
                          <w:szCs w:val="16"/>
                        </w:rPr>
                      </w:pPr>
                    </w:p>
                    <w:p w14:paraId="27D51B8C" w14:textId="66FD20C3" w:rsidR="00D85E2D" w:rsidRPr="00D85E2D" w:rsidRDefault="00EF04B5" w:rsidP="00D85E2D">
                      <w:pPr>
                        <w:rPr>
                          <w:rFonts w:ascii="Segoe UI Light" w:hAnsi="Segoe UI Light" w:cs="Segoe UI Light"/>
                          <w:b/>
                          <w:bCs/>
                          <w:color w:val="FFFFFF" w:themeColor="background1"/>
                          <w:sz w:val="14"/>
                          <w:szCs w:val="16"/>
                        </w:rPr>
                      </w:pPr>
                      <w:r>
                        <w:rPr>
                          <w:rFonts w:ascii="Segoe UI Light" w:hAnsi="Segoe UI Light" w:cs="Segoe UI Light"/>
                          <w:b/>
                          <w:bCs/>
                          <w:color w:val="FFFFFF" w:themeColor="background1"/>
                          <w:sz w:val="14"/>
                          <w:szCs w:val="16"/>
                        </w:rPr>
                        <w:t>4,8</w:t>
                      </w:r>
                    </w:p>
                  </w:txbxContent>
                </v:textbox>
              </v:shape>
            </w:pict>
          </mc:Fallback>
        </mc:AlternateContent>
      </w:r>
      <w:r w:rsidR="00405DC3" w:rsidRPr="00D829F0">
        <w:rPr>
          <w:rFonts w:ascii="Source Sans Pro" w:hAnsi="Source Sans Pro"/>
          <w:noProof/>
        </w:rPr>
        <w:drawing>
          <wp:inline distT="0" distB="0" distL="0" distR="0" wp14:anchorId="0697ADE6" wp14:editId="3453E5E6">
            <wp:extent cx="2318385" cy="2673985"/>
            <wp:effectExtent l="0" t="0" r="5715" b="0"/>
            <wp:docPr id="95064797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405DC3" w:rsidRPr="00D829F0">
        <w:rPr>
          <w:rFonts w:ascii="Source Sans Pro" w:hAnsi="Source Sans Pro"/>
        </w:rPr>
        <w:t xml:space="preserve"> </w:t>
      </w:r>
      <w:r w:rsidR="000F0D3B" w:rsidRPr="00D829F0">
        <w:rPr>
          <w:rFonts w:ascii="Source Sans Pro" w:hAnsi="Source Sans Pro"/>
          <w:noProof/>
        </w:rPr>
        <w:drawing>
          <wp:inline distT="0" distB="0" distL="0" distR="0" wp14:anchorId="6E0D2012" wp14:editId="1B764859">
            <wp:extent cx="3393440" cy="2639695"/>
            <wp:effectExtent l="0" t="0" r="0" b="8255"/>
            <wp:docPr id="1023902279" name="Chart 1">
              <a:extLst xmlns:a="http://schemas.openxmlformats.org/drawingml/2006/main">
                <a:ext uri="{FF2B5EF4-FFF2-40B4-BE49-F238E27FC236}">
                  <a16:creationId xmlns:a16="http://schemas.microsoft.com/office/drawing/2014/main" id="{F35B32E8-7100-C5BE-C82B-540B7D066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A2F6D1C" w14:textId="77777777"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4274"/>
        </w:tabs>
        <w:spacing w:after="0"/>
        <w:jc w:val="both"/>
        <w:rPr>
          <w:rFonts w:ascii="Segoe UI Light" w:hAnsi="Segoe UI Light"/>
          <w:i/>
          <w:iCs/>
          <w:sz w:val="14"/>
          <w:szCs w:val="14"/>
        </w:rPr>
      </w:pPr>
      <w:r w:rsidRPr="00E80C9B">
        <w:rPr>
          <w:rFonts w:ascii="Segoe UI Light" w:hAnsi="Segoe UI Light"/>
          <w:i/>
          <w:iCs/>
          <w:sz w:val="14"/>
          <w:szCs w:val="14"/>
        </w:rPr>
        <w:t>Avots: CSP vakanču dati</w:t>
      </w:r>
      <w:r w:rsidRPr="00E80C9B">
        <w:rPr>
          <w:rFonts w:ascii="Segoe UI Light" w:hAnsi="Segoe UI Light"/>
          <w:i/>
          <w:iCs/>
          <w:sz w:val="14"/>
          <w:szCs w:val="14"/>
        </w:rPr>
        <w:tab/>
        <w:t xml:space="preserve">              Avots: CSP vakanču dati</w:t>
      </w:r>
    </w:p>
    <w:p w14:paraId="1879B14D" w14:textId="77777777"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4274"/>
        </w:tabs>
        <w:spacing w:after="0"/>
        <w:jc w:val="both"/>
        <w:rPr>
          <w:rFonts w:ascii="Segoe UI Light" w:hAnsi="Segoe UI Light"/>
          <w:i/>
          <w:iCs/>
          <w:sz w:val="14"/>
          <w:szCs w:val="14"/>
        </w:rPr>
      </w:pPr>
      <w:r w:rsidRPr="00E80C9B">
        <w:rPr>
          <w:rFonts w:ascii="Segoe UI Light" w:hAnsi="Segoe UI Light"/>
          <w:i/>
          <w:iCs/>
          <w:sz w:val="14"/>
          <w:szCs w:val="14"/>
        </w:rPr>
        <w:t>* Mediānais vakances aktīvais ilgums</w:t>
      </w:r>
      <w:r w:rsidRPr="00E80C9B">
        <w:rPr>
          <w:rFonts w:ascii="Segoe UI Light" w:hAnsi="Segoe UI Light"/>
          <w:i/>
          <w:iCs/>
          <w:sz w:val="14"/>
          <w:szCs w:val="14"/>
        </w:rPr>
        <w:tab/>
        <w:t xml:space="preserve">                                            * Vakanču skaits, kurās attiecīgā prasme tika pieprasīta</w:t>
      </w:r>
    </w:p>
    <w:p w14:paraId="2D83294D" w14:textId="77777777" w:rsidR="00405DC3" w:rsidRPr="000C4188"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p>
    <w:p w14:paraId="1BD42DEA" w14:textId="6D435E71"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270109">
        <w:rPr>
          <w:rFonts w:ascii="Segoe UI Light" w:hAnsi="Segoe UI Light"/>
          <w:b/>
          <w:bCs/>
          <w:sz w:val="16"/>
          <w:szCs w:val="16"/>
        </w:rPr>
        <w:t>Kopumā iezīmējas nevienmērīga vakanču dinamika starp profesiju grupām</w:t>
      </w:r>
      <w:r w:rsidRPr="00E80C9B">
        <w:rPr>
          <w:rFonts w:ascii="Segoe UI Light" w:hAnsi="Segoe UI Light"/>
          <w:sz w:val="16"/>
          <w:szCs w:val="16"/>
        </w:rPr>
        <w:t xml:space="preserve">. Vakanču pieaugums galvenokārt koncentrējās augstākas un vidējas kvalifikācijas profesijās. Lielākais kāpums </w:t>
      </w:r>
      <w:r w:rsidRPr="00706F8E">
        <w:rPr>
          <w:rFonts w:ascii="Segoe UI Light" w:hAnsi="Segoe UI Light"/>
          <w:sz w:val="16"/>
          <w:szCs w:val="16"/>
        </w:rPr>
        <w:t>bija grāmatvežiem (+60 vakances), kravas automobiļu vadītājiem (+51), grāmatvedības lietvežiem (+51), un būvniecības vadītājiem (+47) norādot uz pieprasījuma pieaugumu finanšu, administratīvajās un specializētā transporta funkcijās. Savukārt lielākais kritums skāra zemākas kvalifikācijas profesijas - pārdevējus (-537), būvniecības palīgstrādniekus (-132) un krāvējus un noliktavas darbiniekus (-127), kas liecina par ciklisku pieprasījuma mazināšanos tirdzniecībā, būvniecības palīgdarbos un noliktavu funkcijās.</w:t>
      </w:r>
    </w:p>
    <w:p w14:paraId="35F233AA" w14:textId="77777777"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center"/>
        <w:rPr>
          <w:rFonts w:ascii="Segoe UI Light" w:hAnsi="Segoe UI Light"/>
          <w:b/>
          <w:bCs/>
          <w:sz w:val="16"/>
          <w:szCs w:val="16"/>
        </w:rPr>
      </w:pPr>
      <w:r w:rsidRPr="00E80C9B">
        <w:rPr>
          <w:rFonts w:ascii="Segoe UI Light" w:hAnsi="Segoe UI Light"/>
          <w:b/>
          <w:bCs/>
          <w:sz w:val="16"/>
          <w:szCs w:val="16"/>
        </w:rPr>
        <w:t>Vakanču skaita dinamika*,</w:t>
      </w:r>
    </w:p>
    <w:p w14:paraId="27B4C971" w14:textId="75C0D91B"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center"/>
        <w:rPr>
          <w:rFonts w:ascii="Segoe UI Light" w:hAnsi="Segoe UI Light"/>
          <w:i/>
          <w:iCs/>
          <w:sz w:val="16"/>
          <w:szCs w:val="16"/>
        </w:rPr>
      </w:pPr>
      <w:r w:rsidRPr="00E80C9B">
        <w:rPr>
          <w:rFonts w:ascii="Segoe UI Light" w:hAnsi="Segoe UI Light"/>
          <w:i/>
          <w:iCs/>
          <w:sz w:val="16"/>
          <w:szCs w:val="16"/>
        </w:rPr>
        <w:t>periodā no 2025.</w:t>
      </w:r>
      <w:r w:rsidR="009B51E4">
        <w:rPr>
          <w:rFonts w:ascii="Segoe UI Light" w:hAnsi="Segoe UI Light"/>
          <w:i/>
          <w:iCs/>
          <w:sz w:val="16"/>
          <w:szCs w:val="16"/>
        </w:rPr>
        <w:t> </w:t>
      </w:r>
      <w:r w:rsidRPr="00E80C9B">
        <w:rPr>
          <w:rFonts w:ascii="Segoe UI Light" w:hAnsi="Segoe UI Light"/>
          <w:i/>
          <w:iCs/>
          <w:sz w:val="16"/>
          <w:szCs w:val="16"/>
        </w:rPr>
        <w:t>gada oktobra – 2026.</w:t>
      </w:r>
      <w:r w:rsidR="009B51E4">
        <w:rPr>
          <w:rFonts w:ascii="Segoe UI Light" w:hAnsi="Segoe UI Light"/>
          <w:i/>
          <w:iCs/>
          <w:sz w:val="16"/>
          <w:szCs w:val="16"/>
        </w:rPr>
        <w:t> </w:t>
      </w:r>
      <w:r w:rsidRPr="00E80C9B">
        <w:rPr>
          <w:rFonts w:ascii="Segoe UI Light" w:hAnsi="Segoe UI Light"/>
          <w:i/>
          <w:iCs/>
          <w:sz w:val="16"/>
          <w:szCs w:val="16"/>
        </w:rPr>
        <w:t>gada februārī</w:t>
      </w:r>
    </w:p>
    <w:p w14:paraId="5DA0AEDE" w14:textId="77777777"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D829F0">
        <w:rPr>
          <w:rFonts w:ascii="Source Sans Pro" w:hAnsi="Source Sans Pro"/>
          <w:noProof/>
        </w:rPr>
        <w:drawing>
          <wp:inline distT="0" distB="0" distL="0" distR="0" wp14:anchorId="53476C12" wp14:editId="7CCF0BC3">
            <wp:extent cx="5760000" cy="2880000"/>
            <wp:effectExtent l="0" t="0" r="0" b="0"/>
            <wp:docPr id="734249696" name="Chart 1">
              <a:extLst xmlns:a="http://schemas.openxmlformats.org/drawingml/2006/main">
                <a:ext uri="{FF2B5EF4-FFF2-40B4-BE49-F238E27FC236}">
                  <a16:creationId xmlns:a16="http://schemas.microsoft.com/office/drawing/2014/main" id="{BF4CC89B-FE28-F38C-875E-7BACEA3F4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8616B0A" w14:textId="77777777"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sz w:val="14"/>
          <w:szCs w:val="14"/>
        </w:rPr>
      </w:pPr>
      <w:r w:rsidRPr="00E80C9B">
        <w:rPr>
          <w:rFonts w:ascii="Segoe UI Light" w:hAnsi="Segoe UI Light"/>
          <w:sz w:val="14"/>
          <w:szCs w:val="14"/>
        </w:rPr>
        <w:t>Avots: CSP vakanču dati</w:t>
      </w:r>
    </w:p>
    <w:p w14:paraId="4C544A28" w14:textId="77777777" w:rsidR="00405DC3" w:rsidRPr="00E80C9B" w:rsidRDefault="00405DC3" w:rsidP="00773B25">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sz w:val="14"/>
          <w:szCs w:val="14"/>
        </w:rPr>
      </w:pPr>
      <w:r w:rsidRPr="00E80C9B">
        <w:rPr>
          <w:rFonts w:ascii="Segoe UI Light" w:hAnsi="Segoe UI Light"/>
          <w:sz w:val="14"/>
          <w:szCs w:val="14"/>
        </w:rPr>
        <w:t>*Profesijas ar lielāko pieprasījuma pieaugumu un kritumu</w:t>
      </w:r>
    </w:p>
    <w:p w14:paraId="6150A549" w14:textId="6A038011" w:rsidR="000C4188" w:rsidRDefault="00773B25">
      <w:pPr>
        <w:spacing w:after="0"/>
        <w:rPr>
          <w:rFonts w:ascii="Segoe UI Light" w:hAnsi="Segoe UI Light"/>
          <w:sz w:val="16"/>
          <w:szCs w:val="16"/>
        </w:rPr>
      </w:pPr>
      <w:r>
        <w:rPr>
          <w:rFonts w:ascii="Segoe UI Light" w:hAnsi="Segoe UI Light"/>
          <w:sz w:val="16"/>
          <w:szCs w:val="16"/>
        </w:rPr>
        <w:br w:type="page"/>
      </w:r>
    </w:p>
    <w:p w14:paraId="19D9B6F3" w14:textId="298D419D"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E80C9B">
        <w:rPr>
          <w:rFonts w:ascii="Segoe UI Light" w:hAnsi="Segoe UI Light"/>
          <w:sz w:val="16"/>
          <w:szCs w:val="16"/>
        </w:rPr>
        <w:lastRenderedPageBreak/>
        <w:t xml:space="preserve">Reģionālā griezumā vakances ir izteikti koncentrētas Rīgā, īpaši augstākas kvalifikācijas profesijās. </w:t>
      </w:r>
      <w:r w:rsidRPr="00214006">
        <w:rPr>
          <w:rFonts w:ascii="Segoe UI Light" w:hAnsi="Segoe UI Light"/>
          <w:b/>
          <w:bCs/>
          <w:sz w:val="16"/>
          <w:szCs w:val="16"/>
        </w:rPr>
        <w:t>Vadītāju, vecāko speciālistu, speciālistu un kalpotāju grupās Rīga veido vairāk nekā 70</w:t>
      </w:r>
      <w:r w:rsidR="004F64DD">
        <w:rPr>
          <w:rFonts w:ascii="Segoe UI Light" w:hAnsi="Segoe UI Light"/>
          <w:b/>
          <w:bCs/>
          <w:sz w:val="16"/>
          <w:szCs w:val="16"/>
        </w:rPr>
        <w:t> </w:t>
      </w:r>
      <w:r w:rsidRPr="00214006">
        <w:rPr>
          <w:rFonts w:ascii="Segoe UI Light" w:hAnsi="Segoe UI Light"/>
          <w:b/>
          <w:bCs/>
          <w:sz w:val="16"/>
          <w:szCs w:val="16"/>
        </w:rPr>
        <w:t>% no attiecīgās grupas vakanču kopskaita</w:t>
      </w:r>
      <w:r w:rsidRPr="00E80C9B">
        <w:rPr>
          <w:rFonts w:ascii="Segoe UI Light" w:hAnsi="Segoe UI Light"/>
          <w:sz w:val="16"/>
          <w:szCs w:val="16"/>
        </w:rPr>
        <w:t xml:space="preserve">. Savukārt kvalificēto strādnieku, iekārtu un mašīnu operatoru </w:t>
      </w:r>
      <w:r w:rsidR="00C92781">
        <w:rPr>
          <w:rFonts w:ascii="Segoe UI Light" w:hAnsi="Segoe UI Light"/>
          <w:sz w:val="16"/>
          <w:szCs w:val="16"/>
        </w:rPr>
        <w:t>kā arī</w:t>
      </w:r>
      <w:r w:rsidRPr="00E80C9B">
        <w:rPr>
          <w:rFonts w:ascii="Segoe UI Light" w:hAnsi="Segoe UI Light"/>
          <w:sz w:val="16"/>
          <w:szCs w:val="16"/>
        </w:rPr>
        <w:t xml:space="preserve"> lauksaimniecības darbinieku grupās pieprasījums ir teritoriāli izkliedētāks, atspoguļojot ražošanas, transporta, būvniecības un lauksaimniecības aktivitāšu lielāku nozīmi reģionos ārpus Rīgas un Pierīgas.</w:t>
      </w:r>
    </w:p>
    <w:p w14:paraId="504C37B5" w14:textId="77777777" w:rsidR="00405DC3" w:rsidRPr="00E80C9B" w:rsidRDefault="00405DC3" w:rsidP="00A73DFA">
      <w:pPr>
        <w:pBdr>
          <w:top w:val="single" w:sz="4" w:space="6" w:color="auto" w:shadow="1"/>
          <w:left w:val="single" w:sz="4" w:space="6" w:color="auto" w:shadow="1"/>
          <w:bottom w:val="single" w:sz="4" w:space="6" w:color="auto" w:shadow="1"/>
          <w:right w:val="single" w:sz="4" w:space="6" w:color="auto" w:shadow="1"/>
        </w:pBdr>
        <w:shd w:val="clear" w:color="auto" w:fill="DCE7EB"/>
        <w:spacing w:before="120" w:after="0"/>
        <w:jc w:val="center"/>
        <w:rPr>
          <w:rFonts w:ascii="Segoe UI Light" w:hAnsi="Segoe UI Light"/>
          <w:b/>
          <w:bCs/>
          <w:sz w:val="16"/>
          <w:szCs w:val="16"/>
        </w:rPr>
      </w:pPr>
      <w:r w:rsidRPr="00E80C9B">
        <w:rPr>
          <w:rFonts w:ascii="Segoe UI Light" w:hAnsi="Segoe UI Light"/>
          <w:b/>
          <w:bCs/>
          <w:sz w:val="16"/>
          <w:szCs w:val="16"/>
        </w:rPr>
        <w:t>Vakanču skaits reģionos profesiju grupās,</w:t>
      </w:r>
    </w:p>
    <w:p w14:paraId="1701F3C6" w14:textId="4AF9A59F"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40"/>
        <w:jc w:val="center"/>
        <w:rPr>
          <w:rFonts w:ascii="Segoe UI Light" w:hAnsi="Segoe UI Light"/>
          <w:i/>
          <w:iCs/>
          <w:sz w:val="16"/>
          <w:szCs w:val="16"/>
        </w:rPr>
      </w:pPr>
      <w:r w:rsidRPr="00E80C9B">
        <w:rPr>
          <w:rFonts w:ascii="Segoe UI Light" w:hAnsi="Segoe UI Light"/>
          <w:i/>
          <w:iCs/>
          <w:sz w:val="16"/>
          <w:szCs w:val="16"/>
        </w:rPr>
        <w:t>periodā no 2025.</w:t>
      </w:r>
      <w:r w:rsidR="004F64DD">
        <w:rPr>
          <w:rFonts w:ascii="Segoe UI Light" w:hAnsi="Segoe UI Light"/>
          <w:i/>
          <w:iCs/>
          <w:sz w:val="16"/>
          <w:szCs w:val="16"/>
        </w:rPr>
        <w:t> </w:t>
      </w:r>
      <w:r w:rsidRPr="00E80C9B">
        <w:rPr>
          <w:rFonts w:ascii="Segoe UI Light" w:hAnsi="Segoe UI Light"/>
          <w:i/>
          <w:iCs/>
          <w:sz w:val="16"/>
          <w:szCs w:val="16"/>
        </w:rPr>
        <w:t>gada oktobra - 2026.</w:t>
      </w:r>
      <w:r w:rsidR="004F64DD">
        <w:rPr>
          <w:rFonts w:ascii="Segoe UI Light" w:hAnsi="Segoe UI Light"/>
          <w:i/>
          <w:iCs/>
          <w:sz w:val="16"/>
          <w:szCs w:val="16"/>
        </w:rPr>
        <w:t> </w:t>
      </w:r>
      <w:r w:rsidRPr="00E80C9B">
        <w:rPr>
          <w:rFonts w:ascii="Segoe UI Light" w:hAnsi="Segoe UI Light"/>
          <w:i/>
          <w:iCs/>
          <w:sz w:val="16"/>
          <w:szCs w:val="16"/>
        </w:rPr>
        <w:t>gada februārim, tūkst.</w:t>
      </w:r>
    </w:p>
    <w:p w14:paraId="40F19E50" w14:textId="77777777" w:rsidR="00405DC3" w:rsidRPr="00E80C9B"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D829F0">
        <w:rPr>
          <w:rFonts w:ascii="Source Sans Pro" w:hAnsi="Source Sans Pro"/>
          <w:noProof/>
        </w:rPr>
        <w:drawing>
          <wp:inline distT="0" distB="0" distL="0" distR="0" wp14:anchorId="6F2290E0" wp14:editId="61E02514">
            <wp:extent cx="5760000" cy="2160000"/>
            <wp:effectExtent l="0" t="0" r="0" b="0"/>
            <wp:docPr id="901789123" name="Chart 1">
              <a:extLst xmlns:a="http://schemas.openxmlformats.org/drawingml/2006/main">
                <a:ext uri="{FF2B5EF4-FFF2-40B4-BE49-F238E27FC236}">
                  <a16:creationId xmlns:a16="http://schemas.microsoft.com/office/drawing/2014/main" id="{712E1362-F688-D3FC-E17D-C895AD564F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2A1D801" w14:textId="570BF3B9" w:rsidR="004E7F3F" w:rsidRPr="004F48DA" w:rsidRDefault="00405DC3" w:rsidP="000C418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i/>
          <w:iCs/>
          <w:sz w:val="12"/>
          <w:szCs w:val="12"/>
        </w:rPr>
      </w:pPr>
      <w:r w:rsidRPr="004F48DA">
        <w:rPr>
          <w:rFonts w:ascii="Segoe UI Light" w:hAnsi="Segoe UI Light"/>
          <w:i/>
          <w:iCs/>
          <w:sz w:val="12"/>
          <w:szCs w:val="12"/>
        </w:rPr>
        <w:t>Avots: CSP vakanču dati</w:t>
      </w:r>
    </w:p>
    <w:p w14:paraId="1F4A3895" w14:textId="77777777" w:rsidR="00195A08" w:rsidRPr="00D829F0" w:rsidRDefault="00195A08" w:rsidP="00195A08">
      <w:pPr>
        <w:shd w:val="clear" w:color="auto" w:fill="FFFFFF" w:themeFill="background1"/>
        <w:spacing w:after="120"/>
        <w:jc w:val="both"/>
        <w:rPr>
          <w:rFonts w:ascii="Source Sans Pro" w:hAnsi="Source Sans Pro"/>
        </w:rPr>
      </w:pPr>
      <w:bookmarkStart w:id="26" w:name="_Toc453924341"/>
      <w:bookmarkStart w:id="27" w:name="_Toc517876431"/>
    </w:p>
    <w:p w14:paraId="51656DDF" w14:textId="77777777" w:rsidR="009467D8" w:rsidRPr="00D829F0" w:rsidRDefault="009467D8" w:rsidP="00195A08">
      <w:pPr>
        <w:shd w:val="clear" w:color="auto" w:fill="FFFFFF" w:themeFill="background1"/>
        <w:spacing w:after="120"/>
        <w:jc w:val="both"/>
        <w:rPr>
          <w:rFonts w:ascii="Source Sans Pro" w:hAnsi="Source Sans Pro"/>
        </w:rPr>
      </w:pPr>
    </w:p>
    <w:p w14:paraId="05E85F54" w14:textId="34815508" w:rsidR="000A1F99" w:rsidRPr="008109EF" w:rsidRDefault="000A1F99" w:rsidP="00080A71">
      <w:pPr>
        <w:pStyle w:val="Heading2"/>
      </w:pPr>
      <w:bookmarkStart w:id="28" w:name="_Toc476843105"/>
      <w:r w:rsidRPr="008109EF">
        <w:t>2.2. Demogrāfiskā situācija un darbaspēka piedāvājums</w:t>
      </w:r>
      <w:bookmarkEnd w:id="26"/>
      <w:bookmarkEnd w:id="27"/>
      <w:bookmarkEnd w:id="28"/>
    </w:p>
    <w:p w14:paraId="3E9DDF80" w14:textId="77777777" w:rsidR="000A1F99" w:rsidRPr="008109EF" w:rsidRDefault="000A1F99" w:rsidP="00080A71">
      <w:pPr>
        <w:pStyle w:val="Heading3"/>
      </w:pPr>
      <w:bookmarkStart w:id="29" w:name="_Toc390350664"/>
      <w:bookmarkStart w:id="30" w:name="_Toc453924342"/>
      <w:bookmarkStart w:id="31" w:name="_Toc517876432"/>
      <w:bookmarkStart w:id="32" w:name="_Toc1177019564"/>
      <w:r w:rsidRPr="008109EF">
        <w:t>2.2.1. Demogrāfijas tendences</w:t>
      </w:r>
      <w:bookmarkEnd w:id="29"/>
      <w:bookmarkEnd w:id="30"/>
      <w:bookmarkEnd w:id="31"/>
      <w:bookmarkEnd w:id="32"/>
    </w:p>
    <w:p w14:paraId="69AF4FE8" w14:textId="77777777" w:rsidR="000B79B9" w:rsidRDefault="000B79B9" w:rsidP="00CD3284">
      <w:pPr>
        <w:shd w:val="clear" w:color="auto" w:fill="FFFFFF" w:themeFill="background1"/>
        <w:spacing w:after="120"/>
        <w:jc w:val="both"/>
        <w:rPr>
          <w:rFonts w:ascii="Source Sans Pro" w:hAnsi="Source Sans Pro"/>
        </w:rPr>
      </w:pPr>
      <w:bookmarkStart w:id="33" w:name="_Toc390350665"/>
      <w:bookmarkStart w:id="34" w:name="_Toc453924343"/>
      <w:bookmarkStart w:id="35" w:name="_Toc517876433"/>
      <w:bookmarkStart w:id="36" w:name="_Toc390350667"/>
      <w:bookmarkStart w:id="37" w:name="_Toc453924345"/>
      <w:bookmarkStart w:id="38" w:name="_Toc517876435"/>
    </w:p>
    <w:p w14:paraId="304C22AA" w14:textId="77777777" w:rsidR="000B79B9" w:rsidRPr="004B39FD" w:rsidRDefault="000B79B9" w:rsidP="001B57D6">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4C3B1CE6" w14:textId="7375935D" w:rsidR="00C427E4" w:rsidRPr="00C427E4" w:rsidRDefault="000B79B9"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C427E4" w:rsidRPr="00C427E4">
        <w:rPr>
          <w:rFonts w:ascii="Aptos Narrow" w:hAnsi="Aptos Narrow" w:cs="Verdana"/>
          <w:color w:val="262626"/>
          <w:sz w:val="22"/>
        </w:rPr>
        <w:t xml:space="preserve">Iedzīvotāju skaits Latvijā turpina sarukt, </w:t>
      </w:r>
      <w:r w:rsidR="004F64DD">
        <w:rPr>
          <w:rFonts w:ascii="Aptos Narrow" w:hAnsi="Aptos Narrow" w:cs="Verdana"/>
          <w:color w:val="262626"/>
          <w:sz w:val="22"/>
        </w:rPr>
        <w:t>ko</w:t>
      </w:r>
      <w:r w:rsidR="00C427E4" w:rsidRPr="00C427E4">
        <w:rPr>
          <w:rFonts w:ascii="Aptos Narrow" w:hAnsi="Aptos Narrow" w:cs="Verdana"/>
          <w:color w:val="262626"/>
          <w:sz w:val="22"/>
        </w:rPr>
        <w:t xml:space="preserve"> galvenokārt nosaka sabiedrības novecošanās, zemā dzimstība un iedzīvotāju emigrācija.</w:t>
      </w:r>
    </w:p>
    <w:p w14:paraId="12D0947A" w14:textId="4AAFFEEB" w:rsidR="00C427E4" w:rsidRPr="00C427E4" w:rsidRDefault="00C427E4"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C427E4">
        <w:rPr>
          <w:rFonts w:ascii="Aptos Narrow" w:hAnsi="Aptos Narrow" w:cs="Verdana"/>
          <w:color w:val="262626"/>
          <w:sz w:val="22"/>
        </w:rPr>
        <w:t>Dzimstība ir noslīdējusi līdz zemākajam līmenim kopš neatkarības atgūšanas, un dzimušo skaits pēdējo gadu laikā ir strauji samazinājies, kas norāda uz nepieciešamību pēc mērķtiecīgiem tautas</w:t>
      </w:r>
      <w:r w:rsidR="007E5459">
        <w:rPr>
          <w:rFonts w:ascii="Aptos Narrow" w:hAnsi="Aptos Narrow" w:cs="Verdana"/>
          <w:color w:val="262626"/>
          <w:sz w:val="22"/>
        </w:rPr>
        <w:t xml:space="preserve"> </w:t>
      </w:r>
      <w:r w:rsidRPr="00C427E4">
        <w:rPr>
          <w:rFonts w:ascii="Aptos Narrow" w:hAnsi="Aptos Narrow" w:cs="Verdana"/>
          <w:color w:val="262626"/>
          <w:sz w:val="22"/>
        </w:rPr>
        <w:t>ataudzes pasākumiem.</w:t>
      </w:r>
    </w:p>
    <w:p w14:paraId="1DC1FA2F" w14:textId="70654215" w:rsidR="000B79B9" w:rsidRPr="004B39FD" w:rsidRDefault="00C427E4"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004F64DD">
        <w:rPr>
          <w:rFonts w:ascii="Aptos Narrow" w:hAnsi="Aptos Narrow" w:cs="Verdana"/>
          <w:color w:val="262626"/>
          <w:sz w:val="22"/>
        </w:rPr>
        <w:t>N</w:t>
      </w:r>
      <w:r w:rsidR="001B57D6" w:rsidRPr="001B57D6">
        <w:rPr>
          <w:rFonts w:ascii="Aptos Narrow" w:hAnsi="Aptos Narrow" w:cs="Verdana"/>
          <w:color w:val="262626"/>
          <w:sz w:val="22"/>
        </w:rPr>
        <w:t>egatīv</w:t>
      </w:r>
      <w:r w:rsidR="00ED6230">
        <w:rPr>
          <w:rFonts w:ascii="Aptos Narrow" w:hAnsi="Aptos Narrow" w:cs="Verdana"/>
          <w:color w:val="262626"/>
          <w:sz w:val="22"/>
        </w:rPr>
        <w:t>ās</w:t>
      </w:r>
      <w:r w:rsidRPr="00C427E4">
        <w:rPr>
          <w:rFonts w:ascii="Aptos Narrow" w:hAnsi="Aptos Narrow" w:cs="Verdana"/>
          <w:color w:val="262626"/>
          <w:sz w:val="22"/>
        </w:rPr>
        <w:t xml:space="preserve"> migrācijas </w:t>
      </w:r>
      <w:r w:rsidR="00A36469">
        <w:rPr>
          <w:rFonts w:ascii="Aptos Narrow" w:hAnsi="Aptos Narrow" w:cs="Verdana"/>
          <w:color w:val="262626"/>
          <w:sz w:val="22"/>
        </w:rPr>
        <w:t>tendenci</w:t>
      </w:r>
      <w:r w:rsidRPr="00C427E4">
        <w:rPr>
          <w:rFonts w:ascii="Aptos Narrow" w:hAnsi="Aptos Narrow" w:cs="Verdana"/>
          <w:color w:val="262626"/>
          <w:sz w:val="22"/>
        </w:rPr>
        <w:t xml:space="preserve"> pēdējos gados mazinājusi emigrācijas stimulu samazināšanās, gan Ukrainas kara bēgļu ieplūde.</w:t>
      </w:r>
    </w:p>
    <w:p w14:paraId="669611C1" w14:textId="77777777" w:rsidR="000B79B9" w:rsidRDefault="000B79B9" w:rsidP="00CD3284">
      <w:pPr>
        <w:shd w:val="clear" w:color="auto" w:fill="FFFFFF" w:themeFill="background1"/>
        <w:spacing w:after="120"/>
        <w:jc w:val="both"/>
        <w:rPr>
          <w:rFonts w:ascii="Source Sans Pro" w:hAnsi="Source Sans Pro"/>
        </w:rPr>
      </w:pPr>
    </w:p>
    <w:p w14:paraId="2245063C" w14:textId="19FBEDF8" w:rsidR="00CD3284" w:rsidRPr="00D829F0" w:rsidRDefault="00CD3284" w:rsidP="00CD3284">
      <w:pPr>
        <w:shd w:val="clear" w:color="auto" w:fill="FFFFFF" w:themeFill="background1"/>
        <w:spacing w:after="120"/>
        <w:jc w:val="both"/>
        <w:rPr>
          <w:rFonts w:ascii="Source Sans Pro" w:hAnsi="Source Sans Pro"/>
        </w:rPr>
      </w:pPr>
      <w:r w:rsidRPr="00D829F0">
        <w:rPr>
          <w:rFonts w:ascii="Source Sans Pro" w:hAnsi="Source Sans Pro"/>
        </w:rPr>
        <w:t>Ilgtermiņa tendences rāda, ka iedzīvotāju skaits Latvijā turpina sarukt. Kopējais iedzīvotāju skaita samazinājums Latvijā kopš 2000.</w:t>
      </w:r>
      <w:r w:rsidR="00A36469">
        <w:rPr>
          <w:rFonts w:ascii="Source Sans Pro" w:hAnsi="Source Sans Pro"/>
        </w:rPr>
        <w:t> </w:t>
      </w:r>
      <w:r w:rsidRPr="00D829F0">
        <w:rPr>
          <w:rFonts w:ascii="Source Sans Pro" w:hAnsi="Source Sans Pro"/>
        </w:rPr>
        <w:t xml:space="preserve">gada </w:t>
      </w:r>
      <w:r w:rsidR="004E7F3F" w:rsidRPr="00D829F0">
        <w:rPr>
          <w:rFonts w:ascii="Source Sans Pro" w:hAnsi="Source Sans Pro"/>
        </w:rPr>
        <w:t xml:space="preserve">tuvojas </w:t>
      </w:r>
      <w:r w:rsidR="00AF5553" w:rsidRPr="00D829F0">
        <w:rPr>
          <w:rFonts w:ascii="Source Sans Pro" w:hAnsi="Source Sans Pro"/>
        </w:rPr>
        <w:t>550</w:t>
      </w:r>
      <w:r w:rsidR="00A36469">
        <w:rPr>
          <w:rFonts w:ascii="Source Sans Pro" w:hAnsi="Source Sans Pro"/>
        </w:rPr>
        <w:t> </w:t>
      </w:r>
      <w:r w:rsidR="004E7F3F" w:rsidRPr="00D829F0">
        <w:rPr>
          <w:rFonts w:ascii="Source Sans Pro" w:hAnsi="Source Sans Pro"/>
        </w:rPr>
        <w:t>tūkst., kas ir 23% no iedzīvotāju skaita 2000.</w:t>
      </w:r>
      <w:r w:rsidR="00A36469">
        <w:rPr>
          <w:rFonts w:ascii="Source Sans Pro" w:hAnsi="Source Sans Pro"/>
        </w:rPr>
        <w:t> </w:t>
      </w:r>
      <w:r w:rsidR="004E7F3F" w:rsidRPr="00D829F0">
        <w:rPr>
          <w:rFonts w:ascii="Source Sans Pro" w:hAnsi="Source Sans Pro"/>
        </w:rPr>
        <w:t xml:space="preserve">gada sākumā. </w:t>
      </w:r>
      <w:r w:rsidRPr="00D829F0">
        <w:rPr>
          <w:rFonts w:ascii="Source Sans Pro" w:hAnsi="Source Sans Pro"/>
        </w:rPr>
        <w:t>Demogrāfisko tendenču būtiskākie ietekmējošie faktori ir sabiedrības novecošanās, zems dzimstības līmenis un iedzīvotāju emigrācija.</w:t>
      </w:r>
    </w:p>
    <w:p w14:paraId="4D0CDFB9" w14:textId="05C5AA51" w:rsidR="004E7F3F" w:rsidRPr="00D829F0" w:rsidRDefault="004E7F3F" w:rsidP="004E7F3F">
      <w:pPr>
        <w:shd w:val="clear" w:color="auto" w:fill="FFFFFF" w:themeFill="background1"/>
        <w:spacing w:after="120"/>
        <w:jc w:val="both"/>
        <w:rPr>
          <w:rFonts w:ascii="Source Sans Pro" w:hAnsi="Source Sans Pro"/>
        </w:rPr>
      </w:pPr>
      <w:r w:rsidRPr="00D829F0">
        <w:rPr>
          <w:rFonts w:ascii="Source Sans Pro" w:hAnsi="Source Sans Pro"/>
        </w:rPr>
        <w:t>2026.</w:t>
      </w:r>
      <w:r w:rsidR="00A36469">
        <w:rPr>
          <w:rFonts w:ascii="Source Sans Pro" w:hAnsi="Source Sans Pro"/>
        </w:rPr>
        <w:t> </w:t>
      </w:r>
      <w:r w:rsidRPr="00D829F0">
        <w:rPr>
          <w:rFonts w:ascii="Source Sans Pro" w:hAnsi="Source Sans Pro"/>
        </w:rPr>
        <w:t>gada sākumā Latvijā dzīvoja 1 </w:t>
      </w:r>
      <w:r w:rsidR="00AF5553" w:rsidRPr="00D829F0">
        <w:rPr>
          <w:rFonts w:ascii="Source Sans Pro" w:hAnsi="Source Sans Pro"/>
        </w:rPr>
        <w:t>845</w:t>
      </w:r>
      <w:r w:rsidR="00A36469">
        <w:rPr>
          <w:rFonts w:ascii="Source Sans Pro" w:hAnsi="Source Sans Pro"/>
        </w:rPr>
        <w:t> </w:t>
      </w:r>
      <w:r w:rsidR="00AF5553" w:rsidRPr="00D829F0">
        <w:rPr>
          <w:rFonts w:ascii="Source Sans Pro" w:hAnsi="Source Sans Pro"/>
        </w:rPr>
        <w:t xml:space="preserve">tūkst. </w:t>
      </w:r>
      <w:r w:rsidRPr="00D829F0">
        <w:rPr>
          <w:rFonts w:ascii="Source Sans Pro" w:hAnsi="Source Sans Pro"/>
        </w:rPr>
        <w:t xml:space="preserve">iedzīvotāju, to skaits samazinājies par </w:t>
      </w:r>
      <w:r w:rsidR="00AF5553" w:rsidRPr="00D829F0">
        <w:rPr>
          <w:rFonts w:ascii="Source Sans Pro" w:hAnsi="Source Sans Pro"/>
        </w:rPr>
        <w:t>15,5</w:t>
      </w:r>
      <w:r w:rsidR="00A36469">
        <w:rPr>
          <w:rFonts w:ascii="Source Sans Pro" w:hAnsi="Source Sans Pro"/>
        </w:rPr>
        <w:t> </w:t>
      </w:r>
      <w:r w:rsidR="00AF5553" w:rsidRPr="00D829F0">
        <w:rPr>
          <w:rFonts w:ascii="Source Sans Pro" w:hAnsi="Source Sans Pro"/>
        </w:rPr>
        <w:t>tūkst.</w:t>
      </w:r>
      <w:r w:rsidRPr="00D829F0">
        <w:rPr>
          <w:rFonts w:ascii="Source Sans Pro" w:hAnsi="Source Sans Pro"/>
        </w:rPr>
        <w:t xml:space="preserve"> salīdzinājumā ar 2025.</w:t>
      </w:r>
      <w:r w:rsidR="00A36469">
        <w:rPr>
          <w:rFonts w:ascii="Source Sans Pro" w:hAnsi="Source Sans Pro"/>
        </w:rPr>
        <w:t> </w:t>
      </w:r>
      <w:r w:rsidRPr="00D829F0">
        <w:rPr>
          <w:rFonts w:ascii="Source Sans Pro" w:hAnsi="Source Sans Pro"/>
        </w:rPr>
        <w:t>gada sākumu.</w:t>
      </w:r>
    </w:p>
    <w:p w14:paraId="0DC6972D" w14:textId="77777777" w:rsidR="00CE6449" w:rsidRDefault="00CE6449">
      <w:pPr>
        <w:spacing w:after="0"/>
        <w:rPr>
          <w:rFonts w:ascii="Source Sans Pro" w:hAnsi="Source Sans Pro"/>
        </w:rPr>
      </w:pPr>
      <w:r>
        <w:rPr>
          <w:rFonts w:ascii="Source Sans Pro" w:hAnsi="Source Sans Pro"/>
        </w:rPr>
        <w:br w:type="page"/>
      </w:r>
    </w:p>
    <w:p w14:paraId="01EF9154" w14:textId="602793E5" w:rsidR="004E7F3F" w:rsidRPr="00D829F0" w:rsidRDefault="004E7F3F" w:rsidP="004E7F3F">
      <w:pPr>
        <w:shd w:val="clear" w:color="auto" w:fill="FFFFFF" w:themeFill="background1"/>
        <w:spacing w:after="120"/>
        <w:jc w:val="both"/>
        <w:rPr>
          <w:rFonts w:ascii="Source Sans Pro" w:hAnsi="Source Sans Pro"/>
        </w:rPr>
      </w:pPr>
      <w:r w:rsidRPr="00D829F0">
        <w:rPr>
          <w:rFonts w:ascii="Source Sans Pro" w:hAnsi="Source Sans Pro"/>
        </w:rPr>
        <w:lastRenderedPageBreak/>
        <w:t xml:space="preserve">Dzimstības rādītāji Latvijā ilgstoši </w:t>
      </w:r>
      <w:r w:rsidR="00A36469">
        <w:rPr>
          <w:rFonts w:ascii="Source Sans Pro" w:hAnsi="Source Sans Pro"/>
        </w:rPr>
        <w:t>ir</w:t>
      </w:r>
      <w:r w:rsidRPr="00D829F0">
        <w:rPr>
          <w:rFonts w:ascii="Source Sans Pro" w:hAnsi="Source Sans Pro"/>
        </w:rPr>
        <w:t xml:space="preserve"> zemā līmenī un nav pietiekami esošā iedzīvotāju skaita atražošanai. Pēc straujas dzimstības samazinājuma pagājušā gadsimta 90-tos gados, sākot ar 1999.</w:t>
      </w:r>
      <w:r w:rsidR="00A36469">
        <w:rPr>
          <w:rFonts w:ascii="Source Sans Pro" w:hAnsi="Source Sans Pro"/>
        </w:rPr>
        <w:t> </w:t>
      </w:r>
      <w:r w:rsidRPr="00D829F0">
        <w:rPr>
          <w:rFonts w:ascii="Source Sans Pro" w:hAnsi="Source Sans Pro"/>
        </w:rPr>
        <w:t>gadu, uzlabojoties gan sociālekonomiskajai situācijai valstī, gan arī reproduktīvajā vecumā ienākot 80-to gados dzimušajiem (no 1980.-1990.</w:t>
      </w:r>
      <w:r w:rsidR="00A36469">
        <w:rPr>
          <w:rFonts w:ascii="Source Sans Pro" w:hAnsi="Source Sans Pro"/>
        </w:rPr>
        <w:t> </w:t>
      </w:r>
      <w:r w:rsidRPr="00D829F0">
        <w:rPr>
          <w:rFonts w:ascii="Source Sans Pro" w:hAnsi="Source Sans Pro"/>
        </w:rPr>
        <w:t>gadam Latvijā augstas dzimstības periods), dzimstības rādītājiem kopumā Latvijā bija novērojama pieaugoša tendence (palielinājās gan dzimušo skaits, gan dzimstības koeficients), kas saglabājās līdz pat 2008.</w:t>
      </w:r>
      <w:r w:rsidR="002B6CB3">
        <w:rPr>
          <w:rFonts w:ascii="Source Sans Pro" w:hAnsi="Source Sans Pro"/>
        </w:rPr>
        <w:t> </w:t>
      </w:r>
      <w:r w:rsidRPr="00D829F0">
        <w:rPr>
          <w:rFonts w:ascii="Source Sans Pro" w:hAnsi="Source Sans Pro"/>
        </w:rPr>
        <w:t>gadam. Ekonomiskās krīzes ietekmē no 2009.</w:t>
      </w:r>
      <w:r w:rsidR="002B6CB3">
        <w:rPr>
          <w:rFonts w:ascii="Source Sans Pro" w:hAnsi="Source Sans Pro"/>
        </w:rPr>
        <w:t> </w:t>
      </w:r>
      <w:r w:rsidRPr="00D829F0">
        <w:rPr>
          <w:rFonts w:ascii="Source Sans Pro" w:hAnsi="Source Sans Pro"/>
        </w:rPr>
        <w:t>gada dzimušo skaits samazinājās un dzimstības pieaugums atsākās tikai 2012.</w:t>
      </w:r>
      <w:r w:rsidR="002B6CB3">
        <w:rPr>
          <w:rFonts w:ascii="Source Sans Pro" w:hAnsi="Source Sans Pro"/>
        </w:rPr>
        <w:t> </w:t>
      </w:r>
      <w:r w:rsidRPr="00D829F0">
        <w:rPr>
          <w:rFonts w:ascii="Source Sans Pro" w:hAnsi="Source Sans Pro"/>
        </w:rPr>
        <w:t>gadā – 2015. un 2016.</w:t>
      </w:r>
      <w:r w:rsidR="002B6CB3">
        <w:rPr>
          <w:rFonts w:ascii="Source Sans Pro" w:hAnsi="Source Sans Pro"/>
        </w:rPr>
        <w:t> </w:t>
      </w:r>
      <w:r w:rsidRPr="00D829F0">
        <w:rPr>
          <w:rFonts w:ascii="Source Sans Pro" w:hAnsi="Source Sans Pro"/>
        </w:rPr>
        <w:t>gadā sasniedzot pēdējā desmitgadē lielāko dzimušo skaitu. Kopš 2017.</w:t>
      </w:r>
      <w:r w:rsidR="002B6CB3">
        <w:rPr>
          <w:rFonts w:ascii="Source Sans Pro" w:hAnsi="Source Sans Pro"/>
        </w:rPr>
        <w:t> </w:t>
      </w:r>
      <w:r w:rsidRPr="00D829F0">
        <w:rPr>
          <w:rFonts w:ascii="Source Sans Pro" w:hAnsi="Source Sans Pro"/>
        </w:rPr>
        <w:t>gada vērojama dzimstības rādītāju samazināšanās, šai tendencei izteikti pastiprinoties pēdējos trijos gados. Vērojama diezgan dramatiska dzimušo skaita lejupslīde absolūtos skaitļos. Dzimušo skaits ir samazinājies no 17,6</w:t>
      </w:r>
      <w:r w:rsidR="002B6CB3">
        <w:rPr>
          <w:rFonts w:ascii="Source Sans Pro" w:hAnsi="Source Sans Pro"/>
        </w:rPr>
        <w:t> </w:t>
      </w:r>
      <w:r w:rsidRPr="00D829F0">
        <w:rPr>
          <w:rFonts w:ascii="Source Sans Pro" w:hAnsi="Source Sans Pro"/>
        </w:rPr>
        <w:t>tūkst. 2020.</w:t>
      </w:r>
      <w:r w:rsidR="002B6CB3">
        <w:rPr>
          <w:rFonts w:ascii="Source Sans Pro" w:hAnsi="Source Sans Pro"/>
        </w:rPr>
        <w:t> </w:t>
      </w:r>
      <w:r w:rsidRPr="00D829F0">
        <w:rPr>
          <w:rFonts w:ascii="Source Sans Pro" w:hAnsi="Source Sans Pro"/>
        </w:rPr>
        <w:t>gadā līdz 11,</w:t>
      </w:r>
      <w:r w:rsidR="00AF5553" w:rsidRPr="00D829F0">
        <w:rPr>
          <w:rFonts w:ascii="Source Sans Pro" w:hAnsi="Source Sans Pro"/>
        </w:rPr>
        <w:t>9</w:t>
      </w:r>
      <w:r w:rsidR="002B6CB3">
        <w:rPr>
          <w:rFonts w:ascii="Source Sans Pro" w:hAnsi="Source Sans Pro"/>
        </w:rPr>
        <w:t> </w:t>
      </w:r>
      <w:r w:rsidR="00AF5553" w:rsidRPr="00D829F0">
        <w:rPr>
          <w:rFonts w:ascii="Source Sans Pro" w:hAnsi="Source Sans Pro"/>
        </w:rPr>
        <w:t>tūkst.</w:t>
      </w:r>
      <w:r w:rsidRPr="00D829F0">
        <w:rPr>
          <w:rFonts w:ascii="Source Sans Pro" w:hAnsi="Source Sans Pro"/>
        </w:rPr>
        <w:t xml:space="preserve"> 2025.</w:t>
      </w:r>
      <w:r w:rsidR="002B6CB3">
        <w:rPr>
          <w:rFonts w:ascii="Source Sans Pro" w:hAnsi="Source Sans Pro"/>
        </w:rPr>
        <w:t> </w:t>
      </w:r>
      <w:r w:rsidRPr="00D829F0">
        <w:rPr>
          <w:rFonts w:ascii="Source Sans Pro" w:hAnsi="Source Sans Pro"/>
        </w:rPr>
        <w:t>gadā. Dzimstības koeficients 2025. gadā ir nokrities līdz zemākajam līmenim kopš neatkarības atgūšanas. Pēdējo gadu negatīvā dzimstības dinamika norāda uz tūlītēju, mērķtiecīgu tautas ataudzes veicināšanas pasākumu īstenošanas nepieciešamību.</w:t>
      </w:r>
    </w:p>
    <w:p w14:paraId="5EA7042D" w14:textId="70F4974E" w:rsidR="004E7F3F" w:rsidRPr="00D829F0" w:rsidRDefault="004E7F3F" w:rsidP="004E7F3F">
      <w:pPr>
        <w:shd w:val="clear" w:color="auto" w:fill="FFFFFF" w:themeFill="background1"/>
        <w:spacing w:after="120"/>
        <w:jc w:val="both"/>
        <w:rPr>
          <w:rFonts w:ascii="Source Sans Pro" w:hAnsi="Source Sans Pro"/>
        </w:rPr>
      </w:pPr>
      <w:r w:rsidRPr="00D829F0">
        <w:rPr>
          <w:rFonts w:ascii="Source Sans Pro" w:hAnsi="Source Sans Pro"/>
        </w:rPr>
        <w:t>Mirušo skaita pakāpeniskas samazināšanās tendence vērojama kopš 2007. gada. Kopš 2012. gada rādītājs bija nostabilizējies. Covid-19 pandēmijas ietekmē mirstības rādītāji laika periodā no 2020.-2022. gadam krasi pasliktinājās. Kopš 2023. gada mirstības koeficients samazinās, un 2025.</w:t>
      </w:r>
      <w:r w:rsidR="009B73BE">
        <w:rPr>
          <w:rFonts w:ascii="Source Sans Pro" w:hAnsi="Source Sans Pro"/>
        </w:rPr>
        <w:t> </w:t>
      </w:r>
      <w:r w:rsidRPr="00D829F0">
        <w:rPr>
          <w:rFonts w:ascii="Source Sans Pro" w:hAnsi="Source Sans Pro"/>
        </w:rPr>
        <w:t>gadā nokritās līdz pēdējās dekādes zemākajam līmenim.</w:t>
      </w:r>
    </w:p>
    <w:p w14:paraId="48582930" w14:textId="07E22906" w:rsidR="004E7F3F" w:rsidRPr="00D829F0" w:rsidRDefault="004E7F3F" w:rsidP="004E7F3F">
      <w:pPr>
        <w:shd w:val="clear" w:color="auto" w:fill="FFFFFF" w:themeFill="background1"/>
        <w:spacing w:after="120"/>
        <w:jc w:val="both"/>
        <w:rPr>
          <w:rFonts w:ascii="Source Sans Pro" w:hAnsi="Source Sans Pro"/>
        </w:rPr>
      </w:pPr>
      <w:r w:rsidRPr="00D829F0">
        <w:rPr>
          <w:rFonts w:ascii="Source Sans Pro" w:hAnsi="Source Sans Pro"/>
        </w:rPr>
        <w:t>Iedzīvotāju dabisko kustību raksturo dabiskā pieauguma koeficients, kas uzlabojās kopš 2011.</w:t>
      </w:r>
      <w:r w:rsidR="009B73BE">
        <w:rPr>
          <w:rFonts w:ascii="Source Sans Pro" w:hAnsi="Source Sans Pro"/>
        </w:rPr>
        <w:t> </w:t>
      </w:r>
      <w:r w:rsidRPr="00D829F0">
        <w:rPr>
          <w:rFonts w:ascii="Source Sans Pro" w:hAnsi="Source Sans Pro"/>
        </w:rPr>
        <w:t>gada. Pēdējo gadu dzimstības rādītāju negatīvās attīstības rezultātā</w:t>
      </w:r>
      <w:r w:rsidR="009B73BE">
        <w:rPr>
          <w:rFonts w:ascii="Source Sans Pro" w:hAnsi="Source Sans Pro"/>
        </w:rPr>
        <w:t>,</w:t>
      </w:r>
      <w:r w:rsidRPr="00D829F0">
        <w:rPr>
          <w:rFonts w:ascii="Source Sans Pro" w:hAnsi="Source Sans Pro"/>
        </w:rPr>
        <w:t xml:space="preserve"> izteikti pasliktinā</w:t>
      </w:r>
      <w:r w:rsidR="009B73BE">
        <w:rPr>
          <w:rFonts w:ascii="Source Sans Pro" w:hAnsi="Source Sans Pro"/>
        </w:rPr>
        <w:t>s</w:t>
      </w:r>
      <w:r w:rsidRPr="00D829F0">
        <w:rPr>
          <w:rFonts w:ascii="Source Sans Pro" w:hAnsi="Source Sans Pro"/>
        </w:rPr>
        <w:t xml:space="preserve"> kopš 2017.</w:t>
      </w:r>
      <w:r w:rsidR="00E1574E">
        <w:rPr>
          <w:rFonts w:ascii="Source Sans Pro" w:hAnsi="Source Sans Pro"/>
        </w:rPr>
        <w:t> </w:t>
      </w:r>
      <w:r w:rsidRPr="00D829F0">
        <w:rPr>
          <w:rFonts w:ascii="Source Sans Pro" w:hAnsi="Source Sans Pro"/>
        </w:rPr>
        <w:t>gada. Apvienojumā ar pēdējo gadu mirstības tendencēm un Covid-19 pandēmiju, dabiskā pieauguma koeficients 2021.</w:t>
      </w:r>
      <w:r w:rsidR="009B73BE">
        <w:rPr>
          <w:rFonts w:ascii="Source Sans Pro" w:hAnsi="Source Sans Pro"/>
        </w:rPr>
        <w:t> </w:t>
      </w:r>
      <w:r w:rsidRPr="00D829F0">
        <w:rPr>
          <w:rFonts w:ascii="Source Sans Pro" w:hAnsi="Source Sans Pro"/>
        </w:rPr>
        <w:t xml:space="preserve">gadā </w:t>
      </w:r>
      <w:r w:rsidR="00AF5553" w:rsidRPr="00D829F0">
        <w:rPr>
          <w:rFonts w:ascii="Source Sans Pro" w:hAnsi="Source Sans Pro"/>
        </w:rPr>
        <w:t>nokritās līdz vēsturiski zemākajam negatīvajam līmenim -9,1 uz 1000 iedzīvotājiem. Rādītājs mazliet uzlabojās 2022. gadā, taču turpmākos gados atgriez</w:t>
      </w:r>
      <w:r w:rsidR="009B73BE">
        <w:rPr>
          <w:rFonts w:ascii="Source Sans Pro" w:hAnsi="Source Sans Pro"/>
        </w:rPr>
        <w:t>ās</w:t>
      </w:r>
      <w:r w:rsidR="00AF5553" w:rsidRPr="00D829F0">
        <w:rPr>
          <w:rFonts w:ascii="Source Sans Pro" w:hAnsi="Source Sans Pro"/>
        </w:rPr>
        <w:t xml:space="preserve"> pie pasliktināšanās tendences, kas redzama arī 2025.</w:t>
      </w:r>
      <w:r w:rsidR="009B73BE">
        <w:rPr>
          <w:rFonts w:ascii="Source Sans Pro" w:hAnsi="Source Sans Pro"/>
        </w:rPr>
        <w:t> </w:t>
      </w:r>
      <w:r w:rsidR="00AF5553" w:rsidRPr="00D829F0">
        <w:rPr>
          <w:rFonts w:ascii="Source Sans Pro" w:hAnsi="Source Sans Pro"/>
        </w:rPr>
        <w:t xml:space="preserve">gadā. </w:t>
      </w:r>
      <w:r w:rsidR="009B73BE">
        <w:rPr>
          <w:rFonts w:ascii="Source Sans Pro" w:hAnsi="Source Sans Pro"/>
        </w:rPr>
        <w:t>I</w:t>
      </w:r>
      <w:r w:rsidR="00AF5553" w:rsidRPr="00D829F0">
        <w:rPr>
          <w:rFonts w:ascii="Source Sans Pro" w:hAnsi="Source Sans Pro"/>
        </w:rPr>
        <w:t>zteikto dzimstības sarukumu zināmā mērā kompensē mirstības</w:t>
      </w:r>
      <w:r w:rsidRPr="00D829F0">
        <w:rPr>
          <w:rFonts w:ascii="Source Sans Pro" w:hAnsi="Source Sans Pro"/>
        </w:rPr>
        <w:t xml:space="preserve"> mazināšanās.</w:t>
      </w:r>
    </w:p>
    <w:p w14:paraId="7930E40F" w14:textId="6588BB96" w:rsidR="004E7F3F" w:rsidRPr="00D829F0" w:rsidRDefault="004E7F3F" w:rsidP="004E7F3F">
      <w:pPr>
        <w:spacing w:after="120"/>
        <w:jc w:val="right"/>
        <w:rPr>
          <w:rFonts w:ascii="Source Sans Pro" w:hAnsi="Source Sans Pro"/>
          <w:szCs w:val="26"/>
        </w:rPr>
      </w:pPr>
      <w:r w:rsidRPr="00D829F0">
        <w:rPr>
          <w:rFonts w:ascii="Source Sans Pro" w:hAnsi="Source Sans Pro"/>
          <w:szCs w:val="26"/>
        </w:rPr>
        <w:t>2.5.</w:t>
      </w:r>
      <w:r w:rsidR="009B73BE">
        <w:rPr>
          <w:rFonts w:ascii="Source Sans Pro" w:hAnsi="Source Sans Pro"/>
          <w:szCs w:val="26"/>
        </w:rPr>
        <w:t> </w:t>
      </w:r>
      <w:r w:rsidRPr="00D829F0">
        <w:rPr>
          <w:rFonts w:ascii="Source Sans Pro" w:hAnsi="Source Sans Pro"/>
          <w:szCs w:val="26"/>
        </w:rPr>
        <w:t>attēls</w:t>
      </w:r>
    </w:p>
    <w:p w14:paraId="63AA1A8B" w14:textId="154015D8" w:rsidR="004E7F3F" w:rsidRPr="00052079" w:rsidRDefault="004E7F3F" w:rsidP="00202599">
      <w:pPr>
        <w:tabs>
          <w:tab w:val="center" w:pos="2552"/>
          <w:tab w:val="center" w:pos="4536"/>
          <w:tab w:val="center" w:pos="7088"/>
        </w:tabs>
        <w:spacing w:after="120"/>
        <w:rPr>
          <w:rFonts w:ascii="Segoe UI Light" w:hAnsi="Segoe UI Light"/>
          <w:i/>
          <w:sz w:val="16"/>
        </w:rPr>
      </w:pPr>
      <w:r w:rsidRPr="00052079">
        <w:rPr>
          <w:rFonts w:ascii="Segoe UI Light" w:hAnsi="Segoe UI Light"/>
          <w:b/>
          <w:bCs/>
          <w:sz w:val="18"/>
          <w:szCs w:val="26"/>
        </w:rPr>
        <w:tab/>
      </w:r>
      <w:r w:rsidRPr="00052079">
        <w:rPr>
          <w:rFonts w:ascii="Segoe UI Light" w:hAnsi="Segoe UI Light"/>
          <w:b/>
          <w:bCs/>
          <w:sz w:val="18"/>
          <w:szCs w:val="26"/>
        </w:rPr>
        <w:tab/>
        <w:t>Iedzīvotāju vecumstruktūra</w:t>
      </w:r>
      <w:r w:rsidRPr="00052079">
        <w:rPr>
          <w:rFonts w:ascii="Segoe UI Light" w:hAnsi="Segoe UI Light"/>
          <w:sz w:val="16"/>
        </w:rPr>
        <w:br/>
      </w:r>
      <w:r w:rsidRPr="00052079">
        <w:rPr>
          <w:rFonts w:ascii="Segoe UI Light" w:hAnsi="Segoe UI Light"/>
          <w:bCs/>
          <w:i/>
          <w:sz w:val="16"/>
        </w:rPr>
        <w:tab/>
        <w:t xml:space="preserve">tūkstošos, </w:t>
      </w:r>
      <w:r w:rsidR="00E1574E">
        <w:rPr>
          <w:rFonts w:ascii="Segoe UI Light" w:hAnsi="Segoe UI Light"/>
          <w:bCs/>
          <w:i/>
          <w:sz w:val="16"/>
        </w:rPr>
        <w:t xml:space="preserve">katra </w:t>
      </w:r>
      <w:r w:rsidRPr="00052079">
        <w:rPr>
          <w:rFonts w:ascii="Segoe UI Light" w:hAnsi="Segoe UI Light"/>
          <w:bCs/>
          <w:i/>
          <w:sz w:val="16"/>
        </w:rPr>
        <w:t>gada sākumā</w:t>
      </w:r>
      <w:r w:rsidRPr="00052079">
        <w:rPr>
          <w:rFonts w:ascii="Segoe UI Light" w:hAnsi="Segoe UI Light"/>
          <w:i/>
          <w:noProof/>
          <w:sz w:val="16"/>
          <w:lang w:eastAsia="lv-LV"/>
        </w:rPr>
        <w:tab/>
      </w:r>
      <w:r w:rsidRPr="00052079">
        <w:rPr>
          <w:rFonts w:ascii="Segoe UI Light" w:hAnsi="Segoe UI Light"/>
          <w:i/>
          <w:noProof/>
          <w:sz w:val="16"/>
          <w:lang w:eastAsia="lv-LV"/>
        </w:rPr>
        <w:tab/>
        <w:t xml:space="preserve">tūkstošos, </w:t>
      </w:r>
      <w:r w:rsidRPr="00052079">
        <w:rPr>
          <w:rFonts w:ascii="Segoe UI Light" w:hAnsi="Segoe UI Light"/>
          <w:bCs/>
          <w:i/>
          <w:sz w:val="16"/>
        </w:rPr>
        <w:t>2026. gada sākumā</w:t>
      </w:r>
    </w:p>
    <w:p w14:paraId="0FC93385" w14:textId="77777777" w:rsidR="00AF5553" w:rsidRPr="00052079" w:rsidRDefault="00AF5553" w:rsidP="00AF5553">
      <w:pPr>
        <w:tabs>
          <w:tab w:val="left" w:pos="4075"/>
        </w:tabs>
        <w:rPr>
          <w:rFonts w:ascii="Arial Narrow" w:hAnsi="Arial Narrow"/>
          <w:sz w:val="16"/>
          <w:szCs w:val="16"/>
        </w:rPr>
      </w:pPr>
      <w:r w:rsidRPr="00052079">
        <w:rPr>
          <w:rFonts w:ascii="Arial Narrow" w:hAnsi="Arial Narrow"/>
          <w:noProof/>
          <w:sz w:val="22"/>
          <w:szCs w:val="26"/>
          <w:lang w:eastAsia="lv-LV"/>
        </w:rPr>
        <w:drawing>
          <wp:inline distT="0" distB="0" distL="0" distR="0" wp14:anchorId="7A72C987" wp14:editId="5A8FBCEB">
            <wp:extent cx="3240000" cy="2160000"/>
            <wp:effectExtent l="0" t="0" r="0" b="0"/>
            <wp:docPr id="278" name="Objec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Pr="00052079">
        <w:rPr>
          <w:rFonts w:ascii="Arial Narrow" w:eastAsia="Arial Unicode MS" w:hAnsi="Arial Narrow"/>
          <w:b/>
          <w:iCs/>
          <w:noProof/>
          <w:sz w:val="22"/>
          <w:szCs w:val="26"/>
          <w:lang w:eastAsia="lv-LV"/>
        </w:rPr>
        <w:drawing>
          <wp:inline distT="0" distB="0" distL="0" distR="0" wp14:anchorId="4007B045" wp14:editId="4A5AFD22">
            <wp:extent cx="2520000" cy="2160000"/>
            <wp:effectExtent l="0" t="0" r="0" b="0"/>
            <wp:docPr id="279" name="Chart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4CA33CF" w14:textId="77777777" w:rsidR="00AF5553" w:rsidRPr="00D829F0" w:rsidRDefault="00AF5553" w:rsidP="00AF5553">
      <w:pPr>
        <w:spacing w:after="120"/>
        <w:jc w:val="both"/>
        <w:rPr>
          <w:rFonts w:ascii="Source Sans Pro" w:hAnsi="Source Sans Pro"/>
          <w:sz w:val="16"/>
          <w:szCs w:val="16"/>
        </w:rPr>
      </w:pPr>
      <w:r w:rsidRPr="00D829F0">
        <w:rPr>
          <w:rFonts w:ascii="Source Sans Pro" w:hAnsi="Source Sans Pro"/>
          <w:sz w:val="16"/>
          <w:szCs w:val="16"/>
        </w:rPr>
        <w:t>Avots: CSP</w:t>
      </w:r>
    </w:p>
    <w:p w14:paraId="4C325268" w14:textId="77777777" w:rsidR="00AF5553" w:rsidRPr="00D829F0" w:rsidRDefault="00AF5553" w:rsidP="00AF5553">
      <w:pPr>
        <w:spacing w:after="120"/>
        <w:jc w:val="both"/>
        <w:rPr>
          <w:rFonts w:ascii="Source Sans Pro" w:hAnsi="Source Sans Pro"/>
          <w:sz w:val="16"/>
          <w:szCs w:val="16"/>
        </w:rPr>
      </w:pPr>
    </w:p>
    <w:p w14:paraId="41904130" w14:textId="6E1C0DFB" w:rsidR="00AF5553" w:rsidRPr="00D829F0" w:rsidRDefault="00AF5553" w:rsidP="00AF5553">
      <w:pPr>
        <w:shd w:val="clear" w:color="auto" w:fill="FFFFFF" w:themeFill="background1"/>
        <w:spacing w:after="120"/>
        <w:jc w:val="both"/>
        <w:rPr>
          <w:rFonts w:ascii="Source Sans Pro" w:hAnsi="Source Sans Pro"/>
        </w:rPr>
      </w:pPr>
      <w:r w:rsidRPr="00D829F0">
        <w:rPr>
          <w:rFonts w:ascii="Source Sans Pro" w:hAnsi="Source Sans Pro"/>
        </w:rPr>
        <w:t>Turpinās sabiedrības novecošanās process – pieaug Latvijas sabiedrības vidējais vecums. Periodā no 2000. līdz 2026.</w:t>
      </w:r>
      <w:r w:rsidR="00E1574E">
        <w:rPr>
          <w:rFonts w:ascii="Source Sans Pro" w:hAnsi="Source Sans Pro"/>
        </w:rPr>
        <w:t> </w:t>
      </w:r>
      <w:r w:rsidRPr="00D829F0">
        <w:rPr>
          <w:rFonts w:ascii="Source Sans Pro" w:hAnsi="Source Sans Pro"/>
        </w:rPr>
        <w:t>gadam tas ir palielinājies par 5,4 gadiem un 2026.</w:t>
      </w:r>
      <w:r w:rsidR="003A2379">
        <w:rPr>
          <w:rFonts w:ascii="Source Sans Pro" w:hAnsi="Source Sans Pro"/>
        </w:rPr>
        <w:t> </w:t>
      </w:r>
      <w:r w:rsidRPr="00D829F0">
        <w:rPr>
          <w:rFonts w:ascii="Source Sans Pro" w:hAnsi="Source Sans Pro"/>
        </w:rPr>
        <w:t>gada sākumā sasniedza 43,7 gadus. Novecošanās ietekmē darba tirgu, palielinot iedzīvotāju skaitu virs darbspējas vecuma. Samazinoties iedzīvotāju skaitam darbspējas vecumā, iedzīvotāju virs darbspējas vecuma attiecība pret iedzīvotājiem darbspējas vecumā kļūst lielāka. Neliel</w:t>
      </w:r>
      <w:r w:rsidR="003A2379">
        <w:rPr>
          <w:rFonts w:ascii="Source Sans Pro" w:hAnsi="Source Sans Pro"/>
        </w:rPr>
        <w:t>ais</w:t>
      </w:r>
      <w:r w:rsidRPr="00D829F0">
        <w:rPr>
          <w:rFonts w:ascii="Source Sans Pro" w:hAnsi="Source Sans Pro"/>
        </w:rPr>
        <w:t xml:space="preserve"> dzimstības pieaugum</w:t>
      </w:r>
      <w:r w:rsidR="003A2379">
        <w:rPr>
          <w:rFonts w:ascii="Source Sans Pro" w:hAnsi="Source Sans Pro"/>
        </w:rPr>
        <w:t>s</w:t>
      </w:r>
      <w:r w:rsidRPr="00D829F0">
        <w:rPr>
          <w:rFonts w:ascii="Source Sans Pro" w:hAnsi="Source Sans Pro"/>
        </w:rPr>
        <w:t xml:space="preserve"> no 2012.</w:t>
      </w:r>
      <w:r w:rsidR="003A2379">
        <w:rPr>
          <w:rFonts w:ascii="Source Sans Pro" w:hAnsi="Source Sans Pro"/>
        </w:rPr>
        <w:t> </w:t>
      </w:r>
      <w:r w:rsidRPr="00D829F0">
        <w:rPr>
          <w:rFonts w:ascii="Source Sans Pro" w:hAnsi="Source Sans Pro"/>
        </w:rPr>
        <w:t>gada apstā</w:t>
      </w:r>
      <w:r w:rsidR="003A2379">
        <w:rPr>
          <w:rFonts w:ascii="Source Sans Pro" w:hAnsi="Source Sans Pro"/>
        </w:rPr>
        <w:t>dināja</w:t>
      </w:r>
      <w:r w:rsidRPr="00D829F0">
        <w:rPr>
          <w:rFonts w:ascii="Source Sans Pro" w:hAnsi="Source Sans Pro"/>
        </w:rPr>
        <w:t xml:space="preserve"> iedzīvotāju skaita līdz darbspējas vecumam</w:t>
      </w:r>
      <w:r w:rsidR="003A2379" w:rsidRPr="00D829F0">
        <w:rPr>
          <w:rFonts w:ascii="Source Sans Pro" w:hAnsi="Source Sans Pro"/>
        </w:rPr>
        <w:t xml:space="preserve"> </w:t>
      </w:r>
      <w:r w:rsidRPr="00D829F0">
        <w:rPr>
          <w:rFonts w:ascii="Source Sans Pro" w:hAnsi="Source Sans Pro"/>
        </w:rPr>
        <w:t>samazinājum</w:t>
      </w:r>
      <w:r w:rsidR="003A2379">
        <w:rPr>
          <w:rFonts w:ascii="Source Sans Pro" w:hAnsi="Source Sans Pro"/>
        </w:rPr>
        <w:t>u</w:t>
      </w:r>
      <w:r w:rsidRPr="00D829F0">
        <w:rPr>
          <w:rFonts w:ascii="Source Sans Pro" w:hAnsi="Source Sans Pro"/>
        </w:rPr>
        <w:t>. Diemžēl Covid-19 pandēmija pārtrau</w:t>
      </w:r>
      <w:r w:rsidR="004A3D59">
        <w:rPr>
          <w:rFonts w:ascii="Source Sans Pro" w:hAnsi="Source Sans Pro"/>
        </w:rPr>
        <w:t>ca</w:t>
      </w:r>
      <w:r w:rsidRPr="00D829F0">
        <w:rPr>
          <w:rFonts w:ascii="Source Sans Pro" w:hAnsi="Source Sans Pro"/>
        </w:rPr>
        <w:t xml:space="preserve"> šo pozitīvo tendenci, un kopš 2021. gada iedzīvotāju līdz darbspējas vecumam skaita samazinājums ir atsācies.</w:t>
      </w:r>
    </w:p>
    <w:p w14:paraId="6B41CE22" w14:textId="77777777" w:rsidR="00CE6449" w:rsidRDefault="00CE6449">
      <w:pPr>
        <w:spacing w:after="0"/>
        <w:rPr>
          <w:rFonts w:ascii="Source Sans Pro" w:hAnsi="Source Sans Pro"/>
        </w:rPr>
      </w:pPr>
      <w:r>
        <w:rPr>
          <w:rFonts w:ascii="Source Sans Pro" w:hAnsi="Source Sans Pro"/>
        </w:rPr>
        <w:br w:type="page"/>
      </w:r>
    </w:p>
    <w:p w14:paraId="5621AD5F" w14:textId="2EF93629" w:rsidR="00AF5553" w:rsidRPr="00D829F0" w:rsidRDefault="00AF5553" w:rsidP="00AF5553">
      <w:pPr>
        <w:spacing w:after="120"/>
        <w:jc w:val="both"/>
        <w:rPr>
          <w:rFonts w:ascii="Source Sans Pro" w:hAnsi="Source Sans Pro"/>
        </w:rPr>
      </w:pPr>
      <w:r w:rsidRPr="00D829F0">
        <w:rPr>
          <w:rFonts w:ascii="Source Sans Pro" w:hAnsi="Source Sans Pro"/>
        </w:rPr>
        <w:lastRenderedPageBreak/>
        <w:t>2026.</w:t>
      </w:r>
      <w:r w:rsidR="004A3D59">
        <w:rPr>
          <w:rFonts w:ascii="Source Sans Pro" w:hAnsi="Source Sans Pro"/>
        </w:rPr>
        <w:t> </w:t>
      </w:r>
      <w:r w:rsidRPr="00D829F0">
        <w:rPr>
          <w:rFonts w:ascii="Source Sans Pro" w:hAnsi="Source Sans Pro"/>
        </w:rPr>
        <w:t>gadā darbspējas vecuma iedzīvotāju skaits turpināja samazināties. Iedzīvotāju skaits 15-74 gadu vecumā 2026.</w:t>
      </w:r>
      <w:r w:rsidR="004A3D59">
        <w:rPr>
          <w:rFonts w:ascii="Source Sans Pro" w:hAnsi="Source Sans Pro"/>
        </w:rPr>
        <w:t> </w:t>
      </w:r>
      <w:r w:rsidRPr="00D829F0">
        <w:rPr>
          <w:rFonts w:ascii="Source Sans Pro" w:hAnsi="Source Sans Pro"/>
        </w:rPr>
        <w:t>gada sākumā veidoja 1</w:t>
      </w:r>
      <w:r w:rsidR="004A3D59">
        <w:rPr>
          <w:rFonts w:ascii="Source Sans Pro" w:hAnsi="Source Sans Pro"/>
        </w:rPr>
        <w:t> </w:t>
      </w:r>
      <w:r w:rsidRPr="00D829F0">
        <w:rPr>
          <w:rFonts w:ascii="Source Sans Pro" w:hAnsi="Source Sans Pro"/>
        </w:rPr>
        <w:t>382</w:t>
      </w:r>
      <w:r w:rsidR="004A3D59">
        <w:rPr>
          <w:rFonts w:ascii="Source Sans Pro" w:hAnsi="Source Sans Pro"/>
        </w:rPr>
        <w:t> </w:t>
      </w:r>
      <w:r w:rsidRPr="00D829F0">
        <w:rPr>
          <w:rFonts w:ascii="Source Sans Pro" w:hAnsi="Source Sans Pro"/>
        </w:rPr>
        <w:t>tūkst., samazinoties par 10</w:t>
      </w:r>
      <w:r w:rsidR="004A3D59">
        <w:rPr>
          <w:rFonts w:ascii="Source Sans Pro" w:hAnsi="Source Sans Pro"/>
        </w:rPr>
        <w:t> </w:t>
      </w:r>
      <w:r w:rsidRPr="00D829F0">
        <w:rPr>
          <w:rFonts w:ascii="Source Sans Pro" w:hAnsi="Source Sans Pro"/>
        </w:rPr>
        <w:t>tūkst. salīdzinājumā ar 2025. gada sākumu. Ievērojamākais iedzīvotāju skaita sarukums bija šādās darbspējas vecuma grupās: 30-34 gadi (par 9,8</w:t>
      </w:r>
      <w:r w:rsidR="004A3D59">
        <w:rPr>
          <w:rFonts w:ascii="Source Sans Pro" w:hAnsi="Source Sans Pro"/>
        </w:rPr>
        <w:t> </w:t>
      </w:r>
      <w:r w:rsidRPr="00D829F0">
        <w:rPr>
          <w:rFonts w:ascii="Source Sans Pro" w:hAnsi="Source Sans Pro"/>
        </w:rPr>
        <w:t>tūkst. jeb 8,4%), 60-64 gadi (par 4,6 tūkst. jeb 3,5%), un 35-39 gadi (par 1,7</w:t>
      </w:r>
      <w:r w:rsidR="004A3D59">
        <w:rPr>
          <w:rFonts w:ascii="Source Sans Pro" w:hAnsi="Source Sans Pro"/>
        </w:rPr>
        <w:t> </w:t>
      </w:r>
      <w:r w:rsidRPr="00D829F0">
        <w:rPr>
          <w:rFonts w:ascii="Source Sans Pro" w:hAnsi="Source Sans Pro"/>
        </w:rPr>
        <w:t>tūkst. jeb 1,2%).</w:t>
      </w:r>
    </w:p>
    <w:p w14:paraId="6504F4AB" w14:textId="2D0F2643" w:rsidR="00CD3284" w:rsidRPr="00D829F0" w:rsidRDefault="00CD3284" w:rsidP="00CD3284">
      <w:pPr>
        <w:spacing w:after="120"/>
        <w:jc w:val="both"/>
        <w:rPr>
          <w:rFonts w:ascii="Source Sans Pro" w:hAnsi="Source Sans Pro"/>
        </w:rPr>
      </w:pPr>
      <w:r w:rsidRPr="00D829F0">
        <w:rPr>
          <w:rFonts w:ascii="Source Sans Pro" w:hAnsi="Source Sans Pro"/>
        </w:rPr>
        <w:t>Apskatot laika periodu no 2000.</w:t>
      </w:r>
      <w:r w:rsidR="004A3D59">
        <w:rPr>
          <w:rFonts w:ascii="Source Sans Pro" w:hAnsi="Source Sans Pro"/>
        </w:rPr>
        <w:t> </w:t>
      </w:r>
      <w:r w:rsidRPr="00D829F0">
        <w:rPr>
          <w:rFonts w:ascii="Source Sans Pro" w:hAnsi="Source Sans Pro"/>
        </w:rPr>
        <w:t xml:space="preserve">gada, </w:t>
      </w:r>
      <w:r w:rsidR="00AF5553" w:rsidRPr="00D829F0">
        <w:rPr>
          <w:rFonts w:ascii="Source Sans Pro" w:hAnsi="Source Sans Pro"/>
        </w:rPr>
        <w:t>būtisku</w:t>
      </w:r>
      <w:r w:rsidRPr="00D829F0">
        <w:rPr>
          <w:rFonts w:ascii="Source Sans Pro" w:hAnsi="Source Sans Pro"/>
        </w:rPr>
        <w:t xml:space="preserve"> ietekmi uz iedzīvotāju skaita dinamiku ir atstājusi </w:t>
      </w:r>
      <w:r w:rsidR="00AF5553" w:rsidRPr="00D829F0">
        <w:rPr>
          <w:rFonts w:ascii="Source Sans Pro" w:hAnsi="Source Sans Pro"/>
        </w:rPr>
        <w:t xml:space="preserve">arī </w:t>
      </w:r>
      <w:r w:rsidRPr="00D829F0">
        <w:rPr>
          <w:rFonts w:ascii="Source Sans Pro" w:hAnsi="Source Sans Pro"/>
        </w:rPr>
        <w:t xml:space="preserve">negatīvā starptautiskās migrācijas bilance. Pieaugot iedzīvotāju labklājībai, tikai pēdējos </w:t>
      </w:r>
      <w:r w:rsidR="00AF5553" w:rsidRPr="00D829F0">
        <w:rPr>
          <w:rFonts w:ascii="Source Sans Pro" w:hAnsi="Source Sans Pro"/>
        </w:rPr>
        <w:t xml:space="preserve">7-8 </w:t>
      </w:r>
      <w:r w:rsidRPr="00D829F0">
        <w:rPr>
          <w:rFonts w:ascii="Source Sans Pro" w:hAnsi="Source Sans Pro"/>
        </w:rPr>
        <w:t xml:space="preserve">gados migrācijas plūsmu intensitāte ir mazinājusies. Iedzīvotāju skaits laika periodā no 2000. </w:t>
      </w:r>
      <w:r w:rsidR="00AF5553" w:rsidRPr="00D829F0">
        <w:rPr>
          <w:rFonts w:ascii="Source Sans Pro" w:hAnsi="Source Sans Pro"/>
        </w:rPr>
        <w:t>līdz 2026.</w:t>
      </w:r>
      <w:r w:rsidR="004A3D59">
        <w:rPr>
          <w:rFonts w:ascii="Source Sans Pro" w:hAnsi="Source Sans Pro"/>
        </w:rPr>
        <w:t> </w:t>
      </w:r>
      <w:r w:rsidR="00AF5553" w:rsidRPr="00D829F0">
        <w:rPr>
          <w:rFonts w:ascii="Source Sans Pro" w:hAnsi="Source Sans Pro"/>
        </w:rPr>
        <w:t xml:space="preserve">gada </w:t>
      </w:r>
      <w:r w:rsidRPr="00D829F0">
        <w:rPr>
          <w:rFonts w:ascii="Source Sans Pro" w:hAnsi="Source Sans Pro"/>
        </w:rPr>
        <w:t xml:space="preserve">sākumam sarucis kopumā par </w:t>
      </w:r>
      <w:r w:rsidR="00AF5553" w:rsidRPr="00D829F0">
        <w:rPr>
          <w:rFonts w:ascii="Source Sans Pro" w:hAnsi="Source Sans Pro"/>
        </w:rPr>
        <w:t>gandrīz 550</w:t>
      </w:r>
      <w:r w:rsidR="004E7F3F" w:rsidRPr="00D829F0">
        <w:rPr>
          <w:rFonts w:ascii="Source Sans Pro" w:hAnsi="Source Sans Pro"/>
        </w:rPr>
        <w:t> tūkst.,</w:t>
      </w:r>
      <w:r w:rsidRPr="00D829F0">
        <w:rPr>
          <w:rFonts w:ascii="Source Sans Pro" w:hAnsi="Source Sans Pro"/>
        </w:rPr>
        <w:t xml:space="preserve"> no kuriem migrācija veido </w:t>
      </w:r>
      <w:r w:rsidR="00AF5553" w:rsidRPr="00D829F0">
        <w:rPr>
          <w:rFonts w:ascii="Source Sans Pro" w:hAnsi="Source Sans Pro"/>
        </w:rPr>
        <w:t>276</w:t>
      </w:r>
      <w:r w:rsidR="004A3D59">
        <w:rPr>
          <w:rFonts w:ascii="Source Sans Pro" w:hAnsi="Source Sans Pro"/>
        </w:rPr>
        <w:t> </w:t>
      </w:r>
      <w:r w:rsidR="00AF5553" w:rsidRPr="00D829F0">
        <w:rPr>
          <w:rFonts w:ascii="Source Sans Pro" w:hAnsi="Source Sans Pro"/>
        </w:rPr>
        <w:t>tūkst.</w:t>
      </w:r>
      <w:r w:rsidRPr="00D829F0">
        <w:rPr>
          <w:rFonts w:ascii="Source Sans Pro" w:hAnsi="Source Sans Pro"/>
        </w:rPr>
        <w:t xml:space="preserve"> samazinājumu.</w:t>
      </w:r>
    </w:p>
    <w:p w14:paraId="0A2B3830" w14:textId="2CE56AC9" w:rsidR="00CD3284" w:rsidRPr="00D829F0" w:rsidRDefault="00CD3284" w:rsidP="00CD3284">
      <w:pPr>
        <w:spacing w:after="120"/>
        <w:jc w:val="both"/>
        <w:rPr>
          <w:rFonts w:ascii="Source Sans Pro" w:hAnsi="Source Sans Pro"/>
          <w:szCs w:val="26"/>
        </w:rPr>
      </w:pPr>
      <w:r w:rsidRPr="00D829F0">
        <w:rPr>
          <w:rFonts w:ascii="Source Sans Pro" w:hAnsi="Source Sans Pro"/>
          <w:szCs w:val="26"/>
        </w:rPr>
        <w:t>Latvijā migrācijas plūsmas uz ārvalstīm strauji pieauga globālās finanšu krīzes ietekmē, pasliktinoties ekonomiskajai situācijai. Negatīvā migrācijas saldo kulminācija tika sasniegta 2009. un 2010.</w:t>
      </w:r>
      <w:r w:rsidR="00C33B67">
        <w:rPr>
          <w:rFonts w:ascii="Source Sans Pro" w:hAnsi="Source Sans Pro"/>
          <w:szCs w:val="26"/>
        </w:rPr>
        <w:t> </w:t>
      </w:r>
      <w:r w:rsidRPr="00D829F0">
        <w:rPr>
          <w:rFonts w:ascii="Source Sans Pro" w:hAnsi="Source Sans Pro"/>
          <w:szCs w:val="26"/>
        </w:rPr>
        <w:t>gadā. Galvenais izbraukšanas mērķis šajā laikā bija darba meklējumi ārvalstīs – no valsts emigrēja galvenokārt darbspējas vecuma iedzīvotāji, izteikti mobilāki ir jaunāko vecuma grupu iedzīvotāji.</w:t>
      </w:r>
    </w:p>
    <w:p w14:paraId="37174AC7" w14:textId="0786C3BA" w:rsidR="00CD3284" w:rsidRPr="00D829F0" w:rsidRDefault="00CD3284" w:rsidP="00CD3284">
      <w:pPr>
        <w:spacing w:after="120"/>
        <w:jc w:val="both"/>
        <w:rPr>
          <w:rFonts w:ascii="Source Sans Pro" w:hAnsi="Source Sans Pro"/>
        </w:rPr>
      </w:pPr>
      <w:r w:rsidRPr="00D829F0">
        <w:rPr>
          <w:rFonts w:ascii="Source Sans Pro" w:hAnsi="Source Sans Pro"/>
        </w:rPr>
        <w:t>Kopš 2011.</w:t>
      </w:r>
      <w:r w:rsidR="00C33B67">
        <w:rPr>
          <w:rFonts w:ascii="Source Sans Pro" w:hAnsi="Source Sans Pro"/>
        </w:rPr>
        <w:t> </w:t>
      </w:r>
      <w:r w:rsidRPr="00D829F0">
        <w:rPr>
          <w:rFonts w:ascii="Source Sans Pro" w:hAnsi="Source Sans Pro"/>
        </w:rPr>
        <w:t>gada migrācijas rādītāji pakāpeniski uzlabojas. Negatīvo migrācijas saldo mazināja ne tikai izbraukušo skaita samazinājums, bet arī imigrējušo iedzīvotāju skaita pieaugums. Taču kopš 2014.</w:t>
      </w:r>
      <w:r w:rsidR="00C33B67">
        <w:rPr>
          <w:rFonts w:ascii="Source Sans Pro" w:hAnsi="Source Sans Pro"/>
        </w:rPr>
        <w:t> </w:t>
      </w:r>
      <w:r w:rsidRPr="00D829F0">
        <w:rPr>
          <w:rFonts w:ascii="Source Sans Pro" w:hAnsi="Source Sans Pro"/>
        </w:rPr>
        <w:t>gada bija vērojama neliela imigrējušo skaita samazināšanās un izbraukušo skaita pieauguma tendence. Situācija uzlabojās 2017.</w:t>
      </w:r>
      <w:r w:rsidR="00C33B67">
        <w:rPr>
          <w:rFonts w:ascii="Source Sans Pro" w:hAnsi="Source Sans Pro"/>
        </w:rPr>
        <w:t> </w:t>
      </w:r>
      <w:r w:rsidRPr="00D829F0">
        <w:rPr>
          <w:rFonts w:ascii="Source Sans Pro" w:hAnsi="Source Sans Pro"/>
        </w:rPr>
        <w:t xml:space="preserve">gadā, palielinoties imigrējušo iedzīvotāju skaitam un samazinoties emigrējušo skaitam. Līdz ar ekonomikas izaugsmi, paplašinoties darba iespējām un pieaugot darba samaksai, kopumā mazinās arī iedzīvotāju ekonomiskās emigrācijas stimuli un negatīvais migrācijas saldo pēdējos gados ir būtiski sarucis. </w:t>
      </w:r>
      <w:r w:rsidR="004E7F3F" w:rsidRPr="00D829F0">
        <w:rPr>
          <w:rFonts w:ascii="Source Sans Pro" w:hAnsi="Source Sans Pro"/>
        </w:rPr>
        <w:t>2022.</w:t>
      </w:r>
      <w:r w:rsidR="00C33B67">
        <w:rPr>
          <w:rFonts w:ascii="Source Sans Pro" w:hAnsi="Source Sans Pro"/>
        </w:rPr>
        <w:t> </w:t>
      </w:r>
      <w:r w:rsidR="004E7F3F" w:rsidRPr="00D829F0">
        <w:rPr>
          <w:rFonts w:ascii="Source Sans Pro" w:hAnsi="Source Sans Pro"/>
        </w:rPr>
        <w:t>gads bija vienīgais, kad iedzīvotāju skaits migrācijas dēļ palielinājās, valstī iebraucot Ukrainas kara bēgļiem. Nākamajos gados negatīvais migrācijas saldo atsākās</w:t>
      </w:r>
      <w:r w:rsidRPr="00D829F0">
        <w:rPr>
          <w:rFonts w:ascii="Source Sans Pro" w:hAnsi="Source Sans Pro"/>
        </w:rPr>
        <w:t>.</w:t>
      </w:r>
    </w:p>
    <w:p w14:paraId="139C76C2" w14:textId="64BFC4DF" w:rsidR="00CD3284" w:rsidRPr="00D829F0" w:rsidRDefault="00CD3284" w:rsidP="00CD3284">
      <w:pPr>
        <w:spacing w:after="120"/>
        <w:jc w:val="right"/>
        <w:rPr>
          <w:rFonts w:ascii="Source Sans Pro" w:hAnsi="Source Sans Pro"/>
          <w:szCs w:val="28"/>
        </w:rPr>
      </w:pPr>
      <w:r w:rsidRPr="00D829F0">
        <w:rPr>
          <w:rFonts w:ascii="Source Sans Pro" w:hAnsi="Source Sans Pro"/>
          <w:szCs w:val="28"/>
        </w:rPr>
        <w:t>2.6.</w:t>
      </w:r>
      <w:r w:rsidR="00C33B67">
        <w:rPr>
          <w:rFonts w:ascii="Source Sans Pro" w:hAnsi="Source Sans Pro"/>
          <w:szCs w:val="28"/>
        </w:rPr>
        <w:t> </w:t>
      </w:r>
      <w:r w:rsidRPr="00D829F0">
        <w:rPr>
          <w:rFonts w:ascii="Source Sans Pro" w:hAnsi="Source Sans Pro"/>
          <w:szCs w:val="28"/>
        </w:rPr>
        <w:t>attēls</w:t>
      </w:r>
    </w:p>
    <w:p w14:paraId="7484A85F" w14:textId="77777777" w:rsidR="00CD3284" w:rsidRPr="00A72A34" w:rsidRDefault="00CD3284" w:rsidP="00CD3284">
      <w:pPr>
        <w:tabs>
          <w:tab w:val="center" w:pos="2410"/>
          <w:tab w:val="center" w:pos="6804"/>
        </w:tabs>
        <w:spacing w:after="120"/>
        <w:rPr>
          <w:rFonts w:ascii="Segoe UI Light" w:hAnsi="Segoe UI Light"/>
          <w:i/>
          <w:sz w:val="16"/>
        </w:rPr>
      </w:pPr>
      <w:r w:rsidRPr="00A72A34">
        <w:rPr>
          <w:rFonts w:ascii="Segoe UI Light" w:hAnsi="Segoe UI Light"/>
          <w:b/>
          <w:sz w:val="18"/>
          <w:szCs w:val="24"/>
        </w:rPr>
        <w:tab/>
        <w:t>Iedzīvotāju skaita izmaiņu ietekmējošie faktori</w:t>
      </w:r>
      <w:r w:rsidRPr="00A72A34">
        <w:rPr>
          <w:rFonts w:ascii="Segoe UI Light" w:hAnsi="Segoe UI Light"/>
          <w:sz w:val="18"/>
        </w:rPr>
        <w:tab/>
      </w:r>
      <w:r w:rsidRPr="00A72A34">
        <w:rPr>
          <w:rFonts w:ascii="Segoe UI Light" w:hAnsi="Segoe UI Light"/>
          <w:b/>
          <w:sz w:val="18"/>
          <w:szCs w:val="24"/>
        </w:rPr>
        <w:t>Ilgtermiņa imigranti pēc valstiskās piederības</w:t>
      </w:r>
      <w:r w:rsidRPr="00A72A34">
        <w:rPr>
          <w:rFonts w:ascii="Segoe UI Light" w:hAnsi="Segoe UI Light"/>
          <w:sz w:val="18"/>
        </w:rPr>
        <w:br/>
      </w:r>
      <w:r w:rsidRPr="00A72A34">
        <w:rPr>
          <w:rFonts w:ascii="Segoe UI Light" w:hAnsi="Segoe UI Light"/>
          <w:i/>
          <w:sz w:val="16"/>
        </w:rPr>
        <w:tab/>
        <w:t>tūkstoši</w:t>
      </w:r>
      <w:r w:rsidRPr="00A72A34">
        <w:rPr>
          <w:rFonts w:ascii="Segoe UI Light" w:hAnsi="Segoe UI Light"/>
          <w:i/>
          <w:sz w:val="16"/>
        </w:rPr>
        <w:tab/>
        <w:t>tūkstoši</w:t>
      </w:r>
    </w:p>
    <w:p w14:paraId="203C31AF" w14:textId="77777777" w:rsidR="004E7F3F" w:rsidRPr="00A72A34" w:rsidRDefault="00AF5553" w:rsidP="004E7F3F">
      <w:pPr>
        <w:tabs>
          <w:tab w:val="left" w:pos="4753"/>
        </w:tabs>
        <w:spacing w:after="120"/>
        <w:rPr>
          <w:rFonts w:ascii="Arial Narrow" w:hAnsi="Arial Narrow"/>
        </w:rPr>
      </w:pPr>
      <w:r w:rsidRPr="00A72A34">
        <w:rPr>
          <w:rFonts w:ascii="Arial Narrow" w:hAnsi="Arial Narrow"/>
          <w:noProof/>
          <w:szCs w:val="20"/>
          <w:lang w:eastAsia="lv-LV"/>
        </w:rPr>
        <w:drawing>
          <wp:inline distT="0" distB="0" distL="0" distR="0" wp14:anchorId="26399B84" wp14:editId="1B306CDC">
            <wp:extent cx="2881223" cy="1980000"/>
            <wp:effectExtent l="0" t="0" r="0" b="1270"/>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A72A34">
        <w:rPr>
          <w:rFonts w:ascii="Arial Narrow" w:hAnsi="Arial Narrow"/>
          <w:noProof/>
          <w:szCs w:val="20"/>
          <w:lang w:eastAsia="lv-LV"/>
        </w:rPr>
        <w:drawing>
          <wp:inline distT="0" distB="0" distL="0" distR="0" wp14:anchorId="7B53BE6A" wp14:editId="5D300AD1">
            <wp:extent cx="2844000" cy="1980000"/>
            <wp:effectExtent l="0" t="0" r="0" b="1270"/>
            <wp:docPr id="281" name="Chart 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04AD314" w14:textId="77777777" w:rsidR="004E7F3F" w:rsidRPr="00D829F0" w:rsidRDefault="004E7F3F" w:rsidP="004E7F3F">
      <w:pPr>
        <w:spacing w:before="120" w:after="120"/>
        <w:rPr>
          <w:rFonts w:ascii="Source Sans Pro" w:hAnsi="Source Sans Pro"/>
          <w:sz w:val="16"/>
          <w:szCs w:val="16"/>
        </w:rPr>
      </w:pPr>
      <w:r w:rsidRPr="00D829F0">
        <w:rPr>
          <w:rFonts w:ascii="Source Sans Pro" w:hAnsi="Source Sans Pro"/>
          <w:sz w:val="16"/>
          <w:szCs w:val="16"/>
        </w:rPr>
        <w:t>Avots: CSP</w:t>
      </w:r>
    </w:p>
    <w:p w14:paraId="11906B34" w14:textId="77777777" w:rsidR="004E7F3F" w:rsidRPr="00D829F0" w:rsidRDefault="004E7F3F" w:rsidP="004E7F3F">
      <w:pPr>
        <w:spacing w:after="120"/>
        <w:jc w:val="both"/>
        <w:rPr>
          <w:rFonts w:ascii="Source Sans Pro" w:hAnsi="Source Sans Pro"/>
        </w:rPr>
      </w:pPr>
    </w:p>
    <w:p w14:paraId="6C6D618F" w14:textId="4B39D687" w:rsidR="004E7F3F" w:rsidRPr="00D829F0" w:rsidRDefault="004E7F3F" w:rsidP="004E7F3F">
      <w:pPr>
        <w:spacing w:after="120"/>
        <w:jc w:val="both"/>
        <w:rPr>
          <w:rFonts w:ascii="Source Sans Pro" w:hAnsi="Source Sans Pro"/>
          <w:szCs w:val="20"/>
        </w:rPr>
      </w:pPr>
      <w:r w:rsidRPr="00D829F0">
        <w:rPr>
          <w:rFonts w:ascii="Source Sans Pro" w:hAnsi="Source Sans Pro"/>
        </w:rPr>
        <w:t>Darbaspēka nepietiekamības pieaugums, kā arī atvērtāka migrācijas politika, kopumā ir mainījusi imigrējušo nacionālo sastāvu. Līdz 2017.</w:t>
      </w:r>
      <w:r w:rsidR="00BC3665">
        <w:rPr>
          <w:rFonts w:ascii="Source Sans Pro" w:hAnsi="Source Sans Pro"/>
        </w:rPr>
        <w:t> </w:t>
      </w:r>
      <w:r w:rsidRPr="00D829F0">
        <w:rPr>
          <w:rFonts w:ascii="Source Sans Pro" w:hAnsi="Source Sans Pro"/>
        </w:rPr>
        <w:t>gadam kopumā imigrējušo iedzīvotāju plūsmā galvenokārt dominēja Latvijas valstspiederīgie – Latvijas pilsoņi un nepilsoņi. 2018.-2019.</w:t>
      </w:r>
      <w:r w:rsidR="00BC3665">
        <w:rPr>
          <w:rFonts w:ascii="Source Sans Pro" w:hAnsi="Source Sans Pro"/>
        </w:rPr>
        <w:t> </w:t>
      </w:r>
      <w:r w:rsidRPr="00D829F0">
        <w:rPr>
          <w:rFonts w:ascii="Source Sans Pro" w:hAnsi="Source Sans Pro"/>
        </w:rPr>
        <w:t>gadā to skaits bija mazāks par pusi, taču</w:t>
      </w:r>
      <w:r w:rsidRPr="00D829F0">
        <w:rPr>
          <w:rFonts w:ascii="Source Sans Pro" w:eastAsia="Calibri Light" w:hAnsi="Source Sans Pro" w:cs="Calibri Light"/>
          <w:szCs w:val="20"/>
        </w:rPr>
        <w:t xml:space="preserve"> kopš 2020.</w:t>
      </w:r>
      <w:r w:rsidR="00BC3665">
        <w:rPr>
          <w:rFonts w:ascii="Source Sans Pro" w:eastAsia="Calibri Light" w:hAnsi="Source Sans Pro" w:cs="Calibri Light"/>
          <w:szCs w:val="20"/>
        </w:rPr>
        <w:t> </w:t>
      </w:r>
      <w:r w:rsidRPr="00D829F0">
        <w:rPr>
          <w:rFonts w:ascii="Source Sans Pro" w:eastAsia="Calibri Light" w:hAnsi="Source Sans Pro" w:cs="Calibri Light"/>
          <w:szCs w:val="20"/>
        </w:rPr>
        <w:t>gada Latvijas un nepilsoņu īpatsvars kopējā ilgtermiņa imigrantu skaitā atkal pārsniedza pusi. Tikai 2022</w:t>
      </w:r>
      <w:r w:rsidRPr="00D829F0">
        <w:rPr>
          <w:rFonts w:ascii="Source Sans Pro" w:hAnsi="Source Sans Pro"/>
        </w:rPr>
        <w:t>. gadā Ukrainas kara bēgļi to īpatsvaru ievērojami samazināja. Nākamajos gados imigrējušo iedzīvotāju plūsmā atgriezusies Latvijas valstpiederīgo dominance.</w:t>
      </w:r>
    </w:p>
    <w:p w14:paraId="3B44A994" w14:textId="4ED3BFC7" w:rsidR="00CD3284" w:rsidRPr="00D829F0" w:rsidRDefault="00BC3665" w:rsidP="00CD3284">
      <w:pPr>
        <w:spacing w:after="120"/>
        <w:jc w:val="both"/>
        <w:rPr>
          <w:rFonts w:ascii="Source Sans Pro" w:hAnsi="Source Sans Pro"/>
          <w:szCs w:val="20"/>
        </w:rPr>
      </w:pPr>
      <w:r>
        <w:rPr>
          <w:rFonts w:ascii="Source Sans Pro" w:hAnsi="Source Sans Pro"/>
          <w:szCs w:val="20"/>
        </w:rPr>
        <w:t>Ņ</w:t>
      </w:r>
      <w:r w:rsidR="00CD3284" w:rsidRPr="00D829F0">
        <w:rPr>
          <w:rFonts w:ascii="Source Sans Pro" w:hAnsi="Source Sans Pro"/>
          <w:szCs w:val="20"/>
        </w:rPr>
        <w:t>emot vērā brīvo darbaspēka kustību ES, emigrācijas plūsmas nav iespējams uztvert pilnīgi precīzi. Ne tikai Latvija, bet arī citas ES dalībvalstis saskaras ar problēmām precīzi raksturot iedzīvotāju struktūru, kas izbraukuši no valsts darba meklējumu dēļ.</w:t>
      </w:r>
    </w:p>
    <w:p w14:paraId="60BE4ECB" w14:textId="77777777" w:rsidR="00867A48" w:rsidRPr="00D829F0" w:rsidRDefault="00867A48" w:rsidP="00867A48">
      <w:pPr>
        <w:spacing w:after="120"/>
        <w:jc w:val="both"/>
        <w:rPr>
          <w:rFonts w:ascii="Source Sans Pro" w:hAnsi="Source Sans Pro"/>
          <w:szCs w:val="20"/>
        </w:rPr>
      </w:pPr>
    </w:p>
    <w:p w14:paraId="02B698DD" w14:textId="77777777" w:rsidR="00773B25" w:rsidRPr="00D829F0" w:rsidRDefault="00773B25" w:rsidP="00867A48">
      <w:pPr>
        <w:spacing w:after="120"/>
        <w:jc w:val="both"/>
        <w:rPr>
          <w:rFonts w:ascii="Source Sans Pro" w:hAnsi="Source Sans Pro"/>
          <w:szCs w:val="20"/>
        </w:rPr>
      </w:pPr>
    </w:p>
    <w:p w14:paraId="473F3E28" w14:textId="77777777" w:rsidR="00C427E4" w:rsidRDefault="00C427E4">
      <w:pPr>
        <w:spacing w:after="0"/>
        <w:rPr>
          <w:rFonts w:ascii="Aptos Narrow" w:eastAsiaTheme="majorEastAsia" w:hAnsi="Aptos Narrow" w:cstheme="majorBidi"/>
          <w:b/>
          <w:bCs/>
          <w:smallCaps/>
          <w:color w:val="003E4C"/>
          <w:sz w:val="28"/>
        </w:rPr>
      </w:pPr>
      <w:r>
        <w:br w:type="page"/>
      </w:r>
    </w:p>
    <w:p w14:paraId="7FE1A94B" w14:textId="77777777" w:rsidR="00384FC8" w:rsidRPr="00CA6FB1" w:rsidRDefault="00384FC8" w:rsidP="004E7F3F">
      <w:pPr>
        <w:pStyle w:val="Heading3"/>
        <w:shd w:val="clear" w:color="auto" w:fill="FFFFFF" w:themeFill="background1"/>
      </w:pPr>
      <w:bookmarkStart w:id="39" w:name="_Toc1765113125"/>
      <w:r w:rsidRPr="00CA6FB1">
        <w:lastRenderedPageBreak/>
        <w:t>2.2.2. Iedzīvotāju līdzdalība darba tirgū un darbaspēka piedāvājums</w:t>
      </w:r>
      <w:bookmarkEnd w:id="33"/>
      <w:bookmarkEnd w:id="34"/>
      <w:bookmarkEnd w:id="35"/>
      <w:bookmarkEnd w:id="39"/>
    </w:p>
    <w:p w14:paraId="1B1A30F6" w14:textId="77777777" w:rsidR="00CE6449" w:rsidRDefault="00CE6449" w:rsidP="004E7F3F">
      <w:pPr>
        <w:shd w:val="clear" w:color="auto" w:fill="FFFFFF" w:themeFill="background1"/>
        <w:spacing w:after="120"/>
        <w:jc w:val="both"/>
        <w:rPr>
          <w:rFonts w:ascii="Source Sans Pro" w:hAnsi="Source Sans Pro"/>
          <w:szCs w:val="20"/>
        </w:rPr>
      </w:pPr>
      <w:bookmarkStart w:id="40" w:name="_Toc390350666"/>
      <w:bookmarkStart w:id="41" w:name="_Toc453924344"/>
      <w:bookmarkStart w:id="42" w:name="_Toc517876434"/>
    </w:p>
    <w:p w14:paraId="3AA0633C" w14:textId="77777777" w:rsidR="00CE6449" w:rsidRPr="004B39FD" w:rsidRDefault="00CE6449" w:rsidP="001B57D6">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611B7079" w14:textId="4C831F5C" w:rsidR="00CB3177" w:rsidRPr="00CB3177" w:rsidRDefault="00CE6449"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CB3177" w:rsidRPr="00CB3177">
        <w:rPr>
          <w:rFonts w:ascii="Aptos Narrow" w:hAnsi="Aptos Narrow" w:cs="Verdana"/>
          <w:color w:val="262626"/>
          <w:sz w:val="22"/>
        </w:rPr>
        <w:t>Demogrāfiskie procesi tieši atspoguļojas darbaspēka piedāvājumā – ekonomiski aktīvo iedzīvotāju skaits kopš 2008.</w:t>
      </w:r>
      <w:r w:rsidR="00BC3665">
        <w:rPr>
          <w:rFonts w:ascii="Aptos Narrow" w:hAnsi="Aptos Narrow" w:cs="Verdana"/>
          <w:color w:val="262626"/>
          <w:sz w:val="22"/>
        </w:rPr>
        <w:t> </w:t>
      </w:r>
      <w:r w:rsidR="00CB3177" w:rsidRPr="00CB3177">
        <w:rPr>
          <w:rFonts w:ascii="Aptos Narrow" w:hAnsi="Aptos Narrow" w:cs="Verdana"/>
          <w:color w:val="262626"/>
          <w:sz w:val="22"/>
        </w:rPr>
        <w:t>gada būtiski sarucis, tomēr pēdējos gados to daļēji kompensē pieaugoša iedzīvotāju līdzdalība darba tirgū.</w:t>
      </w:r>
    </w:p>
    <w:p w14:paraId="74B6AF64" w14:textId="02DCC44F" w:rsidR="00CB3177" w:rsidRPr="00CB3177" w:rsidRDefault="00CB3177"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1B57D6">
        <w:rPr>
          <w:rFonts w:ascii="Aptos Narrow" w:hAnsi="Aptos Narrow" w:cs="Verdana"/>
          <w:color w:val="262626"/>
          <w:sz w:val="22"/>
        </w:rPr>
        <w:t xml:space="preserve">Latvijā iedzīvotāju iesaiste darba tirgū ir augstāka nekā vidēji </w:t>
      </w:r>
      <w:r>
        <w:rPr>
          <w:rFonts w:ascii="Aptos Narrow" w:hAnsi="Aptos Narrow" w:cs="Verdana"/>
          <w:color w:val="262626"/>
          <w:sz w:val="22"/>
        </w:rPr>
        <w:t>E</w:t>
      </w:r>
      <w:r w:rsidR="6E96F63D">
        <w:rPr>
          <w:rFonts w:ascii="Aptos Narrow" w:hAnsi="Aptos Narrow" w:cs="Verdana"/>
          <w:color w:val="262626"/>
          <w:sz w:val="22"/>
        </w:rPr>
        <w:t>S</w:t>
      </w:r>
      <w:r w:rsidRPr="001B57D6">
        <w:rPr>
          <w:rFonts w:ascii="Aptos Narrow" w:hAnsi="Aptos Narrow" w:cs="Verdana"/>
          <w:color w:val="262626"/>
          <w:sz w:val="22"/>
        </w:rPr>
        <w:t>, un straujākais pieaugums vērojams tieši vecākā gadagājuma iedzīvotāju vidū, ko sekmē pensionēšanās vecuma palielināšanās.</w:t>
      </w:r>
    </w:p>
    <w:p w14:paraId="20ADEFE4" w14:textId="1ED1F3CD" w:rsidR="00CE6449" w:rsidRPr="00BB35A1" w:rsidRDefault="00CB3177" w:rsidP="00BB35A1">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1B57D6" w:rsidRPr="001B57D6">
        <w:rPr>
          <w:rFonts w:ascii="Aptos Narrow" w:hAnsi="Aptos Narrow" w:cs="Verdana"/>
          <w:color w:val="262626"/>
          <w:sz w:val="22"/>
        </w:rPr>
        <w:t>Vairākās</w:t>
      </w:r>
      <w:r w:rsidRPr="00CB3177">
        <w:rPr>
          <w:rFonts w:ascii="Aptos Narrow" w:hAnsi="Aptos Narrow" w:cs="Verdana"/>
          <w:color w:val="262626"/>
          <w:sz w:val="22"/>
        </w:rPr>
        <w:t xml:space="preserve"> nozarēs un profesijās, it īpaši izglītībā, veselības aprūpē un lauksaimniecībā, padziļinās darbaspēka novecošanās, kas var negatīvi ietekmēt piedāvājumu nākotnē.</w:t>
      </w:r>
    </w:p>
    <w:p w14:paraId="24FE0546" w14:textId="77777777" w:rsidR="00CE6449" w:rsidRDefault="00CE6449" w:rsidP="004E7F3F">
      <w:pPr>
        <w:shd w:val="clear" w:color="auto" w:fill="FFFFFF" w:themeFill="background1"/>
        <w:spacing w:after="120"/>
        <w:jc w:val="both"/>
        <w:rPr>
          <w:rFonts w:ascii="Source Sans Pro" w:hAnsi="Source Sans Pro"/>
          <w:szCs w:val="20"/>
        </w:rPr>
      </w:pPr>
    </w:p>
    <w:p w14:paraId="0F28A380" w14:textId="77777777" w:rsidR="004E7F3F" w:rsidRPr="00D829F0" w:rsidRDefault="004E7F3F" w:rsidP="004E7F3F">
      <w:pPr>
        <w:shd w:val="clear" w:color="auto" w:fill="FFFFFF" w:themeFill="background1"/>
        <w:spacing w:after="120"/>
        <w:jc w:val="both"/>
        <w:rPr>
          <w:rFonts w:ascii="Source Sans Pro" w:hAnsi="Source Sans Pro"/>
          <w:szCs w:val="20"/>
        </w:rPr>
      </w:pPr>
      <w:r w:rsidRPr="00D829F0">
        <w:rPr>
          <w:rFonts w:ascii="Source Sans Pro" w:hAnsi="Source Sans Pro"/>
          <w:szCs w:val="20"/>
        </w:rPr>
        <w:t>Darba tirgus piedāvājumu atspoguļo ekonomiski aktīvie iedzīvotāji, kuri sastāv no nodarbinātajiem iedzīvotājiem un darba meklētājiem.</w:t>
      </w:r>
    </w:p>
    <w:p w14:paraId="251525B7" w14:textId="25C26C3C" w:rsidR="00384FC8" w:rsidRPr="00D829F0" w:rsidRDefault="00384FC8" w:rsidP="004E7F3F">
      <w:pPr>
        <w:shd w:val="clear" w:color="auto" w:fill="FFFFFF" w:themeFill="background1"/>
        <w:spacing w:after="120"/>
        <w:jc w:val="right"/>
        <w:rPr>
          <w:rFonts w:ascii="Source Sans Pro" w:hAnsi="Source Sans Pro"/>
          <w:szCs w:val="20"/>
        </w:rPr>
      </w:pPr>
      <w:r w:rsidRPr="00D829F0">
        <w:rPr>
          <w:rFonts w:ascii="Source Sans Pro" w:hAnsi="Source Sans Pro"/>
          <w:szCs w:val="20"/>
        </w:rPr>
        <w:t>2.7.</w:t>
      </w:r>
      <w:r w:rsidR="00BC3665">
        <w:rPr>
          <w:rFonts w:ascii="Source Sans Pro" w:hAnsi="Source Sans Pro"/>
          <w:szCs w:val="20"/>
        </w:rPr>
        <w:t> </w:t>
      </w:r>
      <w:r w:rsidRPr="00D829F0">
        <w:rPr>
          <w:rFonts w:ascii="Source Sans Pro" w:hAnsi="Source Sans Pro"/>
          <w:szCs w:val="20"/>
        </w:rPr>
        <w:t>attēls</w:t>
      </w:r>
    </w:p>
    <w:p w14:paraId="3754AA82" w14:textId="77777777" w:rsidR="00384FC8" w:rsidRPr="00CA6FB1" w:rsidRDefault="00384FC8" w:rsidP="004E7F3F">
      <w:pPr>
        <w:shd w:val="clear" w:color="auto" w:fill="FFFFFF" w:themeFill="background1"/>
        <w:spacing w:after="120"/>
        <w:jc w:val="center"/>
        <w:rPr>
          <w:rFonts w:ascii="Segoe UI Light" w:hAnsi="Segoe UI Light"/>
          <w:b/>
          <w:sz w:val="18"/>
          <w:szCs w:val="26"/>
        </w:rPr>
      </w:pPr>
      <w:r w:rsidRPr="00CA6FB1">
        <w:rPr>
          <w:rFonts w:ascii="Segoe UI Light" w:hAnsi="Segoe UI Light"/>
          <w:b/>
          <w:sz w:val="18"/>
          <w:szCs w:val="26"/>
        </w:rPr>
        <w:t>Ekonomiskās aktivitātes rādītāji</w:t>
      </w:r>
    </w:p>
    <w:p w14:paraId="461E0C93" w14:textId="77777777" w:rsidR="004E7F3F" w:rsidRPr="00D829F0" w:rsidRDefault="004E7F3F" w:rsidP="004E7F3F">
      <w:pPr>
        <w:shd w:val="clear" w:color="auto" w:fill="FFFFFF" w:themeFill="background1"/>
        <w:spacing w:after="120"/>
        <w:jc w:val="center"/>
        <w:rPr>
          <w:rFonts w:ascii="Source Sans Pro" w:hAnsi="Source Sans Pro"/>
        </w:rPr>
      </w:pPr>
      <w:r w:rsidRPr="00D829F0">
        <w:rPr>
          <w:rFonts w:ascii="Source Sans Pro" w:hAnsi="Source Sans Pro"/>
          <w:noProof/>
          <w:szCs w:val="20"/>
          <w:lang w:eastAsia="lv-LV"/>
        </w:rPr>
        <w:drawing>
          <wp:inline distT="0" distB="0" distL="0" distR="0" wp14:anchorId="334D7C78" wp14:editId="47B94B61">
            <wp:extent cx="5760000" cy="2159635"/>
            <wp:effectExtent l="0" t="0" r="0" b="0"/>
            <wp:docPr id="282" name="Chart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9D54AF5" w14:textId="77777777" w:rsidR="004E7F3F" w:rsidRPr="00D829F0" w:rsidRDefault="004E7F3F" w:rsidP="004E7F3F">
      <w:pPr>
        <w:shd w:val="clear" w:color="auto" w:fill="FFFFFF" w:themeFill="background1"/>
        <w:spacing w:after="120"/>
        <w:jc w:val="both"/>
        <w:rPr>
          <w:rFonts w:ascii="Source Sans Pro" w:hAnsi="Source Sans Pro"/>
          <w:sz w:val="16"/>
          <w:szCs w:val="16"/>
        </w:rPr>
      </w:pPr>
      <w:r w:rsidRPr="00D829F0">
        <w:rPr>
          <w:rFonts w:ascii="Source Sans Pro" w:hAnsi="Source Sans Pro"/>
          <w:sz w:val="16"/>
          <w:szCs w:val="16"/>
        </w:rPr>
        <w:t>Avots: CSP</w:t>
      </w:r>
    </w:p>
    <w:p w14:paraId="3C1E3DD0" w14:textId="67FD7822" w:rsidR="00773B25" w:rsidRDefault="00773B25" w:rsidP="004E7F3F">
      <w:pPr>
        <w:shd w:val="clear" w:color="auto" w:fill="FFFFFF" w:themeFill="background1"/>
        <w:spacing w:after="120"/>
        <w:jc w:val="both"/>
        <w:rPr>
          <w:rFonts w:ascii="Source Sans Pro" w:hAnsi="Source Sans Pro"/>
        </w:rPr>
      </w:pPr>
    </w:p>
    <w:p w14:paraId="56A94D87" w14:textId="0DAD4FF9" w:rsidR="004E7F3F" w:rsidRPr="00D829F0" w:rsidRDefault="004E7F3F" w:rsidP="004E7F3F">
      <w:pPr>
        <w:shd w:val="clear" w:color="auto" w:fill="FFFFFF" w:themeFill="background1"/>
        <w:spacing w:after="120"/>
        <w:jc w:val="both"/>
        <w:rPr>
          <w:rFonts w:ascii="Source Sans Pro" w:hAnsi="Source Sans Pro"/>
        </w:rPr>
      </w:pPr>
      <w:r w:rsidRPr="00D829F0">
        <w:rPr>
          <w:rFonts w:ascii="Source Sans Pro" w:hAnsi="Source Sans Pro"/>
        </w:rPr>
        <w:t>Valstī notiekošie demogrāfiskie procesi tieši atspoguļojas darbaspēka piedāvājuma tendencēs. Iedzīvotāju skaits darbspējas vecumā sarūk gan novecošanās, gan emigrācijas rezultātā, negatīvi ietekmējot arī ekonomiski aktīvo iedzīvotāju skaitu. Laika posmā no 2008. līdz 2025.</w:t>
      </w:r>
      <w:r w:rsidR="00BC3665">
        <w:rPr>
          <w:rFonts w:ascii="Source Sans Pro" w:hAnsi="Source Sans Pro"/>
        </w:rPr>
        <w:t> </w:t>
      </w:r>
      <w:r w:rsidRPr="00D829F0">
        <w:rPr>
          <w:rFonts w:ascii="Source Sans Pro" w:hAnsi="Source Sans Pro"/>
        </w:rPr>
        <w:t>gadam ekonomiski aktīvo iedzīvotāju skaits samazinājies par 195</w:t>
      </w:r>
      <w:r w:rsidR="00BC3665">
        <w:rPr>
          <w:rFonts w:ascii="Source Sans Pro" w:hAnsi="Source Sans Pro"/>
        </w:rPr>
        <w:t> </w:t>
      </w:r>
      <w:r w:rsidRPr="00D829F0">
        <w:rPr>
          <w:rFonts w:ascii="Source Sans Pro" w:hAnsi="Source Sans Pro"/>
        </w:rPr>
        <w:t>tūkst. Ekonomiski aktīvo iedzīvotāju skaits Latvijā samazinās jau kopš 2008.</w:t>
      </w:r>
      <w:r w:rsidR="00BC3665">
        <w:rPr>
          <w:rFonts w:ascii="Source Sans Pro" w:hAnsi="Source Sans Pro"/>
        </w:rPr>
        <w:t> </w:t>
      </w:r>
      <w:r w:rsidRPr="00D829F0">
        <w:rPr>
          <w:rFonts w:ascii="Source Sans Pro" w:hAnsi="Source Sans Pro"/>
        </w:rPr>
        <w:t>gada globālās finanšu krīzes. Periodā no 2015. līdz 2020.</w:t>
      </w:r>
      <w:r w:rsidR="00BC3665">
        <w:rPr>
          <w:rFonts w:ascii="Source Sans Pro" w:hAnsi="Source Sans Pro"/>
        </w:rPr>
        <w:t> </w:t>
      </w:r>
      <w:r w:rsidRPr="00D829F0">
        <w:rPr>
          <w:rFonts w:ascii="Source Sans Pro" w:hAnsi="Source Sans Pro"/>
        </w:rPr>
        <w:t>gadam negatīvā tendence kopumā palēninājās, ņemot vērā iedzīvotāju ekonomiskās aktivitātes pieaugumu, tomēr līdz ar Covid-19 pandēmijas atnākšanu arī ekonomiski aktīvo iedzīvotāju skaita samazinājuma temps ir pieaudzis. 2021.</w:t>
      </w:r>
      <w:r w:rsidR="00BC3665">
        <w:rPr>
          <w:rFonts w:ascii="Source Sans Pro" w:hAnsi="Source Sans Pro"/>
        </w:rPr>
        <w:t> </w:t>
      </w:r>
      <w:r w:rsidRPr="00D829F0">
        <w:rPr>
          <w:rFonts w:ascii="Source Sans Pro" w:hAnsi="Source Sans Pro"/>
        </w:rPr>
        <w:t>gadā ekonomiski aktīvo iedzīvotāju skaits saruka par 37,1 tūkst., ko galvenokārt ietekmēja iedzīvotāju ekonomiskās aktivitātes samazināšanās Covid-19 pandēmijas laikā. Kopš 2022.</w:t>
      </w:r>
      <w:r w:rsidR="00BC3665">
        <w:rPr>
          <w:rFonts w:ascii="Source Sans Pro" w:hAnsi="Source Sans Pro"/>
        </w:rPr>
        <w:t> </w:t>
      </w:r>
      <w:r w:rsidRPr="00D829F0">
        <w:rPr>
          <w:rFonts w:ascii="Source Sans Pro" w:hAnsi="Source Sans Pro"/>
        </w:rPr>
        <w:t>gada pieaug iedzīvotāju līdzdalības līmenis, un 2025.</w:t>
      </w:r>
      <w:r w:rsidR="00BC3665">
        <w:rPr>
          <w:rFonts w:ascii="Source Sans Pro" w:hAnsi="Source Sans Pro"/>
        </w:rPr>
        <w:t> </w:t>
      </w:r>
      <w:r w:rsidRPr="00D829F0">
        <w:rPr>
          <w:rFonts w:ascii="Source Sans Pro" w:hAnsi="Source Sans Pro"/>
        </w:rPr>
        <w:t>gadā vecuma grupā no 15 līdz 74 gadiem bija par 0,6 procentpunktiem lielāks kā 2024.</w:t>
      </w:r>
      <w:r w:rsidR="00BC3665">
        <w:rPr>
          <w:rFonts w:ascii="Source Sans Pro" w:hAnsi="Source Sans Pro"/>
        </w:rPr>
        <w:t> </w:t>
      </w:r>
      <w:r w:rsidRPr="00D829F0">
        <w:rPr>
          <w:rFonts w:ascii="Source Sans Pro" w:hAnsi="Source Sans Pro"/>
        </w:rPr>
        <w:t>gadā, veidojot 69,3%. Ekonomiski aktīvo iedzīvotāju skaits 2025.</w:t>
      </w:r>
      <w:r w:rsidR="00BC3665">
        <w:rPr>
          <w:rFonts w:ascii="Source Sans Pro" w:hAnsi="Source Sans Pro"/>
        </w:rPr>
        <w:t> </w:t>
      </w:r>
      <w:r w:rsidRPr="00D829F0">
        <w:rPr>
          <w:rFonts w:ascii="Source Sans Pro" w:hAnsi="Source Sans Pro"/>
        </w:rPr>
        <w:t>gadā pieauga arī absolūtos skaitļos un sasniedza 949</w:t>
      </w:r>
      <w:r w:rsidR="00BC3665">
        <w:rPr>
          <w:rFonts w:ascii="Source Sans Pro" w:hAnsi="Source Sans Pro"/>
        </w:rPr>
        <w:t> </w:t>
      </w:r>
      <w:r w:rsidRPr="00D829F0">
        <w:rPr>
          <w:rFonts w:ascii="Source Sans Pro" w:hAnsi="Source Sans Pro"/>
        </w:rPr>
        <w:t>tūkstošus.</w:t>
      </w:r>
    </w:p>
    <w:p w14:paraId="08AB17AF" w14:textId="77777777" w:rsidR="00CB3177" w:rsidRDefault="00CB3177">
      <w:pPr>
        <w:spacing w:after="0"/>
        <w:rPr>
          <w:rFonts w:ascii="Source Sans Pro" w:hAnsi="Source Sans Pro"/>
          <w:szCs w:val="20"/>
        </w:rPr>
      </w:pPr>
      <w:r>
        <w:rPr>
          <w:rFonts w:ascii="Source Sans Pro" w:hAnsi="Source Sans Pro"/>
          <w:szCs w:val="20"/>
        </w:rPr>
        <w:br w:type="page"/>
      </w:r>
    </w:p>
    <w:p w14:paraId="38101A8C" w14:textId="77777777" w:rsidR="0090095B" w:rsidRPr="00D829F0" w:rsidRDefault="007A5910" w:rsidP="004E7F3F">
      <w:pPr>
        <w:shd w:val="clear" w:color="auto" w:fill="FFFFFF" w:themeFill="background1"/>
        <w:spacing w:before="120" w:after="120"/>
        <w:jc w:val="right"/>
        <w:rPr>
          <w:rFonts w:ascii="Source Sans Pro" w:hAnsi="Source Sans Pro"/>
          <w:szCs w:val="20"/>
        </w:rPr>
      </w:pPr>
      <w:r w:rsidRPr="00D829F0">
        <w:rPr>
          <w:rFonts w:ascii="Source Sans Pro" w:hAnsi="Source Sans Pro"/>
          <w:szCs w:val="20"/>
        </w:rPr>
        <w:lastRenderedPageBreak/>
        <w:t>2</w:t>
      </w:r>
      <w:r w:rsidR="0090095B" w:rsidRPr="00D829F0">
        <w:rPr>
          <w:rFonts w:ascii="Source Sans Pro" w:hAnsi="Source Sans Pro"/>
          <w:szCs w:val="20"/>
        </w:rPr>
        <w:t>.</w:t>
      </w:r>
      <w:r w:rsidRPr="00D829F0">
        <w:rPr>
          <w:rFonts w:ascii="Source Sans Pro" w:hAnsi="Source Sans Pro"/>
          <w:szCs w:val="20"/>
        </w:rPr>
        <w:t>8</w:t>
      </w:r>
      <w:r w:rsidR="0090095B" w:rsidRPr="00D829F0">
        <w:rPr>
          <w:rFonts w:ascii="Source Sans Pro" w:hAnsi="Source Sans Pro"/>
          <w:szCs w:val="20"/>
        </w:rPr>
        <w:t>. attēls</w:t>
      </w:r>
    </w:p>
    <w:p w14:paraId="5CD732EA" w14:textId="77777777" w:rsidR="0090095B" w:rsidRPr="00CA6FB1" w:rsidRDefault="0090095B" w:rsidP="004E7F3F">
      <w:pPr>
        <w:shd w:val="clear" w:color="auto" w:fill="FFFFFF" w:themeFill="background1"/>
        <w:spacing w:before="120" w:after="120"/>
        <w:jc w:val="center"/>
        <w:rPr>
          <w:rFonts w:ascii="Cambria" w:hAnsi="Cambria"/>
          <w:i/>
          <w:sz w:val="18"/>
          <w:szCs w:val="24"/>
        </w:rPr>
      </w:pPr>
      <w:r w:rsidRPr="00CA6FB1">
        <w:rPr>
          <w:rFonts w:ascii="Segoe UI Light" w:hAnsi="Segoe UI Light"/>
          <w:b/>
          <w:sz w:val="18"/>
          <w:szCs w:val="26"/>
        </w:rPr>
        <w:t xml:space="preserve">Līdzdalības līmenis ES valstīs </w:t>
      </w:r>
      <w:r w:rsidRPr="00CA6FB1">
        <w:rPr>
          <w:rFonts w:ascii="Segoe UI Light" w:hAnsi="Segoe UI Light"/>
          <w:b/>
          <w:sz w:val="18"/>
          <w:szCs w:val="26"/>
        </w:rPr>
        <w:br/>
      </w:r>
      <w:r w:rsidRPr="00CA6FB1">
        <w:rPr>
          <w:rFonts w:ascii="Segoe UI Light" w:hAnsi="Segoe UI Light"/>
          <w:i/>
          <w:sz w:val="16"/>
          <w:szCs w:val="26"/>
        </w:rPr>
        <w:t>15-74 gadu vecuma grupā, procentos</w:t>
      </w:r>
    </w:p>
    <w:p w14:paraId="46C934D7" w14:textId="77777777" w:rsidR="0090095B" w:rsidRPr="00D829F0" w:rsidRDefault="004E7F3F" w:rsidP="004E7F3F">
      <w:pPr>
        <w:shd w:val="clear" w:color="auto" w:fill="FFFFFF" w:themeFill="background1"/>
        <w:spacing w:after="120"/>
        <w:jc w:val="right"/>
        <w:rPr>
          <w:rFonts w:ascii="Source Sans Pro" w:hAnsi="Source Sans Pro"/>
        </w:rPr>
      </w:pPr>
      <w:r w:rsidRPr="00D829F0">
        <w:rPr>
          <w:rFonts w:ascii="Source Sans Pro" w:hAnsi="Source Sans Pro"/>
          <w:noProof/>
        </w:rPr>
        <w:drawing>
          <wp:inline distT="0" distB="0" distL="0" distR="0" wp14:anchorId="04EA63B2" wp14:editId="2EFF5AE3">
            <wp:extent cx="5759450" cy="2160000"/>
            <wp:effectExtent l="0" t="0" r="0" b="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FFD0348" w14:textId="77777777" w:rsidR="0090095B" w:rsidRPr="00D829F0" w:rsidRDefault="0090095B" w:rsidP="004E7F3F">
      <w:pPr>
        <w:shd w:val="clear" w:color="auto" w:fill="FFFFFF" w:themeFill="background1"/>
        <w:spacing w:after="120"/>
        <w:jc w:val="both"/>
        <w:rPr>
          <w:rFonts w:ascii="Source Sans Pro" w:hAnsi="Source Sans Pro"/>
          <w:sz w:val="16"/>
          <w:szCs w:val="16"/>
        </w:rPr>
      </w:pPr>
      <w:r w:rsidRPr="00D829F0">
        <w:rPr>
          <w:rFonts w:ascii="Source Sans Pro" w:hAnsi="Source Sans Pro"/>
          <w:sz w:val="16"/>
          <w:szCs w:val="16"/>
        </w:rPr>
        <w:t xml:space="preserve">Avots: </w:t>
      </w:r>
      <w:r w:rsidRPr="00D829F0">
        <w:rPr>
          <w:rFonts w:ascii="Source Sans Pro" w:hAnsi="Source Sans Pro"/>
          <w:i/>
          <w:sz w:val="16"/>
          <w:szCs w:val="16"/>
        </w:rPr>
        <w:t>Eurostat</w:t>
      </w:r>
    </w:p>
    <w:p w14:paraId="1873BF92" w14:textId="77777777" w:rsidR="0090095B" w:rsidRPr="00D829F0" w:rsidRDefault="0090095B" w:rsidP="004E7F3F">
      <w:pPr>
        <w:shd w:val="clear" w:color="auto" w:fill="FFFFFF" w:themeFill="background1"/>
        <w:spacing w:after="0"/>
        <w:rPr>
          <w:rFonts w:ascii="Source Sans Pro" w:hAnsi="Source Sans Pro"/>
        </w:rPr>
      </w:pPr>
    </w:p>
    <w:p w14:paraId="2B88F26C" w14:textId="209F44F2" w:rsidR="004E7F3F" w:rsidRPr="00D829F0" w:rsidRDefault="004E7F3F" w:rsidP="004E7F3F">
      <w:pPr>
        <w:shd w:val="clear" w:color="auto" w:fill="FFFFFF" w:themeFill="background1"/>
        <w:spacing w:after="120"/>
        <w:jc w:val="both"/>
        <w:rPr>
          <w:rFonts w:ascii="Source Sans Pro" w:hAnsi="Source Sans Pro"/>
          <w:szCs w:val="20"/>
        </w:rPr>
      </w:pPr>
      <w:r w:rsidRPr="00D829F0">
        <w:rPr>
          <w:rFonts w:ascii="Source Sans Pro" w:hAnsi="Source Sans Pro"/>
          <w:szCs w:val="20"/>
        </w:rPr>
        <w:t>Kopumā Latvijā iedzīvotāju līdzdalība darba tirgū bija augstākā līmenī nekā vidēji ES valstīs. 2025.</w:t>
      </w:r>
      <w:r w:rsidR="00BE0395">
        <w:rPr>
          <w:rFonts w:ascii="Source Sans Pro" w:hAnsi="Source Sans Pro"/>
          <w:szCs w:val="20"/>
        </w:rPr>
        <w:t> </w:t>
      </w:r>
      <w:r w:rsidRPr="00D829F0">
        <w:rPr>
          <w:rFonts w:ascii="Source Sans Pro" w:hAnsi="Source Sans Pro"/>
          <w:szCs w:val="20"/>
        </w:rPr>
        <w:t>gadā iedzīvotāju ekonomiskā aktivitāte bija par 3,4 procentpunktiem augstāka nekā vidēji ES27 (65,9%).</w:t>
      </w:r>
    </w:p>
    <w:p w14:paraId="3FC8DD6B" w14:textId="77777777" w:rsidR="004E7F3F" w:rsidRPr="00D829F0" w:rsidRDefault="004E7F3F" w:rsidP="004E7F3F">
      <w:pPr>
        <w:shd w:val="clear" w:color="auto" w:fill="FFFFFF" w:themeFill="background1"/>
        <w:spacing w:after="120"/>
        <w:jc w:val="right"/>
        <w:rPr>
          <w:rFonts w:ascii="Source Sans Pro" w:hAnsi="Source Sans Pro"/>
          <w:szCs w:val="20"/>
        </w:rPr>
      </w:pPr>
      <w:r w:rsidRPr="00D829F0">
        <w:rPr>
          <w:rFonts w:ascii="Source Sans Pro" w:hAnsi="Source Sans Pro"/>
          <w:szCs w:val="20"/>
        </w:rPr>
        <w:t>2.9. attēls</w:t>
      </w:r>
    </w:p>
    <w:p w14:paraId="17E336F4" w14:textId="2E6E3166" w:rsidR="004E7F3F" w:rsidRPr="00CA6FB1" w:rsidRDefault="004E7F3F" w:rsidP="004E7F3F">
      <w:pPr>
        <w:shd w:val="clear" w:color="auto" w:fill="FFFFFF" w:themeFill="background1"/>
        <w:spacing w:after="120"/>
        <w:jc w:val="center"/>
        <w:rPr>
          <w:rFonts w:ascii="Segoe UI Light" w:hAnsi="Segoe UI Light"/>
          <w:i/>
          <w:sz w:val="16"/>
          <w:szCs w:val="18"/>
        </w:rPr>
      </w:pPr>
      <w:r w:rsidRPr="00CA6FB1">
        <w:rPr>
          <w:rFonts w:ascii="Segoe UI Light" w:hAnsi="Segoe UI Light"/>
          <w:b/>
          <w:bCs/>
          <w:sz w:val="18"/>
          <w:szCs w:val="18"/>
        </w:rPr>
        <w:t xml:space="preserve">Situācija darba tirgū </w:t>
      </w:r>
      <w:r w:rsidRPr="00CA6FB1">
        <w:rPr>
          <w:rFonts w:ascii="Segoe UI Light" w:hAnsi="Segoe UI Light"/>
          <w:b/>
          <w:sz w:val="18"/>
          <w:szCs w:val="18"/>
        </w:rPr>
        <w:t>2025.</w:t>
      </w:r>
      <w:r w:rsidR="00BE0395">
        <w:rPr>
          <w:rFonts w:ascii="Segoe UI Light" w:hAnsi="Segoe UI Light"/>
          <w:b/>
          <w:sz w:val="18"/>
          <w:szCs w:val="18"/>
        </w:rPr>
        <w:t> </w:t>
      </w:r>
      <w:r w:rsidRPr="00CA6FB1">
        <w:rPr>
          <w:rFonts w:ascii="Segoe UI Light" w:hAnsi="Segoe UI Light"/>
          <w:b/>
          <w:sz w:val="18"/>
          <w:szCs w:val="18"/>
        </w:rPr>
        <w:t>gadā</w:t>
      </w:r>
      <w:r w:rsidRPr="00CA6FB1">
        <w:rPr>
          <w:rFonts w:ascii="Segoe UI Light" w:hAnsi="Segoe UI Light"/>
          <w:b/>
          <w:sz w:val="18"/>
          <w:szCs w:val="18"/>
        </w:rPr>
        <w:br/>
      </w:r>
      <w:r w:rsidRPr="00CA6FB1">
        <w:rPr>
          <w:rFonts w:ascii="Segoe UI Light" w:hAnsi="Segoe UI Light"/>
          <w:i/>
          <w:sz w:val="16"/>
          <w:szCs w:val="18"/>
        </w:rPr>
        <w:t>tūkstošos</w:t>
      </w:r>
    </w:p>
    <w:p w14:paraId="02BFE365" w14:textId="77777777" w:rsidR="004E7F3F" w:rsidRPr="00CA6FB1" w:rsidRDefault="004E7F3F" w:rsidP="004E7F3F">
      <w:pPr>
        <w:shd w:val="clear" w:color="auto" w:fill="FFFFFF" w:themeFill="background1"/>
        <w:spacing w:after="120"/>
        <w:jc w:val="center"/>
        <w:rPr>
          <w:rFonts w:ascii="Segoe UI Light" w:hAnsi="Segoe UI Light" w:cs="Arial"/>
          <w:sz w:val="16"/>
          <w:szCs w:val="16"/>
        </w:rPr>
      </w:pPr>
      <w:r w:rsidRPr="00CA6FB1">
        <w:rPr>
          <w:rFonts w:ascii="Segoe UI Light" w:hAnsi="Segoe UI Light" w:cs="Arial"/>
          <w:sz w:val="16"/>
          <w:szCs w:val="16"/>
        </w:rPr>
        <w:t>Iedzīvotāju skaits darbaspējas (15-74 gadu) vecumā  – 1369</w:t>
      </w:r>
    </w:p>
    <w:tbl>
      <w:tblPr>
        <w:tblStyle w:val="TableGrid"/>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5529"/>
        <w:gridCol w:w="567"/>
        <w:gridCol w:w="1983"/>
        <w:gridCol w:w="709"/>
      </w:tblGrid>
      <w:tr w:rsidR="004E7F3F" w:rsidRPr="00D829F0" w14:paraId="29D6C0C3" w14:textId="77777777">
        <w:trPr>
          <w:trHeight w:val="730"/>
          <w:jc w:val="center"/>
        </w:trPr>
        <w:tc>
          <w:tcPr>
            <w:tcW w:w="5529" w:type="dxa"/>
          </w:tcPr>
          <w:p w14:paraId="16834860" w14:textId="77777777" w:rsidR="004E7F3F" w:rsidRPr="00CA6FB1" w:rsidRDefault="004E7F3F">
            <w:pPr>
              <w:shd w:val="clear" w:color="auto" w:fill="FFFFFF" w:themeFill="background1"/>
              <w:spacing w:before="40" w:after="40"/>
              <w:ind w:right="-113"/>
              <w:jc w:val="center"/>
              <w:rPr>
                <w:rFonts w:ascii="Segoe UI Light" w:hAnsi="Segoe UI Light" w:cs="Arial"/>
                <w:noProof/>
                <w:sz w:val="16"/>
                <w:szCs w:val="16"/>
                <w:lang w:eastAsia="lv-LV"/>
              </w:rPr>
            </w:pPr>
            <w:r w:rsidRPr="00CA6FB1">
              <w:rPr>
                <w:rFonts w:ascii="Segoe UI Light" w:hAnsi="Segoe UI Light" w:cs="Arial"/>
                <w:noProof/>
                <w:sz w:val="16"/>
                <w:szCs w:val="16"/>
                <w:lang w:eastAsia="lv-LV"/>
              </w:rPr>
              <mc:AlternateContent>
                <mc:Choice Requires="wps">
                  <w:drawing>
                    <wp:inline distT="0" distB="0" distL="0" distR="0" wp14:anchorId="154E8B49" wp14:editId="01423AAD">
                      <wp:extent cx="3394253" cy="432000"/>
                      <wp:effectExtent l="0" t="0" r="0" b="6350"/>
                      <wp:docPr id="317" name="Rectangle 317"/>
                      <wp:cNvGraphicFramePr/>
                      <a:graphic xmlns:a="http://schemas.openxmlformats.org/drawingml/2006/main">
                        <a:graphicData uri="http://schemas.microsoft.com/office/word/2010/wordprocessingShape">
                          <wps:wsp>
                            <wps:cNvSpPr/>
                            <wps:spPr>
                              <a:xfrm>
                                <a:off x="0" y="0"/>
                                <a:ext cx="3394253" cy="43200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4DE726" w14:textId="77777777" w:rsidR="004E7F3F" w:rsidRPr="002B49BA" w:rsidRDefault="004E7F3F" w:rsidP="004E7F3F">
                                  <w:pPr>
                                    <w:spacing w:before="40"/>
                                    <w:jc w:val="center"/>
                                    <w:rPr>
                                      <w:rFonts w:ascii="Segoe UI Light" w:hAnsi="Segoe UI Light"/>
                                      <w:b/>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54E8B49" id="Rectangle 317" o:spid="_x0000_s1207" style="width:267.25pt;height: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NiiAIAAIoFAAAOAAAAZHJzL2Uyb0RvYy54bWysVEtv2zAMvg/YfxB0X51Hu3VBnSJIkWFA&#10;1xZth54VWaoNyKJGKbGzXz9KfqTrih2GXWSKIj+Sn0leXLa1YXuFvgKb8+nJhDNlJRSVfc7598fN&#10;h3POfBC2EAasyvlBeX65fP/uonELNYMSTKGQEYj1i8blvAzBLbLMy1LVwp+AU5YeNWAtAl3xOStQ&#10;NIRem2w2mXzMGsDCIUjlPWmvuke+TPhaKxlutfYqMJNzyi2kE9O5jWe2vBCLZxSurGSfhviHLGpR&#10;WQo6Ql2JINgOqz+g6koieNDhREKdgdaVVKkGqmY6eVXNQymcSrUQOd6NNPn/Bytv9g/uDomGxvmF&#10;JzFW0Wqs45fyY20i6zCSpdrAJCnn88+ns7M5Z5LeTuf0MxKb2dHboQ9fFNQsCjlH+hmJI7G/9oEi&#10;kulgEoN5MFWxqYxJl9gAam2Q7QX9OiGlsmGe3M2u/gZFp/90dgybeia6JOTf0IyNmBYiehc4arJj&#10;yUkKB6OinbH3SrOqoCJnKeKI/DKZafdUikJ16pjKQMHokXJJgBFZU/wRuwd4q9Bp7Euip7ePrio1&#10;8+g8+VtinfPokSKDDaNzXVnAtwBMGCN39gNJHTWRpdBuW+KGZv082UbdForDHTKEbry8k5uKfvm1&#10;8OFOIM0TTR7tiHBLhzbQ5Bx6ibMS8Odb+mhPbU6vnDU0nzn3P3YCFWfmq6UBiMM8CDgI20Gwu3oN&#10;1DdT2j5OJpEcMJhB1Aj1E62OVYxCT8JKipVzGXC4rEO3J2j5SLVaJTMaWifCtX1wMoJHZmMLP7ZP&#10;Al3f54Em5AaG2RWLV+3e2UZPC6tdAF2lWTjy2HNOA596oF9OcaO8vCer4wpd/gIAAP//AwBQSwME&#10;FAAGAAgAAAAhAEfTmPPbAAAABAEAAA8AAABkcnMvZG93bnJldi54bWxMj0FLw0AQhe9C/8MyBW92&#10;t9aGErMpRfCgnmwF8bbJjkkwO7tkt0n67x296GXg8R7vfVPsZ9eLEYfYedKwXikQSLW3HTUa3k6P&#10;NzsQMRmypveEGi4YYV8urgqTWz/RK47H1AguoZgbDW1KIZcy1i06E1c+ILH36QdnEsuhkXYwE5e7&#10;Xt4qlUlnOuKF1gR8aLH+Op6dhmYzB1+py/Q8xqx+f3r5UKMKWl8v58M9iIRz+gvDDz6jQ8lMlT+T&#10;jaLXwI+k38vednO3BVFpyHYKZFnI//DlNwAAAP//AwBQSwECLQAUAAYACAAAACEAtoM4kv4AAADh&#10;AQAAEwAAAAAAAAAAAAAAAAAAAAAAW0NvbnRlbnRfVHlwZXNdLnhtbFBLAQItABQABgAIAAAAIQA4&#10;/SH/1gAAAJQBAAALAAAAAAAAAAAAAAAAAC8BAABfcmVscy8ucmVsc1BLAQItABQABgAIAAAAIQAI&#10;bjNiiAIAAIoFAAAOAAAAAAAAAAAAAAAAAC4CAABkcnMvZTJvRG9jLnhtbFBLAQItABQABgAIAAAA&#10;IQBH05jz2wAAAAQBAAAPAAAAAAAAAAAAAAAAAOIEAABkcnMvZG93bnJldi54bWxQSwUGAAAAAAQA&#10;BADzAAAA6gUAAAAA&#10;" fillcolor="#76923c [2406]" stroked="f" strokeweight="2pt">
                      <v:textbox inset="0,0,0,0">
                        <w:txbxContent>
                          <w:p w14:paraId="784DE726" w14:textId="77777777" w:rsidR="004E7F3F" w:rsidRPr="002B49BA" w:rsidRDefault="004E7F3F" w:rsidP="004E7F3F">
                            <w:pPr>
                              <w:spacing w:before="40"/>
                              <w:jc w:val="center"/>
                              <w:rPr>
                                <w:rFonts w:ascii="Segoe UI Light" w:hAnsi="Segoe UI Light"/>
                                <w:b/>
                                <w:sz w:val="16"/>
                                <w:szCs w:val="16"/>
                              </w:rPr>
                            </w:pPr>
                          </w:p>
                        </w:txbxContent>
                      </v:textbox>
                      <w10:anchorlock/>
                    </v:rect>
                  </w:pict>
                </mc:Fallback>
              </mc:AlternateContent>
            </w:r>
          </w:p>
        </w:tc>
        <w:tc>
          <w:tcPr>
            <w:tcW w:w="567" w:type="dxa"/>
          </w:tcPr>
          <w:p w14:paraId="457C4492" w14:textId="77777777" w:rsidR="004E7F3F" w:rsidRPr="00CA6FB1" w:rsidRDefault="004E7F3F">
            <w:pPr>
              <w:shd w:val="clear" w:color="auto" w:fill="FFFFFF" w:themeFill="background1"/>
              <w:spacing w:before="40" w:after="40"/>
              <w:ind w:left="-113" w:right="-113"/>
              <w:jc w:val="center"/>
              <w:rPr>
                <w:rFonts w:ascii="Segoe UI Light" w:hAnsi="Segoe UI Light" w:cs="Arial"/>
                <w:noProof/>
                <w:sz w:val="16"/>
                <w:szCs w:val="16"/>
                <w:lang w:eastAsia="lv-LV"/>
              </w:rPr>
            </w:pPr>
            <w:r w:rsidRPr="00CA6FB1">
              <w:rPr>
                <w:rFonts w:ascii="Segoe UI Light" w:hAnsi="Segoe UI Light" w:cs="Arial"/>
                <w:noProof/>
                <w:sz w:val="16"/>
                <w:szCs w:val="16"/>
                <w:lang w:eastAsia="lv-LV"/>
              </w:rPr>
              <mc:AlternateContent>
                <mc:Choice Requires="wps">
                  <w:drawing>
                    <wp:inline distT="0" distB="0" distL="0" distR="0" wp14:anchorId="64D1B971" wp14:editId="5CC3FF8A">
                      <wp:extent cx="277978" cy="432000"/>
                      <wp:effectExtent l="0" t="0" r="8255" b="6350"/>
                      <wp:docPr id="318" name="Rectangle 318"/>
                      <wp:cNvGraphicFramePr/>
                      <a:graphic xmlns:a="http://schemas.openxmlformats.org/drawingml/2006/main">
                        <a:graphicData uri="http://schemas.microsoft.com/office/word/2010/wordprocessingShape">
                          <wps:wsp>
                            <wps:cNvSpPr/>
                            <wps:spPr>
                              <a:xfrm>
                                <a:off x="0" y="0"/>
                                <a:ext cx="277978" cy="4320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364083" w14:textId="77777777" w:rsidR="004E7F3F" w:rsidRPr="00D829F0" w:rsidRDefault="004E7F3F" w:rsidP="004E7F3F">
                                  <w:pPr>
                                    <w:jc w:val="center"/>
                                    <w:rPr>
                                      <w:rFonts w:ascii="Source Sans Pro" w:hAnsi="Source Sans Pro"/>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64D1B971" id="Rectangle 318" o:spid="_x0000_s1208" style="width:21.9pt;height: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8wdgIAAGUFAAAOAAAAZHJzL2Uyb0RvYy54bWysVEtvEzEQviPxHyzf6SYB2hJ1U0WtipCq&#10;NqJFPTteu2vJ6zFjJ7vh1zP2PgKl4oC42GPP+5vHxWXXWLZXGAy4ks9PZpwpJ6Ey7rnk3x5v3p1z&#10;FqJwlbDgVMkPKvDL1ds3F61fqgXUYCuFjIy4sGx9yesY/bIogqxVI8IJeOWIqQEbEemJz0WFoiXr&#10;jS0Ws9lp0QJWHkGqEOj3umfyVbavtZLxXuugIrMlp9hiPjGf23QWqwuxfEbhayOHMMQ/RNEI48jp&#10;ZOpaRMF2aP4w1RiJEEDHEwlNAVobqXIOlM189iKbh1p4lXMhcIKfYAr/z6y82z/4DRIMrQ/LQGTK&#10;otPYpJviY10G6zCBpbrIJH0uzs4+nVF1JbE+vKdaZDCLo7LHED8raFgiSo5UiwyR2N+GSA5JdBRJ&#10;vgJYU90Ya/Mj1V9dWWR7QZUTUioXT1O1SOs3SeuSvIOk2bPTT3HMJlPxYFWSs+6r0sxUKf4cTG60&#10;l47mPasWler9f6TsxvQmjRxLNpgsa/I/2R4MvJbEfEhikE+qKvfppDz7W2B9ipNG9gwuTsqNcYCv&#10;GbBx8tzLjyD10CSUYrftCBsa4/NFijL9baE6bJAh9JMTvLwxVM5bEeJGII0KDRWNf7ynQ1toSw4D&#10;xVkN+OO1/yRPHUxczloavZKH7zuBijP7xVFvpzkdCRyJ7Ui4XXMF1BNzWixeZpIUMNqR1AjNE22F&#10;dfJCLOEk+Sq5jDg+rmK/AmivSLVeZzGaRy/irXvwMhlPyKb2fOyeBPqhhyM1/x2MYymWL1q5l02a&#10;Dta7CNrkPj/iOGBOs5ybZ9g7aVn8+s5Sx+24+gkAAP//AwBQSwMEFAAGAAgAAAAhAKxZP5LbAAAA&#10;AwEAAA8AAABkcnMvZG93bnJldi54bWxMj81OwzAQhO9IvIO1SNyo04KqksapWqTChQMNCMHNjbdJ&#10;VHsdxc4Pb8/CBS4jrWY18022mZwVA3ah8aRgPktAIJXeNFQpeHvd36xAhKjJaOsJFXxhgE1+eZHp&#10;1PiRDjgUsRIcQiHVCuoY21TKUNbodJj5Fom9k++cjnx2lTSdHjncWblIkqV0uiFuqHWLDzWW56J3&#10;Cuz+szkPj++Lp5ddcbr/GJ99L0ulrq+m7RpExCn+PcMPPqNDzkxH35MJwirgIfFX2bu75RVHBctV&#10;AjLP5H/2/BsAAP//AwBQSwECLQAUAAYACAAAACEAtoM4kv4AAADhAQAAEwAAAAAAAAAAAAAAAAAA&#10;AAAAW0NvbnRlbnRfVHlwZXNdLnhtbFBLAQItABQABgAIAAAAIQA4/SH/1gAAAJQBAAALAAAAAAAA&#10;AAAAAAAAAC8BAABfcmVscy8ucmVsc1BLAQItABQABgAIAAAAIQDVLz8wdgIAAGUFAAAOAAAAAAAA&#10;AAAAAAAAAC4CAABkcnMvZTJvRG9jLnhtbFBLAQItABQABgAIAAAAIQCsWT+S2wAAAAMBAAAPAAAA&#10;AAAAAAAAAAAAANAEAABkcnMvZG93bnJldi54bWxQSwUGAAAAAAQABADzAAAA2AUAAAAA&#10;" fillcolor="#f79646 [3209]" stroked="f" strokeweight="2pt">
                      <v:textbox inset="0,0,0,0">
                        <w:txbxContent>
                          <w:p w14:paraId="05364083" w14:textId="77777777" w:rsidR="004E7F3F" w:rsidRPr="00D829F0" w:rsidRDefault="004E7F3F" w:rsidP="004E7F3F">
                            <w:pPr>
                              <w:jc w:val="center"/>
                              <w:rPr>
                                <w:rFonts w:ascii="Source Sans Pro" w:hAnsi="Source Sans Pro"/>
                              </w:rPr>
                            </w:pPr>
                          </w:p>
                        </w:txbxContent>
                      </v:textbox>
                      <w10:anchorlock/>
                    </v:rect>
                  </w:pict>
                </mc:Fallback>
              </mc:AlternateContent>
            </w:r>
          </w:p>
        </w:tc>
        <w:tc>
          <w:tcPr>
            <w:tcW w:w="2692" w:type="dxa"/>
            <w:gridSpan w:val="2"/>
          </w:tcPr>
          <w:p w14:paraId="4B5F80A3" w14:textId="77777777" w:rsidR="004E7F3F" w:rsidRPr="00CA6FB1" w:rsidRDefault="004E7F3F">
            <w:pPr>
              <w:shd w:val="clear" w:color="auto" w:fill="FFFFFF" w:themeFill="background1"/>
              <w:spacing w:before="40" w:after="40"/>
              <w:ind w:left="-113"/>
              <w:jc w:val="center"/>
              <w:rPr>
                <w:rFonts w:ascii="Segoe UI Light" w:hAnsi="Segoe UI Light" w:cs="Arial"/>
                <w:noProof/>
                <w:sz w:val="16"/>
                <w:szCs w:val="16"/>
                <w:lang w:eastAsia="lv-LV"/>
              </w:rPr>
            </w:pPr>
            <w:r w:rsidRPr="00CA6FB1">
              <w:rPr>
                <w:rFonts w:ascii="Segoe UI Light" w:hAnsi="Segoe UI Light" w:cs="Arial"/>
                <w:noProof/>
                <w:sz w:val="16"/>
                <w:szCs w:val="16"/>
                <w:lang w:eastAsia="lv-LV"/>
              </w:rPr>
              <mc:AlternateContent>
                <mc:Choice Requires="wps">
                  <w:drawing>
                    <wp:inline distT="0" distB="0" distL="0" distR="0" wp14:anchorId="662F2E1E" wp14:editId="3B091EB3">
                      <wp:extent cx="1631289" cy="432000"/>
                      <wp:effectExtent l="0" t="0" r="7620" b="6350"/>
                      <wp:docPr id="319" name="Rectangle 319"/>
                      <wp:cNvGraphicFramePr/>
                      <a:graphic xmlns:a="http://schemas.openxmlformats.org/drawingml/2006/main">
                        <a:graphicData uri="http://schemas.microsoft.com/office/word/2010/wordprocessingShape">
                          <wps:wsp>
                            <wps:cNvSpPr/>
                            <wps:spPr>
                              <a:xfrm>
                                <a:off x="0" y="0"/>
                                <a:ext cx="1631289" cy="43200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8C0499" w14:textId="77777777" w:rsidR="004E7F3F" w:rsidRPr="002B49BA" w:rsidRDefault="004E7F3F" w:rsidP="004E7F3F">
                                  <w:pPr>
                                    <w:spacing w:before="40"/>
                                    <w:jc w:val="center"/>
                                    <w:rPr>
                                      <w:rFonts w:ascii="Segoe UI Light" w:hAnsi="Segoe UI Light"/>
                                      <w:b/>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662F2E1E" id="Rectangle 319" o:spid="_x0000_s1209" style="width:128.45pt;height: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6yhAIAAIYFAAAOAAAAZHJzL2Uyb0RvYy54bWysVNtu2zAMfR+wfxD0vjqXreiCOkWQosOA&#10;rg3WDn1WZCk2IIsapcTOvn6UfMnaFRsw7MWmKPKQPCJ5edXWhh0U+gpszqdnE86UlVBUdpfzb483&#10;7y4480HYQhiwKudH5fnV8u2by8Yt1AxKMIVCRiDWLxqX8zIEt8gyL0tVC38GTlm61IC1CHTEXVag&#10;aAi9NtlsMjnPGsDCIUjlPWmvu0u+TPhaKxnutfYqMJNzyi2kL6bvNn6z5aVY7FC4spJ9GuIfsqhF&#10;ZSnoCHUtgmB7rH6DqiuJ4EGHMwl1BlpXUqUaqJrp5EU1D6VwKtVC5Hg30uT/H6y8Ozy4DRINjfML&#10;T2KsotVYxz/lx9pE1nEkS7WBSVJOz+fT2cVHziTdvZ/TYyQ2s5O3Qx8+KahZFHKO9BiJI3G49YEi&#10;kulgEoN5MFVxUxmTDrEB1NogOwh6uu1umlzNvv4CRaf7QBGHkKlfonlCfYZkbMSzEJG7oFGTncpN&#10;UjgaFe2M/ao0qwoqcJYijshdUCGlsqFLxpeiUH/LJQFGZE3xR+we4HmRA3aXZW8fXVVq5NF58qfE&#10;OufRI0UGG0bnurKArwEYqqqP3NkPJHXURJZCu22JG3r7i3m0jbotFMcNMoRutLyTNxU9963wYSOQ&#10;ZommjvZDuKePNtDkHHqJsxLwx2v6aE8tTrecNTSbOfff9wIVZ+azpeaPgzwIOAjbQbD7eg3UM1Pa&#10;PE4mkRwwmEHUCPUTrY1VjEJXwkqKlXMZcDisQ7cjaPFItVolMxpYJ8KtfXAygkdmY/s+tk8CXd/j&#10;gabjDoa5FYsXrd7ZRk8Lq30AXaU5OPHYc07Dnhq5X0xxm/x6Tlan9bn8CQAA//8DAFBLAwQUAAYA&#10;CAAAACEA7vXJ+9wAAAAEAQAADwAAAGRycy9kb3ducmV2LnhtbEyPwU7DMBBE70j8g7VI3KhNBFEb&#10;4lSIAuqhPbSgnt14iSPsdRS7bcjXY7i0l5VGM5p5W84HZ9kR+9B6knA/EcCQaq9baiR8frzdTYGF&#10;qEgr6wkl/GCAeXV9VapC+xNt8LiNDUslFAolwcTYFZyH2qBTYeI7pOR9+d6pmGTfcN2rUyp3lmdC&#10;5NypltKCUR2+GKy/twcnYbcU5nU5jrOFfbBhjO+71WKdSXl7Mzw/AYs4xHMY/vATOlSJae8PpAOz&#10;EtIj8f8mL3vMZ8D2EvKpAF6V/BK++gUAAP//AwBQSwECLQAUAAYACAAAACEAtoM4kv4AAADhAQAA&#10;EwAAAAAAAAAAAAAAAAAAAAAAW0NvbnRlbnRfVHlwZXNdLnhtbFBLAQItABQABgAIAAAAIQA4/SH/&#10;1gAAAJQBAAALAAAAAAAAAAAAAAAAAC8BAABfcmVscy8ucmVsc1BLAQItABQABgAIAAAAIQCQF06y&#10;hAIAAIYFAAAOAAAAAAAAAAAAAAAAAC4CAABkcnMvZTJvRG9jLnhtbFBLAQItABQABgAIAAAAIQDu&#10;9cn73AAAAAQBAAAPAAAAAAAAAAAAAAAAAN4EAABkcnMvZG93bnJldi54bWxQSwUGAAAAAAQABADz&#10;AAAA5wUAAAAA&#10;" fillcolor="#7f7f7f [1612]" stroked="f" strokeweight="2pt">
                      <v:textbox inset="0,0,0,0">
                        <w:txbxContent>
                          <w:p w14:paraId="298C0499" w14:textId="77777777" w:rsidR="004E7F3F" w:rsidRPr="002B49BA" w:rsidRDefault="004E7F3F" w:rsidP="004E7F3F">
                            <w:pPr>
                              <w:spacing w:before="40"/>
                              <w:jc w:val="center"/>
                              <w:rPr>
                                <w:rFonts w:ascii="Segoe UI Light" w:hAnsi="Segoe UI Light"/>
                                <w:b/>
                                <w:sz w:val="16"/>
                                <w:szCs w:val="16"/>
                              </w:rPr>
                            </w:pPr>
                          </w:p>
                        </w:txbxContent>
                      </v:textbox>
                      <w10:anchorlock/>
                    </v:rect>
                  </w:pict>
                </mc:Fallback>
              </mc:AlternateContent>
            </w:r>
          </w:p>
        </w:tc>
      </w:tr>
      <w:tr w:rsidR="004E7F3F" w:rsidRPr="00D829F0" w14:paraId="1661BDD8" w14:textId="77777777">
        <w:trPr>
          <w:jc w:val="center"/>
        </w:trPr>
        <w:tc>
          <w:tcPr>
            <w:tcW w:w="8079" w:type="dxa"/>
            <w:gridSpan w:val="3"/>
          </w:tcPr>
          <w:p w14:paraId="2EADC09F" w14:textId="77777777" w:rsidR="004E7F3F" w:rsidRPr="00CA6FB1" w:rsidRDefault="004E7F3F">
            <w:pPr>
              <w:shd w:val="clear" w:color="auto" w:fill="FFFFFF" w:themeFill="background1"/>
              <w:spacing w:before="20" w:after="20"/>
              <w:ind w:left="6131"/>
              <w:rPr>
                <w:rFonts w:ascii="Segoe UI Light" w:hAnsi="Segoe UI Light" w:cs="Arial"/>
                <w:sz w:val="16"/>
                <w:szCs w:val="16"/>
              </w:rPr>
            </w:pPr>
            <w:r w:rsidRPr="00CA6FB1">
              <w:rPr>
                <w:rFonts w:ascii="Segoe UI Light" w:hAnsi="Segoe UI Light" w:cs="Arial"/>
                <w:sz w:val="16"/>
                <w:szCs w:val="16"/>
              </w:rPr>
              <w:t>skolēni, studenti</w:t>
            </w:r>
          </w:p>
        </w:tc>
        <w:tc>
          <w:tcPr>
            <w:tcW w:w="709" w:type="dxa"/>
          </w:tcPr>
          <w:p w14:paraId="5AC36E0D" w14:textId="77777777" w:rsidR="004E7F3F" w:rsidRPr="00CA6FB1" w:rsidRDefault="004E7F3F">
            <w:pPr>
              <w:shd w:val="clear" w:color="auto" w:fill="FFFFFF" w:themeFill="background1"/>
              <w:spacing w:before="20" w:after="20"/>
              <w:ind w:left="-113" w:right="113"/>
              <w:jc w:val="right"/>
              <w:rPr>
                <w:rFonts w:ascii="Segoe UI Light" w:hAnsi="Segoe UI Light" w:cs="Arial"/>
                <w:sz w:val="16"/>
                <w:szCs w:val="16"/>
              </w:rPr>
            </w:pPr>
            <w:r w:rsidRPr="00CA6FB1">
              <w:rPr>
                <w:rFonts w:ascii="Segoe UI Light" w:hAnsi="Segoe UI Light" w:cs="Arial"/>
                <w:sz w:val="16"/>
                <w:szCs w:val="16"/>
              </w:rPr>
              <w:t>113</w:t>
            </w:r>
          </w:p>
        </w:tc>
      </w:tr>
      <w:tr w:rsidR="004E7F3F" w:rsidRPr="00D829F0" w14:paraId="72FECBA3" w14:textId="77777777">
        <w:trPr>
          <w:jc w:val="center"/>
        </w:trPr>
        <w:tc>
          <w:tcPr>
            <w:tcW w:w="8079" w:type="dxa"/>
            <w:gridSpan w:val="3"/>
          </w:tcPr>
          <w:p w14:paraId="3EBCC822" w14:textId="77777777" w:rsidR="004E7F3F" w:rsidRPr="00CA6FB1" w:rsidRDefault="004E7F3F">
            <w:pPr>
              <w:shd w:val="clear" w:color="auto" w:fill="FFFFFF" w:themeFill="background1"/>
              <w:spacing w:before="20" w:after="20"/>
              <w:ind w:left="6131"/>
              <w:rPr>
                <w:rFonts w:ascii="Segoe UI Light" w:hAnsi="Segoe UI Light" w:cs="Arial"/>
                <w:sz w:val="16"/>
                <w:szCs w:val="16"/>
              </w:rPr>
            </w:pPr>
            <w:r w:rsidRPr="00CA6FB1">
              <w:rPr>
                <w:rFonts w:ascii="Segoe UI Light" w:hAnsi="Segoe UI Light" w:cs="Arial"/>
                <w:sz w:val="16"/>
                <w:szCs w:val="16"/>
              </w:rPr>
              <w:t>pensionāri, kas saņem tikai pensiju</w:t>
            </w:r>
          </w:p>
        </w:tc>
        <w:tc>
          <w:tcPr>
            <w:tcW w:w="709" w:type="dxa"/>
          </w:tcPr>
          <w:p w14:paraId="6B5690D2" w14:textId="77777777" w:rsidR="004E7F3F" w:rsidRPr="00CA6FB1" w:rsidRDefault="004E7F3F">
            <w:pPr>
              <w:shd w:val="clear" w:color="auto" w:fill="FFFFFF" w:themeFill="background1"/>
              <w:spacing w:before="20" w:after="20"/>
              <w:ind w:left="-113" w:right="113"/>
              <w:jc w:val="right"/>
              <w:rPr>
                <w:rFonts w:ascii="Segoe UI Light" w:hAnsi="Segoe UI Light" w:cs="Arial"/>
                <w:sz w:val="16"/>
                <w:szCs w:val="16"/>
              </w:rPr>
            </w:pPr>
            <w:r w:rsidRPr="00CA6FB1">
              <w:rPr>
                <w:rFonts w:ascii="Segoe UI Light" w:hAnsi="Segoe UI Light" w:cs="Arial"/>
                <w:sz w:val="16"/>
                <w:szCs w:val="16"/>
              </w:rPr>
              <w:t>172</w:t>
            </w:r>
          </w:p>
        </w:tc>
      </w:tr>
      <w:tr w:rsidR="004E7F3F" w:rsidRPr="00D829F0" w14:paraId="42720857" w14:textId="77777777">
        <w:trPr>
          <w:jc w:val="center"/>
        </w:trPr>
        <w:tc>
          <w:tcPr>
            <w:tcW w:w="8079" w:type="dxa"/>
            <w:gridSpan w:val="3"/>
          </w:tcPr>
          <w:p w14:paraId="33D71617" w14:textId="77777777" w:rsidR="004E7F3F" w:rsidRPr="00CA6FB1" w:rsidRDefault="004E7F3F">
            <w:pPr>
              <w:shd w:val="clear" w:color="auto" w:fill="FFFFFF" w:themeFill="background1"/>
              <w:spacing w:before="20" w:after="20"/>
              <w:ind w:left="6131"/>
              <w:rPr>
                <w:rFonts w:ascii="Segoe UI Light" w:hAnsi="Segoe UI Light" w:cs="Arial"/>
                <w:sz w:val="16"/>
                <w:szCs w:val="16"/>
              </w:rPr>
            </w:pPr>
            <w:r w:rsidRPr="00CA6FB1">
              <w:rPr>
                <w:rFonts w:ascii="Segoe UI Light" w:hAnsi="Segoe UI Light" w:cs="Arial"/>
                <w:color w:val="000000" w:themeColor="text1"/>
                <w:sz w:val="16"/>
                <w:szCs w:val="16"/>
              </w:rPr>
              <w:t>mājsaimnieki/-ces</w:t>
            </w:r>
          </w:p>
        </w:tc>
        <w:tc>
          <w:tcPr>
            <w:tcW w:w="709" w:type="dxa"/>
          </w:tcPr>
          <w:p w14:paraId="5D773D28" w14:textId="77777777" w:rsidR="004E7F3F" w:rsidRPr="00CA6FB1" w:rsidRDefault="004E7F3F">
            <w:pPr>
              <w:shd w:val="clear" w:color="auto" w:fill="FFFFFF" w:themeFill="background1"/>
              <w:spacing w:before="20" w:after="20"/>
              <w:ind w:left="-113" w:right="113"/>
              <w:jc w:val="right"/>
              <w:rPr>
                <w:rFonts w:ascii="Segoe UI Light" w:hAnsi="Segoe UI Light" w:cs="Arial"/>
                <w:color w:val="000000" w:themeColor="text1"/>
                <w:sz w:val="16"/>
                <w:szCs w:val="16"/>
              </w:rPr>
            </w:pPr>
            <w:r w:rsidRPr="00CA6FB1">
              <w:rPr>
                <w:rFonts w:ascii="Segoe UI Light" w:hAnsi="Segoe UI Light" w:cs="Arial"/>
                <w:color w:val="000000" w:themeColor="text1"/>
                <w:sz w:val="16"/>
                <w:szCs w:val="16"/>
              </w:rPr>
              <w:t>53</w:t>
            </w:r>
          </w:p>
        </w:tc>
      </w:tr>
      <w:tr w:rsidR="004E7F3F" w:rsidRPr="00D829F0" w14:paraId="7B7F9D4F" w14:textId="77777777">
        <w:trPr>
          <w:jc w:val="center"/>
        </w:trPr>
        <w:tc>
          <w:tcPr>
            <w:tcW w:w="8079" w:type="dxa"/>
            <w:gridSpan w:val="3"/>
          </w:tcPr>
          <w:p w14:paraId="2BB6BF28" w14:textId="77777777" w:rsidR="004E7F3F" w:rsidRPr="00CA6FB1" w:rsidRDefault="004E7F3F">
            <w:pPr>
              <w:shd w:val="clear" w:color="auto" w:fill="FFFFFF" w:themeFill="background1"/>
              <w:spacing w:before="20" w:after="20"/>
              <w:ind w:left="6131"/>
              <w:rPr>
                <w:rFonts w:ascii="Segoe UI Light" w:hAnsi="Segoe UI Light" w:cs="Arial"/>
                <w:color w:val="000000" w:themeColor="text1"/>
                <w:sz w:val="16"/>
                <w:szCs w:val="16"/>
              </w:rPr>
            </w:pPr>
            <w:r w:rsidRPr="00CA6FB1">
              <w:rPr>
                <w:rFonts w:ascii="Segoe UI Light" w:hAnsi="Segoe UI Light" w:cs="Arial"/>
                <w:color w:val="000000" w:themeColor="text1"/>
                <w:sz w:val="16"/>
                <w:szCs w:val="16"/>
              </w:rPr>
              <w:t>invalīdi, ilgstoši darbnespējīgās personas</w:t>
            </w:r>
          </w:p>
        </w:tc>
        <w:tc>
          <w:tcPr>
            <w:tcW w:w="709" w:type="dxa"/>
          </w:tcPr>
          <w:p w14:paraId="1CD03B4C" w14:textId="77777777" w:rsidR="004E7F3F" w:rsidRPr="00CA6FB1" w:rsidRDefault="004E7F3F">
            <w:pPr>
              <w:shd w:val="clear" w:color="auto" w:fill="FFFFFF" w:themeFill="background1"/>
              <w:spacing w:before="20" w:after="20"/>
              <w:ind w:left="-113" w:right="113"/>
              <w:jc w:val="right"/>
              <w:rPr>
                <w:rFonts w:ascii="Segoe UI Light" w:hAnsi="Segoe UI Light" w:cs="Arial"/>
                <w:color w:val="000000" w:themeColor="text1"/>
                <w:sz w:val="16"/>
                <w:szCs w:val="16"/>
              </w:rPr>
            </w:pPr>
            <w:r w:rsidRPr="00CA6FB1">
              <w:rPr>
                <w:rFonts w:ascii="Segoe UI Light" w:hAnsi="Segoe UI Light" w:cs="Arial"/>
                <w:color w:val="000000" w:themeColor="text1"/>
                <w:sz w:val="16"/>
                <w:szCs w:val="16"/>
              </w:rPr>
              <w:t>52</w:t>
            </w:r>
          </w:p>
        </w:tc>
      </w:tr>
      <w:tr w:rsidR="004E7F3F" w:rsidRPr="00D829F0" w14:paraId="6AF728E3" w14:textId="77777777">
        <w:trPr>
          <w:jc w:val="center"/>
        </w:trPr>
        <w:tc>
          <w:tcPr>
            <w:tcW w:w="8079" w:type="dxa"/>
            <w:gridSpan w:val="3"/>
          </w:tcPr>
          <w:p w14:paraId="69C2E392" w14:textId="77777777" w:rsidR="004E7F3F" w:rsidRPr="00CA6FB1" w:rsidRDefault="004E7F3F">
            <w:pPr>
              <w:shd w:val="clear" w:color="auto" w:fill="FFFFFF" w:themeFill="background1"/>
              <w:spacing w:before="20" w:after="20"/>
              <w:ind w:left="6131"/>
              <w:rPr>
                <w:rFonts w:ascii="Segoe UI Light" w:hAnsi="Segoe UI Light" w:cs="Arial"/>
                <w:color w:val="000000" w:themeColor="text1"/>
                <w:sz w:val="16"/>
                <w:szCs w:val="16"/>
              </w:rPr>
            </w:pPr>
            <w:r w:rsidRPr="00CA6FB1">
              <w:rPr>
                <w:rFonts w:ascii="Segoe UI Light" w:hAnsi="Segoe UI Light" w:cs="Arial"/>
                <w:color w:val="000000" w:themeColor="text1"/>
                <w:sz w:val="16"/>
                <w:szCs w:val="16"/>
              </w:rPr>
              <w:t>bērna kopšanas atvaļinājumā esošas personas</w:t>
            </w:r>
          </w:p>
        </w:tc>
        <w:tc>
          <w:tcPr>
            <w:tcW w:w="709" w:type="dxa"/>
          </w:tcPr>
          <w:p w14:paraId="74A14C40" w14:textId="77777777" w:rsidR="004E7F3F" w:rsidRPr="00CA6FB1" w:rsidRDefault="004E7F3F">
            <w:pPr>
              <w:shd w:val="clear" w:color="auto" w:fill="FFFFFF" w:themeFill="background1"/>
              <w:spacing w:before="20" w:after="20"/>
              <w:ind w:left="-113" w:right="113"/>
              <w:jc w:val="right"/>
              <w:rPr>
                <w:rFonts w:ascii="Segoe UI Light" w:hAnsi="Segoe UI Light" w:cs="Arial"/>
                <w:color w:val="000000" w:themeColor="text1"/>
                <w:sz w:val="16"/>
                <w:szCs w:val="16"/>
              </w:rPr>
            </w:pPr>
            <w:r w:rsidRPr="00CA6FB1">
              <w:rPr>
                <w:rFonts w:ascii="Segoe UI Light" w:hAnsi="Segoe UI Light" w:cs="Arial"/>
                <w:color w:val="000000" w:themeColor="text1"/>
                <w:sz w:val="16"/>
                <w:szCs w:val="16"/>
              </w:rPr>
              <w:t>4</w:t>
            </w:r>
          </w:p>
        </w:tc>
      </w:tr>
      <w:tr w:rsidR="004E7F3F" w:rsidRPr="00D829F0" w14:paraId="715763ED" w14:textId="77777777">
        <w:trPr>
          <w:jc w:val="center"/>
        </w:trPr>
        <w:tc>
          <w:tcPr>
            <w:tcW w:w="8079" w:type="dxa"/>
            <w:gridSpan w:val="3"/>
          </w:tcPr>
          <w:p w14:paraId="26E86D33" w14:textId="77777777" w:rsidR="004E7F3F" w:rsidRPr="00CA6FB1" w:rsidRDefault="004E7F3F">
            <w:pPr>
              <w:shd w:val="clear" w:color="auto" w:fill="FFFFFF" w:themeFill="background1"/>
              <w:spacing w:before="20" w:after="20"/>
              <w:ind w:left="6131"/>
              <w:rPr>
                <w:rFonts w:ascii="Segoe UI Light" w:hAnsi="Segoe UI Light" w:cs="Arial"/>
                <w:color w:val="000000" w:themeColor="text1"/>
                <w:sz w:val="16"/>
                <w:szCs w:val="16"/>
              </w:rPr>
            </w:pPr>
            <w:r w:rsidRPr="00CA6FB1">
              <w:rPr>
                <w:rFonts w:ascii="Segoe UI Light" w:hAnsi="Segoe UI Light" w:cs="Arial"/>
                <w:color w:val="000000" w:themeColor="text1"/>
                <w:sz w:val="16"/>
                <w:szCs w:val="16"/>
              </w:rPr>
              <w:t>citi</w:t>
            </w:r>
          </w:p>
        </w:tc>
        <w:tc>
          <w:tcPr>
            <w:tcW w:w="709" w:type="dxa"/>
          </w:tcPr>
          <w:p w14:paraId="3DB2042F" w14:textId="77777777" w:rsidR="004E7F3F" w:rsidRPr="00CA6FB1" w:rsidRDefault="004E7F3F">
            <w:pPr>
              <w:shd w:val="clear" w:color="auto" w:fill="FFFFFF" w:themeFill="background1"/>
              <w:spacing w:before="20" w:after="20"/>
              <w:ind w:left="-113" w:right="113"/>
              <w:jc w:val="right"/>
              <w:rPr>
                <w:rFonts w:ascii="Segoe UI Light" w:hAnsi="Segoe UI Light" w:cs="Arial"/>
                <w:color w:val="000000" w:themeColor="text1"/>
                <w:sz w:val="16"/>
                <w:szCs w:val="16"/>
              </w:rPr>
            </w:pPr>
            <w:r w:rsidRPr="00CA6FB1">
              <w:rPr>
                <w:rFonts w:ascii="Segoe UI Light" w:hAnsi="Segoe UI Light" w:cs="Arial"/>
                <w:color w:val="000000" w:themeColor="text1"/>
                <w:sz w:val="16"/>
                <w:szCs w:val="16"/>
              </w:rPr>
              <w:t>26</w:t>
            </w:r>
          </w:p>
        </w:tc>
      </w:tr>
    </w:tbl>
    <w:p w14:paraId="40A167AB" w14:textId="77777777" w:rsidR="004E7F3F" w:rsidRPr="00D829F0" w:rsidRDefault="004E7F3F" w:rsidP="004E7F3F">
      <w:pPr>
        <w:shd w:val="clear" w:color="auto" w:fill="FFFFFF" w:themeFill="background1"/>
        <w:spacing w:after="120"/>
        <w:ind w:firstLine="284"/>
        <w:jc w:val="both"/>
        <w:rPr>
          <w:rFonts w:ascii="Source Sans Pro" w:hAnsi="Source Sans Pro"/>
          <w:sz w:val="16"/>
          <w:szCs w:val="16"/>
        </w:rPr>
      </w:pPr>
      <w:r w:rsidRPr="00D829F0">
        <w:rPr>
          <w:rFonts w:ascii="Source Sans Pro" w:hAnsi="Source Sans Pro"/>
          <w:sz w:val="16"/>
          <w:szCs w:val="16"/>
        </w:rPr>
        <w:t>Avots: CSP</w:t>
      </w:r>
    </w:p>
    <w:p w14:paraId="0B12EC9B" w14:textId="77777777" w:rsidR="004E7F3F" w:rsidRPr="00D829F0" w:rsidRDefault="004E7F3F" w:rsidP="004E7F3F">
      <w:pPr>
        <w:shd w:val="clear" w:color="auto" w:fill="FFFFFF" w:themeFill="background1"/>
        <w:spacing w:after="120"/>
        <w:rPr>
          <w:rFonts w:ascii="Source Sans Pro" w:hAnsi="Source Sans Pro"/>
          <w:szCs w:val="26"/>
        </w:rPr>
      </w:pPr>
    </w:p>
    <w:p w14:paraId="700BB5D8" w14:textId="77777777" w:rsidR="004E7F3F" w:rsidRPr="00D829F0" w:rsidRDefault="004E7F3F" w:rsidP="004E7F3F">
      <w:pPr>
        <w:shd w:val="clear" w:color="auto" w:fill="FFFFFF" w:themeFill="background1"/>
        <w:spacing w:after="120"/>
        <w:jc w:val="both"/>
        <w:rPr>
          <w:rFonts w:ascii="Source Sans Pro" w:hAnsi="Source Sans Pro"/>
          <w:szCs w:val="26"/>
        </w:rPr>
      </w:pPr>
      <w:r w:rsidRPr="00D829F0">
        <w:rPr>
          <w:rFonts w:ascii="Source Sans Pro" w:hAnsi="Source Sans Pro"/>
          <w:szCs w:val="26"/>
        </w:rPr>
        <w:t xml:space="preserve">Ekonomiskās aktivitātes līmenis ir relatīvi stabils gandrīz visās vecuma grupās. Lielākās izmaiņas ir skārušas vecākā gadagājuma iedzīvotāju iesaisti darba tirgū. Pensionēšanās vecuma palielināšanās nosaka straujāku ekonomiskās aktivitātes līmeņa pieaugumu vecumā virs 60 gadiem. </w:t>
      </w:r>
    </w:p>
    <w:p w14:paraId="09C488F6" w14:textId="77777777" w:rsidR="00CB3177" w:rsidRDefault="00CB3177">
      <w:pPr>
        <w:spacing w:after="0"/>
        <w:rPr>
          <w:rFonts w:ascii="Source Sans Pro" w:hAnsi="Source Sans Pro"/>
          <w:szCs w:val="26"/>
        </w:rPr>
      </w:pPr>
      <w:r>
        <w:rPr>
          <w:rFonts w:ascii="Source Sans Pro" w:hAnsi="Source Sans Pro"/>
          <w:szCs w:val="26"/>
        </w:rPr>
        <w:br w:type="page"/>
      </w:r>
    </w:p>
    <w:p w14:paraId="0C4C20E0" w14:textId="7D140DA8" w:rsidR="00384FC8" w:rsidRPr="00D829F0" w:rsidRDefault="00384FC8" w:rsidP="004E7F3F">
      <w:pPr>
        <w:shd w:val="clear" w:color="auto" w:fill="FFFFFF" w:themeFill="background1"/>
        <w:spacing w:after="120"/>
        <w:jc w:val="right"/>
        <w:rPr>
          <w:rFonts w:ascii="Source Sans Pro" w:hAnsi="Source Sans Pro"/>
          <w:szCs w:val="26"/>
        </w:rPr>
      </w:pPr>
      <w:r w:rsidRPr="00D829F0">
        <w:rPr>
          <w:rFonts w:ascii="Source Sans Pro" w:hAnsi="Source Sans Pro"/>
          <w:szCs w:val="26"/>
        </w:rPr>
        <w:lastRenderedPageBreak/>
        <w:t>2.</w:t>
      </w:r>
      <w:r w:rsidR="007A5910" w:rsidRPr="00D829F0">
        <w:rPr>
          <w:rFonts w:ascii="Source Sans Pro" w:hAnsi="Source Sans Pro"/>
          <w:szCs w:val="26"/>
        </w:rPr>
        <w:t>10</w:t>
      </w:r>
      <w:r w:rsidRPr="00D829F0">
        <w:rPr>
          <w:rFonts w:ascii="Source Sans Pro" w:hAnsi="Source Sans Pro"/>
          <w:szCs w:val="26"/>
        </w:rPr>
        <w:t>.</w:t>
      </w:r>
      <w:r w:rsidR="00BE0395">
        <w:rPr>
          <w:rFonts w:ascii="Source Sans Pro" w:hAnsi="Source Sans Pro"/>
          <w:szCs w:val="26"/>
        </w:rPr>
        <w:t> </w:t>
      </w:r>
      <w:r w:rsidRPr="00D829F0">
        <w:rPr>
          <w:rFonts w:ascii="Source Sans Pro" w:hAnsi="Source Sans Pro"/>
          <w:szCs w:val="26"/>
        </w:rPr>
        <w:t>attēls</w:t>
      </w:r>
    </w:p>
    <w:p w14:paraId="5F95D929" w14:textId="77777777" w:rsidR="00384FC8" w:rsidRPr="00CA6FB1" w:rsidRDefault="00384FC8" w:rsidP="004E7F3F">
      <w:pPr>
        <w:shd w:val="clear" w:color="auto" w:fill="FFFFFF" w:themeFill="background1"/>
        <w:spacing w:after="120"/>
        <w:jc w:val="center"/>
        <w:rPr>
          <w:rFonts w:ascii="Segoe UI Light" w:hAnsi="Segoe UI Light"/>
          <w:i/>
          <w:sz w:val="16"/>
          <w:szCs w:val="28"/>
        </w:rPr>
      </w:pPr>
      <w:r w:rsidRPr="00CA6FB1">
        <w:rPr>
          <w:rFonts w:ascii="Segoe UI Light" w:hAnsi="Segoe UI Light"/>
          <w:b/>
          <w:sz w:val="18"/>
          <w:szCs w:val="26"/>
        </w:rPr>
        <w:t>Ekonomiski aktīvo iedzīvotāju sadalījums pēc izglītības līmeņa</w:t>
      </w:r>
      <w:r w:rsidRPr="00CA6FB1">
        <w:rPr>
          <w:rFonts w:ascii="Segoe UI Light" w:hAnsi="Segoe UI Light"/>
          <w:b/>
          <w:sz w:val="18"/>
          <w:szCs w:val="26"/>
        </w:rPr>
        <w:br/>
      </w:r>
      <w:r w:rsidRPr="00CA6FB1">
        <w:rPr>
          <w:rFonts w:ascii="Segoe UI Light" w:hAnsi="Segoe UI Light"/>
          <w:i/>
          <w:sz w:val="16"/>
          <w:szCs w:val="28"/>
        </w:rPr>
        <w:t>15-74</w:t>
      </w:r>
      <w:r w:rsidR="00E002CB" w:rsidRPr="00CA6FB1">
        <w:rPr>
          <w:rFonts w:ascii="Segoe UI Light" w:hAnsi="Segoe UI Light"/>
          <w:i/>
          <w:sz w:val="16"/>
          <w:szCs w:val="28"/>
        </w:rPr>
        <w:t xml:space="preserve"> </w:t>
      </w:r>
      <w:r w:rsidR="0080669C" w:rsidRPr="00CA6FB1">
        <w:rPr>
          <w:rFonts w:ascii="Segoe UI Light" w:hAnsi="Segoe UI Light"/>
          <w:i/>
          <w:sz w:val="16"/>
          <w:szCs w:val="28"/>
        </w:rPr>
        <w:t>gad</w:t>
      </w:r>
      <w:r w:rsidRPr="00CA6FB1">
        <w:rPr>
          <w:rFonts w:ascii="Segoe UI Light" w:hAnsi="Segoe UI Light"/>
          <w:i/>
          <w:sz w:val="16"/>
          <w:szCs w:val="28"/>
        </w:rPr>
        <w:t>u vecumā, procentos</w:t>
      </w:r>
    </w:p>
    <w:p w14:paraId="12B8E50C" w14:textId="77777777" w:rsidR="00384FC8" w:rsidRPr="00CA6FB1" w:rsidRDefault="004E7F3F" w:rsidP="004E7F3F">
      <w:pPr>
        <w:shd w:val="clear" w:color="auto" w:fill="FFFFFF" w:themeFill="background1"/>
        <w:spacing w:after="0"/>
        <w:jc w:val="center"/>
        <w:rPr>
          <w:rFonts w:ascii="Arial Narrow" w:hAnsi="Arial Narrow"/>
          <w:lang w:eastAsia="lv-LV"/>
        </w:rPr>
      </w:pPr>
      <w:r w:rsidRPr="00CA6FB1">
        <w:rPr>
          <w:rFonts w:ascii="Arial Narrow" w:hAnsi="Arial Narrow"/>
          <w:noProof/>
          <w:szCs w:val="20"/>
          <w:lang w:eastAsia="lv-LV"/>
        </w:rPr>
        <w:drawing>
          <wp:inline distT="0" distB="0" distL="0" distR="0" wp14:anchorId="67EB7EC9" wp14:editId="506BC2FB">
            <wp:extent cx="5759450" cy="2757830"/>
            <wp:effectExtent l="0" t="0" r="0" b="4445"/>
            <wp:docPr id="284"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A37A718" w14:textId="77777777" w:rsidR="00384FC8" w:rsidRPr="00D829F0" w:rsidRDefault="00384FC8" w:rsidP="004E7F3F">
      <w:pPr>
        <w:shd w:val="clear" w:color="auto" w:fill="FFFFFF" w:themeFill="background1"/>
        <w:spacing w:before="120" w:after="120"/>
        <w:jc w:val="both"/>
        <w:rPr>
          <w:rFonts w:ascii="Source Sans Pro" w:hAnsi="Source Sans Pro"/>
          <w:sz w:val="16"/>
          <w:szCs w:val="16"/>
        </w:rPr>
      </w:pPr>
      <w:r w:rsidRPr="00D829F0">
        <w:rPr>
          <w:rFonts w:ascii="Source Sans Pro" w:hAnsi="Source Sans Pro"/>
          <w:sz w:val="16"/>
          <w:szCs w:val="16"/>
        </w:rPr>
        <w:t>Avots: CSP</w:t>
      </w:r>
    </w:p>
    <w:p w14:paraId="2412243A" w14:textId="77777777" w:rsidR="005F5363" w:rsidRPr="00D829F0" w:rsidRDefault="005F5363" w:rsidP="004E7F3F">
      <w:pPr>
        <w:shd w:val="clear" w:color="auto" w:fill="FFFFFF" w:themeFill="background1"/>
        <w:spacing w:after="120"/>
        <w:jc w:val="both"/>
        <w:rPr>
          <w:rFonts w:ascii="Source Sans Pro" w:hAnsi="Source Sans Pro"/>
          <w:szCs w:val="20"/>
        </w:rPr>
      </w:pPr>
    </w:p>
    <w:p w14:paraId="67049D1C" w14:textId="568F2DD6" w:rsidR="004E7F3F" w:rsidRPr="00D829F0" w:rsidRDefault="004E7F3F" w:rsidP="004E7F3F">
      <w:pPr>
        <w:shd w:val="clear" w:color="auto" w:fill="FFFFFF" w:themeFill="background1"/>
        <w:spacing w:after="120"/>
        <w:jc w:val="both"/>
        <w:rPr>
          <w:rFonts w:ascii="Source Sans Pro" w:hAnsi="Source Sans Pro"/>
          <w:szCs w:val="20"/>
        </w:rPr>
      </w:pPr>
      <w:r w:rsidRPr="00D829F0">
        <w:rPr>
          <w:rFonts w:ascii="Source Sans Pro" w:hAnsi="Source Sans Pro"/>
          <w:szCs w:val="26"/>
        </w:rPr>
        <w:t>2025.</w:t>
      </w:r>
      <w:r w:rsidR="00BE0395">
        <w:rPr>
          <w:rFonts w:ascii="Source Sans Pro" w:hAnsi="Source Sans Pro"/>
          <w:szCs w:val="26"/>
        </w:rPr>
        <w:t> </w:t>
      </w:r>
      <w:r w:rsidRPr="00D829F0">
        <w:rPr>
          <w:rFonts w:ascii="Source Sans Pro" w:hAnsi="Source Sans Pro"/>
          <w:szCs w:val="26"/>
        </w:rPr>
        <w:t xml:space="preserve">gadā redzams neliels ekonomiski aktīvo iedzīvotāju skaita pieaugums augstākās un vidējās profesionālās izglītības grupās. </w:t>
      </w:r>
      <w:r w:rsidRPr="00D829F0">
        <w:rPr>
          <w:rFonts w:ascii="Source Sans Pro" w:hAnsi="Source Sans Pro"/>
          <w:szCs w:val="20"/>
        </w:rPr>
        <w:t>Iedzīvotāji aizvien vairāk apzinās izglītības nozīmi dalībai darba tirgū. Pakāpeniski turpina palielināties ekonomiski aktīvo iedzīvotāju īpatsvars ar augstāko izglītību – 2025.</w:t>
      </w:r>
      <w:r w:rsidR="00BE0395">
        <w:rPr>
          <w:rFonts w:ascii="Source Sans Pro" w:hAnsi="Source Sans Pro"/>
          <w:szCs w:val="20"/>
        </w:rPr>
        <w:t> </w:t>
      </w:r>
      <w:r w:rsidRPr="00D829F0">
        <w:rPr>
          <w:rFonts w:ascii="Source Sans Pro" w:hAnsi="Source Sans Pro"/>
          <w:szCs w:val="20"/>
        </w:rPr>
        <w:t xml:space="preserve">gadā vairāk kā 2/5 no visiem ekonomiski aktīviem iedzīvotājiem bija augstākā izglītība. </w:t>
      </w:r>
    </w:p>
    <w:p w14:paraId="370C256C" w14:textId="67078B1D" w:rsidR="00384FC8" w:rsidRPr="00D829F0" w:rsidRDefault="00384FC8" w:rsidP="00867A48">
      <w:pPr>
        <w:spacing w:after="120"/>
        <w:jc w:val="right"/>
        <w:rPr>
          <w:rFonts w:ascii="Source Sans Pro" w:hAnsi="Source Sans Pro"/>
          <w:szCs w:val="20"/>
        </w:rPr>
      </w:pPr>
      <w:r w:rsidRPr="00D829F0">
        <w:rPr>
          <w:rFonts w:ascii="Source Sans Pro" w:hAnsi="Source Sans Pro"/>
          <w:szCs w:val="20"/>
        </w:rPr>
        <w:t>2.1</w:t>
      </w:r>
      <w:r w:rsidR="007A5910" w:rsidRPr="00D829F0">
        <w:rPr>
          <w:rFonts w:ascii="Source Sans Pro" w:hAnsi="Source Sans Pro"/>
          <w:szCs w:val="20"/>
        </w:rPr>
        <w:t>1</w:t>
      </w:r>
      <w:r w:rsidRPr="00D829F0">
        <w:rPr>
          <w:rFonts w:ascii="Source Sans Pro" w:hAnsi="Source Sans Pro"/>
          <w:szCs w:val="20"/>
        </w:rPr>
        <w:t>.</w:t>
      </w:r>
      <w:r w:rsidR="00BE0395">
        <w:rPr>
          <w:rFonts w:ascii="Source Sans Pro" w:hAnsi="Source Sans Pro"/>
          <w:szCs w:val="20"/>
        </w:rPr>
        <w:t> </w:t>
      </w:r>
      <w:r w:rsidRPr="00D829F0">
        <w:rPr>
          <w:rFonts w:ascii="Source Sans Pro" w:hAnsi="Source Sans Pro"/>
          <w:szCs w:val="20"/>
        </w:rPr>
        <w:t>attēls</w:t>
      </w:r>
    </w:p>
    <w:p w14:paraId="68046970" w14:textId="77777777" w:rsidR="00384FC8" w:rsidRPr="00B9692E" w:rsidRDefault="00384FC8" w:rsidP="00867A48">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120"/>
        <w:rPr>
          <w:rFonts w:ascii="Segoe UI Light" w:hAnsi="Segoe UI Light"/>
          <w:b/>
          <w:szCs w:val="26"/>
        </w:rPr>
      </w:pPr>
      <w:r w:rsidRPr="00B9692E">
        <w:rPr>
          <w:rFonts w:ascii="Segoe UI Light" w:hAnsi="Segoe UI Light"/>
          <w:b/>
          <w:szCs w:val="26"/>
        </w:rPr>
        <w:t>Ekonomiski aktīvie iedzīvotāji sadalījumā pa izglītības tematiskajām grupām</w:t>
      </w:r>
    </w:p>
    <w:p w14:paraId="0C4DD94A" w14:textId="77777777" w:rsidR="00384FC8" w:rsidRPr="00B9692E" w:rsidRDefault="00384FC8" w:rsidP="00867A48">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6804"/>
        </w:tabs>
        <w:suppressAutoHyphens/>
        <w:spacing w:after="120"/>
        <w:jc w:val="left"/>
        <w:rPr>
          <w:rFonts w:ascii="Segoe UI Light" w:hAnsi="Segoe UI Light"/>
          <w:i/>
          <w:sz w:val="16"/>
          <w:szCs w:val="22"/>
        </w:rPr>
      </w:pPr>
      <w:r w:rsidRPr="00B9692E">
        <w:rPr>
          <w:rFonts w:ascii="Segoe UI Light" w:hAnsi="Segoe UI Light"/>
          <w:i/>
          <w:sz w:val="16"/>
          <w:szCs w:val="22"/>
        </w:rPr>
        <w:tab/>
        <w:t>ar augstāko izglītību, procentos</w:t>
      </w:r>
      <w:r w:rsidRPr="00B9692E">
        <w:rPr>
          <w:rFonts w:ascii="Segoe UI Light" w:hAnsi="Segoe UI Light"/>
          <w:i/>
          <w:sz w:val="16"/>
          <w:szCs w:val="22"/>
        </w:rPr>
        <w:tab/>
        <w:t>ar vidējo vispārējo un profesionālo izglītību, procentos</w:t>
      </w:r>
    </w:p>
    <w:p w14:paraId="21959911" w14:textId="77777777" w:rsidR="00384FC8" w:rsidRPr="00B9692E" w:rsidRDefault="004E7F3F" w:rsidP="00867A48">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4725"/>
        </w:tabs>
        <w:suppressAutoHyphens/>
        <w:spacing w:after="120"/>
        <w:jc w:val="left"/>
        <w:rPr>
          <w:rFonts w:ascii="Arial Narrow" w:hAnsi="Arial Narrow"/>
          <w:sz w:val="20"/>
        </w:rPr>
      </w:pPr>
      <w:r w:rsidRPr="00B9692E">
        <w:rPr>
          <w:rFonts w:ascii="Arial Narrow" w:hAnsi="Arial Narrow"/>
          <w:noProof/>
          <w:sz w:val="20"/>
          <w:lang w:eastAsia="lv-LV"/>
        </w:rPr>
        <w:drawing>
          <wp:inline distT="0" distB="0" distL="0" distR="0" wp14:anchorId="5123E87B" wp14:editId="699A9398">
            <wp:extent cx="2880000" cy="2160000"/>
            <wp:effectExtent l="0" t="0" r="0" b="0"/>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sidRPr="00B9692E">
        <w:rPr>
          <w:rFonts w:ascii="Arial Narrow" w:hAnsi="Arial Narrow"/>
          <w:noProof/>
          <w:sz w:val="20"/>
          <w:lang w:eastAsia="lv-LV"/>
        </w:rPr>
        <w:drawing>
          <wp:inline distT="0" distB="0" distL="0" distR="0" wp14:anchorId="6A1D110C" wp14:editId="7823E999">
            <wp:extent cx="2880000" cy="2160000"/>
            <wp:effectExtent l="0" t="0" r="0" b="0"/>
            <wp:docPr id="37"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31DE8F6" w14:textId="77777777" w:rsidR="00384FC8" w:rsidRPr="00D829F0" w:rsidRDefault="00384FC8" w:rsidP="00867A48">
      <w:pPr>
        <w:spacing w:before="120" w:after="120"/>
        <w:jc w:val="both"/>
        <w:rPr>
          <w:rFonts w:ascii="Source Sans Pro" w:hAnsi="Source Sans Pro"/>
          <w:sz w:val="16"/>
          <w:szCs w:val="16"/>
        </w:rPr>
      </w:pPr>
      <w:r w:rsidRPr="00D829F0">
        <w:rPr>
          <w:rFonts w:ascii="Source Sans Pro" w:hAnsi="Source Sans Pro"/>
          <w:sz w:val="16"/>
          <w:szCs w:val="16"/>
        </w:rPr>
        <w:t>Avots: CSP</w:t>
      </w:r>
    </w:p>
    <w:p w14:paraId="2D7ED94B" w14:textId="77777777" w:rsidR="00692D05" w:rsidRPr="00D829F0" w:rsidRDefault="00692D05" w:rsidP="00867A48">
      <w:pPr>
        <w:spacing w:after="120"/>
        <w:jc w:val="both"/>
        <w:rPr>
          <w:rFonts w:ascii="Source Sans Pro" w:hAnsi="Source Sans Pro"/>
          <w:szCs w:val="20"/>
        </w:rPr>
      </w:pPr>
    </w:p>
    <w:p w14:paraId="7662E75D" w14:textId="2770B965" w:rsidR="008B29F1" w:rsidRPr="00D829F0" w:rsidRDefault="00384FC8" w:rsidP="00867A48">
      <w:pPr>
        <w:spacing w:after="120"/>
        <w:jc w:val="both"/>
        <w:rPr>
          <w:rFonts w:ascii="Source Sans Pro" w:hAnsi="Source Sans Pro"/>
          <w:szCs w:val="20"/>
        </w:rPr>
      </w:pPr>
      <w:r w:rsidRPr="00D829F0">
        <w:rPr>
          <w:rFonts w:ascii="Source Sans Pro" w:hAnsi="Source Sans Pro"/>
          <w:szCs w:val="20"/>
        </w:rPr>
        <w:t xml:space="preserve">Lielākais darbaspēka piedāvājums </w:t>
      </w:r>
      <w:r w:rsidR="008B29F1" w:rsidRPr="00D829F0">
        <w:rPr>
          <w:rFonts w:ascii="Source Sans Pro" w:hAnsi="Source Sans Pro"/>
          <w:szCs w:val="20"/>
        </w:rPr>
        <w:t xml:space="preserve">saglabājās </w:t>
      </w:r>
      <w:r w:rsidRPr="00D829F0">
        <w:rPr>
          <w:rFonts w:ascii="Source Sans Pro" w:hAnsi="Source Sans Pro"/>
          <w:szCs w:val="20"/>
        </w:rPr>
        <w:t xml:space="preserve">ar augstāko izglītību sociālo zinātņu, komerczinību un tiesību izglītības tematiskajā grupā. </w:t>
      </w:r>
      <w:r w:rsidR="008B29F1" w:rsidRPr="00D829F0">
        <w:rPr>
          <w:rFonts w:ascii="Source Sans Pro" w:hAnsi="Source Sans Pro"/>
          <w:szCs w:val="20"/>
        </w:rPr>
        <w:t>Kopš 2008.</w:t>
      </w:r>
      <w:r w:rsidR="00BE0395">
        <w:rPr>
          <w:rFonts w:ascii="Source Sans Pro" w:hAnsi="Source Sans Pro"/>
          <w:szCs w:val="20"/>
        </w:rPr>
        <w:t> </w:t>
      </w:r>
      <w:r w:rsidR="008B29F1" w:rsidRPr="00D829F0">
        <w:rPr>
          <w:rFonts w:ascii="Source Sans Pro" w:hAnsi="Source Sans Pro"/>
          <w:szCs w:val="20"/>
        </w:rPr>
        <w:t xml:space="preserve">gada šajā grupā vērojams skaitliski nozīmīgākais ekonomiski aktīvo iedzīvotāju izteiktākais skaita pieaugums. </w:t>
      </w:r>
      <w:r w:rsidRPr="00D829F0">
        <w:rPr>
          <w:rFonts w:ascii="Source Sans Pro" w:hAnsi="Source Sans Pro"/>
          <w:szCs w:val="20"/>
        </w:rPr>
        <w:t xml:space="preserve">To </w:t>
      </w:r>
      <w:r w:rsidR="008B29F1" w:rsidRPr="00D829F0">
        <w:rPr>
          <w:rFonts w:ascii="Source Sans Pro" w:hAnsi="Source Sans Pro"/>
          <w:szCs w:val="20"/>
        </w:rPr>
        <w:t xml:space="preserve">lielā mērā </w:t>
      </w:r>
      <w:r w:rsidRPr="00D829F0">
        <w:rPr>
          <w:rFonts w:ascii="Source Sans Pro" w:hAnsi="Source Sans Pro"/>
          <w:szCs w:val="20"/>
        </w:rPr>
        <w:t>nosaka iepriekšējo</w:t>
      </w:r>
      <w:r w:rsidR="00692D05" w:rsidRPr="00D829F0">
        <w:rPr>
          <w:rFonts w:ascii="Source Sans Pro" w:hAnsi="Source Sans Pro"/>
          <w:szCs w:val="20"/>
        </w:rPr>
        <w:t xml:space="preserve"> </w:t>
      </w:r>
      <w:r w:rsidR="0080669C" w:rsidRPr="00D829F0">
        <w:rPr>
          <w:rFonts w:ascii="Source Sans Pro" w:hAnsi="Source Sans Pro"/>
          <w:szCs w:val="20"/>
        </w:rPr>
        <w:t>gad</w:t>
      </w:r>
      <w:r w:rsidRPr="00D829F0">
        <w:rPr>
          <w:rFonts w:ascii="Source Sans Pro" w:hAnsi="Source Sans Pro"/>
          <w:szCs w:val="20"/>
        </w:rPr>
        <w:t xml:space="preserve">u </w:t>
      </w:r>
      <w:r w:rsidR="008B29F1" w:rsidRPr="00D829F0">
        <w:rPr>
          <w:rFonts w:ascii="Source Sans Pro" w:hAnsi="Source Sans Pro"/>
          <w:szCs w:val="20"/>
        </w:rPr>
        <w:t>studējošo</w:t>
      </w:r>
      <w:r w:rsidRPr="00D829F0">
        <w:rPr>
          <w:rFonts w:ascii="Source Sans Pro" w:hAnsi="Source Sans Pro"/>
          <w:szCs w:val="20"/>
        </w:rPr>
        <w:t xml:space="preserve"> izvēle iegūt augstāko izglītību šajā tematiskajā grupā.</w:t>
      </w:r>
      <w:r w:rsidR="008B29F1" w:rsidRPr="00D829F0">
        <w:rPr>
          <w:rFonts w:ascii="Source Sans Pro" w:hAnsi="Source Sans Pro"/>
          <w:szCs w:val="20"/>
        </w:rPr>
        <w:t xml:space="preserve"> Vienlaikus jāņem vērā, ka</w:t>
      </w:r>
      <w:r w:rsidR="009E7305" w:rsidRPr="00D829F0">
        <w:rPr>
          <w:rFonts w:ascii="Source Sans Pro" w:hAnsi="Source Sans Pro"/>
          <w:szCs w:val="20"/>
        </w:rPr>
        <w:t xml:space="preserve"> </w:t>
      </w:r>
      <w:r w:rsidR="008B29F1" w:rsidRPr="00D829F0">
        <w:rPr>
          <w:rFonts w:ascii="Source Sans Pro" w:hAnsi="Source Sans Pro"/>
          <w:szCs w:val="20"/>
        </w:rPr>
        <w:t>lielāka</w:t>
      </w:r>
      <w:r w:rsidR="009E7305" w:rsidRPr="00D829F0">
        <w:rPr>
          <w:rFonts w:ascii="Source Sans Pro" w:hAnsi="Source Sans Pro"/>
          <w:szCs w:val="20"/>
        </w:rPr>
        <w:t xml:space="preserve"> daļa studējošo sociālo zinātņu, komerczinību un tiesību izglītības tematiskajā grupā studē par personīgiem līdzekļiem. </w:t>
      </w:r>
    </w:p>
    <w:p w14:paraId="4B52D8D0" w14:textId="77777777" w:rsidR="00384FC8" w:rsidRPr="00D829F0" w:rsidRDefault="00384FC8" w:rsidP="00867A48">
      <w:pPr>
        <w:spacing w:after="120"/>
        <w:jc w:val="both"/>
        <w:rPr>
          <w:rFonts w:ascii="Source Sans Pro" w:hAnsi="Source Sans Pro"/>
          <w:szCs w:val="20"/>
        </w:rPr>
      </w:pPr>
      <w:r w:rsidRPr="00D829F0">
        <w:rPr>
          <w:rFonts w:ascii="Source Sans Pro" w:hAnsi="Source Sans Pro"/>
          <w:szCs w:val="20"/>
        </w:rPr>
        <w:t>Nākamās lielākās ekonomiski aktīvo iedzīvotāju izglītības tematiskās grupas ir inženierzinātņu, ražošanas un būvniecības tematiskā grupa un izglītības tematiskā grupa.</w:t>
      </w:r>
    </w:p>
    <w:p w14:paraId="7B5E076D" w14:textId="4E51F38D" w:rsidR="00384FC8" w:rsidRPr="00D829F0" w:rsidRDefault="00384FC8" w:rsidP="00867A48">
      <w:pPr>
        <w:spacing w:after="120"/>
        <w:jc w:val="right"/>
        <w:rPr>
          <w:rFonts w:ascii="Source Sans Pro" w:hAnsi="Source Sans Pro"/>
          <w:szCs w:val="20"/>
        </w:rPr>
      </w:pPr>
      <w:r w:rsidRPr="00D829F0">
        <w:rPr>
          <w:rFonts w:ascii="Source Sans Pro" w:hAnsi="Source Sans Pro"/>
          <w:szCs w:val="20"/>
        </w:rPr>
        <w:lastRenderedPageBreak/>
        <w:t>2.1</w:t>
      </w:r>
      <w:r w:rsidR="007A5910" w:rsidRPr="00D829F0">
        <w:rPr>
          <w:rFonts w:ascii="Source Sans Pro" w:hAnsi="Source Sans Pro"/>
          <w:szCs w:val="20"/>
        </w:rPr>
        <w:t>2</w:t>
      </w:r>
      <w:r w:rsidRPr="00D829F0">
        <w:rPr>
          <w:rFonts w:ascii="Source Sans Pro" w:hAnsi="Source Sans Pro"/>
          <w:szCs w:val="20"/>
        </w:rPr>
        <w:t>.</w:t>
      </w:r>
      <w:r w:rsidR="00BE0395">
        <w:rPr>
          <w:rFonts w:ascii="Source Sans Pro" w:hAnsi="Source Sans Pro"/>
          <w:szCs w:val="20"/>
        </w:rPr>
        <w:t> </w:t>
      </w:r>
      <w:r w:rsidRPr="00D829F0">
        <w:rPr>
          <w:rFonts w:ascii="Source Sans Pro" w:hAnsi="Source Sans Pro"/>
          <w:szCs w:val="20"/>
        </w:rPr>
        <w:t>attēls</w:t>
      </w:r>
    </w:p>
    <w:p w14:paraId="614FE871" w14:textId="38F9382C" w:rsidR="00384FC8" w:rsidRPr="00F60D1D" w:rsidRDefault="00384FC8" w:rsidP="00867A48">
      <w:pPr>
        <w:spacing w:after="120"/>
        <w:jc w:val="center"/>
        <w:rPr>
          <w:rFonts w:ascii="Segoe UI Light" w:hAnsi="Segoe UI Light"/>
          <w:i/>
          <w:sz w:val="16"/>
          <w:szCs w:val="26"/>
        </w:rPr>
      </w:pPr>
      <w:r w:rsidRPr="00F60D1D">
        <w:rPr>
          <w:rFonts w:ascii="Segoe UI Light" w:eastAsia="Times New Roman" w:hAnsi="Segoe UI Light"/>
          <w:b/>
          <w:color w:val="000000"/>
          <w:sz w:val="18"/>
          <w:szCs w:val="26"/>
        </w:rPr>
        <w:t>Nodarbināto iedzīvotāju vecumā virs 50</w:t>
      </w:r>
      <w:r w:rsidR="00E002CB" w:rsidRPr="00F60D1D">
        <w:rPr>
          <w:rFonts w:ascii="Segoe UI Light" w:eastAsia="Times New Roman" w:hAnsi="Segoe UI Light"/>
          <w:b/>
          <w:color w:val="000000"/>
          <w:sz w:val="18"/>
          <w:szCs w:val="26"/>
        </w:rPr>
        <w:t xml:space="preserve"> </w:t>
      </w:r>
      <w:r w:rsidR="0080669C" w:rsidRPr="00F60D1D">
        <w:rPr>
          <w:rFonts w:ascii="Segoe UI Light" w:eastAsia="Times New Roman" w:hAnsi="Segoe UI Light"/>
          <w:b/>
          <w:color w:val="000000"/>
          <w:sz w:val="18"/>
          <w:szCs w:val="26"/>
        </w:rPr>
        <w:t>gad</w:t>
      </w:r>
      <w:r w:rsidRPr="00F60D1D">
        <w:rPr>
          <w:rFonts w:ascii="Segoe UI Light" w:eastAsia="Times New Roman" w:hAnsi="Segoe UI Light"/>
          <w:b/>
          <w:color w:val="000000"/>
          <w:sz w:val="18"/>
          <w:szCs w:val="26"/>
        </w:rPr>
        <w:t>iem īpatsvars augstākās kvalifikācijas profesiju apakšgrupās</w:t>
      </w:r>
      <w:r w:rsidRPr="00F60D1D">
        <w:rPr>
          <w:rFonts w:ascii="Segoe UI Light" w:eastAsia="Times New Roman" w:hAnsi="Segoe UI Light"/>
          <w:b/>
          <w:color w:val="000000"/>
          <w:sz w:val="18"/>
          <w:szCs w:val="26"/>
        </w:rPr>
        <w:br/>
      </w:r>
      <w:r w:rsidR="004E7F3F" w:rsidRPr="00F60D1D">
        <w:rPr>
          <w:rFonts w:ascii="Segoe UI Light" w:hAnsi="Segoe UI Light"/>
          <w:i/>
          <w:sz w:val="16"/>
          <w:szCs w:val="26"/>
        </w:rPr>
        <w:t>2025</w:t>
      </w:r>
      <w:r w:rsidRPr="00F60D1D">
        <w:rPr>
          <w:rFonts w:ascii="Segoe UI Light" w:hAnsi="Segoe UI Light"/>
          <w:i/>
          <w:sz w:val="16"/>
          <w:szCs w:val="26"/>
        </w:rPr>
        <w:t>.</w:t>
      </w:r>
      <w:r w:rsidR="00BE0395">
        <w:rPr>
          <w:rFonts w:ascii="Segoe UI Light" w:hAnsi="Segoe UI Light"/>
          <w:i/>
          <w:sz w:val="16"/>
          <w:szCs w:val="26"/>
        </w:rPr>
        <w:t> </w:t>
      </w:r>
      <w:r w:rsidR="0080669C" w:rsidRPr="00F60D1D">
        <w:rPr>
          <w:rFonts w:ascii="Segoe UI Light" w:hAnsi="Segoe UI Light"/>
          <w:i/>
          <w:sz w:val="16"/>
          <w:szCs w:val="26"/>
        </w:rPr>
        <w:t>gad</w:t>
      </w:r>
      <w:r w:rsidRPr="00F60D1D">
        <w:rPr>
          <w:rFonts w:ascii="Segoe UI Light" w:hAnsi="Segoe UI Light"/>
          <w:i/>
          <w:sz w:val="16"/>
          <w:szCs w:val="26"/>
        </w:rPr>
        <w:t>s, procentos no attiecīgajā profesiju apakšgrupā nodarbinātajiem</w:t>
      </w:r>
    </w:p>
    <w:tbl>
      <w:tblPr>
        <w:tblStyle w:val="TableGrid"/>
        <w:tblW w:w="9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184"/>
      </w:tblGrid>
      <w:tr w:rsidR="004E7F3F" w:rsidRPr="00D829F0" w14:paraId="4F34F2A4" w14:textId="77777777">
        <w:tc>
          <w:tcPr>
            <w:tcW w:w="4989" w:type="dxa"/>
          </w:tcPr>
          <w:tbl>
            <w:tblPr>
              <w:tblW w:w="4994" w:type="dxa"/>
              <w:tblLook w:val="04A0" w:firstRow="1" w:lastRow="0" w:firstColumn="1" w:lastColumn="0" w:noHBand="0" w:noVBand="1"/>
            </w:tblPr>
            <w:tblGrid>
              <w:gridCol w:w="4994"/>
            </w:tblGrid>
            <w:tr w:rsidR="004E7F3F" w:rsidRPr="00F60D1D" w14:paraId="6087778C" w14:textId="77777777">
              <w:trPr>
                <w:trHeight w:val="317"/>
              </w:trPr>
              <w:tc>
                <w:tcPr>
                  <w:tcW w:w="4994" w:type="dxa"/>
                  <w:tcBorders>
                    <w:top w:val="nil"/>
                    <w:left w:val="nil"/>
                    <w:bottom w:val="nil"/>
                    <w:right w:val="nil"/>
                  </w:tcBorders>
                  <w:noWrap/>
                  <w:vAlign w:val="bottom"/>
                  <w:hideMark/>
                </w:tcPr>
                <w:p w14:paraId="51951D07" w14:textId="77777777" w:rsidR="004E7F3F" w:rsidRPr="00F60D1D" w:rsidRDefault="004E7F3F">
                  <w:pPr>
                    <w:spacing w:after="0"/>
                    <w:ind w:right="198"/>
                    <w:jc w:val="right"/>
                    <w:rPr>
                      <w:rFonts w:ascii="Segoe UI Light" w:hAnsi="Segoe UI Light"/>
                      <w:bCs/>
                      <w:iCs/>
                      <w:sz w:val="16"/>
                      <w:szCs w:val="26"/>
                    </w:rPr>
                  </w:pPr>
                  <w:r w:rsidRPr="00623566">
                    <w:rPr>
                      <w:rFonts w:ascii="Segoe UI Light" w:hAnsi="Segoe UI Light"/>
                      <w:bCs/>
                      <w:iCs/>
                      <w:sz w:val="16"/>
                      <w:szCs w:val="26"/>
                    </w:rPr>
                    <w:t>Izglītības jomas vecākie speciālisti</w:t>
                  </w:r>
                </w:p>
              </w:tc>
            </w:tr>
            <w:tr w:rsidR="004E7F3F" w:rsidRPr="00F60D1D" w14:paraId="157F70E8" w14:textId="77777777">
              <w:trPr>
                <w:trHeight w:val="317"/>
              </w:trPr>
              <w:tc>
                <w:tcPr>
                  <w:tcW w:w="4994" w:type="dxa"/>
                  <w:tcBorders>
                    <w:top w:val="nil"/>
                    <w:left w:val="nil"/>
                    <w:bottom w:val="nil"/>
                    <w:right w:val="nil"/>
                  </w:tcBorders>
                  <w:noWrap/>
                  <w:vAlign w:val="bottom"/>
                  <w:hideMark/>
                </w:tcPr>
                <w:p w14:paraId="4802262D"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Veselības aprūpes jomas vecākie speciālisti</w:t>
                  </w:r>
                </w:p>
              </w:tc>
            </w:tr>
            <w:tr w:rsidR="004E7F3F" w:rsidRPr="00F60D1D" w14:paraId="0C725EEE" w14:textId="77777777">
              <w:trPr>
                <w:trHeight w:val="317"/>
              </w:trPr>
              <w:tc>
                <w:tcPr>
                  <w:tcW w:w="4994" w:type="dxa"/>
                  <w:tcBorders>
                    <w:top w:val="nil"/>
                    <w:left w:val="nil"/>
                    <w:bottom w:val="nil"/>
                    <w:right w:val="nil"/>
                  </w:tcBorders>
                  <w:noWrap/>
                  <w:vAlign w:val="bottom"/>
                  <w:hideMark/>
                </w:tcPr>
                <w:p w14:paraId="551B1E9D"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Administratīvie vadītāji un komercdirektori</w:t>
                  </w:r>
                </w:p>
              </w:tc>
            </w:tr>
            <w:tr w:rsidR="004E7F3F" w:rsidRPr="00F60D1D" w14:paraId="014C59A8" w14:textId="77777777">
              <w:trPr>
                <w:trHeight w:val="317"/>
              </w:trPr>
              <w:tc>
                <w:tcPr>
                  <w:tcW w:w="4994" w:type="dxa"/>
                  <w:tcBorders>
                    <w:top w:val="nil"/>
                    <w:left w:val="nil"/>
                    <w:bottom w:val="nil"/>
                    <w:right w:val="nil"/>
                  </w:tcBorders>
                  <w:noWrap/>
                  <w:vAlign w:val="bottom"/>
                  <w:hideMark/>
                </w:tcPr>
                <w:p w14:paraId="1AB08789"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Likumdevēji, amatpersonas un vadītāji</w:t>
                  </w:r>
                </w:p>
              </w:tc>
            </w:tr>
            <w:tr w:rsidR="004E7F3F" w:rsidRPr="00F60D1D" w14:paraId="5FD25905" w14:textId="77777777">
              <w:trPr>
                <w:trHeight w:val="317"/>
              </w:trPr>
              <w:tc>
                <w:tcPr>
                  <w:tcW w:w="4994" w:type="dxa"/>
                  <w:tcBorders>
                    <w:top w:val="nil"/>
                    <w:left w:val="nil"/>
                    <w:bottom w:val="nil"/>
                    <w:right w:val="nil"/>
                  </w:tcBorders>
                  <w:noWrap/>
                  <w:vAlign w:val="bottom"/>
                  <w:hideMark/>
                </w:tcPr>
                <w:p w14:paraId="69182F10"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Veselības aprūpes jomas speciālisti</w:t>
                  </w:r>
                </w:p>
              </w:tc>
            </w:tr>
            <w:tr w:rsidR="004E7F3F" w:rsidRPr="00F60D1D" w14:paraId="65AEB1EA" w14:textId="77777777">
              <w:trPr>
                <w:trHeight w:val="317"/>
              </w:trPr>
              <w:tc>
                <w:tcPr>
                  <w:tcW w:w="4994" w:type="dxa"/>
                  <w:tcBorders>
                    <w:top w:val="nil"/>
                    <w:left w:val="nil"/>
                    <w:bottom w:val="nil"/>
                    <w:right w:val="nil"/>
                  </w:tcBorders>
                  <w:noWrap/>
                  <w:vAlign w:val="bottom"/>
                  <w:hideMark/>
                </w:tcPr>
                <w:p w14:paraId="23AE02D0"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Ražošanas un specializēto pakalpojumu jomas vadītāji</w:t>
                  </w:r>
                </w:p>
              </w:tc>
            </w:tr>
            <w:tr w:rsidR="004E7F3F" w:rsidRPr="00F60D1D" w14:paraId="76AE6B6C" w14:textId="77777777">
              <w:trPr>
                <w:trHeight w:val="317"/>
              </w:trPr>
              <w:tc>
                <w:tcPr>
                  <w:tcW w:w="4994" w:type="dxa"/>
                  <w:tcBorders>
                    <w:top w:val="nil"/>
                    <w:left w:val="nil"/>
                    <w:bottom w:val="nil"/>
                    <w:right w:val="nil"/>
                  </w:tcBorders>
                  <w:noWrap/>
                  <w:vAlign w:val="bottom"/>
                  <w:hideMark/>
                </w:tcPr>
                <w:p w14:paraId="79EC3B5E"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Juridisko, sociālo un kultūras lietu un tām radniecīgu lietu speciālisti</w:t>
                  </w:r>
                </w:p>
              </w:tc>
            </w:tr>
            <w:tr w:rsidR="004E7F3F" w:rsidRPr="00F60D1D" w14:paraId="124C7451" w14:textId="77777777">
              <w:trPr>
                <w:trHeight w:val="317"/>
              </w:trPr>
              <w:tc>
                <w:tcPr>
                  <w:tcW w:w="4994" w:type="dxa"/>
                  <w:tcBorders>
                    <w:top w:val="nil"/>
                    <w:left w:val="nil"/>
                    <w:bottom w:val="nil"/>
                    <w:right w:val="nil"/>
                  </w:tcBorders>
                  <w:noWrap/>
                  <w:vAlign w:val="bottom"/>
                  <w:hideMark/>
                </w:tcPr>
                <w:p w14:paraId="1C5C0C31"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Juridisko, sociālo un kultūras lietu vecākie speciālisti</w:t>
                  </w:r>
                </w:p>
              </w:tc>
            </w:tr>
            <w:tr w:rsidR="004E7F3F" w:rsidRPr="00F60D1D" w14:paraId="00E60799" w14:textId="77777777">
              <w:trPr>
                <w:trHeight w:val="317"/>
              </w:trPr>
              <w:tc>
                <w:tcPr>
                  <w:tcW w:w="4994" w:type="dxa"/>
                  <w:tcBorders>
                    <w:top w:val="nil"/>
                    <w:left w:val="nil"/>
                    <w:bottom w:val="nil"/>
                    <w:right w:val="nil"/>
                  </w:tcBorders>
                  <w:noWrap/>
                  <w:vAlign w:val="bottom"/>
                  <w:hideMark/>
                </w:tcPr>
                <w:p w14:paraId="1A1709F7"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Zinātnes un inženierzinātņu jomas vecākie speciālisti</w:t>
                  </w:r>
                </w:p>
              </w:tc>
            </w:tr>
            <w:tr w:rsidR="004E7F3F" w:rsidRPr="00F60D1D" w14:paraId="03F492E0" w14:textId="77777777">
              <w:trPr>
                <w:trHeight w:val="317"/>
              </w:trPr>
              <w:tc>
                <w:tcPr>
                  <w:tcW w:w="4994" w:type="dxa"/>
                  <w:tcBorders>
                    <w:top w:val="nil"/>
                    <w:left w:val="nil"/>
                    <w:bottom w:val="nil"/>
                    <w:right w:val="nil"/>
                  </w:tcBorders>
                  <w:noWrap/>
                  <w:vAlign w:val="bottom"/>
                  <w:hideMark/>
                </w:tcPr>
                <w:p w14:paraId="13BE3B45"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Zinātnes un inženierzinātņu speciālisti</w:t>
                  </w:r>
                </w:p>
              </w:tc>
            </w:tr>
            <w:tr w:rsidR="004E7F3F" w:rsidRPr="00F60D1D" w14:paraId="6EE9A533" w14:textId="77777777">
              <w:trPr>
                <w:trHeight w:val="317"/>
              </w:trPr>
              <w:tc>
                <w:tcPr>
                  <w:tcW w:w="4994" w:type="dxa"/>
                  <w:tcBorders>
                    <w:top w:val="nil"/>
                    <w:left w:val="nil"/>
                    <w:bottom w:val="nil"/>
                    <w:right w:val="nil"/>
                  </w:tcBorders>
                  <w:noWrap/>
                  <w:vAlign w:val="bottom"/>
                  <w:hideMark/>
                </w:tcPr>
                <w:p w14:paraId="58B33AF5"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Viesmīlības, ēdināšanas, tirdzniecības un citu pakalpojumu jomas vadītāji</w:t>
                  </w:r>
                </w:p>
              </w:tc>
            </w:tr>
            <w:tr w:rsidR="004E7F3F" w:rsidRPr="00F60D1D" w14:paraId="315257F6" w14:textId="77777777">
              <w:trPr>
                <w:trHeight w:val="317"/>
              </w:trPr>
              <w:tc>
                <w:tcPr>
                  <w:tcW w:w="4994" w:type="dxa"/>
                  <w:tcBorders>
                    <w:top w:val="nil"/>
                    <w:left w:val="nil"/>
                    <w:bottom w:val="nil"/>
                    <w:right w:val="nil"/>
                  </w:tcBorders>
                  <w:noWrap/>
                  <w:vAlign w:val="bottom"/>
                  <w:hideMark/>
                </w:tcPr>
                <w:p w14:paraId="1473961B"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Komercdarbības un pārvaldes (administrācijas) speciālisti</w:t>
                  </w:r>
                </w:p>
              </w:tc>
            </w:tr>
            <w:tr w:rsidR="004E7F3F" w:rsidRPr="00F60D1D" w14:paraId="4707D144" w14:textId="77777777">
              <w:trPr>
                <w:trHeight w:val="317"/>
              </w:trPr>
              <w:tc>
                <w:tcPr>
                  <w:tcW w:w="4994" w:type="dxa"/>
                  <w:tcBorders>
                    <w:top w:val="nil"/>
                    <w:left w:val="nil"/>
                    <w:bottom w:val="nil"/>
                    <w:right w:val="nil"/>
                  </w:tcBorders>
                  <w:noWrap/>
                  <w:vAlign w:val="bottom"/>
                  <w:hideMark/>
                </w:tcPr>
                <w:p w14:paraId="3F053D27"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Citi vecākie speciālisti</w:t>
                  </w:r>
                </w:p>
              </w:tc>
            </w:tr>
            <w:tr w:rsidR="004E7F3F" w:rsidRPr="00F60D1D" w14:paraId="586C35A8" w14:textId="77777777">
              <w:trPr>
                <w:trHeight w:val="317"/>
              </w:trPr>
              <w:tc>
                <w:tcPr>
                  <w:tcW w:w="4994" w:type="dxa"/>
                  <w:tcBorders>
                    <w:top w:val="nil"/>
                    <w:left w:val="nil"/>
                    <w:bottom w:val="nil"/>
                    <w:right w:val="nil"/>
                  </w:tcBorders>
                  <w:noWrap/>
                  <w:vAlign w:val="bottom"/>
                  <w:hideMark/>
                </w:tcPr>
                <w:p w14:paraId="11F3FE37"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Informācijas tehnoloģiju jomas speciālisti</w:t>
                  </w:r>
                </w:p>
              </w:tc>
            </w:tr>
            <w:tr w:rsidR="004E7F3F" w:rsidRPr="00F60D1D" w14:paraId="7A6E8B5C" w14:textId="77777777">
              <w:trPr>
                <w:trHeight w:val="317"/>
              </w:trPr>
              <w:tc>
                <w:tcPr>
                  <w:tcW w:w="4994" w:type="dxa"/>
                  <w:tcBorders>
                    <w:top w:val="nil"/>
                    <w:left w:val="nil"/>
                    <w:bottom w:val="nil"/>
                    <w:right w:val="nil"/>
                  </w:tcBorders>
                  <w:noWrap/>
                  <w:vAlign w:val="bottom"/>
                  <w:hideMark/>
                </w:tcPr>
                <w:p w14:paraId="4A535847" w14:textId="77777777" w:rsidR="004E7F3F" w:rsidRPr="00F60D1D" w:rsidRDefault="004E7F3F">
                  <w:pPr>
                    <w:spacing w:before="100" w:after="0"/>
                    <w:ind w:right="198"/>
                    <w:jc w:val="right"/>
                    <w:rPr>
                      <w:rFonts w:ascii="Segoe UI Light" w:hAnsi="Segoe UI Light"/>
                      <w:bCs/>
                      <w:iCs/>
                      <w:sz w:val="16"/>
                      <w:szCs w:val="26"/>
                    </w:rPr>
                  </w:pPr>
                  <w:r w:rsidRPr="00623566">
                    <w:rPr>
                      <w:rFonts w:ascii="Segoe UI Light" w:hAnsi="Segoe UI Light"/>
                      <w:bCs/>
                      <w:iCs/>
                      <w:sz w:val="16"/>
                      <w:szCs w:val="26"/>
                    </w:rPr>
                    <w:t>Informācijas un komunikācijas tehnoloģiju jomas vecākie speciālisti</w:t>
                  </w:r>
                </w:p>
              </w:tc>
            </w:tr>
          </w:tbl>
          <w:p w14:paraId="7DE53404" w14:textId="77777777" w:rsidR="004E7F3F" w:rsidRPr="00F60D1D" w:rsidRDefault="004E7F3F">
            <w:pPr>
              <w:spacing w:after="120"/>
              <w:ind w:right="-57"/>
              <w:jc w:val="right"/>
              <w:rPr>
                <w:rFonts w:ascii="Segoe UI Light" w:hAnsi="Segoe UI Light"/>
                <w:bCs/>
                <w:iCs/>
                <w:sz w:val="16"/>
                <w:szCs w:val="26"/>
              </w:rPr>
            </w:pPr>
          </w:p>
        </w:tc>
        <w:tc>
          <w:tcPr>
            <w:tcW w:w="4184" w:type="dxa"/>
          </w:tcPr>
          <w:p w14:paraId="5D09775C" w14:textId="77777777" w:rsidR="004E7F3F" w:rsidRPr="00F60D1D" w:rsidRDefault="004E7F3F">
            <w:pPr>
              <w:spacing w:after="120"/>
              <w:jc w:val="center"/>
              <w:rPr>
                <w:rFonts w:ascii="Segoe UI Light" w:hAnsi="Segoe UI Light"/>
                <w:sz w:val="16"/>
                <w:szCs w:val="16"/>
              </w:rPr>
            </w:pPr>
            <w:r w:rsidRPr="00F60D1D">
              <w:rPr>
                <w:rFonts w:ascii="Segoe UI Light" w:hAnsi="Segoe UI Light"/>
                <w:noProof/>
                <w:sz w:val="16"/>
                <w:szCs w:val="16"/>
                <w:lang w:eastAsia="lv-LV"/>
              </w:rPr>
              <w:drawing>
                <wp:inline distT="0" distB="0" distL="0" distR="0" wp14:anchorId="14C59689" wp14:editId="18BD51DA">
                  <wp:extent cx="2519680" cy="3422650"/>
                  <wp:effectExtent l="0" t="0" r="0" b="6350"/>
                  <wp:docPr id="204" name="Chart 2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bl>
    <w:p w14:paraId="3D4D5ED6" w14:textId="77777777" w:rsidR="00A626EE" w:rsidRPr="00D829F0" w:rsidRDefault="00A626EE" w:rsidP="00A626EE">
      <w:pPr>
        <w:spacing w:after="120"/>
        <w:jc w:val="both"/>
        <w:rPr>
          <w:rFonts w:ascii="Source Sans Pro" w:hAnsi="Source Sans Pro"/>
          <w:sz w:val="16"/>
          <w:szCs w:val="16"/>
        </w:rPr>
      </w:pPr>
      <w:r w:rsidRPr="00D829F0">
        <w:rPr>
          <w:rFonts w:ascii="Source Sans Pro" w:hAnsi="Source Sans Pro"/>
          <w:sz w:val="16"/>
          <w:szCs w:val="16"/>
        </w:rPr>
        <w:t>Avots: CSP, EM aprēķini</w:t>
      </w:r>
    </w:p>
    <w:p w14:paraId="5C3C08BD" w14:textId="77777777" w:rsidR="005F5363" w:rsidRPr="00D829F0" w:rsidRDefault="005F5363" w:rsidP="00867A48">
      <w:pPr>
        <w:spacing w:after="120"/>
        <w:jc w:val="both"/>
        <w:rPr>
          <w:rFonts w:ascii="Source Sans Pro" w:hAnsi="Source Sans Pro"/>
        </w:rPr>
      </w:pPr>
    </w:p>
    <w:p w14:paraId="06282211" w14:textId="000C68B0" w:rsidR="00867A48" w:rsidRPr="00D829F0" w:rsidRDefault="00867A48" w:rsidP="00867A48">
      <w:pPr>
        <w:spacing w:after="120"/>
        <w:jc w:val="both"/>
        <w:rPr>
          <w:rFonts w:ascii="Source Sans Pro" w:hAnsi="Source Sans Pro"/>
        </w:rPr>
      </w:pPr>
      <w:r w:rsidRPr="00D829F0">
        <w:rPr>
          <w:rFonts w:ascii="Source Sans Pro" w:hAnsi="Source Sans Pro"/>
        </w:rPr>
        <w:t>Kopš 2008.</w:t>
      </w:r>
      <w:r w:rsidR="00BE0395">
        <w:rPr>
          <w:rFonts w:ascii="Source Sans Pro" w:hAnsi="Source Sans Pro"/>
        </w:rPr>
        <w:t> </w:t>
      </w:r>
      <w:r w:rsidRPr="00D829F0">
        <w:rPr>
          <w:rFonts w:ascii="Source Sans Pro" w:hAnsi="Source Sans Pro"/>
        </w:rPr>
        <w:t xml:space="preserve">gada vidējās izglītības līmenī ekonomiski aktīvo iedzīvotāju struktūra izglītības tematisko grupu griezumā ir relatīvi stabila ar dažiem izņēmumiem. Ievērojamai daļai – vairāk kā </w:t>
      </w:r>
      <w:r w:rsidR="001C7B5B" w:rsidRPr="00D829F0">
        <w:rPr>
          <w:rFonts w:ascii="Source Sans Pro" w:hAnsi="Source Sans Pro"/>
        </w:rPr>
        <w:t>2/5</w:t>
      </w:r>
      <w:r w:rsidRPr="00D829F0">
        <w:rPr>
          <w:rFonts w:ascii="Source Sans Pro" w:hAnsi="Source Sans Pro"/>
        </w:rPr>
        <w:t xml:space="preserve"> – ekonomiski aktīvo iedzīvotāju ir vispārējā vidējā izglītība. Šie iedzīvotāji ir darba tirgū bez iegūtas</w:t>
      </w:r>
      <w:r w:rsidR="00C2672F" w:rsidRPr="00D829F0">
        <w:rPr>
          <w:rFonts w:ascii="Source Sans Pro" w:hAnsi="Source Sans Pro"/>
        </w:rPr>
        <w:t xml:space="preserve"> profesionālās kvalifikācijas</w:t>
      </w:r>
      <w:r w:rsidRPr="00D829F0">
        <w:rPr>
          <w:rFonts w:ascii="Source Sans Pro" w:hAnsi="Source Sans Pro"/>
        </w:rPr>
        <w:t xml:space="preserve">. Lielākais darbaspēka piedāvājums ar profesionālo vidējo izglītību ir inženierzinātņu, ražošanas un būvniecības tematiskā grupā. Tomēr ņemot vērā darbaspēka novecošanās tendences, pēdējos gados ir vērojama atbilstošās tematiskās grupas īpatsvara samazināšanās. Straujākais pieaugums vērojams pakalpojumu </w:t>
      </w:r>
      <w:r w:rsidR="008F777F" w:rsidRPr="00D829F0">
        <w:rPr>
          <w:rFonts w:ascii="Source Sans Pro" w:hAnsi="Source Sans Pro"/>
        </w:rPr>
        <w:t xml:space="preserve">izglītības </w:t>
      </w:r>
      <w:r w:rsidRPr="00D829F0">
        <w:rPr>
          <w:rFonts w:ascii="Source Sans Pro" w:hAnsi="Source Sans Pro"/>
        </w:rPr>
        <w:t>tematiskajā grupā – kopš 2008.</w:t>
      </w:r>
      <w:r w:rsidR="00F538EA">
        <w:rPr>
          <w:rFonts w:ascii="Source Sans Pro" w:hAnsi="Source Sans Pro"/>
        </w:rPr>
        <w:t> </w:t>
      </w:r>
      <w:r w:rsidRPr="00D829F0">
        <w:rPr>
          <w:rFonts w:ascii="Source Sans Pro" w:hAnsi="Source Sans Pro"/>
        </w:rPr>
        <w:t>gada ekonomiski aktīvo iedzīvotāju īpatsvars ar atbilstošo izglītību ir vairāk kā dubultojies.</w:t>
      </w:r>
    </w:p>
    <w:p w14:paraId="4CAF8CC3" w14:textId="77777777" w:rsidR="00867A48" w:rsidRPr="00D829F0" w:rsidRDefault="00867A48" w:rsidP="00867A48">
      <w:pPr>
        <w:spacing w:after="120"/>
        <w:jc w:val="both"/>
        <w:rPr>
          <w:rFonts w:ascii="Source Sans Pro" w:hAnsi="Source Sans Pro"/>
          <w:szCs w:val="20"/>
        </w:rPr>
      </w:pPr>
      <w:r w:rsidRPr="00D829F0">
        <w:rPr>
          <w:rFonts w:ascii="Source Sans Pro" w:hAnsi="Source Sans Pro"/>
          <w:szCs w:val="20"/>
        </w:rPr>
        <w:t xml:space="preserve">Latvijā pastāv pastiprināta darbaspēka novecošanās atsevišķās nozarēs un profesiju grupās, kas var </w:t>
      </w:r>
      <w:r w:rsidR="004E7F3F" w:rsidRPr="00D829F0">
        <w:rPr>
          <w:rFonts w:ascii="Source Sans Pro" w:hAnsi="Source Sans Pro"/>
          <w:szCs w:val="20"/>
        </w:rPr>
        <w:t>negatīvi ietekmēt piedāvājumu nākotnē. Šīs tendences gadu gaitā nostiprinās</w:t>
      </w:r>
      <w:r w:rsidRPr="00D829F0">
        <w:rPr>
          <w:rFonts w:ascii="Source Sans Pro" w:hAnsi="Source Sans Pro"/>
          <w:szCs w:val="20"/>
        </w:rPr>
        <w:t>.</w:t>
      </w:r>
    </w:p>
    <w:p w14:paraId="05B80396" w14:textId="77777777" w:rsidR="004E7F3F" w:rsidRPr="00D829F0" w:rsidRDefault="004E7F3F" w:rsidP="004E7F3F">
      <w:pPr>
        <w:spacing w:after="120"/>
        <w:jc w:val="both"/>
        <w:rPr>
          <w:rFonts w:ascii="Source Sans Pro" w:hAnsi="Source Sans Pro"/>
          <w:szCs w:val="20"/>
        </w:rPr>
      </w:pPr>
      <w:r w:rsidRPr="00D829F0">
        <w:rPr>
          <w:rFonts w:ascii="Source Sans Pro" w:hAnsi="Source Sans Pro"/>
          <w:szCs w:val="20"/>
        </w:rPr>
        <w:t>Nozaru vidū lielākais nodarbināto īpatsvars vecumā virs 50 gadiem ilgāku laika periodu ir sabiedriskajos pakalpojumos (it īpaši izglītības nozarē un veselības un sociālās aprūpes nozarē), lauksaimniecībā, pārējās rūpniecības nozarēs (it īpaši ūdens apgādes, notekūdeņu, atkritumu apsaimniekošanas un sanācijas nozarē) un arī transportā un uzglabāšanā.</w:t>
      </w:r>
    </w:p>
    <w:p w14:paraId="7F6E56CC" w14:textId="7718E227" w:rsidR="004E7F3F" w:rsidRPr="00D829F0" w:rsidRDefault="004E7F3F" w:rsidP="004E7F3F">
      <w:pPr>
        <w:spacing w:after="120"/>
        <w:jc w:val="both"/>
        <w:rPr>
          <w:rFonts w:ascii="Source Sans Pro" w:hAnsi="Source Sans Pro"/>
          <w:szCs w:val="20"/>
        </w:rPr>
      </w:pPr>
      <w:r w:rsidRPr="00D829F0">
        <w:rPr>
          <w:rFonts w:ascii="Source Sans Pro" w:hAnsi="Source Sans Pro"/>
          <w:szCs w:val="20"/>
        </w:rPr>
        <w:t>Nodarbināto īpatsvars vecumā virs 50 gadiem augstākās kvalifikācijas profesijās ir 33</w:t>
      </w:r>
      <w:r w:rsidR="00F538EA">
        <w:rPr>
          <w:rFonts w:ascii="Source Sans Pro" w:hAnsi="Source Sans Pro"/>
          <w:szCs w:val="20"/>
        </w:rPr>
        <w:t> </w:t>
      </w:r>
      <w:r w:rsidRPr="00D829F0">
        <w:rPr>
          <w:rFonts w:ascii="Source Sans Pro" w:hAnsi="Source Sans Pro"/>
          <w:szCs w:val="20"/>
        </w:rPr>
        <w:t>%. Nodarbināto struktūras analīze profesiju grupu griezumā liecina, ka darbaspēka novecošanās augstākās kvalifikācijas profesijas skar ļoti nevienmērīgi. Ilgāku laika periodu novecošanās problemātika īpaši skar izglītības jomas vecākos speciālistus un veselības aprūpes jomas speciālistus.</w:t>
      </w:r>
    </w:p>
    <w:p w14:paraId="4704D0FC" w14:textId="77777777" w:rsidR="00FD7C7B" w:rsidRPr="00D829F0" w:rsidRDefault="00FD7C7B" w:rsidP="00FD7C7B">
      <w:pPr>
        <w:spacing w:after="120"/>
        <w:jc w:val="both"/>
        <w:rPr>
          <w:rFonts w:ascii="Source Sans Pro" w:hAnsi="Source Sans Pro"/>
        </w:rPr>
      </w:pPr>
      <w:r w:rsidRPr="00D829F0">
        <w:rPr>
          <w:rFonts w:ascii="Source Sans Pro" w:hAnsi="Source Sans Pro"/>
        </w:rPr>
        <w:t xml:space="preserve">Nodarbināto īpatsvars vecumā virs 50 gadiem vidējās kvalifikācijas profesijās veido </w:t>
      </w:r>
      <w:r w:rsidR="004E7F3F" w:rsidRPr="00D829F0">
        <w:rPr>
          <w:rFonts w:ascii="Source Sans Pro" w:hAnsi="Source Sans Pro"/>
        </w:rPr>
        <w:t>41%.</w:t>
      </w:r>
      <w:r w:rsidRPr="00D829F0">
        <w:rPr>
          <w:rFonts w:ascii="Source Sans Pro" w:hAnsi="Source Sans Pro"/>
        </w:rPr>
        <w:t xml:space="preserve"> Darbaspēka vecumstruktūras negatīvās attīstības tendences skar virkni vidējās kvalifikācijas profesiju grupu. </w:t>
      </w:r>
      <w:r w:rsidR="004E7F3F" w:rsidRPr="00D829F0">
        <w:rPr>
          <w:rFonts w:ascii="Source Sans Pro" w:hAnsi="Source Sans Pro"/>
        </w:rPr>
        <w:t>Šī tendence ilgāku periodu</w:t>
      </w:r>
      <w:r w:rsidRPr="00D829F0">
        <w:rPr>
          <w:rFonts w:ascii="Source Sans Pro" w:hAnsi="Source Sans Pro"/>
        </w:rPr>
        <w:t xml:space="preserve"> vairāk skar individuālās aprūpes darbiniekus, kvalificētus tirgus lauksaimniecības darbiniekus, apsardzes pakalpojumu jomas darbiniekus, kā arī pašgājēju mašīnu un iekārtu vadītājus un celšanas iekārtu un mašīnu operatorus.</w:t>
      </w:r>
    </w:p>
    <w:p w14:paraId="1ED23D93" w14:textId="77777777" w:rsidR="005F5363" w:rsidRPr="00D829F0" w:rsidRDefault="005F5363">
      <w:pPr>
        <w:spacing w:after="0"/>
        <w:rPr>
          <w:rFonts w:ascii="Source Sans Pro" w:hAnsi="Source Sans Pro"/>
          <w:szCs w:val="20"/>
        </w:rPr>
      </w:pPr>
      <w:r w:rsidRPr="00D829F0">
        <w:rPr>
          <w:rFonts w:ascii="Source Sans Pro" w:hAnsi="Source Sans Pro"/>
          <w:szCs w:val="20"/>
        </w:rPr>
        <w:br w:type="page"/>
      </w:r>
    </w:p>
    <w:p w14:paraId="0290E4B5" w14:textId="3D2D5D0C" w:rsidR="00384FC8" w:rsidRPr="00D829F0" w:rsidRDefault="00384FC8" w:rsidP="00A626EE">
      <w:pPr>
        <w:spacing w:after="120"/>
        <w:jc w:val="right"/>
        <w:rPr>
          <w:rFonts w:ascii="Source Sans Pro" w:hAnsi="Source Sans Pro"/>
          <w:szCs w:val="20"/>
        </w:rPr>
      </w:pPr>
      <w:r w:rsidRPr="00D829F0">
        <w:rPr>
          <w:rFonts w:ascii="Source Sans Pro" w:hAnsi="Source Sans Pro"/>
          <w:szCs w:val="20"/>
        </w:rPr>
        <w:lastRenderedPageBreak/>
        <w:t>2.1</w:t>
      </w:r>
      <w:r w:rsidR="007A5910" w:rsidRPr="00D829F0">
        <w:rPr>
          <w:rFonts w:ascii="Source Sans Pro" w:hAnsi="Source Sans Pro"/>
          <w:szCs w:val="20"/>
        </w:rPr>
        <w:t>3</w:t>
      </w:r>
      <w:r w:rsidRPr="00D829F0">
        <w:rPr>
          <w:rFonts w:ascii="Source Sans Pro" w:hAnsi="Source Sans Pro"/>
          <w:szCs w:val="20"/>
        </w:rPr>
        <w:t>.</w:t>
      </w:r>
      <w:r w:rsidR="00F538EA">
        <w:rPr>
          <w:rFonts w:ascii="Source Sans Pro" w:hAnsi="Source Sans Pro"/>
          <w:szCs w:val="20"/>
        </w:rPr>
        <w:t> </w:t>
      </w:r>
      <w:r w:rsidRPr="00D829F0">
        <w:rPr>
          <w:rFonts w:ascii="Source Sans Pro" w:hAnsi="Source Sans Pro"/>
          <w:szCs w:val="20"/>
        </w:rPr>
        <w:t>attēls</w:t>
      </w:r>
    </w:p>
    <w:p w14:paraId="0BA29EFE" w14:textId="10576F20" w:rsidR="00384FC8" w:rsidRPr="00F52223" w:rsidRDefault="00384FC8" w:rsidP="00384FC8">
      <w:pPr>
        <w:spacing w:after="120"/>
        <w:jc w:val="center"/>
        <w:rPr>
          <w:rFonts w:ascii="Segoe UI Light" w:hAnsi="Segoe UI Light"/>
          <w:i/>
          <w:sz w:val="16"/>
          <w:szCs w:val="26"/>
        </w:rPr>
      </w:pPr>
      <w:r w:rsidRPr="00F52223">
        <w:rPr>
          <w:rFonts w:ascii="Segoe UI Light" w:hAnsi="Segoe UI Light"/>
          <w:b/>
          <w:sz w:val="18"/>
          <w:szCs w:val="26"/>
        </w:rPr>
        <w:t>Nodarbināto iedzīvotāju vecumā virs 50</w:t>
      </w:r>
      <w:r w:rsidR="00E002CB" w:rsidRPr="00F52223">
        <w:rPr>
          <w:rFonts w:ascii="Segoe UI Light" w:hAnsi="Segoe UI Light"/>
          <w:b/>
          <w:sz w:val="18"/>
          <w:szCs w:val="26"/>
        </w:rPr>
        <w:t xml:space="preserve"> </w:t>
      </w:r>
      <w:r w:rsidR="0080669C" w:rsidRPr="00F52223">
        <w:rPr>
          <w:rFonts w:ascii="Segoe UI Light" w:hAnsi="Segoe UI Light"/>
          <w:b/>
          <w:sz w:val="18"/>
          <w:szCs w:val="26"/>
        </w:rPr>
        <w:t>gad</w:t>
      </w:r>
      <w:r w:rsidRPr="00F52223">
        <w:rPr>
          <w:rFonts w:ascii="Segoe UI Light" w:hAnsi="Segoe UI Light"/>
          <w:b/>
          <w:sz w:val="18"/>
          <w:szCs w:val="26"/>
        </w:rPr>
        <w:t xml:space="preserve">iem īpatsvars vidējās kvalifikācijas profesiju apakšgrupās </w:t>
      </w:r>
      <w:r w:rsidRPr="00F52223">
        <w:rPr>
          <w:rFonts w:ascii="Segoe UI Light" w:hAnsi="Segoe UI Light"/>
          <w:b/>
          <w:sz w:val="18"/>
          <w:szCs w:val="26"/>
        </w:rPr>
        <w:br/>
      </w:r>
      <w:r w:rsidR="004E7F3F" w:rsidRPr="00F52223">
        <w:rPr>
          <w:rFonts w:ascii="Segoe UI Light" w:hAnsi="Segoe UI Light"/>
          <w:i/>
          <w:sz w:val="16"/>
          <w:szCs w:val="26"/>
        </w:rPr>
        <w:t>2025</w:t>
      </w:r>
      <w:r w:rsidRPr="00F52223">
        <w:rPr>
          <w:rFonts w:ascii="Segoe UI Light" w:hAnsi="Segoe UI Light"/>
          <w:i/>
          <w:sz w:val="16"/>
          <w:szCs w:val="26"/>
        </w:rPr>
        <w:t>.</w:t>
      </w:r>
      <w:r w:rsidR="00F538EA">
        <w:rPr>
          <w:rFonts w:ascii="Segoe UI Light" w:hAnsi="Segoe UI Light"/>
          <w:i/>
          <w:sz w:val="16"/>
          <w:szCs w:val="26"/>
        </w:rPr>
        <w:t> </w:t>
      </w:r>
      <w:r w:rsidR="0080669C" w:rsidRPr="00F52223">
        <w:rPr>
          <w:rFonts w:ascii="Segoe UI Light" w:hAnsi="Segoe UI Light"/>
          <w:i/>
          <w:sz w:val="16"/>
          <w:szCs w:val="26"/>
        </w:rPr>
        <w:t>gad</w:t>
      </w:r>
      <w:r w:rsidRPr="00F52223">
        <w:rPr>
          <w:rFonts w:ascii="Segoe UI Light" w:hAnsi="Segoe UI Light"/>
          <w:i/>
          <w:sz w:val="16"/>
          <w:szCs w:val="26"/>
        </w:rPr>
        <w:t>s, procentos no attiecīgajā profesiju apakšgrupā nodarbinātajiem</w:t>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9"/>
        <w:gridCol w:w="3912"/>
      </w:tblGrid>
      <w:tr w:rsidR="004E7F3F" w:rsidRPr="00D829F0" w14:paraId="2D28E8A7" w14:textId="77777777">
        <w:tc>
          <w:tcPr>
            <w:tcW w:w="5329" w:type="dxa"/>
          </w:tcPr>
          <w:tbl>
            <w:tblPr>
              <w:tblW w:w="4989" w:type="dxa"/>
              <w:tblLook w:val="04A0" w:firstRow="1" w:lastRow="0" w:firstColumn="1" w:lastColumn="0" w:noHBand="0" w:noVBand="1"/>
            </w:tblPr>
            <w:tblGrid>
              <w:gridCol w:w="4943"/>
            </w:tblGrid>
            <w:tr w:rsidR="004E7F3F" w:rsidRPr="00180B82" w14:paraId="17C40039" w14:textId="77777777">
              <w:trPr>
                <w:trHeight w:val="227"/>
              </w:trPr>
              <w:tc>
                <w:tcPr>
                  <w:tcW w:w="4989" w:type="dxa"/>
                  <w:tcBorders>
                    <w:top w:val="nil"/>
                    <w:left w:val="nil"/>
                    <w:bottom w:val="nil"/>
                    <w:right w:val="nil"/>
                  </w:tcBorders>
                  <w:noWrap/>
                  <w:vAlign w:val="bottom"/>
                  <w:hideMark/>
                </w:tcPr>
                <w:p w14:paraId="78BA2255"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Personiskā patēriņa lauksaimnieki, zvejnieki, mednieki un vācēji</w:t>
                  </w:r>
                </w:p>
              </w:tc>
            </w:tr>
            <w:tr w:rsidR="004E7F3F" w:rsidRPr="00180B82" w14:paraId="75D7E343" w14:textId="77777777">
              <w:trPr>
                <w:trHeight w:val="227"/>
              </w:trPr>
              <w:tc>
                <w:tcPr>
                  <w:tcW w:w="4989" w:type="dxa"/>
                  <w:tcBorders>
                    <w:top w:val="nil"/>
                    <w:left w:val="nil"/>
                    <w:bottom w:val="nil"/>
                    <w:right w:val="nil"/>
                  </w:tcBorders>
                  <w:noWrap/>
                  <w:vAlign w:val="bottom"/>
                  <w:hideMark/>
                </w:tcPr>
                <w:p w14:paraId="55493DE2"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Individuālās aprūpes darbinieki</w:t>
                  </w:r>
                </w:p>
              </w:tc>
            </w:tr>
            <w:tr w:rsidR="004E7F3F" w:rsidRPr="00180B82" w14:paraId="20BBE9C9" w14:textId="77777777">
              <w:trPr>
                <w:trHeight w:val="227"/>
              </w:trPr>
              <w:tc>
                <w:tcPr>
                  <w:tcW w:w="4989" w:type="dxa"/>
                  <w:tcBorders>
                    <w:top w:val="nil"/>
                    <w:left w:val="nil"/>
                    <w:bottom w:val="nil"/>
                    <w:right w:val="nil"/>
                  </w:tcBorders>
                  <w:noWrap/>
                  <w:vAlign w:val="bottom"/>
                  <w:hideMark/>
                </w:tcPr>
                <w:p w14:paraId="76366B36"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Kvalificēti tirgus lauksaimniecības darbinieki</w:t>
                  </w:r>
                </w:p>
              </w:tc>
            </w:tr>
            <w:tr w:rsidR="004E7F3F" w:rsidRPr="00180B82" w14:paraId="1B7748A8" w14:textId="77777777">
              <w:trPr>
                <w:trHeight w:val="227"/>
              </w:trPr>
              <w:tc>
                <w:tcPr>
                  <w:tcW w:w="4989" w:type="dxa"/>
                  <w:tcBorders>
                    <w:top w:val="nil"/>
                    <w:left w:val="nil"/>
                    <w:bottom w:val="nil"/>
                    <w:right w:val="nil"/>
                  </w:tcBorders>
                  <w:noWrap/>
                  <w:vAlign w:val="bottom"/>
                  <w:hideMark/>
                </w:tcPr>
                <w:p w14:paraId="64047E89"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Apsardzes pakalpojumu jomas darbinieki</w:t>
                  </w:r>
                </w:p>
              </w:tc>
            </w:tr>
            <w:tr w:rsidR="004E7F3F" w:rsidRPr="00180B82" w14:paraId="6F513C23" w14:textId="77777777">
              <w:trPr>
                <w:trHeight w:val="227"/>
              </w:trPr>
              <w:tc>
                <w:tcPr>
                  <w:tcW w:w="4989" w:type="dxa"/>
                  <w:tcBorders>
                    <w:top w:val="nil"/>
                    <w:left w:val="nil"/>
                    <w:bottom w:val="nil"/>
                    <w:right w:val="nil"/>
                  </w:tcBorders>
                  <w:noWrap/>
                  <w:vAlign w:val="bottom"/>
                  <w:hideMark/>
                </w:tcPr>
                <w:p w14:paraId="4A2B0450"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Pašgājēju mašīnu un iekārtu vadītāji un celšanas iekārtu un mašīnu operatori</w:t>
                  </w:r>
                </w:p>
              </w:tc>
            </w:tr>
            <w:tr w:rsidR="004E7F3F" w:rsidRPr="00180B82" w14:paraId="4A1E6ADC" w14:textId="77777777">
              <w:trPr>
                <w:trHeight w:val="227"/>
              </w:trPr>
              <w:tc>
                <w:tcPr>
                  <w:tcW w:w="4989" w:type="dxa"/>
                  <w:tcBorders>
                    <w:top w:val="nil"/>
                    <w:left w:val="nil"/>
                    <w:bottom w:val="nil"/>
                    <w:right w:val="nil"/>
                  </w:tcBorders>
                  <w:noWrap/>
                  <w:vAlign w:val="bottom"/>
                  <w:hideMark/>
                </w:tcPr>
                <w:p w14:paraId="1A7D0B12"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Citi kalpotāji</w:t>
                  </w:r>
                </w:p>
              </w:tc>
            </w:tr>
            <w:tr w:rsidR="004E7F3F" w:rsidRPr="00180B82" w14:paraId="03B6147D" w14:textId="77777777">
              <w:trPr>
                <w:trHeight w:val="227"/>
              </w:trPr>
              <w:tc>
                <w:tcPr>
                  <w:tcW w:w="4989" w:type="dxa"/>
                  <w:tcBorders>
                    <w:top w:val="nil"/>
                    <w:left w:val="nil"/>
                    <w:bottom w:val="nil"/>
                    <w:right w:val="nil"/>
                  </w:tcBorders>
                  <w:noWrap/>
                  <w:vAlign w:val="bottom"/>
                  <w:hideMark/>
                </w:tcPr>
                <w:p w14:paraId="0BF6520B"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Amatnieki un iespieddarbu strādnieki</w:t>
                  </w:r>
                </w:p>
              </w:tc>
            </w:tr>
            <w:tr w:rsidR="004E7F3F" w:rsidRPr="00180B82" w14:paraId="654B01BE" w14:textId="77777777">
              <w:trPr>
                <w:trHeight w:val="227"/>
              </w:trPr>
              <w:tc>
                <w:tcPr>
                  <w:tcW w:w="4989" w:type="dxa"/>
                  <w:tcBorders>
                    <w:top w:val="nil"/>
                    <w:left w:val="nil"/>
                    <w:bottom w:val="nil"/>
                    <w:right w:val="nil"/>
                  </w:tcBorders>
                  <w:noWrap/>
                  <w:vAlign w:val="bottom"/>
                  <w:hideMark/>
                </w:tcPr>
                <w:p w14:paraId="7B3CC47E"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Pārtikas produktu pārstrādes un kokapstrādes strādnieki, apģērbu izgatavošanas un citi amatnie</w:t>
                  </w:r>
                  <w:r>
                    <w:rPr>
                      <w:rFonts w:ascii="Segoe UI Light" w:hAnsi="Segoe UI Light"/>
                      <w:bCs/>
                      <w:iCs/>
                      <w:sz w:val="16"/>
                      <w:szCs w:val="16"/>
                    </w:rPr>
                    <w:t>ki</w:t>
                  </w:r>
                  <w:r w:rsidRPr="00180B82">
                    <w:rPr>
                      <w:rFonts w:ascii="Segoe UI Light" w:hAnsi="Segoe UI Light"/>
                      <w:bCs/>
                      <w:iCs/>
                      <w:sz w:val="16"/>
                      <w:szCs w:val="16"/>
                    </w:rPr>
                    <w:t xml:space="preserve"> un tiem radniecīgu profesiju strādnieki</w:t>
                  </w:r>
                </w:p>
              </w:tc>
            </w:tr>
            <w:tr w:rsidR="004E7F3F" w:rsidRPr="00180B82" w14:paraId="4647918E" w14:textId="77777777">
              <w:trPr>
                <w:trHeight w:val="227"/>
              </w:trPr>
              <w:tc>
                <w:tcPr>
                  <w:tcW w:w="4989" w:type="dxa"/>
                  <w:tcBorders>
                    <w:top w:val="nil"/>
                    <w:left w:val="nil"/>
                    <w:bottom w:val="nil"/>
                    <w:right w:val="nil"/>
                  </w:tcBorders>
                  <w:noWrap/>
                  <w:vAlign w:val="bottom"/>
                  <w:hideMark/>
                </w:tcPr>
                <w:p w14:paraId="098ECC7D"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Elektrisko un elektronisko iekārtu strādnieki</w:t>
                  </w:r>
                </w:p>
              </w:tc>
            </w:tr>
            <w:tr w:rsidR="004E7F3F" w:rsidRPr="00180B82" w14:paraId="3A620060" w14:textId="77777777">
              <w:trPr>
                <w:trHeight w:val="227"/>
              </w:trPr>
              <w:tc>
                <w:tcPr>
                  <w:tcW w:w="4989" w:type="dxa"/>
                  <w:tcBorders>
                    <w:top w:val="nil"/>
                    <w:left w:val="nil"/>
                    <w:bottom w:val="nil"/>
                    <w:right w:val="nil"/>
                  </w:tcBorders>
                  <w:noWrap/>
                  <w:vAlign w:val="bottom"/>
                  <w:hideMark/>
                </w:tcPr>
                <w:p w14:paraId="42A7CCA0"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Uzskaites un materiālo vērtību reģistrēšanas darbinieki</w:t>
                  </w:r>
                </w:p>
              </w:tc>
            </w:tr>
            <w:tr w:rsidR="004E7F3F" w:rsidRPr="00180B82" w14:paraId="2D68E6DD" w14:textId="77777777">
              <w:trPr>
                <w:trHeight w:val="227"/>
              </w:trPr>
              <w:tc>
                <w:tcPr>
                  <w:tcW w:w="4989" w:type="dxa"/>
                  <w:tcBorders>
                    <w:top w:val="nil"/>
                    <w:left w:val="nil"/>
                    <w:bottom w:val="nil"/>
                    <w:right w:val="nil"/>
                  </w:tcBorders>
                  <w:noWrap/>
                  <w:vAlign w:val="bottom"/>
                  <w:hideMark/>
                </w:tcPr>
                <w:p w14:paraId="5CB52C14"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Tirdzniecības darbinieki</w:t>
                  </w:r>
                </w:p>
              </w:tc>
            </w:tr>
            <w:tr w:rsidR="004E7F3F" w:rsidRPr="00180B82" w14:paraId="7FCDD628" w14:textId="77777777">
              <w:trPr>
                <w:trHeight w:val="227"/>
              </w:trPr>
              <w:tc>
                <w:tcPr>
                  <w:tcW w:w="4989" w:type="dxa"/>
                  <w:tcBorders>
                    <w:top w:val="nil"/>
                    <w:left w:val="nil"/>
                    <w:bottom w:val="nil"/>
                    <w:right w:val="nil"/>
                  </w:tcBorders>
                  <w:noWrap/>
                  <w:vAlign w:val="bottom"/>
                  <w:hideMark/>
                </w:tcPr>
                <w:p w14:paraId="2C6D7FD5"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Rūpniecisko iekārtu operatori</w:t>
                  </w:r>
                </w:p>
              </w:tc>
            </w:tr>
            <w:tr w:rsidR="004E7F3F" w:rsidRPr="00180B82" w14:paraId="3C6F8945" w14:textId="77777777">
              <w:trPr>
                <w:trHeight w:val="227"/>
              </w:trPr>
              <w:tc>
                <w:tcPr>
                  <w:tcW w:w="4989" w:type="dxa"/>
                  <w:tcBorders>
                    <w:top w:val="nil"/>
                    <w:left w:val="nil"/>
                    <w:bottom w:val="nil"/>
                    <w:right w:val="nil"/>
                  </w:tcBorders>
                  <w:noWrap/>
                  <w:vAlign w:val="bottom"/>
                  <w:hideMark/>
                </w:tcPr>
                <w:p w14:paraId="169DBD30"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Metālapstrādes, mašīnbūves un tām radniecīgu jomu strādnieki</w:t>
                  </w:r>
                </w:p>
              </w:tc>
            </w:tr>
            <w:tr w:rsidR="004E7F3F" w:rsidRPr="00180B82" w14:paraId="63B91661" w14:textId="77777777">
              <w:trPr>
                <w:trHeight w:val="227"/>
              </w:trPr>
              <w:tc>
                <w:tcPr>
                  <w:tcW w:w="4989" w:type="dxa"/>
                  <w:tcBorders>
                    <w:top w:val="nil"/>
                    <w:left w:val="nil"/>
                    <w:bottom w:val="nil"/>
                    <w:right w:val="nil"/>
                  </w:tcBorders>
                  <w:noWrap/>
                  <w:vAlign w:val="bottom"/>
                  <w:hideMark/>
                </w:tcPr>
                <w:p w14:paraId="1DF1E3B3"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Montieri</w:t>
                  </w:r>
                </w:p>
              </w:tc>
            </w:tr>
            <w:tr w:rsidR="004E7F3F" w:rsidRPr="00180B82" w14:paraId="60CC27DC" w14:textId="77777777">
              <w:trPr>
                <w:trHeight w:val="227"/>
              </w:trPr>
              <w:tc>
                <w:tcPr>
                  <w:tcW w:w="4989" w:type="dxa"/>
                  <w:tcBorders>
                    <w:top w:val="nil"/>
                    <w:left w:val="nil"/>
                    <w:bottom w:val="nil"/>
                    <w:right w:val="nil"/>
                  </w:tcBorders>
                  <w:noWrap/>
                  <w:vAlign w:val="bottom"/>
                  <w:hideMark/>
                </w:tcPr>
                <w:p w14:paraId="4E9C6499"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Individuālo pakalpojumu jomas darbinieki</w:t>
                  </w:r>
                </w:p>
              </w:tc>
            </w:tr>
            <w:tr w:rsidR="004E7F3F" w:rsidRPr="00180B82" w14:paraId="19917A86" w14:textId="77777777">
              <w:trPr>
                <w:trHeight w:val="227"/>
              </w:trPr>
              <w:tc>
                <w:tcPr>
                  <w:tcW w:w="4989" w:type="dxa"/>
                  <w:tcBorders>
                    <w:top w:val="nil"/>
                    <w:left w:val="nil"/>
                    <w:bottom w:val="nil"/>
                    <w:right w:val="nil"/>
                  </w:tcBorders>
                  <w:noWrap/>
                  <w:vAlign w:val="bottom"/>
                  <w:hideMark/>
                </w:tcPr>
                <w:p w14:paraId="1321FA71"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Būvnieki un tiem radniecīgu profesiju strādnieki (izņemot elektriķus)</w:t>
                  </w:r>
                </w:p>
              </w:tc>
            </w:tr>
            <w:tr w:rsidR="004E7F3F" w:rsidRPr="00180B82" w14:paraId="55CACD1F" w14:textId="77777777">
              <w:trPr>
                <w:trHeight w:val="227"/>
              </w:trPr>
              <w:tc>
                <w:tcPr>
                  <w:tcW w:w="4989" w:type="dxa"/>
                  <w:tcBorders>
                    <w:top w:val="nil"/>
                    <w:left w:val="nil"/>
                    <w:bottom w:val="nil"/>
                    <w:right w:val="nil"/>
                  </w:tcBorders>
                  <w:noWrap/>
                  <w:vAlign w:val="bottom"/>
                  <w:hideMark/>
                </w:tcPr>
                <w:p w14:paraId="7D16265E"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Kvalificēti tirgus mežsaimniecības, zivsaimniecības un medību saimniecības darbinieki</w:t>
                  </w:r>
                </w:p>
              </w:tc>
            </w:tr>
            <w:tr w:rsidR="004E7F3F" w:rsidRPr="00180B82" w14:paraId="149CEF4E" w14:textId="77777777">
              <w:trPr>
                <w:trHeight w:val="227"/>
              </w:trPr>
              <w:tc>
                <w:tcPr>
                  <w:tcW w:w="4989" w:type="dxa"/>
                  <w:tcBorders>
                    <w:top w:val="nil"/>
                    <w:left w:val="nil"/>
                    <w:bottom w:val="nil"/>
                    <w:right w:val="nil"/>
                  </w:tcBorders>
                  <w:noWrap/>
                  <w:vAlign w:val="bottom"/>
                  <w:hideMark/>
                </w:tcPr>
                <w:p w14:paraId="602C0A88"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Iestāžu kalpotāji un kancelejas tehnikas operatori</w:t>
                  </w:r>
                </w:p>
              </w:tc>
            </w:tr>
            <w:tr w:rsidR="004E7F3F" w:rsidRPr="00180B82" w14:paraId="71A075FC" w14:textId="77777777">
              <w:trPr>
                <w:trHeight w:val="227"/>
              </w:trPr>
              <w:tc>
                <w:tcPr>
                  <w:tcW w:w="4989" w:type="dxa"/>
                  <w:tcBorders>
                    <w:top w:val="nil"/>
                    <w:left w:val="nil"/>
                    <w:bottom w:val="nil"/>
                    <w:right w:val="nil"/>
                  </w:tcBorders>
                  <w:noWrap/>
                  <w:vAlign w:val="bottom"/>
                  <w:hideMark/>
                </w:tcPr>
                <w:p w14:paraId="63954C64" w14:textId="77777777" w:rsidR="004E7F3F" w:rsidRPr="00180B82" w:rsidRDefault="004E7F3F">
                  <w:pPr>
                    <w:spacing w:before="100" w:after="0"/>
                    <w:ind w:right="198"/>
                    <w:jc w:val="right"/>
                    <w:rPr>
                      <w:rFonts w:ascii="Segoe UI Light" w:hAnsi="Segoe UI Light"/>
                      <w:bCs/>
                      <w:iCs/>
                      <w:sz w:val="16"/>
                      <w:szCs w:val="16"/>
                    </w:rPr>
                  </w:pPr>
                  <w:r w:rsidRPr="00180B82">
                    <w:rPr>
                      <w:rFonts w:ascii="Segoe UI Light" w:hAnsi="Segoe UI Light"/>
                      <w:bCs/>
                      <w:iCs/>
                      <w:sz w:val="16"/>
                      <w:szCs w:val="16"/>
                    </w:rPr>
                    <w:t>Klientu apkalpotāji</w:t>
                  </w:r>
                </w:p>
              </w:tc>
            </w:tr>
          </w:tbl>
          <w:p w14:paraId="33DB46B3" w14:textId="77777777" w:rsidR="004E7F3F" w:rsidRPr="00F52223" w:rsidRDefault="004E7F3F">
            <w:pPr>
              <w:spacing w:before="120" w:after="0"/>
              <w:ind w:right="-57"/>
              <w:jc w:val="right"/>
              <w:rPr>
                <w:rFonts w:ascii="Segoe UI Light" w:hAnsi="Segoe UI Light"/>
                <w:bCs/>
                <w:iCs/>
                <w:sz w:val="16"/>
                <w:szCs w:val="26"/>
              </w:rPr>
            </w:pPr>
          </w:p>
        </w:tc>
        <w:tc>
          <w:tcPr>
            <w:tcW w:w="3742" w:type="dxa"/>
          </w:tcPr>
          <w:p w14:paraId="7E340821" w14:textId="77777777" w:rsidR="004E7F3F" w:rsidRPr="00F52223" w:rsidRDefault="004E7F3F">
            <w:pPr>
              <w:spacing w:after="120"/>
              <w:ind w:left="-113" w:right="-113"/>
              <w:jc w:val="center"/>
              <w:rPr>
                <w:rFonts w:ascii="Segoe UI Light" w:hAnsi="Segoe UI Light"/>
                <w:sz w:val="16"/>
                <w:szCs w:val="16"/>
              </w:rPr>
            </w:pPr>
            <w:r w:rsidRPr="00F52223">
              <w:rPr>
                <w:rFonts w:ascii="Segoe UI Light" w:hAnsi="Segoe UI Light"/>
                <w:noProof/>
                <w:sz w:val="16"/>
                <w:szCs w:val="16"/>
                <w:lang w:eastAsia="lv-LV"/>
              </w:rPr>
              <w:drawing>
                <wp:inline distT="0" distB="0" distL="0" distR="0" wp14:anchorId="7D0DC017" wp14:editId="2A8DB09D">
                  <wp:extent cx="2440940" cy="4710023"/>
                  <wp:effectExtent l="0" t="0" r="0" b="0"/>
                  <wp:docPr id="206" name="Chart 20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r>
    </w:tbl>
    <w:p w14:paraId="15722284" w14:textId="77777777" w:rsidR="004E7F3F" w:rsidRPr="00D829F0" w:rsidRDefault="004E7F3F" w:rsidP="004E7F3F">
      <w:pPr>
        <w:spacing w:after="120"/>
        <w:jc w:val="both"/>
        <w:rPr>
          <w:rFonts w:ascii="Source Sans Pro" w:hAnsi="Source Sans Pro"/>
          <w:sz w:val="16"/>
          <w:szCs w:val="16"/>
        </w:rPr>
      </w:pPr>
      <w:r w:rsidRPr="00D829F0">
        <w:rPr>
          <w:rFonts w:ascii="Source Sans Pro" w:hAnsi="Source Sans Pro"/>
          <w:sz w:val="16"/>
          <w:szCs w:val="16"/>
        </w:rPr>
        <w:t>Avots: CSP, EM aprēķini</w:t>
      </w:r>
    </w:p>
    <w:p w14:paraId="56A2DF3E" w14:textId="77777777" w:rsidR="004E7F3F" w:rsidRPr="00D829F0" w:rsidRDefault="004E7F3F" w:rsidP="004E7F3F">
      <w:pPr>
        <w:spacing w:after="120"/>
        <w:jc w:val="both"/>
        <w:rPr>
          <w:rFonts w:ascii="Source Sans Pro" w:hAnsi="Source Sans Pro"/>
          <w:szCs w:val="20"/>
        </w:rPr>
      </w:pPr>
    </w:p>
    <w:p w14:paraId="415B3DB1" w14:textId="77777777" w:rsidR="004E7F3F" w:rsidRPr="00D829F0" w:rsidRDefault="004E7F3F" w:rsidP="004E7F3F">
      <w:pPr>
        <w:spacing w:after="120"/>
        <w:jc w:val="both"/>
        <w:rPr>
          <w:rFonts w:ascii="Source Sans Pro" w:hAnsi="Source Sans Pro"/>
          <w:szCs w:val="20"/>
        </w:rPr>
      </w:pPr>
      <w:r w:rsidRPr="00D829F0">
        <w:rPr>
          <w:rFonts w:ascii="Source Sans Pro" w:hAnsi="Source Sans Pro"/>
          <w:szCs w:val="20"/>
        </w:rPr>
        <w:t>Darbaspēka vecumstruktūru dažādu profesiju griezumā ietekmē vairāki iemesli. Jaunieši dažādu iemeslu dēļ nedod priekšroku attiecīgajiem studiju/mācību virzieniem vai pēc mācību pabeigšanas izvēlas strādāt citā profesijā. Atsevišķās profesijās kā viens no iemesliem ir zemāks atalgojuma līmenis.</w:t>
      </w:r>
    </w:p>
    <w:p w14:paraId="645A85EA" w14:textId="77777777" w:rsidR="005F5363" w:rsidRPr="00D829F0" w:rsidRDefault="005F5363" w:rsidP="00867A48">
      <w:pPr>
        <w:spacing w:after="120"/>
        <w:jc w:val="both"/>
        <w:rPr>
          <w:rFonts w:ascii="Source Sans Pro" w:hAnsi="Source Sans Pro"/>
          <w:szCs w:val="20"/>
        </w:rPr>
      </w:pPr>
    </w:p>
    <w:p w14:paraId="7FD0614F" w14:textId="77777777" w:rsidR="005F5363" w:rsidRPr="00D829F0" w:rsidRDefault="005F5363" w:rsidP="00867A48">
      <w:pPr>
        <w:spacing w:after="120"/>
        <w:jc w:val="both"/>
        <w:rPr>
          <w:rFonts w:ascii="Source Sans Pro" w:hAnsi="Source Sans Pro"/>
          <w:szCs w:val="20"/>
        </w:rPr>
      </w:pPr>
    </w:p>
    <w:p w14:paraId="1675A36A" w14:textId="77777777" w:rsidR="00CB3177" w:rsidRDefault="00CB3177">
      <w:pPr>
        <w:spacing w:after="0"/>
        <w:rPr>
          <w:rFonts w:ascii="Aptos Narrow" w:hAnsi="Aptos Narrow"/>
          <w:b/>
          <w:caps/>
          <w:color w:val="003E4C"/>
          <w:sz w:val="28"/>
        </w:rPr>
      </w:pPr>
      <w:r>
        <w:br w:type="page"/>
      </w:r>
    </w:p>
    <w:p w14:paraId="783204D6" w14:textId="77777777" w:rsidR="00384FC8" w:rsidRPr="0048380F" w:rsidRDefault="00384FC8" w:rsidP="00080A71">
      <w:pPr>
        <w:pStyle w:val="Heading2"/>
      </w:pPr>
      <w:bookmarkStart w:id="43" w:name="_Toc156590601"/>
      <w:r w:rsidRPr="0048380F">
        <w:lastRenderedPageBreak/>
        <w:t>2.3. Darba tirgus pieprasījuma un piedāvājuma atbilstība</w:t>
      </w:r>
      <w:bookmarkEnd w:id="40"/>
      <w:bookmarkEnd w:id="41"/>
      <w:bookmarkEnd w:id="42"/>
      <w:bookmarkEnd w:id="43"/>
    </w:p>
    <w:p w14:paraId="7DB66B7C" w14:textId="77777777" w:rsidR="0081688B" w:rsidRDefault="0081688B" w:rsidP="004E7F3F">
      <w:pPr>
        <w:spacing w:after="120"/>
        <w:jc w:val="both"/>
        <w:rPr>
          <w:rFonts w:ascii="Source Sans Pro" w:hAnsi="Source Sans Pro"/>
          <w:szCs w:val="20"/>
        </w:rPr>
      </w:pPr>
      <w:bookmarkStart w:id="44" w:name="_Hlk40712765"/>
    </w:p>
    <w:p w14:paraId="6297D691" w14:textId="77777777" w:rsidR="0081688B" w:rsidRPr="004B39FD" w:rsidRDefault="0081688B" w:rsidP="001B57D6">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4B8DD614" w14:textId="77777777" w:rsidR="002878B9" w:rsidRPr="002878B9" w:rsidRDefault="0081688B"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2878B9" w:rsidRPr="002878B9">
        <w:rPr>
          <w:rFonts w:ascii="Aptos Narrow" w:hAnsi="Aptos Narrow" w:cs="Verdana"/>
          <w:color w:val="262626"/>
          <w:sz w:val="22"/>
        </w:rPr>
        <w:t>Augstāks izglītības līmenis būtiski pasargā no bezdarba – iedzīvotājiem ar augstāko izglītību bezdarbs ir vairākas reizes zemāks nekā tiem, kuriem ir tikai pamatizglītība.</w:t>
      </w:r>
    </w:p>
    <w:p w14:paraId="1B5AA737" w14:textId="0A055D79" w:rsidR="002878B9" w:rsidRPr="002878B9" w:rsidRDefault="002878B9"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1B57D6">
        <w:rPr>
          <w:rFonts w:ascii="Aptos Narrow" w:hAnsi="Aptos Narrow" w:cs="Verdana"/>
          <w:color w:val="262626"/>
          <w:sz w:val="22"/>
        </w:rPr>
        <w:t xml:space="preserve">Vienlaikus darba tirgū saglabājas strukturālas neatbilstības: daļu augstas kvalifikācijas darbu veic cilvēki ar zemāku izglītību, savukārt liela daļa vienkāršo darbu veicēju ir ieguvuši augstāku izglītību, nekā </w:t>
      </w:r>
      <w:r w:rsidR="536C3A51" w:rsidRPr="001B57D6">
        <w:rPr>
          <w:rFonts w:ascii="Aptos Narrow" w:hAnsi="Aptos Narrow" w:cs="Verdana"/>
          <w:color w:val="262626"/>
          <w:sz w:val="22"/>
        </w:rPr>
        <w:t xml:space="preserve">nepieciešams </w:t>
      </w:r>
      <w:r w:rsidRPr="001B57D6">
        <w:rPr>
          <w:rFonts w:ascii="Aptos Narrow" w:hAnsi="Aptos Narrow" w:cs="Verdana"/>
          <w:color w:val="262626"/>
          <w:sz w:val="22"/>
        </w:rPr>
        <w:t>darb</w:t>
      </w:r>
      <w:r w:rsidR="0E1131D8" w:rsidRPr="001B57D6">
        <w:rPr>
          <w:rFonts w:ascii="Aptos Narrow" w:hAnsi="Aptos Narrow" w:cs="Verdana"/>
          <w:color w:val="262626"/>
          <w:sz w:val="22"/>
        </w:rPr>
        <w:t>a veikšanai</w:t>
      </w:r>
      <w:r w:rsidRPr="001B57D6">
        <w:rPr>
          <w:rFonts w:ascii="Aptos Narrow" w:hAnsi="Aptos Narrow" w:cs="Verdana"/>
          <w:color w:val="262626"/>
          <w:sz w:val="22"/>
        </w:rPr>
        <w:t>.</w:t>
      </w:r>
    </w:p>
    <w:p w14:paraId="77F98E1B" w14:textId="42ECF60B" w:rsidR="0081688B" w:rsidRPr="004B39FD" w:rsidRDefault="002878B9"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Pr="002878B9">
        <w:rPr>
          <w:rFonts w:ascii="Aptos Narrow" w:hAnsi="Aptos Narrow" w:cs="Verdana"/>
          <w:color w:val="262626"/>
          <w:sz w:val="22"/>
        </w:rPr>
        <w:t xml:space="preserve">Prasmju atbilstības ziņā Latvija atrodas virs ES vidējā līmeņa, taču atpaliek no Igaunijas, un neatbilstību mazināšanā aizvien nozīmīgāka kļūst </w:t>
      </w:r>
      <w:r w:rsidR="00F33CA7">
        <w:rPr>
          <w:rFonts w:ascii="Aptos Narrow" w:hAnsi="Aptos Narrow" w:cs="Verdana"/>
          <w:color w:val="262626"/>
          <w:sz w:val="22"/>
        </w:rPr>
        <w:t>DVB</w:t>
      </w:r>
      <w:r w:rsidRPr="002878B9">
        <w:rPr>
          <w:rFonts w:ascii="Aptos Narrow" w:hAnsi="Aptos Narrow" w:cs="Verdana"/>
          <w:color w:val="262626"/>
          <w:sz w:val="22"/>
        </w:rPr>
        <w:t xml:space="preserve"> mācību un mūžizglītības attīstība.</w:t>
      </w:r>
    </w:p>
    <w:p w14:paraId="6BE76154" w14:textId="77777777" w:rsidR="0081688B" w:rsidRDefault="0081688B" w:rsidP="004E7F3F">
      <w:pPr>
        <w:spacing w:after="120"/>
        <w:jc w:val="both"/>
        <w:rPr>
          <w:rFonts w:ascii="Source Sans Pro" w:hAnsi="Source Sans Pro"/>
          <w:szCs w:val="20"/>
        </w:rPr>
      </w:pPr>
    </w:p>
    <w:p w14:paraId="31F090BC" w14:textId="054EE955" w:rsidR="004E7F3F" w:rsidRPr="00D829F0" w:rsidRDefault="004E7F3F" w:rsidP="004E7F3F">
      <w:pPr>
        <w:spacing w:after="120"/>
        <w:jc w:val="both"/>
        <w:rPr>
          <w:rFonts w:ascii="Source Sans Pro" w:hAnsi="Source Sans Pro"/>
          <w:szCs w:val="20"/>
        </w:rPr>
      </w:pPr>
      <w:r w:rsidRPr="00D829F0">
        <w:rPr>
          <w:rFonts w:ascii="Source Sans Pro" w:hAnsi="Source Sans Pro"/>
          <w:szCs w:val="20"/>
        </w:rPr>
        <w:t>Pēdējās straujākās izmaiņas darba tirgū notika Covid-19 pandēmijas krīzē, negatīvi atsaucoties uz darbaspēka pieprasījumu ekonomikā. Lielākais darba meklētāju skaita pieaugums bija vērojams 2020. gadā, strauji samazinoties darbaspēka pieprasījumam. Kopš 2022.</w:t>
      </w:r>
      <w:r w:rsidR="00F538EA">
        <w:rPr>
          <w:rFonts w:ascii="Source Sans Pro" w:hAnsi="Source Sans Pro"/>
          <w:szCs w:val="20"/>
        </w:rPr>
        <w:t> </w:t>
      </w:r>
      <w:r w:rsidRPr="00D829F0">
        <w:rPr>
          <w:rFonts w:ascii="Source Sans Pro" w:hAnsi="Source Sans Pro"/>
          <w:szCs w:val="20"/>
        </w:rPr>
        <w:t>gada darba tirgus ir atguvies un stāvoklis kopumā ir nostabilizējusies. Bezdarba līmenis 2025. gadā samazinājās līdz 6,9% no ekonomiski aktīvajiem iedzīvotājiem, pirmskrīzes (2019. gada) līmeni pārsniedzot par 0,6 procentpunktiem.</w:t>
      </w:r>
    </w:p>
    <w:p w14:paraId="4FBDD202" w14:textId="7E7EEF64" w:rsidR="00384FC8" w:rsidRPr="00D829F0" w:rsidRDefault="00384FC8" w:rsidP="00867A48">
      <w:pPr>
        <w:spacing w:after="120"/>
        <w:jc w:val="right"/>
        <w:rPr>
          <w:rFonts w:ascii="Source Sans Pro" w:hAnsi="Source Sans Pro"/>
          <w:szCs w:val="20"/>
        </w:rPr>
      </w:pPr>
      <w:r w:rsidRPr="00D829F0">
        <w:rPr>
          <w:rFonts w:ascii="Source Sans Pro" w:hAnsi="Source Sans Pro"/>
          <w:szCs w:val="20"/>
        </w:rPr>
        <w:t>2.1</w:t>
      </w:r>
      <w:r w:rsidR="007A5910" w:rsidRPr="00D829F0">
        <w:rPr>
          <w:rFonts w:ascii="Source Sans Pro" w:hAnsi="Source Sans Pro"/>
          <w:szCs w:val="20"/>
        </w:rPr>
        <w:t>4</w:t>
      </w:r>
      <w:r w:rsidRPr="00D829F0">
        <w:rPr>
          <w:rFonts w:ascii="Source Sans Pro" w:hAnsi="Source Sans Pro"/>
          <w:szCs w:val="20"/>
        </w:rPr>
        <w:t>.</w:t>
      </w:r>
      <w:r w:rsidR="00F538EA">
        <w:rPr>
          <w:rFonts w:ascii="Source Sans Pro" w:hAnsi="Source Sans Pro"/>
          <w:szCs w:val="20"/>
        </w:rPr>
        <w:t> </w:t>
      </w:r>
      <w:r w:rsidRPr="00D829F0">
        <w:rPr>
          <w:rFonts w:ascii="Source Sans Pro" w:hAnsi="Source Sans Pro"/>
          <w:szCs w:val="20"/>
        </w:rPr>
        <w:t>attēls</w:t>
      </w:r>
    </w:p>
    <w:p w14:paraId="402E7091" w14:textId="77777777" w:rsidR="00384FC8" w:rsidRPr="0048380F" w:rsidRDefault="00384FC8" w:rsidP="00867A48">
      <w:pPr>
        <w:spacing w:after="120"/>
        <w:jc w:val="center"/>
        <w:rPr>
          <w:rFonts w:ascii="Segoe UI Light" w:hAnsi="Segoe UI Light"/>
          <w:i/>
          <w:sz w:val="16"/>
          <w:szCs w:val="26"/>
        </w:rPr>
      </w:pPr>
      <w:r w:rsidRPr="0048380F">
        <w:rPr>
          <w:rFonts w:ascii="Segoe UI Light" w:hAnsi="Segoe UI Light"/>
          <w:b/>
          <w:sz w:val="18"/>
          <w:szCs w:val="26"/>
        </w:rPr>
        <w:t>Bezdarba līmenis</w:t>
      </w:r>
      <w:r w:rsidRPr="0048380F">
        <w:rPr>
          <w:rFonts w:ascii="Segoe UI Light" w:hAnsi="Segoe UI Light"/>
          <w:b/>
          <w:sz w:val="18"/>
          <w:szCs w:val="26"/>
        </w:rPr>
        <w:br/>
      </w:r>
      <w:r w:rsidRPr="0048380F">
        <w:rPr>
          <w:rFonts w:ascii="Segoe UI Light" w:hAnsi="Segoe UI Light"/>
          <w:i/>
          <w:sz w:val="16"/>
          <w:szCs w:val="26"/>
        </w:rPr>
        <w:t>procentos pret ekonomiski aktīvajiem iedzīvotājiem vecuma grupā no 15-74</w:t>
      </w:r>
      <w:r w:rsidR="00E002CB" w:rsidRPr="0048380F">
        <w:rPr>
          <w:rFonts w:ascii="Segoe UI Light" w:hAnsi="Segoe UI Light"/>
          <w:i/>
          <w:sz w:val="16"/>
          <w:szCs w:val="26"/>
        </w:rPr>
        <w:t xml:space="preserve"> </w:t>
      </w:r>
      <w:r w:rsidR="0080669C" w:rsidRPr="0048380F">
        <w:rPr>
          <w:rFonts w:ascii="Segoe UI Light" w:hAnsi="Segoe UI Light"/>
          <w:i/>
          <w:sz w:val="16"/>
          <w:szCs w:val="26"/>
        </w:rPr>
        <w:t>gad</w:t>
      </w:r>
      <w:r w:rsidRPr="0048380F">
        <w:rPr>
          <w:rFonts w:ascii="Segoe UI Light" w:hAnsi="Segoe UI Light"/>
          <w:i/>
          <w:sz w:val="16"/>
          <w:szCs w:val="26"/>
        </w:rPr>
        <w:t>iem</w:t>
      </w:r>
    </w:p>
    <w:p w14:paraId="50A13C59" w14:textId="77777777" w:rsidR="004E7F3F" w:rsidRPr="0048380F" w:rsidRDefault="004E7F3F" w:rsidP="004E7F3F">
      <w:pPr>
        <w:spacing w:after="120"/>
        <w:jc w:val="center"/>
        <w:rPr>
          <w:rFonts w:asciiTheme="majorHAnsi" w:hAnsiTheme="majorHAnsi"/>
        </w:rPr>
      </w:pPr>
      <w:r w:rsidRPr="0048380F">
        <w:rPr>
          <w:rFonts w:ascii="Arial Narrow" w:hAnsi="Arial Narrow"/>
          <w:noProof/>
          <w:szCs w:val="20"/>
          <w:lang w:eastAsia="lv-LV"/>
        </w:rPr>
        <w:drawing>
          <wp:inline distT="0" distB="0" distL="0" distR="0" wp14:anchorId="78066485" wp14:editId="31F9D15E">
            <wp:extent cx="5760000" cy="2160000"/>
            <wp:effectExtent l="0" t="0" r="0" b="0"/>
            <wp:docPr id="289" name="Objec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494FBB8" w14:textId="77777777" w:rsidR="004E7F3F" w:rsidRPr="00D829F0" w:rsidRDefault="004E7F3F" w:rsidP="004E7F3F">
      <w:pPr>
        <w:spacing w:after="120"/>
        <w:jc w:val="both"/>
        <w:rPr>
          <w:rFonts w:ascii="Source Sans Pro" w:hAnsi="Source Sans Pro"/>
          <w:sz w:val="16"/>
          <w:szCs w:val="16"/>
        </w:rPr>
      </w:pPr>
      <w:r w:rsidRPr="00D829F0">
        <w:rPr>
          <w:rFonts w:ascii="Source Sans Pro" w:hAnsi="Source Sans Pro"/>
          <w:sz w:val="16"/>
          <w:szCs w:val="16"/>
        </w:rPr>
        <w:t>Avots: CSP</w:t>
      </w:r>
      <w:r w:rsidRPr="00D829F0">
        <w:rPr>
          <w:rFonts w:ascii="Source Sans Pro" w:hAnsi="Source Sans Pro"/>
          <w:sz w:val="16"/>
          <w:szCs w:val="16"/>
        </w:rPr>
        <w:tab/>
      </w:r>
    </w:p>
    <w:p w14:paraId="7289B66E" w14:textId="77777777" w:rsidR="004E7F3F" w:rsidRPr="00D829F0" w:rsidRDefault="004E7F3F" w:rsidP="004E7F3F">
      <w:pPr>
        <w:spacing w:after="120"/>
        <w:jc w:val="both"/>
        <w:rPr>
          <w:rFonts w:ascii="Source Sans Pro" w:hAnsi="Source Sans Pro"/>
        </w:rPr>
      </w:pPr>
    </w:p>
    <w:p w14:paraId="28288C14" w14:textId="77777777" w:rsidR="004E7F3F" w:rsidRPr="00D829F0" w:rsidRDefault="004E7F3F" w:rsidP="004E7F3F">
      <w:pPr>
        <w:spacing w:after="120"/>
        <w:jc w:val="both"/>
        <w:rPr>
          <w:rFonts w:ascii="Source Sans Pro" w:hAnsi="Source Sans Pro"/>
          <w:szCs w:val="20"/>
        </w:rPr>
      </w:pPr>
      <w:r w:rsidRPr="00D829F0">
        <w:rPr>
          <w:rFonts w:ascii="Source Sans Pro" w:hAnsi="Source Sans Pro"/>
          <w:szCs w:val="20"/>
        </w:rPr>
        <w:t>Kopumā iedzīvotāji ar augstāku izglītības līmeni ir mazāk pakļauti bezdarba riskam. 2025. gadā iedzīvotāju ar augstāko izglītību bezdarba līmenis veidoja 3,8%, savukārt iedzīvotājiem ar vidējo izglītības pakāpi bezdarba līmenis bija vismaz divreiz augstāks (8,1%), bet ar pamatizglītību un zemāku izglītības līmeni vairāk kā 4 reizes augstāks (16,1%). Tāpat jāatzīmē, ka bezdarba riskus kopumā mazina profesijas apguve – 2025. gadā bezdarba līmenis starp iedzīvotājiem ar vidējo profesionālo izglītību bija par 2,2 procentpunktiem zemāks nekā ar vidējo vispārējo izglītību. Tas apliecina, ka darba tirgū priekšroka tiek dota darbiniekiem ar profesionālām prasmēm.</w:t>
      </w:r>
    </w:p>
    <w:p w14:paraId="7F25A1B0" w14:textId="77777777" w:rsidR="002878B9" w:rsidRDefault="002878B9">
      <w:pPr>
        <w:spacing w:after="0"/>
        <w:rPr>
          <w:rFonts w:ascii="Source Sans Pro" w:hAnsi="Source Sans Pro"/>
          <w:szCs w:val="20"/>
        </w:rPr>
      </w:pPr>
      <w:r>
        <w:rPr>
          <w:rFonts w:ascii="Source Sans Pro" w:hAnsi="Source Sans Pro"/>
          <w:szCs w:val="20"/>
        </w:rPr>
        <w:br w:type="page"/>
      </w:r>
    </w:p>
    <w:p w14:paraId="3692A752" w14:textId="77777777" w:rsidR="004E7F3F" w:rsidRPr="00D829F0" w:rsidRDefault="004E7F3F" w:rsidP="004E7F3F">
      <w:pPr>
        <w:spacing w:after="120"/>
        <w:jc w:val="right"/>
        <w:rPr>
          <w:rFonts w:ascii="Source Sans Pro" w:hAnsi="Source Sans Pro"/>
          <w:szCs w:val="20"/>
        </w:rPr>
      </w:pPr>
      <w:r w:rsidRPr="00D829F0">
        <w:rPr>
          <w:rFonts w:ascii="Source Sans Pro" w:hAnsi="Source Sans Pro"/>
          <w:szCs w:val="20"/>
        </w:rPr>
        <w:lastRenderedPageBreak/>
        <w:t>2.15. attēls</w:t>
      </w:r>
    </w:p>
    <w:p w14:paraId="3329B647" w14:textId="1D1B3AB2" w:rsidR="004E7F3F" w:rsidRPr="00516D48" w:rsidRDefault="004E7F3F" w:rsidP="004E7F3F">
      <w:pPr>
        <w:spacing w:after="120"/>
        <w:jc w:val="center"/>
        <w:rPr>
          <w:rFonts w:ascii="Segoe UI Light" w:hAnsi="Segoe UI Light"/>
          <w:i/>
          <w:sz w:val="16"/>
        </w:rPr>
      </w:pPr>
      <w:r w:rsidRPr="00516D48">
        <w:rPr>
          <w:rFonts w:ascii="Segoe UI Light" w:hAnsi="Segoe UI Light"/>
          <w:b/>
          <w:bCs/>
          <w:sz w:val="18"/>
          <w:szCs w:val="26"/>
        </w:rPr>
        <w:t xml:space="preserve">Nodarbinātie sadalījumā pēc izglītības līmeņa un profesiju kvalifikācijas pakāpes </w:t>
      </w:r>
      <w:r w:rsidRPr="00516D48">
        <w:rPr>
          <w:rFonts w:ascii="Segoe UI Light" w:hAnsi="Segoe UI Light"/>
          <w:b/>
          <w:bCs/>
          <w:sz w:val="18"/>
          <w:szCs w:val="26"/>
        </w:rPr>
        <w:br/>
      </w:r>
      <w:r w:rsidRPr="00516D48">
        <w:rPr>
          <w:rFonts w:ascii="Segoe UI Light" w:hAnsi="Segoe UI Light"/>
          <w:bCs/>
          <w:i/>
          <w:sz w:val="16"/>
        </w:rPr>
        <w:t>2025.</w:t>
      </w:r>
      <w:r w:rsidR="00FF1E97">
        <w:rPr>
          <w:rFonts w:ascii="Segoe UI Light" w:hAnsi="Segoe UI Light"/>
          <w:bCs/>
          <w:i/>
          <w:sz w:val="16"/>
        </w:rPr>
        <w:t> </w:t>
      </w:r>
      <w:r w:rsidRPr="00516D48">
        <w:rPr>
          <w:rFonts w:ascii="Segoe UI Light" w:hAnsi="Segoe UI Light"/>
          <w:bCs/>
          <w:i/>
          <w:sz w:val="16"/>
        </w:rPr>
        <w:t>gadā, tūkstošos</w:t>
      </w:r>
    </w:p>
    <w:p w14:paraId="62429230" w14:textId="77777777" w:rsidR="004E7F3F" w:rsidRPr="00D829F0" w:rsidRDefault="004E7F3F" w:rsidP="004E7F3F">
      <w:pPr>
        <w:spacing w:after="120"/>
        <w:jc w:val="center"/>
        <w:rPr>
          <w:rFonts w:ascii="Source Sans Pro" w:hAnsi="Source Sans Pro"/>
        </w:rPr>
      </w:pPr>
      <w:r w:rsidRPr="00D829F0">
        <w:rPr>
          <w:rFonts w:ascii="Source Sans Pro" w:hAnsi="Source Sans Pro"/>
          <w:noProof/>
          <w:sz w:val="24"/>
          <w:szCs w:val="28"/>
          <w:lang w:eastAsia="lv-LV"/>
        </w:rPr>
        <w:drawing>
          <wp:inline distT="0" distB="0" distL="0" distR="0" wp14:anchorId="6988E28B" wp14:editId="57E1CD54">
            <wp:extent cx="5760000" cy="1980000"/>
            <wp:effectExtent l="0" t="0" r="0" b="1270"/>
            <wp:docPr id="292" name="Chart 2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EEF37D2" w14:textId="77777777" w:rsidR="004E7F3F" w:rsidRDefault="004E7F3F" w:rsidP="004E7F3F">
      <w:pPr>
        <w:spacing w:before="120" w:after="120"/>
        <w:ind w:left="720" w:hanging="720"/>
        <w:jc w:val="both"/>
        <w:rPr>
          <w:rFonts w:ascii="Source Sans Pro" w:hAnsi="Source Sans Pro"/>
          <w:sz w:val="16"/>
          <w:szCs w:val="16"/>
        </w:rPr>
      </w:pPr>
      <w:r w:rsidRPr="00D829F0">
        <w:rPr>
          <w:rFonts w:ascii="Source Sans Pro" w:hAnsi="Source Sans Pro"/>
          <w:sz w:val="16"/>
          <w:szCs w:val="16"/>
        </w:rPr>
        <w:t>Avots: CSP, EM aprēķini</w:t>
      </w:r>
    </w:p>
    <w:p w14:paraId="1A881E29" w14:textId="77777777" w:rsidR="002F4E75" w:rsidRDefault="002F4E75" w:rsidP="004E7F3F">
      <w:pPr>
        <w:spacing w:before="120" w:after="120"/>
        <w:ind w:left="720" w:hanging="720"/>
        <w:jc w:val="both"/>
        <w:rPr>
          <w:rFonts w:ascii="Source Sans Pro" w:hAnsi="Source Sans Pro"/>
          <w:sz w:val="16"/>
          <w:szCs w:val="16"/>
        </w:rPr>
      </w:pPr>
    </w:p>
    <w:p w14:paraId="1902F2FC" w14:textId="4815A1B2" w:rsidR="00475C06" w:rsidRDefault="002F4E75" w:rsidP="002F4E75">
      <w:pPr>
        <w:spacing w:before="120" w:after="120"/>
        <w:jc w:val="both"/>
        <w:rPr>
          <w:rFonts w:ascii="Source Sans Pro" w:hAnsi="Source Sans Pro"/>
          <w:szCs w:val="20"/>
        </w:rPr>
      </w:pPr>
      <w:r w:rsidRPr="002F4E75">
        <w:rPr>
          <w:rFonts w:ascii="Source Sans Pro" w:hAnsi="Source Sans Pro"/>
          <w:szCs w:val="20"/>
        </w:rPr>
        <w:t>Līdzīgas tendences atspoguļo arī absolventu monitoringa dati, kas sniedz informāciju par absolventu darba gaitām gadu pēc studiju beigšanas. Periodā 2019.-2023.</w:t>
      </w:r>
      <w:r w:rsidR="00FF1E97">
        <w:rPr>
          <w:rFonts w:ascii="Source Sans Pro" w:hAnsi="Source Sans Pro"/>
          <w:szCs w:val="20"/>
        </w:rPr>
        <w:t> </w:t>
      </w:r>
      <w:r w:rsidRPr="002F4E75">
        <w:rPr>
          <w:rFonts w:ascii="Source Sans Pro" w:hAnsi="Source Sans Pro"/>
          <w:szCs w:val="20"/>
        </w:rPr>
        <w:t>gadā aptuveni 81,6 % no visiem augstākās izglītības iestāžu absolventiem, par kuriem pieejama informācija 2024.</w:t>
      </w:r>
      <w:r w:rsidR="00FF1E97">
        <w:rPr>
          <w:rFonts w:ascii="Source Sans Pro" w:hAnsi="Source Sans Pro"/>
          <w:szCs w:val="20"/>
        </w:rPr>
        <w:t> </w:t>
      </w:r>
      <w:r w:rsidRPr="002F4E75">
        <w:rPr>
          <w:rFonts w:ascii="Source Sans Pro" w:hAnsi="Source Sans Pro"/>
          <w:szCs w:val="20"/>
        </w:rPr>
        <w:t>gadā, bija nodarbināti, bet vidējais bezdarba līmenis starp ekonomiski aktīvajiem absolventiem bija – 3,6 %, kas kopumā ir zemāks rādītājs nekā vidēji tautsaimniecībā starp iedzīvotājiem ar augstāko izglītību. Aptuveni 82,9% no visiem nodarbinātajiem absolventiem bija nodarbināti augstākās kvalifikācijas profesijās (1.-3. profesiju pamatgrupas).</w:t>
      </w:r>
    </w:p>
    <w:p w14:paraId="60D0A54F" w14:textId="32F3526E" w:rsidR="007F4563" w:rsidRPr="002F4E75" w:rsidRDefault="007F4563" w:rsidP="002F4E75">
      <w:pPr>
        <w:spacing w:before="120" w:after="120"/>
        <w:jc w:val="both"/>
        <w:rPr>
          <w:rFonts w:ascii="Source Sans Pro" w:hAnsi="Source Sans Pro"/>
          <w:szCs w:val="20"/>
        </w:rPr>
      </w:pPr>
      <w:r w:rsidRPr="007F4563">
        <w:rPr>
          <w:rFonts w:ascii="Source Sans Pro" w:hAnsi="Source Sans Pro"/>
          <w:szCs w:val="20"/>
        </w:rPr>
        <w:t>Augstākais bezdarba līmenis vērojams starp sociālo zinātņu, komerczinību un tiesību zinātņu absolventiem (4,7%), kā arī humanitāro un mākslas zinātņu un lauksaimniecības programmu absolventiem (4,7%). Vienlaikus zemākais bezdarbs pēc absolvēšanas vērojams starp veselības aprūpes un sociālās labklājības jomu beidzējiem (2,0%). Lielākais bezdarba līmenis septiņās no astoņām tematiskajām grupām ir starp akadēmiskā un profesionālā bakalaura grāda ieguvējiem.</w:t>
      </w:r>
    </w:p>
    <w:p w14:paraId="430B9BE3" w14:textId="4798DFCE" w:rsidR="00475C06" w:rsidRPr="00475C06" w:rsidRDefault="00475C06" w:rsidP="002F4E75">
      <w:pPr>
        <w:spacing w:before="240" w:after="120"/>
        <w:jc w:val="center"/>
        <w:rPr>
          <w:rFonts w:ascii="Source Sans Pro" w:hAnsi="Source Sans Pro"/>
        </w:rPr>
      </w:pPr>
      <w:r w:rsidRPr="00475C06">
        <w:rPr>
          <w:rFonts w:ascii="Segoe UI Light" w:hAnsi="Segoe UI Light"/>
          <w:b/>
          <w:bCs/>
          <w:sz w:val="18"/>
          <w:szCs w:val="26"/>
        </w:rPr>
        <w:t>2019.-2023.</w:t>
      </w:r>
      <w:r w:rsidR="00FF1E97">
        <w:rPr>
          <w:rFonts w:ascii="Segoe UI Light" w:hAnsi="Segoe UI Light"/>
          <w:b/>
          <w:bCs/>
          <w:sz w:val="18"/>
          <w:szCs w:val="26"/>
        </w:rPr>
        <w:t> </w:t>
      </w:r>
      <w:r w:rsidRPr="00475C06">
        <w:rPr>
          <w:rFonts w:ascii="Segoe UI Light" w:hAnsi="Segoe UI Light"/>
          <w:b/>
          <w:bCs/>
          <w:sz w:val="18"/>
          <w:szCs w:val="26"/>
        </w:rPr>
        <w:t>gada izglītības iestāžu absolventu bezdarba līmenis pēc izglītības līmeņa un izglītības tematiskās grupas</w:t>
      </w:r>
      <w:r w:rsidRPr="00475C06">
        <w:rPr>
          <w:rFonts w:ascii="Segoe UI Light" w:hAnsi="Segoe UI Light"/>
          <w:b/>
          <w:bCs/>
          <w:sz w:val="18"/>
          <w:szCs w:val="26"/>
        </w:rPr>
        <w:br/>
      </w:r>
      <w:r w:rsidRPr="00475C06">
        <w:rPr>
          <w:rFonts w:ascii="Segoe UI Light" w:hAnsi="Segoe UI Light"/>
          <w:bCs/>
          <w:i/>
          <w:sz w:val="16"/>
        </w:rPr>
        <w:t>2024.</w:t>
      </w:r>
      <w:r w:rsidR="00FF1E97">
        <w:rPr>
          <w:rFonts w:ascii="Segoe UI Light" w:hAnsi="Segoe UI Light"/>
          <w:bCs/>
          <w:i/>
          <w:sz w:val="16"/>
        </w:rPr>
        <w:t> </w:t>
      </w:r>
      <w:r w:rsidRPr="00475C06">
        <w:rPr>
          <w:rFonts w:ascii="Segoe UI Light" w:hAnsi="Segoe UI Light"/>
          <w:bCs/>
          <w:i/>
          <w:sz w:val="16"/>
        </w:rPr>
        <w:t>gada dati, procentos</w:t>
      </w:r>
    </w:p>
    <w:p w14:paraId="2A3D3AD9" w14:textId="2F681D6C" w:rsidR="004E7F3F" w:rsidRDefault="00475C06" w:rsidP="00475C06">
      <w:pPr>
        <w:spacing w:after="120"/>
        <w:jc w:val="both"/>
        <w:rPr>
          <w:rFonts w:ascii="Source Sans Pro" w:hAnsi="Source Sans Pro"/>
        </w:rPr>
      </w:pPr>
      <w:r w:rsidRPr="00475C06">
        <w:rPr>
          <w:rFonts w:ascii="Source Sans Pro" w:hAnsi="Source Sans Pro"/>
          <w:noProof/>
        </w:rPr>
        <w:drawing>
          <wp:inline distT="0" distB="0" distL="0" distR="0" wp14:anchorId="483D766D" wp14:editId="78F5044B">
            <wp:extent cx="2880000" cy="3600000"/>
            <wp:effectExtent l="0" t="0" r="0" b="635"/>
            <wp:docPr id="1808365935" name="Chart 1808365935">
              <a:extLst xmlns:a="http://schemas.openxmlformats.org/drawingml/2006/main">
                <a:ext uri="{FF2B5EF4-FFF2-40B4-BE49-F238E27FC236}">
                  <a16:creationId xmlns:a16="http://schemas.microsoft.com/office/drawing/2014/main" id="{030B8713-D893-414D-AF35-752AF57A5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Pr="00475C06">
        <w:rPr>
          <w:rFonts w:ascii="Source Sans Pro" w:hAnsi="Source Sans Pro"/>
          <w:noProof/>
        </w:rPr>
        <w:drawing>
          <wp:inline distT="0" distB="0" distL="0" distR="0" wp14:anchorId="6AB2A323" wp14:editId="62295326">
            <wp:extent cx="2880000" cy="3600000"/>
            <wp:effectExtent l="0" t="0" r="0" b="635"/>
            <wp:docPr id="40764832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1C7CF4D" w14:textId="1CCDA26E" w:rsidR="0038798E" w:rsidRPr="0038798E" w:rsidRDefault="0038798E" w:rsidP="0038798E">
      <w:pPr>
        <w:spacing w:before="120" w:after="120"/>
        <w:ind w:left="720" w:hanging="720"/>
        <w:jc w:val="both"/>
        <w:rPr>
          <w:rFonts w:ascii="Source Sans Pro" w:hAnsi="Source Sans Pro"/>
          <w:sz w:val="16"/>
          <w:szCs w:val="16"/>
        </w:rPr>
      </w:pPr>
      <w:r w:rsidRPr="0038798E">
        <w:rPr>
          <w:rFonts w:ascii="Source Sans Pro" w:hAnsi="Source Sans Pro"/>
          <w:sz w:val="16"/>
          <w:szCs w:val="16"/>
        </w:rPr>
        <w:t>Avots: Absolventu monitoringa dati; EM aprēķini</w:t>
      </w:r>
    </w:p>
    <w:p w14:paraId="0A075C38" w14:textId="49DEFFF1" w:rsidR="004E7F3F" w:rsidRPr="00D829F0" w:rsidRDefault="004E7F3F" w:rsidP="004E7F3F">
      <w:pPr>
        <w:spacing w:after="120"/>
        <w:jc w:val="both"/>
        <w:rPr>
          <w:rFonts w:ascii="Source Sans Pro" w:hAnsi="Source Sans Pro"/>
        </w:rPr>
      </w:pPr>
      <w:r w:rsidRPr="00D829F0">
        <w:rPr>
          <w:rFonts w:ascii="Source Sans Pro" w:hAnsi="Source Sans Pro"/>
        </w:rPr>
        <w:lastRenderedPageBreak/>
        <w:t xml:space="preserve">Aplūkojot </w:t>
      </w:r>
      <w:r w:rsidRPr="00D829F0">
        <w:rPr>
          <w:rFonts w:ascii="Source Sans Pro" w:hAnsi="Source Sans Pro"/>
          <w:b/>
        </w:rPr>
        <w:t xml:space="preserve">nodarbināto izglītības atbilstību profesiju kvalifikācijas līmenim </w:t>
      </w:r>
      <w:r w:rsidRPr="00D829F0">
        <w:rPr>
          <w:rFonts w:ascii="Source Sans Pro" w:hAnsi="Source Sans Pro"/>
        </w:rPr>
        <w:t>(profesiju agregāciju sk. ziņojuma pielikuma 6. tabulu)</w:t>
      </w:r>
      <w:r w:rsidRPr="00D829F0">
        <w:rPr>
          <w:rFonts w:ascii="Source Sans Pro" w:hAnsi="Source Sans Pro"/>
          <w:b/>
        </w:rPr>
        <w:t xml:space="preserve"> </w:t>
      </w:r>
      <w:r w:rsidRPr="00D829F0">
        <w:rPr>
          <w:rFonts w:ascii="Source Sans Pro" w:hAnsi="Source Sans Pro"/>
        </w:rPr>
        <w:t>var novērot vairākas būtiskas strukturālas disproporcijas. Salīdzinot nodarbināto iedzīvotāju sadalījumu pēc iegūtās izglītības līmeņiem pa profesiju kvalifikācijas grupām, redzams, ka nodarbināto skaits ar augstāko izglītību ir mazāks nekā nodarbināto skaits augstas kvalifikācijas profesijās, kurās pēc būtības jābūt cilvēkiem ar augstāko izglītību. Tikmēr vidējās kvalifikācijas līmenī 2025. gadā ir redzams, ka nodarbināto skaits ar vidējo izglītību pārsniedz vidējās kvalifikācijas profesijās nodarbināto skaitu. Tas ļauj secināt, ka daļu no augstas kvalifikācijas profesijām aizņem nodarbinātie ar vidējo izglītību, kas var ietekmēt produktivitātes pieauguma potenciā</w:t>
      </w:r>
      <w:r w:rsidR="00AF7E1B" w:rsidRPr="00D829F0">
        <w:rPr>
          <w:rFonts w:ascii="Source Sans Pro" w:hAnsi="Source Sans Pro"/>
        </w:rPr>
        <w:t>l</w:t>
      </w:r>
      <w:r w:rsidRPr="00D829F0">
        <w:rPr>
          <w:rFonts w:ascii="Source Sans Pro" w:hAnsi="Source Sans Pro"/>
        </w:rPr>
        <w:t>u ilgtermiņā.</w:t>
      </w:r>
    </w:p>
    <w:p w14:paraId="57698B76" w14:textId="4ECEC2B8" w:rsidR="004E7F3F" w:rsidRPr="00D829F0" w:rsidRDefault="004E7F3F" w:rsidP="004E7F3F">
      <w:pPr>
        <w:spacing w:after="120"/>
        <w:jc w:val="both"/>
        <w:rPr>
          <w:rFonts w:ascii="Source Sans Pro" w:hAnsi="Source Sans Pro"/>
        </w:rPr>
      </w:pPr>
      <w:r w:rsidRPr="00D829F0">
        <w:rPr>
          <w:rFonts w:ascii="Source Sans Pro" w:hAnsi="Source Sans Pro"/>
        </w:rPr>
        <w:t>Vienlaikus pastāvīgas, būtiskas strukturālas neatbilstības ir vērojamas arī profesiju grupu ietvaros. Visizteiktākā prasmju līmeņa nepietiekamība ir vērojama augstākās kvalifikācijas profesijās, kur tikai gandrīz 3/4 no nodarbinātajiem 2025. gadā bija augstākā izglītība. Daļēji tas skaidrojams ar to, ka augstas kvalifikācijas profesijas grupā ir iekļauti visa veida iestāžu un to apakšvienību vadītāji, kā arī cita veida uzņēmumu un organizāciju amati, kur nodarbinātība bieži vien nav tiešā veidā saistīta ar iegūto izglītību/kvalifikāciju, bet drīzāk ar līdzdalību/īpašumtiesībām konkrētajā uzņēmumā vai organizācijā.</w:t>
      </w:r>
    </w:p>
    <w:p w14:paraId="11742D2C" w14:textId="657784FD" w:rsidR="006542D0" w:rsidRPr="006542D0" w:rsidRDefault="00FF1E97" w:rsidP="006542D0">
      <w:pPr>
        <w:spacing w:after="120"/>
        <w:jc w:val="both"/>
        <w:rPr>
          <w:rFonts w:ascii="Source Sans Pro" w:hAnsi="Source Sans Pro"/>
          <w:szCs w:val="26"/>
        </w:rPr>
      </w:pPr>
      <w:r>
        <w:rPr>
          <w:rFonts w:ascii="Source Sans Pro" w:hAnsi="Source Sans Pro"/>
          <w:szCs w:val="26"/>
        </w:rPr>
        <w:t>I</w:t>
      </w:r>
      <w:r w:rsidR="004E7F3F" w:rsidRPr="00D829F0">
        <w:rPr>
          <w:rFonts w:ascii="Source Sans Pro" w:hAnsi="Source Sans Pro"/>
          <w:szCs w:val="26"/>
        </w:rPr>
        <w:t>zteiktākais prasmju pārpalikums ir vērojams zemākās kvalifikācijas/vienkāršās profesijās, kur gandrīz 3/4 no visiem nodarbinātajiem iegūtais izglītības līmenis ir augstāks nekā būtu nepieciešams darba pienākumu veikšanai.</w:t>
      </w:r>
    </w:p>
    <w:p w14:paraId="30F5A356" w14:textId="77777777" w:rsidR="0038798E" w:rsidRDefault="006542D0" w:rsidP="004E7F3F">
      <w:pPr>
        <w:spacing w:after="120"/>
        <w:jc w:val="both"/>
        <w:rPr>
          <w:rFonts w:ascii="Source Sans Pro" w:hAnsi="Source Sans Pro"/>
          <w:szCs w:val="26"/>
        </w:rPr>
      </w:pPr>
      <w:r w:rsidRPr="006542D0">
        <w:rPr>
          <w:rFonts w:ascii="Source Sans Pro" w:hAnsi="Source Sans Pro"/>
          <w:szCs w:val="26"/>
        </w:rPr>
        <w:t>Visaugstākais profesijas atbilstības līmenis augstākajā izglītībā, ņemot vērā absolvēto izglītības tematisko jomu, vērojams veselības aprūpē un sociālajā labklājībā (83%) un izglītībā (80%). Zemāka profesijas atbilstība ir vērojama lauksaimniecībā un humanitārajās zinātnēs un mākslā, kas galvenokārt saistīts ar to, ka šīs izglītības tematiskās jomas absolventi darbojas arī daudzās citās profesijās, kas atbilstoši profesiju klasifikatoram pēc pamatuzdevumiem un kvalifikācijas pamatprasībām netiek vērtētas kā atbilstošas.</w:t>
      </w:r>
    </w:p>
    <w:p w14:paraId="41BB479B" w14:textId="77777777" w:rsidR="004E7F3F" w:rsidRPr="00D829F0" w:rsidRDefault="004E7F3F" w:rsidP="004E7F3F">
      <w:pPr>
        <w:spacing w:after="120"/>
        <w:jc w:val="right"/>
        <w:rPr>
          <w:rFonts w:ascii="Source Sans Pro" w:hAnsi="Source Sans Pro"/>
          <w:szCs w:val="26"/>
        </w:rPr>
      </w:pPr>
      <w:r w:rsidRPr="00D829F0">
        <w:rPr>
          <w:rFonts w:ascii="Source Sans Pro" w:hAnsi="Source Sans Pro"/>
          <w:szCs w:val="26"/>
        </w:rPr>
        <w:t>2.16. attēls</w:t>
      </w:r>
    </w:p>
    <w:p w14:paraId="48B6D362" w14:textId="3535D74C" w:rsidR="004E7F3F" w:rsidRPr="008109EF" w:rsidRDefault="004E7F3F" w:rsidP="004E7F3F">
      <w:pPr>
        <w:spacing w:after="120"/>
        <w:jc w:val="center"/>
        <w:rPr>
          <w:rFonts w:ascii="Segoe UI Light" w:hAnsi="Segoe UI Light"/>
          <w:bCs/>
          <w:i/>
          <w:sz w:val="16"/>
        </w:rPr>
      </w:pPr>
      <w:r w:rsidRPr="008109EF">
        <w:rPr>
          <w:rFonts w:ascii="Segoe UI Light" w:hAnsi="Segoe UI Light"/>
          <w:b/>
          <w:bCs/>
          <w:sz w:val="18"/>
          <w:szCs w:val="26"/>
        </w:rPr>
        <w:t>Nodarbināto struktūra pa izglītības līmeņiem pēc profesiju kvalifikācijas pakāpes</w:t>
      </w:r>
      <w:r w:rsidRPr="008109EF">
        <w:rPr>
          <w:rFonts w:ascii="Segoe UI Light" w:hAnsi="Segoe UI Light"/>
          <w:b/>
          <w:bCs/>
          <w:sz w:val="18"/>
          <w:szCs w:val="26"/>
        </w:rPr>
        <w:br/>
      </w:r>
      <w:r w:rsidRPr="008109EF">
        <w:rPr>
          <w:rFonts w:ascii="Segoe UI Light" w:hAnsi="Segoe UI Light"/>
          <w:bCs/>
          <w:i/>
          <w:sz w:val="16"/>
        </w:rPr>
        <w:t>2025.</w:t>
      </w:r>
      <w:r w:rsidR="00FF1E97">
        <w:rPr>
          <w:rFonts w:ascii="Segoe UI Light" w:hAnsi="Segoe UI Light"/>
          <w:bCs/>
          <w:i/>
          <w:sz w:val="16"/>
        </w:rPr>
        <w:t> </w:t>
      </w:r>
      <w:r w:rsidRPr="008109EF">
        <w:rPr>
          <w:rFonts w:ascii="Segoe UI Light" w:hAnsi="Segoe UI Light"/>
          <w:bCs/>
          <w:i/>
          <w:sz w:val="16"/>
        </w:rPr>
        <w:t>gads, procentos</w:t>
      </w:r>
    </w:p>
    <w:p w14:paraId="28D83AC8" w14:textId="77777777" w:rsidR="004E7F3F" w:rsidRPr="00D829F0" w:rsidRDefault="004E7F3F" w:rsidP="004E7F3F">
      <w:pPr>
        <w:spacing w:after="120"/>
        <w:jc w:val="center"/>
        <w:rPr>
          <w:rFonts w:ascii="Source Sans Pro" w:hAnsi="Source Sans Pro"/>
          <w:sz w:val="24"/>
          <w:szCs w:val="24"/>
        </w:rPr>
      </w:pPr>
      <w:r w:rsidRPr="008109EF">
        <w:rPr>
          <w:rFonts w:ascii="Arial Narrow" w:hAnsi="Arial Narrow"/>
          <w:noProof/>
          <w:lang w:eastAsia="lv-LV"/>
        </w:rPr>
        <w:drawing>
          <wp:inline distT="0" distB="0" distL="0" distR="0" wp14:anchorId="0168E6CE" wp14:editId="6098655E">
            <wp:extent cx="5760000" cy="2160000"/>
            <wp:effectExtent l="0" t="0" r="0" b="0"/>
            <wp:docPr id="293" name="Chart 2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A53DEE1" w14:textId="77777777" w:rsidR="004E7F3F" w:rsidRPr="00D829F0" w:rsidRDefault="004E7F3F" w:rsidP="004E7F3F">
      <w:pPr>
        <w:spacing w:after="120"/>
        <w:jc w:val="both"/>
        <w:rPr>
          <w:rFonts w:ascii="Source Sans Pro" w:hAnsi="Source Sans Pro"/>
          <w:sz w:val="16"/>
          <w:szCs w:val="16"/>
        </w:rPr>
      </w:pPr>
      <w:r w:rsidRPr="00D829F0">
        <w:rPr>
          <w:rFonts w:ascii="Source Sans Pro" w:hAnsi="Source Sans Pro"/>
          <w:sz w:val="16"/>
          <w:szCs w:val="16"/>
        </w:rPr>
        <w:t>Avots: CSP, EM aprēķini</w:t>
      </w:r>
    </w:p>
    <w:p w14:paraId="3AED6225" w14:textId="0400EF13" w:rsidR="00217926" w:rsidRPr="00EF7F3C" w:rsidRDefault="00731B30" w:rsidP="000613C2">
      <w:pPr>
        <w:spacing w:after="0"/>
        <w:rPr>
          <w:rFonts w:ascii="Segoe UI Light" w:hAnsi="Segoe UI Light"/>
          <w:b/>
          <w:sz w:val="16"/>
          <w:szCs w:val="16"/>
          <w:highlight w:val="yellow"/>
        </w:rPr>
      </w:pPr>
      <w:r>
        <w:rPr>
          <w:rFonts w:ascii="Segoe UI Light" w:hAnsi="Segoe UI Light"/>
          <w:b/>
          <w:sz w:val="16"/>
          <w:szCs w:val="16"/>
          <w:highlight w:val="yellow"/>
        </w:rPr>
        <w:br w:type="page"/>
      </w:r>
    </w:p>
    <w:p w14:paraId="1E1441F4" w14:textId="5D630616" w:rsidR="00384FC8" w:rsidRPr="004B51AC" w:rsidRDefault="00384FC8"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120"/>
        <w:jc w:val="right"/>
        <w:rPr>
          <w:rFonts w:ascii="Segoe UI Light" w:hAnsi="Segoe UI Light"/>
          <w:b/>
          <w:sz w:val="16"/>
          <w:szCs w:val="16"/>
        </w:rPr>
      </w:pPr>
      <w:r w:rsidRPr="004B51AC">
        <w:rPr>
          <w:rFonts w:ascii="Segoe UI Light" w:hAnsi="Segoe UI Light"/>
          <w:b/>
          <w:sz w:val="16"/>
          <w:szCs w:val="16"/>
        </w:rPr>
        <w:lastRenderedPageBreak/>
        <w:t>Eiropas Prasmju indekss 2024 – prasmju atbilstība</w:t>
      </w:r>
    </w:p>
    <w:p w14:paraId="2A332EF1" w14:textId="44276F52" w:rsidR="005F2B6A" w:rsidRDefault="00384FC8"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sz w:val="16"/>
          <w:szCs w:val="18"/>
        </w:rPr>
      </w:pPr>
      <w:r w:rsidRPr="00585D35">
        <w:rPr>
          <w:rFonts w:ascii="Segoe UI Light" w:hAnsi="Segoe UI Light"/>
          <w:bCs/>
          <w:sz w:val="16"/>
          <w:szCs w:val="18"/>
        </w:rPr>
        <w:t>Saskaņā ar Eiropas prasmju indeksa prasmju atbilstības pīlāru starp ES valstīm joprojām pastāv lielas atšķirības prasmju neatbilstības ziņā. Saskaņā ar indeksu, vismazākās neatbilstības ir vērojamas tādās valstīs kā Čehija, Zviedrija un Dānija, kas ir vistuvāk ideālajam izpildījumam, savukārt izteiktākas disproporcijas ir Spānijā, Itālijā un Grieķijā. Latvija kopumā prasmju atbilstības ziņā atrodas virs vidējā rādītāja (59</w:t>
      </w:r>
      <w:r w:rsidR="0080669C" w:rsidRPr="00585D35">
        <w:rPr>
          <w:rFonts w:ascii="Segoe UI Light" w:hAnsi="Segoe UI Light"/>
          <w:bCs/>
          <w:sz w:val="16"/>
          <w:szCs w:val="18"/>
        </w:rPr>
        <w:t>%</w:t>
      </w:r>
      <w:r w:rsidRPr="00585D35">
        <w:rPr>
          <w:rFonts w:ascii="Segoe UI Light" w:hAnsi="Segoe UI Light"/>
          <w:bCs/>
          <w:sz w:val="16"/>
          <w:szCs w:val="18"/>
        </w:rPr>
        <w:t>, 17.vieta no ES27 valstīm), uzreiz zem Vācijas (60</w:t>
      </w:r>
      <w:r w:rsidR="0080669C" w:rsidRPr="00585D35">
        <w:rPr>
          <w:rFonts w:ascii="Segoe UI Light" w:hAnsi="Segoe UI Light"/>
          <w:bCs/>
          <w:sz w:val="16"/>
          <w:szCs w:val="18"/>
        </w:rPr>
        <w:t>%</w:t>
      </w:r>
      <w:r w:rsidRPr="00585D35">
        <w:rPr>
          <w:rFonts w:ascii="Segoe UI Light" w:hAnsi="Segoe UI Light"/>
          <w:bCs/>
          <w:sz w:val="16"/>
          <w:szCs w:val="18"/>
        </w:rPr>
        <w:t>), kā arī atpaliekot no Igaunijas (65</w:t>
      </w:r>
      <w:r w:rsidR="0080669C" w:rsidRPr="00585D35">
        <w:rPr>
          <w:rFonts w:ascii="Segoe UI Light" w:hAnsi="Segoe UI Light"/>
          <w:bCs/>
          <w:sz w:val="16"/>
          <w:szCs w:val="18"/>
        </w:rPr>
        <w:t>%</w:t>
      </w:r>
      <w:r w:rsidRPr="00585D35">
        <w:rPr>
          <w:rFonts w:ascii="Segoe UI Light" w:hAnsi="Segoe UI Light"/>
          <w:bCs/>
          <w:sz w:val="16"/>
          <w:szCs w:val="18"/>
        </w:rPr>
        <w:t xml:space="preserve">). Tomēr jāatzīmē, ka Latvija apsteidz arī tādas </w:t>
      </w:r>
      <w:r w:rsidR="00F20C65">
        <w:rPr>
          <w:rFonts w:ascii="Segoe UI Light" w:hAnsi="Segoe UI Light"/>
          <w:bCs/>
          <w:sz w:val="16"/>
          <w:szCs w:val="18"/>
        </w:rPr>
        <w:t>augsti</w:t>
      </w:r>
      <w:r w:rsidRPr="00585D35">
        <w:rPr>
          <w:rFonts w:ascii="Segoe UI Light" w:hAnsi="Segoe UI Light"/>
          <w:bCs/>
          <w:sz w:val="16"/>
          <w:szCs w:val="18"/>
        </w:rPr>
        <w:t xml:space="preserve"> attīstītas valstis kā Beļģiju, Franciju un Īriju, kuras prasmju attīstības un aktivizācijas ziņā ir soli priekšā Latvijai.</w:t>
      </w:r>
    </w:p>
    <w:p w14:paraId="5EAE9B80" w14:textId="77777777" w:rsidR="00CE3AFE" w:rsidRDefault="00CE3AFE"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sz w:val="16"/>
          <w:szCs w:val="18"/>
        </w:rPr>
      </w:pPr>
    </w:p>
    <w:p w14:paraId="00D457C6" w14:textId="0F28713D" w:rsidR="00CE3AFE" w:rsidRDefault="00CE3AFE" w:rsidP="00CE3AFE">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center"/>
        <w:rPr>
          <w:rFonts w:ascii="Segoe UI Light" w:hAnsi="Segoe UI Light"/>
          <w:bCs/>
          <w:sz w:val="16"/>
          <w:szCs w:val="18"/>
        </w:rPr>
      </w:pPr>
      <w:r w:rsidRPr="006A4626">
        <w:rPr>
          <w:rFonts w:ascii="Segoe UI Light" w:hAnsi="Segoe UI Light"/>
          <w:b/>
          <w:sz w:val="16"/>
          <w:szCs w:val="18"/>
        </w:rPr>
        <w:t>Eiropas prasmju indekss 2024.</w:t>
      </w:r>
      <w:r w:rsidR="00F42620">
        <w:rPr>
          <w:rFonts w:ascii="Segoe UI Light" w:hAnsi="Segoe UI Light"/>
          <w:b/>
          <w:sz w:val="16"/>
          <w:szCs w:val="18"/>
        </w:rPr>
        <w:t> </w:t>
      </w:r>
      <w:r w:rsidRPr="006A4626">
        <w:rPr>
          <w:rFonts w:ascii="Segoe UI Light" w:hAnsi="Segoe UI Light"/>
          <w:b/>
          <w:sz w:val="16"/>
          <w:szCs w:val="18"/>
        </w:rPr>
        <w:t xml:space="preserve">gads </w:t>
      </w:r>
      <w:r w:rsidRPr="006A4626">
        <w:rPr>
          <w:rFonts w:ascii="Segoe UI Light" w:hAnsi="Segoe UI Light"/>
          <w:b/>
          <w:sz w:val="16"/>
          <w:szCs w:val="18"/>
        </w:rPr>
        <w:br/>
      </w:r>
      <w:r w:rsidRPr="006A4626">
        <w:rPr>
          <w:rFonts w:ascii="Segoe UI Light" w:hAnsi="Segoe UI Light"/>
          <w:bCs/>
          <w:sz w:val="16"/>
          <w:szCs w:val="18"/>
        </w:rPr>
        <w:t>2024.</w:t>
      </w:r>
      <w:r w:rsidR="00F42620">
        <w:rPr>
          <w:rFonts w:ascii="Segoe UI Light" w:hAnsi="Segoe UI Light"/>
          <w:bCs/>
          <w:sz w:val="16"/>
          <w:szCs w:val="18"/>
        </w:rPr>
        <w:t> </w:t>
      </w:r>
      <w:r w:rsidRPr="006A4626">
        <w:rPr>
          <w:rFonts w:ascii="Segoe UI Light" w:hAnsi="Segoe UI Light"/>
          <w:bCs/>
          <w:sz w:val="16"/>
          <w:szCs w:val="18"/>
        </w:rPr>
        <w:t>gads, ideālais indikatora vērtējums – 100,</w:t>
      </w:r>
    </w:p>
    <w:p w14:paraId="191DC77B" w14:textId="4133BA2C" w:rsidR="00CE3AFE" w:rsidRPr="00A815F9" w:rsidRDefault="00CE3AFE" w:rsidP="00CD5267">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center"/>
        <w:rPr>
          <w:rFonts w:ascii="Segoe UI Light" w:hAnsi="Segoe UI Light"/>
          <w:sz w:val="16"/>
          <w:szCs w:val="16"/>
        </w:rPr>
      </w:pPr>
      <w:r w:rsidRPr="006A4626">
        <w:rPr>
          <w:rFonts w:ascii="Segoe UI Light" w:hAnsi="Segoe UI Light"/>
          <w:bCs/>
          <w:sz w:val="16"/>
          <w:szCs w:val="18"/>
        </w:rPr>
        <w:t>augstāks vērtējums norāda uz labāku sniegumu</w:t>
      </w:r>
    </w:p>
    <w:p w14:paraId="5A76AEA5" w14:textId="693185C4" w:rsidR="001E3A88" w:rsidRPr="00CE3AFE" w:rsidRDefault="00CE3AFE" w:rsidP="00CE3AFE">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sz w:val="16"/>
          <w:szCs w:val="18"/>
        </w:rPr>
      </w:pPr>
      <w:r>
        <w:rPr>
          <w:noProof/>
        </w:rPr>
        <w:drawing>
          <wp:inline distT="0" distB="0" distL="0" distR="0" wp14:anchorId="6CBDD69D" wp14:editId="210CFCC6">
            <wp:extent cx="5810250" cy="2737413"/>
            <wp:effectExtent l="0" t="0" r="0" b="0"/>
            <wp:docPr id="1359740551" name="Chart 1">
              <a:extLst xmlns:a="http://schemas.openxmlformats.org/drawingml/2006/main">
                <a:ext uri="{FF2B5EF4-FFF2-40B4-BE49-F238E27FC236}">
                  <a16:creationId xmlns:a16="http://schemas.microsoft.com/office/drawing/2014/main" id="{8FB6F8D6-8A97-4000-A850-FC7F5B4CF1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1758F5D" w14:textId="77777777" w:rsidR="00384FC8" w:rsidRDefault="00384FC8"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4"/>
          <w:szCs w:val="16"/>
        </w:rPr>
      </w:pPr>
      <w:r w:rsidRPr="00A815F9">
        <w:rPr>
          <w:rFonts w:ascii="Segoe UI Light" w:hAnsi="Segoe UI Light"/>
          <w:sz w:val="14"/>
          <w:szCs w:val="16"/>
        </w:rPr>
        <w:t>Avots: Cedefop</w:t>
      </w:r>
    </w:p>
    <w:p w14:paraId="4609C9E3" w14:textId="77777777" w:rsidR="00384FC8" w:rsidRPr="00A815F9" w:rsidRDefault="00384FC8"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b/>
          <w:i/>
          <w:iCs/>
          <w:spacing w:val="-2"/>
          <w:sz w:val="16"/>
          <w:szCs w:val="16"/>
        </w:rPr>
      </w:pPr>
    </w:p>
    <w:p w14:paraId="0092E0E9" w14:textId="05B59ABF" w:rsidR="00384FC8" w:rsidRDefault="00384FC8" w:rsidP="00890074">
      <w:pPr>
        <w:pBdr>
          <w:top w:val="single" w:sz="4" w:space="6" w:color="auto" w:shadow="1"/>
          <w:left w:val="single" w:sz="4" w:space="6" w:color="auto" w:shadow="1"/>
          <w:bottom w:val="single" w:sz="4" w:space="6" w:color="auto" w:shadow="1"/>
          <w:right w:val="single" w:sz="4" w:space="6" w:color="auto" w:shadow="1"/>
        </w:pBdr>
        <w:shd w:val="clear" w:color="auto" w:fill="DCE7EB"/>
        <w:spacing w:after="120"/>
        <w:jc w:val="both"/>
        <w:rPr>
          <w:rFonts w:ascii="Segoe UI Light" w:hAnsi="Segoe UI Light"/>
          <w:bCs/>
          <w:i/>
          <w:iCs/>
          <w:sz w:val="16"/>
          <w:szCs w:val="16"/>
        </w:rPr>
      </w:pPr>
      <w:r w:rsidRPr="009B689B">
        <w:rPr>
          <w:rFonts w:ascii="Segoe UI Light" w:hAnsi="Segoe UI Light"/>
          <w:b/>
          <w:i/>
          <w:iCs/>
          <w:spacing w:val="-2"/>
          <w:sz w:val="16"/>
          <w:szCs w:val="16"/>
        </w:rPr>
        <w:t>* Eiropas Prasmju indekss (European Skills Index) mēra ES prasmju sistēmas sniegumu</w:t>
      </w:r>
      <w:r w:rsidRPr="009B689B">
        <w:rPr>
          <w:rFonts w:ascii="Segoe UI Light" w:hAnsi="Segoe UI Light"/>
          <w:bCs/>
          <w:i/>
          <w:iCs/>
          <w:spacing w:val="-2"/>
          <w:sz w:val="16"/>
          <w:szCs w:val="16"/>
        </w:rPr>
        <w:t xml:space="preserve"> – attālumu līdz ideālam sniegumam (100 punkti), kas ir augstākais sasniegtais pēdējo 7</w:t>
      </w:r>
      <w:r w:rsidR="00E32F49" w:rsidRPr="009B689B">
        <w:rPr>
          <w:rFonts w:ascii="Segoe UI Light" w:hAnsi="Segoe UI Light"/>
          <w:bCs/>
          <w:i/>
          <w:iCs/>
          <w:spacing w:val="-2"/>
          <w:sz w:val="16"/>
          <w:szCs w:val="16"/>
        </w:rPr>
        <w:t xml:space="preserve"> </w:t>
      </w:r>
      <w:r w:rsidR="0080669C" w:rsidRPr="009B689B">
        <w:rPr>
          <w:rFonts w:ascii="Segoe UI Light" w:hAnsi="Segoe UI Light"/>
          <w:bCs/>
          <w:i/>
          <w:iCs/>
          <w:spacing w:val="-2"/>
          <w:sz w:val="16"/>
          <w:szCs w:val="16"/>
        </w:rPr>
        <w:t>gad</w:t>
      </w:r>
      <w:r w:rsidRPr="009B689B">
        <w:rPr>
          <w:rFonts w:ascii="Segoe UI Light" w:hAnsi="Segoe UI Light"/>
          <w:bCs/>
          <w:i/>
          <w:iCs/>
          <w:spacing w:val="-2"/>
          <w:sz w:val="16"/>
          <w:szCs w:val="16"/>
        </w:rPr>
        <w:t xml:space="preserve">u laikā. </w:t>
      </w:r>
      <w:r w:rsidRPr="009B689B">
        <w:rPr>
          <w:rFonts w:ascii="Segoe UI Light" w:hAnsi="Segoe UI Light"/>
          <w:b/>
          <w:i/>
          <w:iCs/>
          <w:spacing w:val="-2"/>
          <w:sz w:val="16"/>
          <w:szCs w:val="16"/>
        </w:rPr>
        <w:t>Prasmju atbilstības pīlāru</w:t>
      </w:r>
      <w:r w:rsidRPr="009B689B">
        <w:rPr>
          <w:rFonts w:ascii="Segoe UI Light" w:hAnsi="Segoe UI Light"/>
          <w:bCs/>
          <w:i/>
          <w:iCs/>
          <w:spacing w:val="-2"/>
          <w:sz w:val="16"/>
          <w:szCs w:val="16"/>
        </w:rPr>
        <w:t xml:space="preserve"> veido 3 rādītāji, kuru mērķis ir izmērīt dažādos prasmju izmantošanas </w:t>
      </w:r>
      <w:r w:rsidRPr="009B689B">
        <w:rPr>
          <w:rFonts w:ascii="Segoe UI Light" w:hAnsi="Segoe UI Light"/>
          <w:bCs/>
          <w:i/>
          <w:iCs/>
          <w:sz w:val="16"/>
          <w:szCs w:val="16"/>
        </w:rPr>
        <w:t>līmeņus (darbaspēka piedāvājums ar augstāku vai zemāku prasmju līmeni nekā nepieciešams darba tirgū): augstākās izglītības neatbilstības (cilvēki ar augstāko izglītību, kas strādā darbā, kurā nav nepieciešama attiecīgā izglītība), zemo algu saņēmēji (cilvēki ar augstāko izglītību,</w:t>
      </w:r>
      <w:r w:rsidR="000E1A50">
        <w:rPr>
          <w:rFonts w:ascii="Segoe UI Light" w:hAnsi="Segoe UI Light"/>
          <w:bCs/>
          <w:i/>
          <w:iCs/>
          <w:sz w:val="16"/>
          <w:szCs w:val="16"/>
        </w:rPr>
        <w:t xml:space="preserve"> </w:t>
      </w:r>
      <w:r w:rsidRPr="009B689B">
        <w:rPr>
          <w:rFonts w:ascii="Segoe UI Light" w:hAnsi="Segoe UI Light"/>
          <w:bCs/>
          <w:i/>
          <w:iCs/>
          <w:sz w:val="16"/>
          <w:szCs w:val="16"/>
        </w:rPr>
        <w:t>kas saņem zemu algu) un kvalifikācijas neatbilstības (līmenis, kurš norāda, cik lielā mērā nodarbinātā iegūtās izglītības līmenis atbilst katrai profesijai katrā nozarē)</w:t>
      </w:r>
    </w:p>
    <w:p w14:paraId="0AC3298D" w14:textId="64702F0F" w:rsidR="00CE3AFE" w:rsidRPr="00CE3AFE" w:rsidRDefault="00CE3AFE"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sz w:val="16"/>
          <w:szCs w:val="16"/>
        </w:rPr>
      </w:pPr>
      <w:r w:rsidRPr="00CE3AFE">
        <w:rPr>
          <w:rFonts w:ascii="Segoe UI Light" w:hAnsi="Segoe UI Light"/>
          <w:b/>
          <w:bCs/>
          <w:sz w:val="16"/>
          <w:szCs w:val="16"/>
        </w:rPr>
        <w:t>Prasmju attīstība</w:t>
      </w:r>
    </w:p>
    <w:p w14:paraId="0DDA2B4A" w14:textId="226F4534" w:rsidR="00CE3AFE" w:rsidRDefault="00CE3AFE"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i/>
          <w:iCs/>
          <w:sz w:val="16"/>
          <w:szCs w:val="16"/>
        </w:rPr>
      </w:pPr>
      <w:r w:rsidRPr="00A815F9">
        <w:rPr>
          <w:rFonts w:asciiTheme="minorHAnsi" w:eastAsiaTheme="minorEastAsia" w:hAnsiTheme="minorHAnsi" w:cstheme="minorBidi"/>
          <w:noProof/>
          <w:sz w:val="21"/>
          <w:szCs w:val="21"/>
          <w:lang w:eastAsia="lv-LV"/>
        </w:rPr>
        <w:drawing>
          <wp:inline distT="0" distB="0" distL="0" distR="0" wp14:anchorId="21BEA04D" wp14:editId="79207568">
            <wp:extent cx="5752618" cy="124333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48863B0" w14:textId="3044BE7C" w:rsidR="00CE3AFE" w:rsidRPr="00CE3AFE" w:rsidRDefault="00CE3AFE"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
          <w:bCs/>
          <w:sz w:val="16"/>
          <w:szCs w:val="16"/>
        </w:rPr>
      </w:pPr>
      <w:r w:rsidRPr="00CE3AFE">
        <w:rPr>
          <w:rFonts w:ascii="Segoe UI Light" w:hAnsi="Segoe UI Light"/>
          <w:b/>
          <w:bCs/>
          <w:sz w:val="16"/>
          <w:szCs w:val="16"/>
        </w:rPr>
        <w:t>Prasmju aktivizēšana</w:t>
      </w:r>
    </w:p>
    <w:p w14:paraId="2F1F6C6D" w14:textId="638F65BE" w:rsidR="00CE3AFE" w:rsidRDefault="00CE3AFE"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i/>
          <w:iCs/>
          <w:sz w:val="16"/>
          <w:szCs w:val="16"/>
        </w:rPr>
      </w:pPr>
      <w:r w:rsidRPr="00A815F9">
        <w:rPr>
          <w:rFonts w:asciiTheme="minorHAnsi" w:eastAsiaTheme="minorEastAsia" w:hAnsiTheme="minorHAnsi" w:cstheme="minorBidi"/>
          <w:noProof/>
          <w:sz w:val="21"/>
          <w:szCs w:val="21"/>
          <w:lang w:eastAsia="lv-LV"/>
        </w:rPr>
        <w:drawing>
          <wp:inline distT="0" distB="0" distL="0" distR="0" wp14:anchorId="0F3F0331" wp14:editId="7D06D819">
            <wp:extent cx="5712106" cy="1280160"/>
            <wp:effectExtent l="0" t="0" r="0" b="0"/>
            <wp:docPr id="989770251" name="Chart 989770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D8E12D9" w14:textId="77777777" w:rsidR="00890074" w:rsidRDefault="00890074">
      <w:pPr>
        <w:spacing w:after="0"/>
        <w:rPr>
          <w:rFonts w:ascii="Segoe UI Light" w:hAnsi="Segoe UI Light"/>
          <w:b/>
          <w:bCs/>
          <w:sz w:val="16"/>
          <w:szCs w:val="16"/>
        </w:rPr>
      </w:pPr>
      <w:r>
        <w:rPr>
          <w:rFonts w:ascii="Segoe UI Light" w:hAnsi="Segoe UI Light"/>
          <w:b/>
          <w:bCs/>
          <w:sz w:val="16"/>
          <w:szCs w:val="16"/>
        </w:rPr>
        <w:br w:type="page"/>
      </w:r>
    </w:p>
    <w:p w14:paraId="2EF3A795" w14:textId="661E99AB" w:rsidR="00CE3AFE" w:rsidRPr="00CE3AFE" w:rsidRDefault="00CE3AFE"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
          <w:bCs/>
          <w:sz w:val="16"/>
          <w:szCs w:val="16"/>
        </w:rPr>
      </w:pPr>
      <w:r w:rsidRPr="00CE3AFE">
        <w:rPr>
          <w:rFonts w:ascii="Segoe UI Light" w:hAnsi="Segoe UI Light"/>
          <w:b/>
          <w:bCs/>
          <w:sz w:val="16"/>
          <w:szCs w:val="16"/>
        </w:rPr>
        <w:lastRenderedPageBreak/>
        <w:t>Prasmju atbilstība</w:t>
      </w:r>
    </w:p>
    <w:p w14:paraId="0D111A36" w14:textId="40D30545" w:rsidR="00CE3AFE" w:rsidRPr="009B689B" w:rsidRDefault="00CE3AFE"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i/>
          <w:iCs/>
          <w:sz w:val="16"/>
          <w:szCs w:val="16"/>
        </w:rPr>
      </w:pPr>
      <w:r w:rsidRPr="00A815F9">
        <w:rPr>
          <w:rFonts w:asciiTheme="minorHAnsi" w:eastAsiaTheme="minorEastAsia" w:hAnsiTheme="minorHAnsi" w:cstheme="minorBidi"/>
          <w:noProof/>
          <w:sz w:val="21"/>
          <w:szCs w:val="21"/>
          <w:lang w:eastAsia="lv-LV"/>
        </w:rPr>
        <w:drawing>
          <wp:inline distT="0" distB="0" distL="0" distR="0" wp14:anchorId="7A7E0460" wp14:editId="69CFBF90">
            <wp:extent cx="5711825" cy="1155700"/>
            <wp:effectExtent l="0" t="0" r="0" b="6350"/>
            <wp:docPr id="712331325" name="Chart 7123313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3B9CD6E" w14:textId="3ED0D339" w:rsidR="00384FC8" w:rsidRPr="00585D35" w:rsidRDefault="00384FC8"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sz w:val="16"/>
          <w:szCs w:val="18"/>
        </w:rPr>
      </w:pPr>
      <w:r w:rsidRPr="00585D35">
        <w:rPr>
          <w:rFonts w:ascii="Segoe UI Light" w:hAnsi="Segoe UI Light"/>
          <w:sz w:val="16"/>
        </w:rPr>
        <w:t>Indivīdiem prasmju neatbilstība rada negatīvu ietekmi uz apmierinātību ar darbu un algām, piemēram, augstākas kvalifikācijas speciālists,</w:t>
      </w:r>
      <w:r w:rsidR="007E5459">
        <w:rPr>
          <w:rFonts w:ascii="Segoe UI Light" w:hAnsi="Segoe UI Light"/>
          <w:sz w:val="16"/>
        </w:rPr>
        <w:t xml:space="preserve"> </w:t>
      </w:r>
      <w:r w:rsidRPr="00585D35">
        <w:rPr>
          <w:rFonts w:ascii="Segoe UI Light" w:hAnsi="Segoe UI Light"/>
          <w:sz w:val="16"/>
        </w:rPr>
        <w:t>strādājot zemāka līmeņa darbos, saņems savām prasmēm neatbilstošu atalgojumu, tikmēr darbiniekiem ar profesijai nepietiekamām prasmēm, var rasties problēmas veikt savus tiešos darba pienākumus.</w:t>
      </w:r>
      <w:r w:rsidRPr="00585D35">
        <w:rPr>
          <w:rFonts w:ascii="Segoe UI Light" w:hAnsi="Segoe UI Light"/>
          <w:bCs/>
          <w:sz w:val="16"/>
          <w:szCs w:val="18"/>
        </w:rPr>
        <w:t xml:space="preserve"> Firmām, tā samazina produktivitāti, kamēr prasmju iztrūkums palielina darbā pieņemšanas izmaksas un kavē jaunu tehnoloģiju apgūšanu. Makroekonomikas līmenī, neatbilstības palielina bezdarbu un samazina IKP pieaugumu caur neatbilstošu cilvēkkapitāla sadali un/vai produktivitātes sarukumu, ko tas rada, kamēr prasmju iztrūkums rada negatīvu ietekmi uz darbaspēka produktivitāti.</w:t>
      </w:r>
    </w:p>
    <w:p w14:paraId="2A0AAD02" w14:textId="0922AF8B" w:rsidR="00384FC8" w:rsidRPr="00EF7F3C" w:rsidRDefault="00384FC8" w:rsidP="00C20F6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Cs/>
          <w:sz w:val="16"/>
          <w:szCs w:val="18"/>
          <w:highlight w:val="yellow"/>
        </w:rPr>
      </w:pPr>
      <w:r w:rsidRPr="00585D35">
        <w:rPr>
          <w:rFonts w:ascii="Segoe UI Light" w:hAnsi="Segoe UI Light"/>
          <w:bCs/>
          <w:sz w:val="16"/>
          <w:szCs w:val="18"/>
        </w:rPr>
        <w:t>Lai mazināta prasmju piedāvājuma un pieprasījuma neatbilstības svarīgi ir nodrošināt kvalitatīvas izglītības un apmācību programmas,</w:t>
      </w:r>
      <w:r w:rsidR="007E5459">
        <w:rPr>
          <w:rFonts w:ascii="Segoe UI Light" w:hAnsi="Segoe UI Light"/>
          <w:bCs/>
          <w:sz w:val="16"/>
          <w:szCs w:val="18"/>
        </w:rPr>
        <w:t xml:space="preserve"> </w:t>
      </w:r>
      <w:r w:rsidRPr="00585D35">
        <w:rPr>
          <w:rFonts w:ascii="Segoe UI Light" w:hAnsi="Segoe UI Light"/>
          <w:bCs/>
          <w:sz w:val="16"/>
          <w:szCs w:val="18"/>
        </w:rPr>
        <w:t>kurās iespējams gan paaugstināt savas prasmes, gan pārkvalificēties. Tiek uzsvērta arī DVB mācību nozīmība. Prasmju iztrūkuma mazināšanā var palīdzēt arī efektīga imigrācijas politikas īstenošana. Savukārt nepietiekamu kvalifikāciju var mazināt, samazinot zemu kvalificētu darbinieku īpatsvaru, novēršot priekšlaicīgu skolas pamešanu un nodrošinot kvalifikācijas celšanas iespējas. Līdz ar tehnoloģisko progresu, svarīgi ir arī jaunu darba vietu radīšana un darba devēju un izglītības sistēmas sadarbība atbilstošu prasmju nodrošināšanai. Lai palīdzētu darbiniekiem karjeras laikā pielāgot un atjaunināt savas prasmes, būtiski būs attīstīt modernu mūžizglītības sistēmu. Tāpat svarīga būs arī kvalitatīva prasmju novērtēšana un darba tirgus apsteidzošo pārkārtojumu sistēmas izveide.</w:t>
      </w:r>
    </w:p>
    <w:bookmarkEnd w:id="44"/>
    <w:p w14:paraId="1301CC0E" w14:textId="77777777" w:rsidR="005F5363" w:rsidRPr="00D829F0" w:rsidRDefault="005F5363" w:rsidP="005F5363">
      <w:pPr>
        <w:spacing w:after="120"/>
        <w:jc w:val="both"/>
        <w:rPr>
          <w:rFonts w:ascii="Source Sans Pro" w:hAnsi="Source Sans Pro"/>
        </w:rPr>
      </w:pPr>
    </w:p>
    <w:p w14:paraId="43E31CCA" w14:textId="77777777" w:rsidR="00097A08" w:rsidRPr="00D829F0" w:rsidRDefault="00097A08" w:rsidP="005F5363">
      <w:pPr>
        <w:spacing w:after="120"/>
        <w:jc w:val="both"/>
        <w:rPr>
          <w:rFonts w:ascii="Source Sans Pro" w:hAnsi="Source Sans Pro"/>
        </w:rPr>
      </w:pPr>
    </w:p>
    <w:p w14:paraId="5AEB9848" w14:textId="1CF52551" w:rsidR="00F4110B" w:rsidRPr="0063004C" w:rsidRDefault="00F4110B" w:rsidP="00080A71">
      <w:pPr>
        <w:pStyle w:val="Heading2"/>
      </w:pPr>
      <w:bookmarkStart w:id="45" w:name="_Toc556601381"/>
      <w:r w:rsidRPr="0063004C">
        <w:t>2.4. Izglītības piedāvājuma izmaiņas</w:t>
      </w:r>
      <w:bookmarkEnd w:id="36"/>
      <w:bookmarkEnd w:id="37"/>
      <w:bookmarkEnd w:id="38"/>
      <w:bookmarkEnd w:id="45"/>
    </w:p>
    <w:p w14:paraId="3BBEEC41" w14:textId="77777777" w:rsidR="007D0F4E" w:rsidRPr="007D0F4E" w:rsidRDefault="007D0F4E" w:rsidP="00855DD4">
      <w:pPr>
        <w:spacing w:after="120"/>
        <w:jc w:val="both"/>
        <w:rPr>
          <w:rFonts w:ascii="Source Sans Pro" w:hAnsi="Source Sans Pro"/>
        </w:rPr>
      </w:pPr>
    </w:p>
    <w:p w14:paraId="71CFB5CF" w14:textId="77777777" w:rsidR="007D0F4E" w:rsidRPr="004B39FD" w:rsidRDefault="007D0F4E" w:rsidP="001B57D6">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2EFE3D28" w14:textId="77777777" w:rsidR="00321F2F" w:rsidRPr="001B57D6" w:rsidRDefault="007D0F4E"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321F2F" w:rsidRPr="001B57D6">
        <w:rPr>
          <w:rFonts w:ascii="Aptos Narrow" w:hAnsi="Aptos Narrow" w:cs="Verdana"/>
          <w:color w:val="262626"/>
          <w:sz w:val="22"/>
        </w:rPr>
        <w:t>Demogrāfisko tendenču ietekmē sarūk skolēnu, audzēkņu un studentu skaits</w:t>
      </w:r>
      <w:r w:rsidR="4FEE7635" w:rsidRPr="001B57D6">
        <w:rPr>
          <w:rFonts w:ascii="Aptos Narrow" w:hAnsi="Aptos Narrow" w:cs="Verdana"/>
          <w:color w:val="262626"/>
          <w:sz w:val="22"/>
        </w:rPr>
        <w:t>.</w:t>
      </w:r>
    </w:p>
    <w:p w14:paraId="6A7CE3FF" w14:textId="7330DE57" w:rsidR="00321F2F" w:rsidRPr="00321F2F" w:rsidRDefault="001B57D6"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sidR="006E645E">
        <w:rPr>
          <w:rFonts w:ascii="Aptos Narrow" w:hAnsi="Aptos Narrow" w:cs="Verdana"/>
          <w:b/>
          <w:color w:val="00859B"/>
          <w:sz w:val="22"/>
        </w:rPr>
        <w:tab/>
      </w:r>
      <w:r w:rsidR="4FEE7635" w:rsidRPr="001B57D6">
        <w:rPr>
          <w:rFonts w:ascii="Aptos Narrow" w:hAnsi="Aptos Narrow" w:cs="Verdana"/>
          <w:color w:val="262626"/>
          <w:sz w:val="22"/>
        </w:rPr>
        <w:t>P</w:t>
      </w:r>
      <w:r w:rsidR="00321F2F" w:rsidRPr="001B57D6">
        <w:rPr>
          <w:rFonts w:ascii="Aptos Narrow" w:hAnsi="Aptos Narrow" w:cs="Verdana"/>
          <w:color w:val="262626"/>
          <w:sz w:val="22"/>
        </w:rPr>
        <w:t>rofesionālās izglītības zemā pievilcība saglabājas – lielākā daļa jauniešu pēc pamatskolas joprojām izvēlas vispārējo vidējo izglītību.</w:t>
      </w:r>
    </w:p>
    <w:p w14:paraId="54439DE1" w14:textId="5AF3FB79" w:rsidR="00321F2F" w:rsidRPr="00321F2F" w:rsidRDefault="00321F2F"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321F2F">
        <w:rPr>
          <w:rFonts w:ascii="Aptos Narrow" w:hAnsi="Aptos Narrow" w:cs="Verdana"/>
          <w:color w:val="262626"/>
          <w:sz w:val="22"/>
        </w:rPr>
        <w:t>Lai gan STEM jomu studentu īpatsvars pēdējos gados ir audzis, kopējo eksakto jomu pienesumu</w:t>
      </w:r>
      <w:r w:rsidR="00D37C0B">
        <w:rPr>
          <w:rFonts w:ascii="Aptos Narrow" w:hAnsi="Aptos Narrow" w:cs="Verdana"/>
          <w:color w:val="262626"/>
          <w:sz w:val="22"/>
        </w:rPr>
        <w:t xml:space="preserve"> </w:t>
      </w:r>
      <w:r w:rsidRPr="00321F2F">
        <w:rPr>
          <w:rFonts w:ascii="Aptos Narrow" w:hAnsi="Aptos Narrow" w:cs="Verdana"/>
          <w:color w:val="262626"/>
          <w:sz w:val="22"/>
        </w:rPr>
        <w:t>ierobežo inženierzinātņu īpatsvara sarukums un augstais studējošo atbirums.</w:t>
      </w:r>
    </w:p>
    <w:p w14:paraId="71DB66F0" w14:textId="49E666A9" w:rsidR="007D0F4E" w:rsidRPr="004B39FD" w:rsidRDefault="00321F2F"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Pr="00321F2F">
        <w:rPr>
          <w:rFonts w:ascii="Aptos Narrow" w:hAnsi="Aptos Narrow" w:cs="Verdana"/>
          <w:color w:val="262626"/>
          <w:sz w:val="22"/>
        </w:rPr>
        <w:t xml:space="preserve">Pieaugušo iesaiste izglītībā aug, tomēr joprojām būtiski atpaliek no ES un jo īpaši Ziemeļvalstu līmeņa, savukārt darba devēju ieguldījumi darbinieku mācībās ir vieni no zemākajiem </w:t>
      </w:r>
      <w:r w:rsidR="00533EAC">
        <w:rPr>
          <w:rFonts w:ascii="Aptos Narrow" w:hAnsi="Aptos Narrow" w:cs="Verdana"/>
          <w:color w:val="262626"/>
          <w:sz w:val="22"/>
        </w:rPr>
        <w:t>ES</w:t>
      </w:r>
      <w:r w:rsidRPr="00321F2F">
        <w:rPr>
          <w:rFonts w:ascii="Aptos Narrow" w:hAnsi="Aptos Narrow" w:cs="Verdana"/>
          <w:color w:val="262626"/>
          <w:sz w:val="22"/>
        </w:rPr>
        <w:t>.</w:t>
      </w:r>
    </w:p>
    <w:p w14:paraId="3454CDA7" w14:textId="77777777" w:rsidR="001B57D6" w:rsidRDefault="001B57D6" w:rsidP="00855DD4">
      <w:pPr>
        <w:spacing w:after="120"/>
        <w:jc w:val="both"/>
        <w:rPr>
          <w:rFonts w:ascii="Source Sans Pro" w:hAnsi="Source Sans Pro"/>
        </w:rPr>
      </w:pPr>
    </w:p>
    <w:p w14:paraId="34FB4DA9" w14:textId="7642E068" w:rsidR="004C23D5" w:rsidRPr="00D829F0" w:rsidRDefault="004C23D5" w:rsidP="00855DD4">
      <w:pPr>
        <w:spacing w:after="120"/>
        <w:jc w:val="both"/>
        <w:rPr>
          <w:rFonts w:ascii="Source Sans Pro" w:hAnsi="Source Sans Pro"/>
          <w:szCs w:val="20"/>
        </w:rPr>
      </w:pPr>
      <w:r w:rsidRPr="00D829F0">
        <w:rPr>
          <w:rFonts w:ascii="Source Sans Pro" w:hAnsi="Source Sans Pro"/>
          <w:b/>
          <w:szCs w:val="20"/>
        </w:rPr>
        <w:t>Demogrāfijas tendenču ietekme uz audzēkņu un studentu skaitu</w:t>
      </w:r>
    </w:p>
    <w:p w14:paraId="27DF166D" w14:textId="44F31DF3" w:rsidR="004C23D5" w:rsidRPr="00D829F0" w:rsidRDefault="004C23D5" w:rsidP="00855DD4">
      <w:pPr>
        <w:spacing w:after="120"/>
        <w:jc w:val="both"/>
        <w:rPr>
          <w:rFonts w:ascii="Source Sans Pro" w:hAnsi="Source Sans Pro"/>
        </w:rPr>
      </w:pPr>
      <w:r w:rsidRPr="00D829F0">
        <w:rPr>
          <w:rFonts w:ascii="Source Sans Pro" w:hAnsi="Source Sans Pro"/>
        </w:rPr>
        <w:t xml:space="preserve">Vispārējās izglītības skolēnu skaits aizvadīto </w:t>
      </w:r>
      <w:r w:rsidR="007778C2" w:rsidRPr="00D829F0">
        <w:rPr>
          <w:rFonts w:ascii="Source Sans Pro" w:hAnsi="Source Sans Pro"/>
        </w:rPr>
        <w:t>10 gadu</w:t>
      </w:r>
      <w:r w:rsidRPr="00D829F0">
        <w:rPr>
          <w:rFonts w:ascii="Source Sans Pro" w:hAnsi="Source Sans Pro"/>
        </w:rPr>
        <w:t xml:space="preserve"> laikā kopumā ir samazinājies gan pamatskolas, gan vidusskolas līmenī. Tāpat lejupslīdoša tendence vērojama arī profesionālās vidējās izglītības audzēkņu skaitā. Galvenie iemesli audzēkņu skaita samazinājumam ir ilgstoši zemais dzimstības līmenis un iedzīvotāju emigrācija. Pateicoties dzimstības rādītāju uzlabojumiem periodā no 2004. līdz 2008.</w:t>
      </w:r>
      <w:r w:rsidR="007778C2" w:rsidRPr="00D829F0">
        <w:rPr>
          <w:rFonts w:ascii="Source Sans Pro" w:hAnsi="Source Sans Pro"/>
        </w:rPr>
        <w:t> </w:t>
      </w:r>
      <w:r w:rsidR="0080669C" w:rsidRPr="00D829F0">
        <w:rPr>
          <w:rFonts w:ascii="Source Sans Pro" w:hAnsi="Source Sans Pro"/>
        </w:rPr>
        <w:t>gad</w:t>
      </w:r>
      <w:r w:rsidRPr="00D829F0">
        <w:rPr>
          <w:rFonts w:ascii="Source Sans Pro" w:hAnsi="Source Sans Pro"/>
        </w:rPr>
        <w:t>am, pēdējos</w:t>
      </w:r>
      <w:r w:rsidR="00097A08" w:rsidRPr="00D829F0">
        <w:rPr>
          <w:rFonts w:ascii="Source Sans Pro" w:hAnsi="Source Sans Pro"/>
        </w:rPr>
        <w:t xml:space="preserve"> </w:t>
      </w:r>
      <w:r w:rsidR="0080669C" w:rsidRPr="00D829F0">
        <w:rPr>
          <w:rFonts w:ascii="Source Sans Pro" w:hAnsi="Source Sans Pro"/>
        </w:rPr>
        <w:t>gad</w:t>
      </w:r>
      <w:r w:rsidRPr="00D829F0">
        <w:rPr>
          <w:rFonts w:ascii="Source Sans Pro" w:hAnsi="Source Sans Pro"/>
        </w:rPr>
        <w:t xml:space="preserve">os vispārējās un profesionālās vidējās izglītības </w:t>
      </w:r>
      <w:r w:rsidR="00391F39" w:rsidRPr="00D829F0">
        <w:rPr>
          <w:rFonts w:ascii="Source Sans Pro" w:hAnsi="Source Sans Pro"/>
        </w:rPr>
        <w:t>izglītojamo</w:t>
      </w:r>
      <w:r w:rsidRPr="00D829F0">
        <w:rPr>
          <w:rFonts w:ascii="Source Sans Pro" w:hAnsi="Source Sans Pro"/>
        </w:rPr>
        <w:t xml:space="preserve"> skaita kritums ir kļuvis lēnāks, tomēr neskatoties uz to izglītojamo skaita tendence joprojām saglabājās negatīva.</w:t>
      </w:r>
    </w:p>
    <w:p w14:paraId="4B13A1C4" w14:textId="6D9B809F" w:rsidR="00217926" w:rsidRPr="00D829F0" w:rsidRDefault="00217926" w:rsidP="00855DD4">
      <w:pPr>
        <w:spacing w:after="120"/>
        <w:jc w:val="both"/>
        <w:rPr>
          <w:rFonts w:ascii="Source Sans Pro" w:hAnsi="Source Sans Pro"/>
          <w:szCs w:val="20"/>
        </w:rPr>
      </w:pPr>
      <w:r w:rsidRPr="00D829F0">
        <w:rPr>
          <w:rFonts w:ascii="Source Sans Pro" w:hAnsi="Source Sans Pro"/>
          <w:szCs w:val="20"/>
        </w:rPr>
        <w:t xml:space="preserve">Vidējās izglītības struktūra ir atkarīga no pamatskolu beidzēju izvēles par turpmāko izglītošanos. </w:t>
      </w:r>
      <w:r w:rsidR="008E39D2">
        <w:rPr>
          <w:rFonts w:ascii="Source Sans Pro" w:hAnsi="Source Sans Pro"/>
          <w:szCs w:val="20"/>
        </w:rPr>
        <w:t>B</w:t>
      </w:r>
      <w:r w:rsidRPr="00D829F0">
        <w:rPr>
          <w:rFonts w:ascii="Source Sans Pro" w:hAnsi="Source Sans Pro"/>
          <w:szCs w:val="20"/>
        </w:rPr>
        <w:t>ūtiskākā problēma profesionālajā izglītībā ir tās zemā pievilcība, kas lielā mērā saistīta ar sabiedrības aizspriedumiem un novecojušiem stereotipiem</w:t>
      </w:r>
      <w:r w:rsidR="00B93DA4">
        <w:rPr>
          <w:rFonts w:ascii="Source Sans Pro" w:hAnsi="Source Sans Pro"/>
          <w:szCs w:val="20"/>
        </w:rPr>
        <w:t>. V</w:t>
      </w:r>
      <w:r w:rsidR="00E60D15" w:rsidRPr="00D829F0">
        <w:rPr>
          <w:rFonts w:ascii="Source Sans Pro" w:hAnsi="Source Sans Pro"/>
          <w:szCs w:val="20"/>
        </w:rPr>
        <w:t>airāk kā puse (5</w:t>
      </w:r>
      <w:r w:rsidR="00E30761" w:rsidRPr="00D829F0">
        <w:rPr>
          <w:rFonts w:ascii="Source Sans Pro" w:hAnsi="Source Sans Pro"/>
          <w:szCs w:val="20"/>
        </w:rPr>
        <w:t>6,7</w:t>
      </w:r>
      <w:r w:rsidR="00E60D15" w:rsidRPr="00D829F0">
        <w:rPr>
          <w:rFonts w:ascii="Source Sans Pro" w:hAnsi="Source Sans Pro"/>
          <w:szCs w:val="20"/>
        </w:rPr>
        <w:t xml:space="preserve">%) </w:t>
      </w:r>
      <w:r w:rsidRPr="00D829F0">
        <w:rPr>
          <w:rFonts w:ascii="Source Sans Pro" w:hAnsi="Source Sans Pro"/>
          <w:szCs w:val="20"/>
        </w:rPr>
        <w:t>no jauniešiem pēc pamatizglītības beigšanas izvēl</w:t>
      </w:r>
      <w:r w:rsidR="007B5C66" w:rsidRPr="00D829F0">
        <w:rPr>
          <w:rFonts w:ascii="Source Sans Pro" w:hAnsi="Source Sans Pro"/>
          <w:szCs w:val="20"/>
        </w:rPr>
        <w:t>a</w:t>
      </w:r>
      <w:r w:rsidRPr="00D829F0">
        <w:rPr>
          <w:rFonts w:ascii="Source Sans Pro" w:hAnsi="Source Sans Pro"/>
          <w:szCs w:val="20"/>
        </w:rPr>
        <w:t xml:space="preserve">s turpināt mācības vispārējā vidējā izglītībā. Lai arī </w:t>
      </w:r>
      <w:r w:rsidR="007778C2" w:rsidRPr="00D829F0">
        <w:rPr>
          <w:rFonts w:ascii="Source Sans Pro" w:hAnsi="Source Sans Pro"/>
          <w:szCs w:val="20"/>
        </w:rPr>
        <w:t>pēdējo</w:t>
      </w:r>
      <w:r w:rsidR="005A5BFE" w:rsidRPr="00D829F0">
        <w:rPr>
          <w:rFonts w:ascii="Source Sans Pro" w:hAnsi="Source Sans Pro"/>
          <w:szCs w:val="20"/>
        </w:rPr>
        <w:t xml:space="preserve"> </w:t>
      </w:r>
      <w:r w:rsidRPr="00D829F0">
        <w:rPr>
          <w:rFonts w:ascii="Source Sans Pro" w:hAnsi="Source Sans Pro"/>
          <w:szCs w:val="20"/>
        </w:rPr>
        <w:t>gados pamatskolu absolventi vairāk pievēršas profesionālai izglītībai, tomēr ar to nepietiek, lai nodrošinātu vidējās kvalifikācijas speciālistu aizvietošanu darba tirgū sabiedrības novecošanās</w:t>
      </w:r>
      <w:r w:rsidR="00874D35" w:rsidRPr="00D829F0">
        <w:rPr>
          <w:rFonts w:ascii="Source Sans Pro" w:hAnsi="Source Sans Pro"/>
          <w:szCs w:val="20"/>
        </w:rPr>
        <w:t xml:space="preserve"> dēļ</w:t>
      </w:r>
      <w:r w:rsidRPr="00D829F0">
        <w:rPr>
          <w:rFonts w:ascii="Source Sans Pro" w:hAnsi="Source Sans Pro"/>
          <w:szCs w:val="20"/>
        </w:rPr>
        <w:t>.</w:t>
      </w:r>
    </w:p>
    <w:p w14:paraId="726489DF" w14:textId="77777777" w:rsidR="00890074" w:rsidRDefault="00890074">
      <w:pPr>
        <w:spacing w:after="0"/>
        <w:rPr>
          <w:rFonts w:ascii="Source Sans Pro" w:hAnsi="Source Sans Pro"/>
          <w:szCs w:val="26"/>
        </w:rPr>
      </w:pPr>
      <w:r>
        <w:rPr>
          <w:rFonts w:ascii="Source Sans Pro" w:hAnsi="Source Sans Pro"/>
          <w:szCs w:val="26"/>
        </w:rPr>
        <w:br w:type="page"/>
      </w:r>
    </w:p>
    <w:p w14:paraId="346C18C2" w14:textId="49991234" w:rsidR="004C23D5" w:rsidRPr="00D829F0" w:rsidRDefault="004C23D5" w:rsidP="00855DD4">
      <w:pPr>
        <w:spacing w:after="120"/>
        <w:jc w:val="right"/>
        <w:rPr>
          <w:rFonts w:ascii="Source Sans Pro" w:hAnsi="Source Sans Pro"/>
          <w:szCs w:val="26"/>
        </w:rPr>
      </w:pPr>
      <w:r w:rsidRPr="00D829F0">
        <w:rPr>
          <w:rFonts w:ascii="Source Sans Pro" w:hAnsi="Source Sans Pro"/>
          <w:szCs w:val="26"/>
        </w:rPr>
        <w:lastRenderedPageBreak/>
        <w:t>2.1</w:t>
      </w:r>
      <w:r w:rsidR="007A5910" w:rsidRPr="00D829F0">
        <w:rPr>
          <w:rFonts w:ascii="Source Sans Pro" w:hAnsi="Source Sans Pro"/>
          <w:szCs w:val="26"/>
        </w:rPr>
        <w:t>7</w:t>
      </w:r>
      <w:r w:rsidRPr="00D829F0">
        <w:rPr>
          <w:rFonts w:ascii="Source Sans Pro" w:hAnsi="Source Sans Pro"/>
          <w:szCs w:val="26"/>
        </w:rPr>
        <w:t>.</w:t>
      </w:r>
      <w:r w:rsidR="00B93DA4">
        <w:rPr>
          <w:rFonts w:ascii="Source Sans Pro" w:hAnsi="Source Sans Pro"/>
          <w:szCs w:val="26"/>
        </w:rPr>
        <w:t> </w:t>
      </w:r>
      <w:r w:rsidRPr="00D829F0">
        <w:rPr>
          <w:rFonts w:ascii="Source Sans Pro" w:hAnsi="Source Sans Pro"/>
          <w:szCs w:val="26"/>
        </w:rPr>
        <w:t>attēls</w:t>
      </w:r>
    </w:p>
    <w:p w14:paraId="31FE970E" w14:textId="77777777" w:rsidR="004C23D5" w:rsidRPr="00D829F0" w:rsidRDefault="004C23D5" w:rsidP="004C23D5">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120"/>
        <w:rPr>
          <w:rFonts w:ascii="Source Sans Pro" w:hAnsi="Source Sans Pro"/>
          <w:sz w:val="16"/>
          <w:szCs w:val="22"/>
        </w:rPr>
      </w:pPr>
      <w:r w:rsidRPr="00E30761">
        <w:rPr>
          <w:rFonts w:ascii="Segoe UI Light" w:eastAsia="Calibri" w:hAnsi="Segoe UI Light"/>
          <w:b/>
          <w:color w:val="auto"/>
          <w:szCs w:val="26"/>
        </w:rPr>
        <w:t>Uzņemtie audzēkņi un studenti izglītības iestādēs</w:t>
      </w:r>
      <w:r w:rsidRPr="00D829F0">
        <w:rPr>
          <w:rFonts w:ascii="Source Sans Pro" w:hAnsi="Source Sans Pro"/>
          <w:b/>
          <w:sz w:val="20"/>
          <w:szCs w:val="26"/>
        </w:rPr>
        <w:br/>
      </w:r>
      <w:r w:rsidRPr="00E30761">
        <w:rPr>
          <w:rFonts w:ascii="Segoe UI Light" w:eastAsia="Calibri" w:hAnsi="Segoe UI Light"/>
          <w:bCs/>
          <w:i/>
          <w:color w:val="auto"/>
          <w:sz w:val="16"/>
          <w:szCs w:val="22"/>
        </w:rPr>
        <w:t>tūkstošos</w:t>
      </w:r>
    </w:p>
    <w:p w14:paraId="0EF5BFFE" w14:textId="5B823074" w:rsidR="004C23D5" w:rsidRPr="00D829F0" w:rsidRDefault="004A5758" w:rsidP="00855DD4">
      <w:pPr>
        <w:spacing w:after="120"/>
        <w:jc w:val="center"/>
        <w:rPr>
          <w:rFonts w:ascii="Source Sans Pro" w:hAnsi="Source Sans Pro"/>
        </w:rPr>
      </w:pPr>
      <w:r w:rsidRPr="00D829F0">
        <w:rPr>
          <w:rFonts w:ascii="Source Sans Pro" w:hAnsi="Source Sans Pro"/>
          <w:noProof/>
          <w:szCs w:val="20"/>
          <w:lang w:eastAsia="lv-LV"/>
        </w:rPr>
        <w:drawing>
          <wp:inline distT="0" distB="0" distL="0" distR="0" wp14:anchorId="047AA82B" wp14:editId="3A12DDD8">
            <wp:extent cx="5760000" cy="1980000"/>
            <wp:effectExtent l="0" t="0" r="0" b="1270"/>
            <wp:docPr id="257519662" name="Objec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4D326D4" w14:textId="679F5905" w:rsidR="004C23D5" w:rsidRPr="00D829F0" w:rsidRDefault="004C23D5" w:rsidP="00097A08">
      <w:pPr>
        <w:spacing w:after="120"/>
        <w:rPr>
          <w:rFonts w:ascii="Source Sans Pro" w:eastAsia="Times New Roman" w:hAnsi="Source Sans Pro" w:cs="Calibri Light"/>
          <w:color w:val="000000"/>
          <w:sz w:val="16"/>
          <w:szCs w:val="20"/>
        </w:rPr>
      </w:pPr>
      <w:r w:rsidRPr="00D829F0">
        <w:rPr>
          <w:rFonts w:ascii="Source Sans Pro" w:eastAsia="Times New Roman" w:hAnsi="Source Sans Pro" w:cs="Calibri Light"/>
          <w:color w:val="000000"/>
          <w:sz w:val="16"/>
          <w:szCs w:val="20"/>
        </w:rPr>
        <w:t>Avots: CSP</w:t>
      </w:r>
      <w:r w:rsidR="000F5FB0" w:rsidRPr="00D829F0">
        <w:rPr>
          <w:rFonts w:ascii="Source Sans Pro" w:eastAsia="Times New Roman" w:hAnsi="Source Sans Pro" w:cs="Calibri Light"/>
          <w:color w:val="000000"/>
          <w:sz w:val="16"/>
          <w:szCs w:val="20"/>
        </w:rPr>
        <w:t xml:space="preserve">, </w:t>
      </w:r>
      <w:r w:rsidR="00412B92" w:rsidRPr="00D829F0">
        <w:rPr>
          <w:rFonts w:ascii="Source Sans Pro" w:eastAsia="Times New Roman" w:hAnsi="Source Sans Pro" w:cs="Calibri Light"/>
          <w:color w:val="000000"/>
          <w:sz w:val="16"/>
          <w:szCs w:val="20"/>
        </w:rPr>
        <w:t>IZM</w:t>
      </w:r>
    </w:p>
    <w:p w14:paraId="3C972099" w14:textId="77777777" w:rsidR="004F26D6" w:rsidRDefault="004F26D6" w:rsidP="007778C2">
      <w:pPr>
        <w:spacing w:after="120"/>
        <w:jc w:val="both"/>
        <w:rPr>
          <w:rFonts w:ascii="Source Sans Pro" w:hAnsi="Source Sans Pro"/>
        </w:rPr>
      </w:pPr>
    </w:p>
    <w:p w14:paraId="58AD06C6" w14:textId="4AC94D08" w:rsidR="007778C2" w:rsidRPr="00D829F0" w:rsidRDefault="007778C2" w:rsidP="007778C2">
      <w:pPr>
        <w:spacing w:after="120"/>
        <w:jc w:val="both"/>
        <w:rPr>
          <w:rFonts w:ascii="Source Sans Pro" w:hAnsi="Source Sans Pro"/>
        </w:rPr>
      </w:pPr>
      <w:r w:rsidRPr="00D829F0">
        <w:rPr>
          <w:rFonts w:ascii="Source Sans Pro" w:hAnsi="Source Sans Pro"/>
        </w:rPr>
        <w:t xml:space="preserve">Pēdējos gados profesionālās izglītības iestādēs uzņemto </w:t>
      </w:r>
      <w:r w:rsidR="00391F39" w:rsidRPr="00D829F0">
        <w:rPr>
          <w:rFonts w:ascii="Source Sans Pro" w:hAnsi="Source Sans Pro"/>
        </w:rPr>
        <w:t xml:space="preserve">izglītojamo </w:t>
      </w:r>
      <w:r w:rsidRPr="00D829F0">
        <w:rPr>
          <w:rFonts w:ascii="Source Sans Pro" w:hAnsi="Source Sans Pro"/>
        </w:rPr>
        <w:t>skaits saglabājas aptuveni vienā līmenī. Jauniešu īpatsvars, kas pēc vispārējās vidējās izglītības turpina mācības profesionālajā izglītībā 202</w:t>
      </w:r>
      <w:r w:rsidR="001417AB" w:rsidRPr="00D829F0">
        <w:rPr>
          <w:rFonts w:ascii="Source Sans Pro" w:hAnsi="Source Sans Pro"/>
        </w:rPr>
        <w:t>5</w:t>
      </w:r>
      <w:r w:rsidRPr="00D829F0">
        <w:rPr>
          <w:rFonts w:ascii="Source Sans Pro" w:hAnsi="Source Sans Pro"/>
        </w:rPr>
        <w:t xml:space="preserve">. gadā ir </w:t>
      </w:r>
      <w:r w:rsidR="00453B24" w:rsidRPr="00D829F0">
        <w:rPr>
          <w:rFonts w:ascii="Source Sans Pro" w:hAnsi="Source Sans Pro"/>
        </w:rPr>
        <w:t>pieaudzis</w:t>
      </w:r>
      <w:r w:rsidRPr="00D829F0">
        <w:rPr>
          <w:rFonts w:ascii="Source Sans Pro" w:hAnsi="Source Sans Pro"/>
        </w:rPr>
        <w:t xml:space="preserve"> par </w:t>
      </w:r>
      <w:r w:rsidR="00355DB8" w:rsidRPr="00D829F0">
        <w:rPr>
          <w:rFonts w:ascii="Source Sans Pro" w:hAnsi="Source Sans Pro"/>
        </w:rPr>
        <w:t>0,1</w:t>
      </w:r>
      <w:r w:rsidRPr="00D829F0">
        <w:rPr>
          <w:rFonts w:ascii="Source Sans Pro" w:hAnsi="Source Sans Pro"/>
        </w:rPr>
        <w:t xml:space="preserve"> procentpunkt</w:t>
      </w:r>
      <w:r w:rsidR="00355DB8" w:rsidRPr="00D829F0">
        <w:rPr>
          <w:rFonts w:ascii="Source Sans Pro" w:hAnsi="Source Sans Pro"/>
        </w:rPr>
        <w:t>u</w:t>
      </w:r>
      <w:r w:rsidR="00AB63E8" w:rsidRPr="00D829F0">
        <w:rPr>
          <w:rFonts w:ascii="Source Sans Pro" w:hAnsi="Source Sans Pro"/>
        </w:rPr>
        <w:t>, salīdzinot ar 202</w:t>
      </w:r>
      <w:r w:rsidR="00453B24" w:rsidRPr="00D829F0">
        <w:rPr>
          <w:rFonts w:ascii="Source Sans Pro" w:hAnsi="Source Sans Pro"/>
        </w:rPr>
        <w:t>4</w:t>
      </w:r>
      <w:r w:rsidR="00AB63E8" w:rsidRPr="00D829F0">
        <w:rPr>
          <w:rFonts w:ascii="Source Sans Pro" w:hAnsi="Source Sans Pro"/>
        </w:rPr>
        <w:t>.</w:t>
      </w:r>
      <w:r w:rsidR="00B93DA4">
        <w:rPr>
          <w:rFonts w:ascii="Source Sans Pro" w:hAnsi="Source Sans Pro"/>
        </w:rPr>
        <w:t> </w:t>
      </w:r>
      <w:r w:rsidR="00AB63E8" w:rsidRPr="00D829F0">
        <w:rPr>
          <w:rFonts w:ascii="Source Sans Pro" w:hAnsi="Source Sans Pro"/>
        </w:rPr>
        <w:t>gadu</w:t>
      </w:r>
      <w:r w:rsidR="00B17C79" w:rsidRPr="00D829F0">
        <w:rPr>
          <w:rFonts w:ascii="Source Sans Pro" w:hAnsi="Source Sans Pro"/>
        </w:rPr>
        <w:t>, kas ir pirmais pieaugums kopš 2020.</w:t>
      </w:r>
      <w:r w:rsidR="00B93DA4">
        <w:rPr>
          <w:rFonts w:ascii="Source Sans Pro" w:hAnsi="Source Sans Pro"/>
        </w:rPr>
        <w:t> </w:t>
      </w:r>
      <w:r w:rsidR="00B17C79" w:rsidRPr="00D829F0">
        <w:rPr>
          <w:rFonts w:ascii="Source Sans Pro" w:hAnsi="Source Sans Pro"/>
        </w:rPr>
        <w:t>gada</w:t>
      </w:r>
      <w:r w:rsidR="005201A4" w:rsidRPr="00D829F0">
        <w:rPr>
          <w:rFonts w:ascii="Source Sans Pro" w:hAnsi="Source Sans Pro"/>
        </w:rPr>
        <w:t>.</w:t>
      </w:r>
    </w:p>
    <w:p w14:paraId="3B00D094" w14:textId="757433A8" w:rsidR="002E34FE" w:rsidRPr="00D829F0" w:rsidRDefault="002E34FE" w:rsidP="002E34FE">
      <w:pPr>
        <w:spacing w:after="120"/>
        <w:jc w:val="both"/>
        <w:rPr>
          <w:rFonts w:ascii="Source Sans Pro" w:hAnsi="Source Sans Pro"/>
        </w:rPr>
      </w:pPr>
      <w:r w:rsidRPr="00D829F0">
        <w:rPr>
          <w:rFonts w:ascii="Source Sans Pro" w:hAnsi="Source Sans Pro"/>
        </w:rPr>
        <w:t>Latvija ir noteikusi mērķi līdz 2027.</w:t>
      </w:r>
      <w:r w:rsidR="00B93DA4">
        <w:rPr>
          <w:rFonts w:ascii="Source Sans Pro" w:hAnsi="Source Sans Pro"/>
        </w:rPr>
        <w:t> </w:t>
      </w:r>
      <w:r w:rsidRPr="00D829F0">
        <w:rPr>
          <w:rFonts w:ascii="Source Sans Pro" w:hAnsi="Source Sans Pro"/>
        </w:rPr>
        <w:t xml:space="preserve">gadam veicināt līdzsvarotāku pāreju pēc pamatizglītības ieguves, paredzot, ka profesionālajā izglītībā mācības turpina 45% pamatskolu beidzēju, īpašu uzsvaru liekot uz </w:t>
      </w:r>
      <w:r w:rsidR="00F33CA7">
        <w:rPr>
          <w:rFonts w:ascii="Source Sans Pro" w:hAnsi="Source Sans Pro"/>
        </w:rPr>
        <w:t>DVB</w:t>
      </w:r>
      <w:r w:rsidRPr="00D829F0">
        <w:rPr>
          <w:rFonts w:ascii="Source Sans Pro" w:hAnsi="Source Sans Pro"/>
        </w:rPr>
        <w:t xml:space="preserve"> mācību paplašināšanu, profesionālās izglītības iestāžu kapacitātes stiprināšanu un ciešāku sadarbību ar darba devējiem. Pēc pieauguma iepriekšējos gados profesionālās izglītības iestādēs mācības turpinošo pamatskolu absolventu īpatsvars 2024.</w:t>
      </w:r>
      <w:r w:rsidR="00B93DA4">
        <w:rPr>
          <w:rFonts w:ascii="Source Sans Pro" w:hAnsi="Source Sans Pro"/>
        </w:rPr>
        <w:t> </w:t>
      </w:r>
      <w:r w:rsidRPr="00D829F0">
        <w:rPr>
          <w:rFonts w:ascii="Source Sans Pro" w:hAnsi="Source Sans Pro"/>
        </w:rPr>
        <w:t>gadā samazinājās līdz 34,4%, salīdzinot ar 35,9% 2023.</w:t>
      </w:r>
      <w:r w:rsidR="00B93DA4">
        <w:rPr>
          <w:rFonts w:ascii="Source Sans Pro" w:hAnsi="Source Sans Pro"/>
        </w:rPr>
        <w:t> </w:t>
      </w:r>
      <w:r w:rsidRPr="00D829F0">
        <w:rPr>
          <w:rFonts w:ascii="Source Sans Pro" w:hAnsi="Source Sans Pro"/>
        </w:rPr>
        <w:t>gadā un 37% 2021./2022.</w:t>
      </w:r>
      <w:r w:rsidR="00B93DA4">
        <w:rPr>
          <w:rFonts w:ascii="Source Sans Pro" w:hAnsi="Source Sans Pro"/>
        </w:rPr>
        <w:t> </w:t>
      </w:r>
      <w:r w:rsidRPr="00D829F0">
        <w:rPr>
          <w:rFonts w:ascii="Source Sans Pro" w:hAnsi="Source Sans Pro"/>
        </w:rPr>
        <w:t xml:space="preserve">mācību gadā. Vienlaikus arī vidusskolu absolventu interese par profesionālo izglītību turpina samazināties </w:t>
      </w:r>
      <w:r w:rsidR="00B93DA4">
        <w:rPr>
          <w:rFonts w:ascii="Source Sans Pro" w:hAnsi="Source Sans Pro"/>
        </w:rPr>
        <w:t>–</w:t>
      </w:r>
      <w:r w:rsidRPr="00D829F0">
        <w:rPr>
          <w:rFonts w:ascii="Source Sans Pro" w:hAnsi="Source Sans Pro"/>
        </w:rPr>
        <w:t xml:space="preserve"> 2024.</w:t>
      </w:r>
      <w:r w:rsidR="00B93DA4">
        <w:rPr>
          <w:rFonts w:ascii="Source Sans Pro" w:hAnsi="Source Sans Pro"/>
        </w:rPr>
        <w:t> </w:t>
      </w:r>
      <w:r w:rsidRPr="00D829F0">
        <w:rPr>
          <w:rFonts w:ascii="Source Sans Pro" w:hAnsi="Source Sans Pro"/>
        </w:rPr>
        <w:t>gadā profesionālās izglītības iestādēs mācības turpināja tikai 2,3% vidusskolu absolventu.</w:t>
      </w:r>
    </w:p>
    <w:p w14:paraId="294E944F" w14:textId="62233E32" w:rsidR="002E34FE" w:rsidRDefault="002E34FE" w:rsidP="002E34FE">
      <w:pPr>
        <w:spacing w:after="120"/>
        <w:jc w:val="both"/>
        <w:rPr>
          <w:rFonts w:ascii="Source Sans Pro" w:hAnsi="Source Sans Pro"/>
        </w:rPr>
      </w:pPr>
      <w:r w:rsidRPr="00D829F0">
        <w:rPr>
          <w:rFonts w:ascii="Source Sans Pro" w:hAnsi="Source Sans Pro"/>
        </w:rPr>
        <w:t>Tas liecina, ka nepieciešams turpināt pasākumus profesionālās izglītības pievilcības veicināšanai, tostarp īstenot sabiedrības informēšanas kampaņas, lai kliedētu mītus un mainītu attieksmi pret profesionālo izglītību un popularizētu kvalitatīva darba un izaugsmes iespējas absolventiem ar attiecīgu profesionālo vidējo izglītību, tādējādi palielinātu jauniešu interesi par profesionālās kvalifikācijas iegūšanu profesionālās vidējās izglītības iestādēs. Tāpat jāveicina nozaru un darba devēju aktīvāka komunikācija par nodarbinātības iespējām attiecīgajās kvalifikācijās.</w:t>
      </w:r>
    </w:p>
    <w:p w14:paraId="581F4D8D" w14:textId="08E6A4C3" w:rsidR="004C23D5" w:rsidRPr="00D829F0" w:rsidRDefault="004C23D5" w:rsidP="00855DD4">
      <w:pPr>
        <w:spacing w:after="120"/>
        <w:jc w:val="right"/>
        <w:rPr>
          <w:rFonts w:ascii="Source Sans Pro" w:hAnsi="Source Sans Pro"/>
          <w:szCs w:val="20"/>
        </w:rPr>
      </w:pPr>
      <w:r w:rsidRPr="00D829F0">
        <w:rPr>
          <w:rFonts w:ascii="Source Sans Pro" w:hAnsi="Source Sans Pro"/>
          <w:szCs w:val="20"/>
        </w:rPr>
        <w:t>2.1</w:t>
      </w:r>
      <w:r w:rsidR="007A5910" w:rsidRPr="00D829F0">
        <w:rPr>
          <w:rFonts w:ascii="Source Sans Pro" w:hAnsi="Source Sans Pro"/>
          <w:szCs w:val="20"/>
        </w:rPr>
        <w:t>8</w:t>
      </w:r>
      <w:r w:rsidRPr="00D829F0">
        <w:rPr>
          <w:rFonts w:ascii="Source Sans Pro" w:hAnsi="Source Sans Pro"/>
          <w:szCs w:val="20"/>
        </w:rPr>
        <w:t>.</w:t>
      </w:r>
      <w:r w:rsidR="00CC6E3F">
        <w:rPr>
          <w:rFonts w:ascii="Source Sans Pro" w:hAnsi="Source Sans Pro"/>
          <w:szCs w:val="20"/>
        </w:rPr>
        <w:t> </w:t>
      </w:r>
      <w:r w:rsidRPr="00D829F0">
        <w:rPr>
          <w:rFonts w:ascii="Source Sans Pro" w:hAnsi="Source Sans Pro"/>
          <w:szCs w:val="20"/>
        </w:rPr>
        <w:t>attēls</w:t>
      </w:r>
    </w:p>
    <w:p w14:paraId="43EF08D1" w14:textId="49ADBA0C" w:rsidR="004C23D5" w:rsidRPr="00FD6D2C" w:rsidRDefault="00391F39" w:rsidP="00CA6D4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120"/>
        <w:rPr>
          <w:rFonts w:ascii="Segoe UI Light" w:hAnsi="Segoe UI Light"/>
          <w:bCs/>
          <w:sz w:val="16"/>
          <w:szCs w:val="16"/>
        </w:rPr>
      </w:pPr>
      <w:bookmarkStart w:id="46" w:name="_Hlk170761789"/>
      <w:r w:rsidRPr="00FD6D2C">
        <w:rPr>
          <w:rFonts w:ascii="Segoe UI Light" w:hAnsi="Segoe UI Light"/>
          <w:b/>
          <w:szCs w:val="26"/>
        </w:rPr>
        <w:t>Izglītojamie</w:t>
      </w:r>
      <w:r w:rsidR="004C23D5" w:rsidRPr="00FD6D2C">
        <w:rPr>
          <w:rFonts w:ascii="Segoe UI Light" w:hAnsi="Segoe UI Light"/>
          <w:b/>
          <w:szCs w:val="26"/>
        </w:rPr>
        <w:t>, kuri turpina mācības profesionālās izglītības iestādēs</w:t>
      </w:r>
      <w:r w:rsidR="004C23D5" w:rsidRPr="00FD6D2C">
        <w:rPr>
          <w:rFonts w:ascii="Segoe UI Light" w:hAnsi="Segoe UI Light"/>
          <w:b/>
          <w:bCs/>
          <w:szCs w:val="26"/>
        </w:rPr>
        <w:br/>
      </w:r>
      <w:r w:rsidR="004C23D5" w:rsidRPr="00FD6D2C">
        <w:rPr>
          <w:rFonts w:ascii="Segoe UI Light" w:hAnsi="Segoe UI Light"/>
          <w:bCs/>
          <w:i/>
          <w:sz w:val="16"/>
          <w:szCs w:val="16"/>
        </w:rPr>
        <w:tab/>
      </w:r>
      <w:r w:rsidR="004C23D5" w:rsidRPr="00FD6D2C">
        <w:rPr>
          <w:rFonts w:ascii="Segoe UI Light" w:hAnsi="Segoe UI Light"/>
          <w:bCs/>
          <w:i/>
          <w:sz w:val="16"/>
          <w:szCs w:val="16"/>
        </w:rPr>
        <w:tab/>
        <w:t>% no kopā beigušajiem</w:t>
      </w:r>
      <w:r w:rsidR="004C23D5" w:rsidRPr="00FD6D2C">
        <w:rPr>
          <w:rFonts w:ascii="Segoe UI Light" w:hAnsi="Segoe UI Light"/>
          <w:bCs/>
          <w:i/>
          <w:sz w:val="16"/>
          <w:szCs w:val="16"/>
        </w:rPr>
        <w:br/>
      </w:r>
      <w:r w:rsidR="004C23D5" w:rsidRPr="00FD6D2C">
        <w:rPr>
          <w:rFonts w:ascii="Segoe UI Light" w:hAnsi="Segoe UI Light"/>
          <w:bCs/>
          <w:sz w:val="16"/>
          <w:szCs w:val="16"/>
        </w:rPr>
        <w:tab/>
        <w:t xml:space="preserve">Pamatskolu beigušie </w:t>
      </w:r>
      <w:r w:rsidR="004C23D5" w:rsidRPr="00FD6D2C">
        <w:rPr>
          <w:rFonts w:ascii="Segoe UI Light" w:hAnsi="Segoe UI Light"/>
          <w:bCs/>
          <w:sz w:val="16"/>
          <w:szCs w:val="16"/>
        </w:rPr>
        <w:tab/>
      </w:r>
      <w:r w:rsidR="004C23D5" w:rsidRPr="00FD6D2C">
        <w:rPr>
          <w:rFonts w:ascii="Segoe UI Light" w:hAnsi="Segoe UI Light"/>
          <w:bCs/>
          <w:sz w:val="16"/>
          <w:szCs w:val="16"/>
        </w:rPr>
        <w:tab/>
        <w:t>Vidusskolu beigušie</w:t>
      </w:r>
    </w:p>
    <w:p w14:paraId="443217A9" w14:textId="2373752F" w:rsidR="004C23D5" w:rsidRPr="00D829F0" w:rsidRDefault="007155F8" w:rsidP="00855DD4">
      <w:pPr>
        <w:spacing w:after="120"/>
        <w:rPr>
          <w:rFonts w:ascii="Source Sans Pro" w:hAnsi="Source Sans Pro"/>
        </w:rPr>
      </w:pPr>
      <w:r w:rsidRPr="008857C4">
        <w:rPr>
          <w:rFonts w:ascii="Source Sans Pro" w:hAnsi="Source Sans Pro"/>
          <w:noProof/>
          <w:szCs w:val="20"/>
          <w:shd w:val="clear" w:color="auto" w:fill="808080" w:themeFill="background1" w:themeFillShade="80"/>
          <w:lang w:eastAsia="lv-LV"/>
        </w:rPr>
        <w:drawing>
          <wp:inline distT="0" distB="0" distL="0" distR="0" wp14:anchorId="09AB6AAC" wp14:editId="01A6AC88">
            <wp:extent cx="2880000" cy="2160000"/>
            <wp:effectExtent l="0" t="0" r="15875" b="12065"/>
            <wp:docPr id="1924583959" name="Chart 19245839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00FD6D2C" w:rsidRPr="008857C4">
        <w:rPr>
          <w:rFonts w:ascii="Source Sans Pro" w:hAnsi="Source Sans Pro"/>
          <w:noProof/>
          <w:szCs w:val="20"/>
          <w:lang w:eastAsia="lv-LV"/>
        </w:rPr>
        <w:drawing>
          <wp:inline distT="0" distB="0" distL="0" distR="0" wp14:anchorId="0E4ED0EE" wp14:editId="2A84B7B7">
            <wp:extent cx="2844000" cy="2160000"/>
            <wp:effectExtent l="0" t="0" r="0" b="0"/>
            <wp:docPr id="1618852460" name="Chart 1618852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50C29126" w14:textId="77777777" w:rsidR="004C23D5" w:rsidRPr="00D829F0" w:rsidRDefault="004C23D5" w:rsidP="00097A08">
      <w:pPr>
        <w:spacing w:after="120"/>
        <w:rPr>
          <w:rFonts w:ascii="Source Sans Pro" w:eastAsia="Times New Roman" w:hAnsi="Source Sans Pro" w:cs="Calibri Light"/>
          <w:color w:val="000000"/>
          <w:sz w:val="16"/>
          <w:szCs w:val="20"/>
        </w:rPr>
      </w:pPr>
      <w:r w:rsidRPr="00D829F0">
        <w:rPr>
          <w:rFonts w:ascii="Source Sans Pro" w:eastAsia="Times New Roman" w:hAnsi="Source Sans Pro" w:cs="Calibri Light"/>
          <w:color w:val="000000"/>
          <w:sz w:val="16"/>
          <w:szCs w:val="20"/>
        </w:rPr>
        <w:t>Avots: CSP</w:t>
      </w:r>
    </w:p>
    <w:bookmarkEnd w:id="46"/>
    <w:p w14:paraId="70A508F8" w14:textId="5C1561F5" w:rsidR="004C23D5" w:rsidRPr="0054750B" w:rsidRDefault="004C23D5" w:rsidP="00855DD4">
      <w:pPr>
        <w:spacing w:after="120"/>
        <w:jc w:val="both"/>
        <w:rPr>
          <w:rFonts w:ascii="Aptos Narrow" w:hAnsi="Aptos Narrow"/>
          <w:b/>
          <w:color w:val="003E4C"/>
          <w:sz w:val="28"/>
          <w:szCs w:val="28"/>
        </w:rPr>
      </w:pPr>
      <w:r w:rsidRPr="0054750B">
        <w:rPr>
          <w:rFonts w:ascii="Aptos Narrow" w:hAnsi="Aptos Narrow"/>
          <w:b/>
          <w:color w:val="003E4C"/>
          <w:sz w:val="28"/>
          <w:szCs w:val="28"/>
        </w:rPr>
        <w:lastRenderedPageBreak/>
        <w:t>Izglītības piedāvājuma strukturālās izmaiņas</w:t>
      </w:r>
    </w:p>
    <w:p w14:paraId="06560CE8" w14:textId="1DAD9754" w:rsidR="004C23D5" w:rsidRPr="00D829F0" w:rsidRDefault="00CD14DB" w:rsidP="00855DD4">
      <w:pPr>
        <w:spacing w:after="120"/>
        <w:jc w:val="both"/>
        <w:rPr>
          <w:rFonts w:ascii="Source Sans Pro" w:hAnsi="Source Sans Pro"/>
        </w:rPr>
      </w:pPr>
      <w:r w:rsidRPr="00D829F0">
        <w:rPr>
          <w:rFonts w:ascii="Source Sans Pro" w:hAnsi="Source Sans Pro"/>
        </w:rPr>
        <w:t>Attiecībā uz studējošo īpatsvaru dabas un informācijas tehnoloģiju jomās (dabaszinātņu, matemātikas un informācijas tehnoloģiju tematiskā grupa) tika izvirzīts mērķis 2027.</w:t>
      </w:r>
      <w:r w:rsidR="00CC6E3F">
        <w:rPr>
          <w:rFonts w:ascii="Source Sans Pro" w:hAnsi="Source Sans Pro"/>
        </w:rPr>
        <w:t> </w:t>
      </w:r>
      <w:r w:rsidRPr="00D829F0">
        <w:rPr>
          <w:rFonts w:ascii="Source Sans Pro" w:hAnsi="Source Sans Pro"/>
        </w:rPr>
        <w:t>gadā sasniegt 12% no kopējā absolventu skaita. Pēdējo gadu laikā šis rādītājs ir būtiski pieaudzis, no 6,6% 2020.</w:t>
      </w:r>
      <w:r w:rsidR="00CC6E3F">
        <w:rPr>
          <w:rFonts w:ascii="Source Sans Pro" w:hAnsi="Source Sans Pro"/>
        </w:rPr>
        <w:t> </w:t>
      </w:r>
      <w:r w:rsidRPr="00D829F0">
        <w:rPr>
          <w:rFonts w:ascii="Source Sans Pro" w:hAnsi="Source Sans Pro"/>
        </w:rPr>
        <w:t>gadā līdz 10,1% 2024.</w:t>
      </w:r>
      <w:r w:rsidR="00CC6E3F">
        <w:rPr>
          <w:rFonts w:ascii="Source Sans Pro" w:hAnsi="Source Sans Pro"/>
        </w:rPr>
        <w:t> </w:t>
      </w:r>
      <w:r w:rsidRPr="00D829F0">
        <w:rPr>
          <w:rFonts w:ascii="Source Sans Pro" w:hAnsi="Source Sans Pro"/>
        </w:rPr>
        <w:t>gadā un 2025.</w:t>
      </w:r>
      <w:r w:rsidR="00CC6E3F">
        <w:rPr>
          <w:rFonts w:ascii="Source Sans Pro" w:hAnsi="Source Sans Pro"/>
        </w:rPr>
        <w:t> </w:t>
      </w:r>
      <w:r w:rsidRPr="00D829F0">
        <w:rPr>
          <w:rFonts w:ascii="Source Sans Pro" w:hAnsi="Source Sans Pro"/>
        </w:rPr>
        <w:t>gadā 11,5%</w:t>
      </w:r>
      <w:r w:rsidR="00495B7A" w:rsidRPr="00D829F0">
        <w:rPr>
          <w:rFonts w:ascii="Source Sans Pro" w:hAnsi="Source Sans Pro"/>
        </w:rPr>
        <w:t xml:space="preserve">, </w:t>
      </w:r>
      <w:r w:rsidR="00411B06" w:rsidRPr="00D829F0">
        <w:rPr>
          <w:rFonts w:ascii="Source Sans Pro" w:hAnsi="Source Sans Pro"/>
        </w:rPr>
        <w:t>pietuvojoties 2027.</w:t>
      </w:r>
      <w:r w:rsidR="00CC6E3F">
        <w:rPr>
          <w:rFonts w:ascii="Source Sans Pro" w:hAnsi="Source Sans Pro"/>
        </w:rPr>
        <w:t> </w:t>
      </w:r>
      <w:r w:rsidR="00411B06" w:rsidRPr="00D829F0">
        <w:rPr>
          <w:rFonts w:ascii="Source Sans Pro" w:hAnsi="Source Sans Pro"/>
        </w:rPr>
        <w:t xml:space="preserve">gada noteiktajai </w:t>
      </w:r>
      <w:r w:rsidR="001E3F94" w:rsidRPr="00D829F0">
        <w:rPr>
          <w:rFonts w:ascii="Source Sans Pro" w:hAnsi="Source Sans Pro"/>
        </w:rPr>
        <w:t>mērķa vērtībai</w:t>
      </w:r>
      <w:r w:rsidRPr="00D829F0">
        <w:rPr>
          <w:rFonts w:ascii="Source Sans Pro" w:hAnsi="Source Sans Pro"/>
        </w:rPr>
        <w:t xml:space="preserve">. </w:t>
      </w:r>
      <w:r w:rsidR="001E3F94" w:rsidRPr="00D829F0">
        <w:rPr>
          <w:rFonts w:ascii="Source Sans Pro" w:hAnsi="Source Sans Pro"/>
        </w:rPr>
        <w:t>Vienlaikus, neraugoties uz pozitīvo dinamiku, jāturpina pasākumi vidējās izglītības absolventu piesaistei šiem studiju virzieniem, jo STEM jomu absolventu skaits joprojām ir būtisks priekšnosacījums tautsaimniecībai nepieciešamo prasmju nodrošināšanai. Papildus jāmazina arī studējošo atbirums, kas augstākajā izglītībā kopumā ir viens no būtiskiem izaicinājumiem un īpaši ietekmē absolventu skaitu studiju virzienos ar augstāku studiju sarežģītību</w:t>
      </w:r>
      <w:r w:rsidRPr="00D829F0">
        <w:rPr>
          <w:rFonts w:ascii="Source Sans Pro" w:hAnsi="Source Sans Pro"/>
        </w:rPr>
        <w:t>.</w:t>
      </w:r>
    </w:p>
    <w:p w14:paraId="386C34A9" w14:textId="73FB933C" w:rsidR="007778C2" w:rsidRPr="00D829F0" w:rsidRDefault="007778C2" w:rsidP="007778C2">
      <w:pPr>
        <w:spacing w:after="120"/>
        <w:jc w:val="both"/>
        <w:rPr>
          <w:rFonts w:ascii="Source Sans Pro" w:hAnsi="Source Sans Pro"/>
        </w:rPr>
      </w:pPr>
      <w:r w:rsidRPr="00D829F0">
        <w:rPr>
          <w:rFonts w:ascii="Source Sans Pro" w:hAnsi="Source Sans Pro"/>
        </w:rPr>
        <w:t xml:space="preserve">Pēdējos gados imatrikulēto studentu skaits samazinās, kas skaidrojams gan ar demogrāfiskiem, gan ekonomiskiem iemesliem. Samazinājumu nekompensē arī ārzemju studentu pieplūdums. </w:t>
      </w:r>
      <w:r w:rsidR="008A4195" w:rsidRPr="00D829F0">
        <w:rPr>
          <w:rFonts w:ascii="Source Sans Pro" w:hAnsi="Source Sans Pro"/>
        </w:rPr>
        <w:t>Līdz 2019.</w:t>
      </w:r>
      <w:r w:rsidR="00AC36AE">
        <w:rPr>
          <w:rFonts w:ascii="Source Sans Pro" w:hAnsi="Source Sans Pro"/>
        </w:rPr>
        <w:t> </w:t>
      </w:r>
      <w:r w:rsidR="008A4195" w:rsidRPr="00D829F0">
        <w:rPr>
          <w:rFonts w:ascii="Source Sans Pro" w:hAnsi="Source Sans Pro"/>
        </w:rPr>
        <w:t>gadam ārvalstu studentu skaits Latvijā pieauga salīdzinoši strauji, savukārt pēdējos gados pieaugums ir bijis mērenāks. 2023.</w:t>
      </w:r>
      <w:r w:rsidR="00AC36AE">
        <w:rPr>
          <w:rFonts w:ascii="Source Sans Pro" w:hAnsi="Source Sans Pro"/>
        </w:rPr>
        <w:t> </w:t>
      </w:r>
      <w:r w:rsidR="008A4195" w:rsidRPr="00D829F0">
        <w:rPr>
          <w:rFonts w:ascii="Source Sans Pro" w:hAnsi="Source Sans Pro"/>
        </w:rPr>
        <w:t>gadā ārvalstu studenti veidoja aptuveni 14% no imatrikulēto studentu skaita, 2024.</w:t>
      </w:r>
      <w:r w:rsidR="00AC36AE">
        <w:rPr>
          <w:rFonts w:ascii="Source Sans Pro" w:hAnsi="Source Sans Pro"/>
        </w:rPr>
        <w:t> </w:t>
      </w:r>
      <w:r w:rsidR="008A4195" w:rsidRPr="00D829F0">
        <w:rPr>
          <w:rFonts w:ascii="Source Sans Pro" w:hAnsi="Source Sans Pro"/>
        </w:rPr>
        <w:t xml:space="preserve">gadā </w:t>
      </w:r>
      <w:r w:rsidR="00872763" w:rsidRPr="00D829F0">
        <w:rPr>
          <w:rFonts w:ascii="Source Sans Pro" w:hAnsi="Source Sans Pro"/>
        </w:rPr>
        <w:t>-</w:t>
      </w:r>
      <w:r w:rsidR="008A4195" w:rsidRPr="00D829F0">
        <w:rPr>
          <w:rFonts w:ascii="Source Sans Pro" w:hAnsi="Source Sans Pro"/>
        </w:rPr>
        <w:t xml:space="preserve"> 15%, bet 2025.</w:t>
      </w:r>
      <w:r w:rsidR="00AC36AE">
        <w:rPr>
          <w:rFonts w:ascii="Source Sans Pro" w:hAnsi="Source Sans Pro"/>
        </w:rPr>
        <w:t> </w:t>
      </w:r>
      <w:r w:rsidR="008A4195" w:rsidRPr="00D829F0">
        <w:rPr>
          <w:rFonts w:ascii="Source Sans Pro" w:hAnsi="Source Sans Pro"/>
        </w:rPr>
        <w:t xml:space="preserve">gadā </w:t>
      </w:r>
      <w:r w:rsidR="00872763" w:rsidRPr="00D829F0">
        <w:rPr>
          <w:rFonts w:ascii="Source Sans Pro" w:hAnsi="Source Sans Pro"/>
        </w:rPr>
        <w:t>-</w:t>
      </w:r>
      <w:r w:rsidR="008A4195" w:rsidRPr="00D829F0">
        <w:rPr>
          <w:rFonts w:ascii="Source Sans Pro" w:hAnsi="Source Sans Pro"/>
        </w:rPr>
        <w:t xml:space="preserve"> gandrīz 16%.</w:t>
      </w:r>
    </w:p>
    <w:p w14:paraId="2A2D18CE" w14:textId="2E0DCB49" w:rsidR="007778C2" w:rsidRPr="00D829F0" w:rsidRDefault="007778C2" w:rsidP="007778C2">
      <w:pPr>
        <w:spacing w:after="120"/>
        <w:jc w:val="both"/>
        <w:rPr>
          <w:rFonts w:ascii="Source Sans Pro" w:hAnsi="Source Sans Pro"/>
        </w:rPr>
      </w:pPr>
      <w:r w:rsidRPr="00D829F0">
        <w:rPr>
          <w:rFonts w:ascii="Source Sans Pro" w:hAnsi="Source Sans Pro"/>
        </w:rPr>
        <w:t>Pasliktinoties ekonomiskajai situācijai 2009. gadā, lielāku nozīmi sāka iegūt iespēja studēt par valsts budžeta līdzekļiem, līdz ar to strauji samazinājās studentu īpatsvars sociālo zinātņu tematiskajā jomā, kur lielāko daļu veido maksas studiju vietas. 202</w:t>
      </w:r>
      <w:r w:rsidR="00287A67" w:rsidRPr="00D829F0">
        <w:rPr>
          <w:rFonts w:ascii="Source Sans Pro" w:hAnsi="Source Sans Pro"/>
        </w:rPr>
        <w:t>5</w:t>
      </w:r>
      <w:r w:rsidRPr="00D829F0">
        <w:rPr>
          <w:rFonts w:ascii="Source Sans Pro" w:hAnsi="Source Sans Pro"/>
        </w:rPr>
        <w:t xml:space="preserve">. gadā uzņemto studentu skaits sociālo zinātņu tematiskajā jomā sastādīja </w:t>
      </w:r>
      <w:r w:rsidR="00287A67" w:rsidRPr="00D829F0">
        <w:rPr>
          <w:rFonts w:ascii="Source Sans Pro" w:hAnsi="Source Sans Pro"/>
        </w:rPr>
        <w:t>38,5</w:t>
      </w:r>
      <w:r w:rsidRPr="00D829F0">
        <w:rPr>
          <w:rFonts w:ascii="Source Sans Pro" w:hAnsi="Source Sans Pro"/>
        </w:rPr>
        <w:t>% no kopējā studentu skaita</w:t>
      </w:r>
      <w:r w:rsidR="00287A67" w:rsidRPr="00D829F0">
        <w:rPr>
          <w:rFonts w:ascii="Source Sans Pro" w:hAnsi="Source Sans Pro"/>
        </w:rPr>
        <w:t>, kas ir augstākais rādītājs kopš 2013.</w:t>
      </w:r>
      <w:r w:rsidR="00AC36AE">
        <w:rPr>
          <w:rFonts w:ascii="Source Sans Pro" w:hAnsi="Source Sans Pro"/>
        </w:rPr>
        <w:t> </w:t>
      </w:r>
      <w:r w:rsidR="00287A67" w:rsidRPr="00D829F0">
        <w:rPr>
          <w:rFonts w:ascii="Source Sans Pro" w:hAnsi="Source Sans Pro"/>
        </w:rPr>
        <w:t>gada</w:t>
      </w:r>
      <w:r w:rsidRPr="00D829F0">
        <w:rPr>
          <w:rFonts w:ascii="Source Sans Pro" w:hAnsi="Source Sans Pro"/>
        </w:rPr>
        <w:t>.</w:t>
      </w:r>
    </w:p>
    <w:p w14:paraId="1F1D4F69" w14:textId="4D69A1A3" w:rsidR="007778C2" w:rsidRPr="00D829F0" w:rsidRDefault="007778C2" w:rsidP="007778C2">
      <w:pPr>
        <w:spacing w:after="120"/>
        <w:jc w:val="both"/>
        <w:rPr>
          <w:rFonts w:ascii="Source Sans Pro" w:hAnsi="Source Sans Pro"/>
        </w:rPr>
      </w:pPr>
      <w:r w:rsidRPr="00D829F0">
        <w:rPr>
          <w:rFonts w:ascii="Source Sans Pro" w:hAnsi="Source Sans Pro"/>
        </w:rPr>
        <w:t xml:space="preserve">Vienlaikus kopš 2008. gada </w:t>
      </w:r>
      <w:r w:rsidR="008A5268" w:rsidRPr="00D829F0">
        <w:rPr>
          <w:rFonts w:ascii="Source Sans Pro" w:hAnsi="Source Sans Pro"/>
        </w:rPr>
        <w:t>kopumā ir</w:t>
      </w:r>
      <w:r w:rsidRPr="00D829F0">
        <w:rPr>
          <w:rFonts w:ascii="Source Sans Pro" w:hAnsi="Source Sans Pro"/>
        </w:rPr>
        <w:t xml:space="preserve"> samazinājies tematiskajā grupā „Izglītība” uzņemto studentu īpatsvars</w:t>
      </w:r>
      <w:r w:rsidR="00140E90" w:rsidRPr="00D829F0">
        <w:rPr>
          <w:rFonts w:ascii="Source Sans Pro" w:hAnsi="Source Sans Pro"/>
        </w:rPr>
        <w:t>. Pēc zemākā līmeņa sasniegšanas 2019.</w:t>
      </w:r>
      <w:r w:rsidR="00AC36AE">
        <w:rPr>
          <w:rFonts w:ascii="Source Sans Pro" w:hAnsi="Source Sans Pro"/>
        </w:rPr>
        <w:t> </w:t>
      </w:r>
      <w:r w:rsidR="00140E90" w:rsidRPr="00D829F0">
        <w:rPr>
          <w:rFonts w:ascii="Source Sans Pro" w:hAnsi="Source Sans Pro"/>
        </w:rPr>
        <w:t>gadā šīs grupas īpatsvars pakāpeniski palielinājās un 2024.</w:t>
      </w:r>
      <w:r w:rsidR="00AC36AE">
        <w:rPr>
          <w:rFonts w:ascii="Source Sans Pro" w:hAnsi="Source Sans Pro"/>
        </w:rPr>
        <w:t> </w:t>
      </w:r>
      <w:r w:rsidR="00140E90" w:rsidRPr="00D829F0">
        <w:rPr>
          <w:rFonts w:ascii="Source Sans Pro" w:hAnsi="Source Sans Pro"/>
        </w:rPr>
        <w:t>gadā sasniedza 8,1%, tomēr 2025.</w:t>
      </w:r>
      <w:r w:rsidR="00AC36AE">
        <w:rPr>
          <w:rFonts w:ascii="Source Sans Pro" w:hAnsi="Source Sans Pro"/>
        </w:rPr>
        <w:t> </w:t>
      </w:r>
      <w:r w:rsidR="00140E90" w:rsidRPr="00D829F0">
        <w:rPr>
          <w:rFonts w:ascii="Source Sans Pro" w:hAnsi="Source Sans Pro"/>
        </w:rPr>
        <w:t>gadā atkal samazinājās līdz 6,9%.</w:t>
      </w:r>
    </w:p>
    <w:p w14:paraId="0AA8CCE9" w14:textId="5EF11C83" w:rsidR="00C40EDA" w:rsidRPr="00D829F0" w:rsidRDefault="00C40EDA" w:rsidP="00C40EDA">
      <w:pPr>
        <w:spacing w:after="120"/>
        <w:jc w:val="both"/>
        <w:rPr>
          <w:rFonts w:ascii="Source Sans Pro" w:hAnsi="Source Sans Pro"/>
        </w:rPr>
      </w:pPr>
      <w:r w:rsidRPr="00D829F0">
        <w:rPr>
          <w:rFonts w:ascii="Source Sans Pro" w:hAnsi="Source Sans Pro"/>
        </w:rPr>
        <w:t>Kopš 2015.</w:t>
      </w:r>
      <w:r w:rsidR="00AC36AE">
        <w:rPr>
          <w:rFonts w:ascii="Source Sans Pro" w:hAnsi="Source Sans Pro"/>
        </w:rPr>
        <w:t> </w:t>
      </w:r>
      <w:r w:rsidRPr="00D829F0">
        <w:rPr>
          <w:rFonts w:ascii="Source Sans Pro" w:hAnsi="Source Sans Pro"/>
        </w:rPr>
        <w:t>gada eksakto jomu īpatsvara dinamika nav bijusi vienmērīga. Dabaszinātņu, matemātikas un informācijas tehnoloģiju tematiskajā grupā studijas uzsākušo īpatsvars ir pakāpeniski palielinājies - no 9,6% 2015.</w:t>
      </w:r>
      <w:r w:rsidR="00AC36AE">
        <w:rPr>
          <w:rFonts w:ascii="Source Sans Pro" w:hAnsi="Source Sans Pro"/>
        </w:rPr>
        <w:t> </w:t>
      </w:r>
      <w:r w:rsidRPr="00D829F0">
        <w:rPr>
          <w:rFonts w:ascii="Source Sans Pro" w:hAnsi="Source Sans Pro"/>
        </w:rPr>
        <w:t>gadā līdz 11,8% 2025.</w:t>
      </w:r>
      <w:r w:rsidR="00AC36AE">
        <w:rPr>
          <w:rFonts w:ascii="Source Sans Pro" w:hAnsi="Source Sans Pro"/>
        </w:rPr>
        <w:t> </w:t>
      </w:r>
      <w:r w:rsidRPr="00D829F0">
        <w:rPr>
          <w:rFonts w:ascii="Source Sans Pro" w:hAnsi="Source Sans Pro"/>
        </w:rPr>
        <w:t>gadā. Savukārt inženierzinātņu, ražošanas un būvniecības tematiskajā grupā vērojams kritums - no 17,3% 2015.</w:t>
      </w:r>
      <w:r w:rsidR="00AC36AE">
        <w:rPr>
          <w:rFonts w:ascii="Source Sans Pro" w:hAnsi="Source Sans Pro"/>
        </w:rPr>
        <w:t> </w:t>
      </w:r>
      <w:r w:rsidRPr="00D829F0">
        <w:rPr>
          <w:rFonts w:ascii="Source Sans Pro" w:hAnsi="Source Sans Pro"/>
        </w:rPr>
        <w:t>gadā līdz 12,6% 2025.</w:t>
      </w:r>
      <w:r w:rsidR="00ED7604">
        <w:rPr>
          <w:rFonts w:ascii="Source Sans Pro" w:hAnsi="Source Sans Pro"/>
        </w:rPr>
        <w:t> </w:t>
      </w:r>
      <w:r w:rsidRPr="00D829F0">
        <w:rPr>
          <w:rFonts w:ascii="Source Sans Pro" w:hAnsi="Source Sans Pro"/>
        </w:rPr>
        <w:t xml:space="preserve">gadā. </w:t>
      </w:r>
      <w:r w:rsidR="00ED7604">
        <w:rPr>
          <w:rFonts w:ascii="Source Sans Pro" w:hAnsi="Source Sans Pro"/>
        </w:rPr>
        <w:t>L</w:t>
      </w:r>
      <w:r w:rsidRPr="00D829F0">
        <w:rPr>
          <w:rFonts w:ascii="Source Sans Pro" w:hAnsi="Source Sans Pro"/>
        </w:rPr>
        <w:t>ai gan dabaszinātņu, matemātikas un I</w:t>
      </w:r>
      <w:r w:rsidR="00964938">
        <w:rPr>
          <w:rFonts w:ascii="Source Sans Pro" w:hAnsi="Source Sans Pro"/>
        </w:rPr>
        <w:t>K</w:t>
      </w:r>
      <w:r w:rsidRPr="00D829F0">
        <w:rPr>
          <w:rFonts w:ascii="Source Sans Pro" w:hAnsi="Source Sans Pro"/>
        </w:rPr>
        <w:t>T īpatsvars ir audzis, kopējo eksakto jomu īpatsvaru ierobežo inženierzinātņu īpatsvara samazināšanās. 2025.</w:t>
      </w:r>
      <w:r w:rsidR="00ED7604">
        <w:rPr>
          <w:rFonts w:ascii="Source Sans Pro" w:hAnsi="Source Sans Pro"/>
        </w:rPr>
        <w:t> </w:t>
      </w:r>
      <w:r w:rsidRPr="00D829F0">
        <w:rPr>
          <w:rFonts w:ascii="Source Sans Pro" w:hAnsi="Source Sans Pro"/>
        </w:rPr>
        <w:t>gadā abas šīs tematiskās grupas kopā veidoja 24,4% no visiem uzņemtajiem studentiem, kas ir vairāk nekā 2024.</w:t>
      </w:r>
      <w:r w:rsidR="00ED7604">
        <w:rPr>
          <w:rFonts w:ascii="Source Sans Pro" w:hAnsi="Source Sans Pro"/>
        </w:rPr>
        <w:t> </w:t>
      </w:r>
      <w:r w:rsidRPr="00D829F0">
        <w:rPr>
          <w:rFonts w:ascii="Source Sans Pro" w:hAnsi="Source Sans Pro"/>
        </w:rPr>
        <w:t>gadā, bet joprojām mazāk nekā 2015.</w:t>
      </w:r>
      <w:r w:rsidR="00ED7604">
        <w:rPr>
          <w:rFonts w:ascii="Source Sans Pro" w:hAnsi="Source Sans Pro"/>
        </w:rPr>
        <w:t> </w:t>
      </w:r>
      <w:r w:rsidRPr="00D829F0">
        <w:rPr>
          <w:rFonts w:ascii="Source Sans Pro" w:hAnsi="Source Sans Pro"/>
        </w:rPr>
        <w:t>gadā.</w:t>
      </w:r>
    </w:p>
    <w:p w14:paraId="23859075" w14:textId="3CC48EFE" w:rsidR="004C23D5" w:rsidRPr="00D829F0" w:rsidRDefault="004C23D5" w:rsidP="00855DD4">
      <w:pPr>
        <w:spacing w:after="120"/>
        <w:jc w:val="right"/>
        <w:rPr>
          <w:rFonts w:ascii="Source Sans Pro" w:hAnsi="Source Sans Pro"/>
        </w:rPr>
      </w:pPr>
      <w:r w:rsidRPr="00D829F0">
        <w:rPr>
          <w:rFonts w:ascii="Source Sans Pro" w:hAnsi="Source Sans Pro"/>
        </w:rPr>
        <w:t>2.1</w:t>
      </w:r>
      <w:r w:rsidR="007A5910" w:rsidRPr="00D829F0">
        <w:rPr>
          <w:rFonts w:ascii="Source Sans Pro" w:hAnsi="Source Sans Pro"/>
        </w:rPr>
        <w:t>9</w:t>
      </w:r>
      <w:r w:rsidRPr="00D829F0">
        <w:rPr>
          <w:rFonts w:ascii="Source Sans Pro" w:hAnsi="Source Sans Pro"/>
        </w:rPr>
        <w:t>.</w:t>
      </w:r>
      <w:r w:rsidR="00ED7604">
        <w:rPr>
          <w:rFonts w:ascii="Source Sans Pro" w:hAnsi="Source Sans Pro"/>
        </w:rPr>
        <w:t> </w:t>
      </w:r>
      <w:r w:rsidRPr="00D829F0">
        <w:rPr>
          <w:rFonts w:ascii="Source Sans Pro" w:hAnsi="Source Sans Pro"/>
        </w:rPr>
        <w:t>attēls</w:t>
      </w:r>
    </w:p>
    <w:p w14:paraId="30151641" w14:textId="7FBD5301" w:rsidR="007778C2" w:rsidRPr="003C7513" w:rsidRDefault="004C23D5" w:rsidP="1765FC6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0"/>
        <w:rPr>
          <w:rFonts w:ascii="Segoe UI Light" w:hAnsi="Segoe UI Light"/>
          <w:b/>
          <w:bCs/>
        </w:rPr>
      </w:pPr>
      <w:r w:rsidRPr="003C7513">
        <w:rPr>
          <w:rFonts w:ascii="Segoe UI Light" w:hAnsi="Segoe UI Light"/>
          <w:b/>
        </w:rPr>
        <w:t>Studentu skaita sadalījums augstskolās un koledžās pa izglītības tematiskajām grupām akadēmiskajā</w:t>
      </w:r>
      <w:r w:rsidR="00855DD4" w:rsidRPr="003C7513">
        <w:rPr>
          <w:rFonts w:ascii="Segoe UI Light" w:hAnsi="Segoe UI Light"/>
          <w:b/>
        </w:rPr>
        <w:t xml:space="preserve"> </w:t>
      </w:r>
      <w:r w:rsidR="0080669C" w:rsidRPr="003C7513">
        <w:rPr>
          <w:rFonts w:ascii="Segoe UI Light" w:hAnsi="Segoe UI Light"/>
          <w:b/>
        </w:rPr>
        <w:t>gad</w:t>
      </w:r>
      <w:r w:rsidRPr="003C7513">
        <w:rPr>
          <w:rFonts w:ascii="Segoe UI Light" w:hAnsi="Segoe UI Light"/>
          <w:b/>
        </w:rPr>
        <w:t>ā</w:t>
      </w:r>
    </w:p>
    <w:p w14:paraId="636B3357" w14:textId="6A421E55" w:rsidR="004C23D5" w:rsidRPr="003C7513" w:rsidRDefault="004C23D5" w:rsidP="1765FC6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120"/>
        <w:jc w:val="left"/>
        <w:rPr>
          <w:rFonts w:ascii="Segoe UI Light" w:hAnsi="Segoe UI Light"/>
          <w:b/>
          <w:i/>
          <w:sz w:val="16"/>
          <w:szCs w:val="16"/>
        </w:rPr>
      </w:pPr>
      <w:r w:rsidRPr="003C7513">
        <w:rPr>
          <w:rFonts w:ascii="Segoe UI Light" w:hAnsi="Segoe UI Light"/>
          <w:bCs/>
          <w:i/>
          <w:sz w:val="16"/>
          <w:szCs w:val="22"/>
        </w:rPr>
        <w:tab/>
      </w:r>
      <w:r w:rsidRPr="003C7513">
        <w:rPr>
          <w:rFonts w:ascii="Segoe UI Light" w:hAnsi="Segoe UI Light"/>
          <w:i/>
          <w:sz w:val="16"/>
          <w:szCs w:val="16"/>
        </w:rPr>
        <w:t>uzņemto studentu īpatsvars, procentos</w:t>
      </w:r>
      <w:r w:rsidRPr="003C7513">
        <w:rPr>
          <w:rFonts w:ascii="Segoe UI Light" w:hAnsi="Segoe UI Light"/>
          <w:bCs/>
          <w:i/>
          <w:sz w:val="16"/>
          <w:szCs w:val="22"/>
        </w:rPr>
        <w:tab/>
      </w:r>
      <w:r w:rsidR="007778C2" w:rsidRPr="003C7513">
        <w:rPr>
          <w:rFonts w:ascii="Segoe UI Light" w:hAnsi="Segoe UI Light"/>
          <w:bCs/>
          <w:i/>
          <w:sz w:val="16"/>
          <w:szCs w:val="22"/>
        </w:rPr>
        <w:tab/>
      </w:r>
      <w:r w:rsidRPr="003C7513">
        <w:rPr>
          <w:rFonts w:ascii="Segoe UI Light" w:hAnsi="Segoe UI Light"/>
          <w:i/>
          <w:sz w:val="16"/>
          <w:szCs w:val="16"/>
        </w:rPr>
        <w:t>grādu vai kvalifikāciju ieguvušo īpatsvars, procentos</w:t>
      </w:r>
    </w:p>
    <w:p w14:paraId="04DD5F1B" w14:textId="44828A6D" w:rsidR="007778C2" w:rsidRPr="003C7513" w:rsidRDefault="00104D43" w:rsidP="1765FC6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337"/>
        </w:tabs>
        <w:suppressAutoHyphens/>
        <w:spacing w:after="120"/>
        <w:jc w:val="left"/>
        <w:rPr>
          <w:rFonts w:ascii="Arial Narrow" w:hAnsi="Arial Narrow"/>
          <w:b/>
          <w:bCs/>
          <w:sz w:val="20"/>
        </w:rPr>
      </w:pPr>
      <w:r w:rsidRPr="00D829F0">
        <w:rPr>
          <w:rFonts w:ascii="Source Sans Pro" w:hAnsi="Source Sans Pro"/>
          <w:noProof/>
          <w:sz w:val="20"/>
          <w:szCs w:val="22"/>
          <w14:ligatures w14:val="standardContextual"/>
        </w:rPr>
        <w:drawing>
          <wp:inline distT="0" distB="0" distL="0" distR="0" wp14:anchorId="41038F16" wp14:editId="6FAE72EE">
            <wp:extent cx="2778959" cy="2201712"/>
            <wp:effectExtent l="0" t="0" r="2540" b="8255"/>
            <wp:docPr id="1002024273" name="Chart 1">
              <a:extLst xmlns:a="http://schemas.openxmlformats.org/drawingml/2006/main">
                <a:ext uri="{FF2B5EF4-FFF2-40B4-BE49-F238E27FC236}">
                  <a16:creationId xmlns:a16="http://schemas.microsoft.com/office/drawing/2014/main" id="{578B500A-7B1F-4651-73FB-D98F47AA1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0068556C" w:rsidRPr="00D829F0">
        <w:rPr>
          <w:rFonts w:ascii="Source Sans Pro" w:hAnsi="Source Sans Pro"/>
          <w:noProof/>
          <w14:ligatures w14:val="standardContextual"/>
        </w:rPr>
        <w:drawing>
          <wp:inline distT="0" distB="0" distL="0" distR="0" wp14:anchorId="41A60C5F" wp14:editId="5EBEE3C5">
            <wp:extent cx="2811780" cy="2300924"/>
            <wp:effectExtent l="0" t="0" r="7620" b="4445"/>
            <wp:docPr id="1999349934" name="Chart 1">
              <a:extLst xmlns:a="http://schemas.openxmlformats.org/drawingml/2006/main">
                <a:ext uri="{FF2B5EF4-FFF2-40B4-BE49-F238E27FC236}">
                  <a16:creationId xmlns:a16="http://schemas.microsoft.com/office/drawing/2014/main" id="{28DD49CE-D194-DD31-3E69-A5303BA9B8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11984913" w14:textId="5F05430D" w:rsidR="004C23D5" w:rsidRPr="003C7513" w:rsidRDefault="003C7513" w:rsidP="007778C2">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337"/>
        </w:tabs>
        <w:suppressAutoHyphens/>
        <w:spacing w:after="120"/>
        <w:jc w:val="left"/>
        <w:rPr>
          <w:rFonts w:ascii="Arial Narrow" w:hAnsi="Arial Narrow"/>
          <w:b/>
          <w:sz w:val="20"/>
        </w:rPr>
      </w:pPr>
      <w:r w:rsidRPr="003C7513">
        <w:rPr>
          <w:rFonts w:ascii="Arial Narrow" w:hAnsi="Arial Narrow"/>
          <w:noProof/>
          <w:sz w:val="20"/>
          <w:lang w:eastAsia="lv-LV"/>
        </w:rPr>
        <w:drawing>
          <wp:inline distT="0" distB="0" distL="0" distR="0" wp14:anchorId="207EBDF9" wp14:editId="2E98B2C1">
            <wp:extent cx="5486400" cy="618409"/>
            <wp:effectExtent l="0" t="0" r="0" b="0"/>
            <wp:docPr id="847228253"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FD50AC3" w14:textId="20582652" w:rsidR="00097A08" w:rsidRPr="00ED7604" w:rsidRDefault="004C23D5" w:rsidP="00ED7604">
      <w:pPr>
        <w:spacing w:after="120" w:line="365" w:lineRule="atLeast"/>
        <w:jc w:val="both"/>
        <w:rPr>
          <w:rFonts w:ascii="Source Sans Pro" w:eastAsia="Times New Roman" w:hAnsi="Source Sans Pro" w:cs="Calibri Light"/>
          <w:color w:val="000000"/>
          <w:sz w:val="16"/>
          <w:szCs w:val="20"/>
        </w:rPr>
      </w:pPr>
      <w:r w:rsidRPr="00D829F0">
        <w:rPr>
          <w:rFonts w:ascii="Source Sans Pro" w:eastAsia="Times New Roman" w:hAnsi="Source Sans Pro" w:cs="Calibri Light"/>
          <w:color w:val="000000"/>
          <w:sz w:val="16"/>
          <w:szCs w:val="20"/>
        </w:rPr>
        <w:t>Avots: CSP</w:t>
      </w:r>
    </w:p>
    <w:p w14:paraId="05124300" w14:textId="68D635E5" w:rsidR="00082D6C" w:rsidRPr="00D829F0" w:rsidRDefault="00082D6C" w:rsidP="00082D6C">
      <w:pPr>
        <w:spacing w:after="120"/>
        <w:jc w:val="both"/>
        <w:rPr>
          <w:rFonts w:ascii="Source Sans Pro" w:hAnsi="Source Sans Pro"/>
        </w:rPr>
      </w:pPr>
      <w:r w:rsidRPr="00D829F0">
        <w:rPr>
          <w:rFonts w:ascii="Source Sans Pro" w:hAnsi="Source Sans Pro"/>
        </w:rPr>
        <w:lastRenderedPageBreak/>
        <w:t>Veselības aprūpes un sociālās labklājības tematiskajā grupā uzņemto studentu īpatsvars pēdējo desmit gadu laikā ir palielinājies (2015.</w:t>
      </w:r>
      <w:r w:rsidR="00ED7604">
        <w:rPr>
          <w:rFonts w:ascii="Source Sans Pro" w:hAnsi="Source Sans Pro"/>
        </w:rPr>
        <w:t> </w:t>
      </w:r>
      <w:r w:rsidRPr="00D829F0">
        <w:rPr>
          <w:rFonts w:ascii="Source Sans Pro" w:hAnsi="Source Sans Pro"/>
        </w:rPr>
        <w:t>gadā – 12,9%), lai gan pēdējā gadā tas samazinājās. 2025.</w:t>
      </w:r>
      <w:r w:rsidR="00ED7604">
        <w:rPr>
          <w:rFonts w:ascii="Source Sans Pro" w:hAnsi="Source Sans Pro"/>
        </w:rPr>
        <w:t> </w:t>
      </w:r>
      <w:r w:rsidRPr="00D829F0">
        <w:rPr>
          <w:rFonts w:ascii="Source Sans Pro" w:hAnsi="Source Sans Pro"/>
        </w:rPr>
        <w:t>gadā šis rādītājs bija 15,1%, saglabājoties virs 2015.</w:t>
      </w:r>
      <w:r w:rsidR="00ED7604">
        <w:rPr>
          <w:rFonts w:ascii="Source Sans Pro" w:hAnsi="Source Sans Pro"/>
        </w:rPr>
        <w:t> </w:t>
      </w:r>
      <w:r w:rsidRPr="00D829F0">
        <w:rPr>
          <w:rFonts w:ascii="Source Sans Pro" w:hAnsi="Source Sans Pro"/>
        </w:rPr>
        <w:t>gada līmeņa, bet atkāpjoties no 2024.</w:t>
      </w:r>
      <w:r w:rsidR="00ED7604">
        <w:rPr>
          <w:rFonts w:ascii="Source Sans Pro" w:hAnsi="Source Sans Pro"/>
        </w:rPr>
        <w:t> </w:t>
      </w:r>
      <w:r w:rsidRPr="00D829F0">
        <w:rPr>
          <w:rFonts w:ascii="Source Sans Pro" w:hAnsi="Source Sans Pro"/>
        </w:rPr>
        <w:t>gadā sasniegtajiem 17,3%. Tas liecina, ka ilgākā periodā šīs jomas nozīme uzņemšanas struktūrā ir pieaugusi, tomēr pēdējā gada dinamika bijusi mazāk labvēlīga.</w:t>
      </w:r>
    </w:p>
    <w:p w14:paraId="40EC836C" w14:textId="65423167" w:rsidR="004C23D5" w:rsidRPr="00D829F0" w:rsidRDefault="004C23D5" w:rsidP="00F01249">
      <w:pPr>
        <w:spacing w:after="120"/>
        <w:jc w:val="both"/>
        <w:rPr>
          <w:rFonts w:ascii="Source Sans Pro" w:hAnsi="Source Sans Pro"/>
          <w:szCs w:val="20"/>
        </w:rPr>
      </w:pPr>
      <w:r w:rsidRPr="00D829F0">
        <w:rPr>
          <w:rFonts w:ascii="Source Sans Pro" w:hAnsi="Source Sans Pro"/>
          <w:szCs w:val="20"/>
        </w:rPr>
        <w:t>Iepriekšējos</w:t>
      </w:r>
      <w:r w:rsidR="00097A08" w:rsidRPr="00D829F0">
        <w:rPr>
          <w:rFonts w:ascii="Source Sans Pro" w:hAnsi="Source Sans Pro"/>
          <w:szCs w:val="20"/>
        </w:rPr>
        <w:t xml:space="preserve"> </w:t>
      </w:r>
      <w:r w:rsidR="0080669C" w:rsidRPr="00D829F0">
        <w:rPr>
          <w:rFonts w:ascii="Source Sans Pro" w:hAnsi="Source Sans Pro"/>
          <w:szCs w:val="20"/>
        </w:rPr>
        <w:t>gad</w:t>
      </w:r>
      <w:r w:rsidRPr="00D829F0">
        <w:rPr>
          <w:rFonts w:ascii="Source Sans Pro" w:hAnsi="Source Sans Pro"/>
          <w:szCs w:val="20"/>
        </w:rPr>
        <w:t>os notikušās izmaiņas izglītības politikā atspoguļojas ar laika nobīdi. 2009.</w:t>
      </w:r>
      <w:r w:rsidR="007778C2" w:rsidRPr="00D829F0">
        <w:rPr>
          <w:rFonts w:ascii="Source Sans Pro" w:hAnsi="Source Sans Pro"/>
          <w:szCs w:val="20"/>
        </w:rPr>
        <w:t> </w:t>
      </w:r>
      <w:r w:rsidR="0080669C" w:rsidRPr="00D829F0">
        <w:rPr>
          <w:rFonts w:ascii="Source Sans Pro" w:hAnsi="Source Sans Pro"/>
          <w:szCs w:val="20"/>
        </w:rPr>
        <w:t>gad</w:t>
      </w:r>
      <w:r w:rsidRPr="00D829F0">
        <w:rPr>
          <w:rFonts w:ascii="Source Sans Pro" w:hAnsi="Source Sans Pro"/>
          <w:szCs w:val="20"/>
        </w:rPr>
        <w:t>ā notikušās straujās uzņemto studentu struktūras izmaiņas augstskolas absolvējušo struktūrā ir redzamas tikai pēc vairākiem</w:t>
      </w:r>
      <w:r w:rsidR="00097A08" w:rsidRPr="00D829F0">
        <w:rPr>
          <w:rFonts w:ascii="Source Sans Pro" w:hAnsi="Source Sans Pro"/>
          <w:szCs w:val="20"/>
        </w:rPr>
        <w:t xml:space="preserve"> </w:t>
      </w:r>
      <w:r w:rsidR="0080669C" w:rsidRPr="00D829F0">
        <w:rPr>
          <w:rFonts w:ascii="Source Sans Pro" w:hAnsi="Source Sans Pro"/>
          <w:szCs w:val="20"/>
        </w:rPr>
        <w:t>gad</w:t>
      </w:r>
      <w:r w:rsidRPr="00D829F0">
        <w:rPr>
          <w:rFonts w:ascii="Source Sans Pro" w:hAnsi="Source Sans Pro"/>
          <w:szCs w:val="20"/>
        </w:rPr>
        <w:t>iem. Šo</w:t>
      </w:r>
      <w:r w:rsidR="00097A08" w:rsidRPr="00D829F0">
        <w:rPr>
          <w:rFonts w:ascii="Source Sans Pro" w:hAnsi="Source Sans Pro"/>
          <w:szCs w:val="20"/>
        </w:rPr>
        <w:t xml:space="preserve"> </w:t>
      </w:r>
      <w:r w:rsidR="0080669C" w:rsidRPr="00D829F0">
        <w:rPr>
          <w:rFonts w:ascii="Source Sans Pro" w:hAnsi="Source Sans Pro"/>
          <w:szCs w:val="20"/>
        </w:rPr>
        <w:t>gad</w:t>
      </w:r>
      <w:r w:rsidRPr="00D829F0">
        <w:rPr>
          <w:rFonts w:ascii="Source Sans Pro" w:hAnsi="Source Sans Pro"/>
          <w:szCs w:val="20"/>
        </w:rPr>
        <w:t>u laikā vērojams būtisks sociālo zinātņu tematisko grupu absolvējušo īpatsvara sarukums, reaģējot uz izmaiņām uzņemto studentu struktūrā.</w:t>
      </w:r>
    </w:p>
    <w:p w14:paraId="76B5DC73" w14:textId="01C57CD1" w:rsidR="004C23D5" w:rsidRPr="00D829F0" w:rsidRDefault="004C23D5" w:rsidP="007778C2">
      <w:pPr>
        <w:spacing w:before="120" w:after="120"/>
        <w:jc w:val="right"/>
        <w:rPr>
          <w:rFonts w:ascii="Source Sans Pro" w:hAnsi="Source Sans Pro"/>
          <w:szCs w:val="20"/>
        </w:rPr>
      </w:pPr>
      <w:r w:rsidRPr="00D829F0">
        <w:rPr>
          <w:rFonts w:ascii="Source Sans Pro" w:hAnsi="Source Sans Pro"/>
          <w:szCs w:val="20"/>
        </w:rPr>
        <w:t>2.</w:t>
      </w:r>
      <w:r w:rsidR="007A5910" w:rsidRPr="00D829F0">
        <w:rPr>
          <w:rFonts w:ascii="Source Sans Pro" w:hAnsi="Source Sans Pro"/>
          <w:szCs w:val="20"/>
        </w:rPr>
        <w:t>20</w:t>
      </w:r>
      <w:r w:rsidRPr="00D829F0">
        <w:rPr>
          <w:rFonts w:ascii="Source Sans Pro" w:hAnsi="Source Sans Pro"/>
          <w:szCs w:val="20"/>
        </w:rPr>
        <w:t>.</w:t>
      </w:r>
      <w:r w:rsidR="00ED7604">
        <w:rPr>
          <w:rFonts w:ascii="Source Sans Pro" w:hAnsi="Source Sans Pro"/>
          <w:szCs w:val="20"/>
        </w:rPr>
        <w:t> </w:t>
      </w:r>
      <w:r w:rsidRPr="00D829F0">
        <w:rPr>
          <w:rFonts w:ascii="Source Sans Pro" w:hAnsi="Source Sans Pro"/>
          <w:szCs w:val="20"/>
        </w:rPr>
        <w:t>attēls</w:t>
      </w:r>
    </w:p>
    <w:p w14:paraId="39D70C68" w14:textId="72F7B694" w:rsidR="004C23D5" w:rsidRPr="000D4D6B" w:rsidRDefault="004C23D5" w:rsidP="007778C2">
      <w:pPr>
        <w:spacing w:after="0"/>
        <w:jc w:val="center"/>
        <w:rPr>
          <w:rFonts w:ascii="Segoe UI Light" w:hAnsi="Segoe UI Light"/>
          <w:b/>
          <w:sz w:val="18"/>
          <w:szCs w:val="18"/>
        </w:rPr>
      </w:pPr>
      <w:r w:rsidRPr="000D4D6B">
        <w:rPr>
          <w:rFonts w:ascii="Segoe UI Light" w:hAnsi="Segoe UI Light"/>
          <w:b/>
          <w:sz w:val="18"/>
          <w:szCs w:val="18"/>
        </w:rPr>
        <w:t>Augstskolās un koledžās studējošie pēc finansējuma veida pa izglītības tematiskajām grupām</w:t>
      </w:r>
    </w:p>
    <w:p w14:paraId="12632A5F" w14:textId="1D037DE6" w:rsidR="007778C2" w:rsidRPr="000D4D6B" w:rsidRDefault="007778C2" w:rsidP="1765FC69">
      <w:pPr>
        <w:tabs>
          <w:tab w:val="center" w:pos="4253"/>
          <w:tab w:val="center" w:pos="7655"/>
        </w:tabs>
        <w:spacing w:after="120"/>
        <w:rPr>
          <w:rFonts w:ascii="Segoe UI Light" w:hAnsi="Segoe UI Light"/>
          <w:i/>
          <w:iCs/>
          <w:sz w:val="16"/>
          <w:szCs w:val="16"/>
        </w:rPr>
      </w:pPr>
      <w:r w:rsidRPr="000D4D6B">
        <w:rPr>
          <w:rFonts w:ascii="Segoe UI Light" w:hAnsi="Segoe UI Light"/>
          <w:bCs/>
          <w:i/>
          <w:sz w:val="16"/>
          <w:szCs w:val="28"/>
        </w:rPr>
        <w:tab/>
      </w:r>
      <w:r w:rsidRPr="000D4D6B">
        <w:rPr>
          <w:rFonts w:ascii="Segoe UI Light" w:hAnsi="Segoe UI Light"/>
          <w:i/>
          <w:iCs/>
          <w:sz w:val="16"/>
          <w:szCs w:val="16"/>
        </w:rPr>
        <w:t>Studentu skaits,</w:t>
      </w:r>
      <w:r w:rsidRPr="000D4D6B">
        <w:rPr>
          <w:rFonts w:ascii="Segoe UI Light" w:hAnsi="Segoe UI Light"/>
          <w:bCs/>
          <w:i/>
          <w:sz w:val="16"/>
          <w:szCs w:val="28"/>
        </w:rPr>
        <w:tab/>
      </w:r>
      <w:r w:rsidRPr="000D4D6B">
        <w:rPr>
          <w:rFonts w:ascii="Segoe UI Light" w:hAnsi="Segoe UI Light"/>
          <w:i/>
          <w:iCs/>
          <w:sz w:val="16"/>
          <w:szCs w:val="16"/>
        </w:rPr>
        <w:t>Atskaitītie studenti</w:t>
      </w:r>
      <w:r w:rsidRPr="000D4D6B">
        <w:rPr>
          <w:rFonts w:ascii="Segoe UI Light" w:hAnsi="Segoe UI Light"/>
          <w:bCs/>
          <w:i/>
          <w:sz w:val="16"/>
          <w:szCs w:val="28"/>
        </w:rPr>
        <w:br/>
      </w:r>
      <w:r w:rsidRPr="000D4D6B">
        <w:rPr>
          <w:rFonts w:ascii="Segoe UI Light" w:hAnsi="Segoe UI Light"/>
          <w:bCs/>
          <w:i/>
          <w:sz w:val="16"/>
        </w:rPr>
        <w:tab/>
      </w:r>
      <w:r w:rsidRPr="000D4D6B">
        <w:rPr>
          <w:rFonts w:ascii="Segoe UI Light" w:hAnsi="Segoe UI Light"/>
          <w:i/>
          <w:iCs/>
          <w:sz w:val="16"/>
          <w:szCs w:val="16"/>
        </w:rPr>
        <w:t>202</w:t>
      </w:r>
      <w:r w:rsidR="000D4D6B" w:rsidRPr="000D4D6B">
        <w:rPr>
          <w:rFonts w:ascii="Segoe UI Light" w:hAnsi="Segoe UI Light"/>
          <w:i/>
          <w:iCs/>
          <w:sz w:val="16"/>
          <w:szCs w:val="16"/>
        </w:rPr>
        <w:t>5</w:t>
      </w:r>
      <w:r w:rsidRPr="000D4D6B">
        <w:rPr>
          <w:rFonts w:ascii="Segoe UI Light" w:hAnsi="Segoe UI Light"/>
          <w:i/>
          <w:iCs/>
          <w:sz w:val="16"/>
          <w:szCs w:val="16"/>
        </w:rPr>
        <w:t>. gads, tūkstošos</w:t>
      </w:r>
      <w:r w:rsidRPr="000D4D6B">
        <w:rPr>
          <w:rFonts w:ascii="Segoe UI Light" w:hAnsi="Segoe UI Light"/>
          <w:bCs/>
          <w:i/>
          <w:sz w:val="16"/>
        </w:rPr>
        <w:tab/>
      </w:r>
      <w:r w:rsidRPr="000D4D6B">
        <w:rPr>
          <w:rFonts w:ascii="Segoe UI Light" w:hAnsi="Segoe UI Light"/>
          <w:i/>
          <w:iCs/>
          <w:sz w:val="16"/>
          <w:szCs w:val="16"/>
        </w:rPr>
        <w:t>202</w:t>
      </w:r>
      <w:r w:rsidR="009759BD" w:rsidRPr="000D4D6B">
        <w:rPr>
          <w:rFonts w:ascii="Segoe UI Light" w:hAnsi="Segoe UI Light"/>
          <w:i/>
          <w:iCs/>
          <w:sz w:val="16"/>
          <w:szCs w:val="16"/>
        </w:rPr>
        <w:t>5</w:t>
      </w:r>
      <w:r w:rsidRPr="000D4D6B">
        <w:rPr>
          <w:rFonts w:ascii="Segoe UI Light" w:hAnsi="Segoe UI Light"/>
          <w:i/>
          <w:iCs/>
          <w:sz w:val="16"/>
          <w:szCs w:val="16"/>
        </w:rPr>
        <w:t>. gads, % no izglītības tematiskajā</w:t>
      </w:r>
      <w:r w:rsidRPr="000D4D6B">
        <w:rPr>
          <w:rFonts w:ascii="Segoe UI Light" w:hAnsi="Segoe UI Light"/>
          <w:bCs/>
          <w:i/>
          <w:sz w:val="16"/>
        </w:rPr>
        <w:br/>
      </w:r>
      <w:r w:rsidRPr="000D4D6B">
        <w:rPr>
          <w:rFonts w:ascii="Segoe UI Light" w:hAnsi="Segoe UI Light"/>
          <w:bCs/>
          <w:i/>
          <w:sz w:val="16"/>
        </w:rPr>
        <w:tab/>
      </w:r>
      <w:r w:rsidRPr="000D4D6B">
        <w:rPr>
          <w:rFonts w:ascii="Segoe UI Light" w:hAnsi="Segoe UI Light"/>
          <w:bCs/>
          <w:i/>
          <w:sz w:val="16"/>
        </w:rPr>
        <w:tab/>
      </w:r>
      <w:r w:rsidRPr="000D4D6B">
        <w:rPr>
          <w:rFonts w:ascii="Segoe UI Light" w:hAnsi="Segoe UI Light"/>
          <w:i/>
          <w:iCs/>
          <w:sz w:val="16"/>
          <w:szCs w:val="16"/>
        </w:rPr>
        <w:t>grupā studējošo skaita</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7778C2" w:rsidRPr="00D829F0" w14:paraId="72CBC09E" w14:textId="77777777">
        <w:tc>
          <w:tcPr>
            <w:tcW w:w="9639" w:type="dxa"/>
          </w:tcPr>
          <w:p w14:paraId="015D4925" w14:textId="1BA12744" w:rsidR="007778C2" w:rsidRPr="000D4D6B" w:rsidRDefault="000D4D6B">
            <w:pPr>
              <w:spacing w:after="0"/>
              <w:ind w:left="-394"/>
              <w:jc w:val="both"/>
              <w:rPr>
                <w:rFonts w:ascii="Segoe UI Light" w:hAnsi="Segoe UI Light"/>
                <w:sz w:val="16"/>
                <w:szCs w:val="16"/>
              </w:rPr>
            </w:pPr>
            <w:r w:rsidRPr="000D4D6B">
              <w:rPr>
                <w:rFonts w:ascii="Segoe UI Light" w:hAnsi="Segoe UI Light"/>
                <w:noProof/>
                <w:sz w:val="16"/>
                <w:szCs w:val="16"/>
                <w:lang w:eastAsia="lv-LV"/>
              </w:rPr>
              <w:drawing>
                <wp:inline distT="0" distB="0" distL="0" distR="0" wp14:anchorId="106C1DCB" wp14:editId="49B7BDAA">
                  <wp:extent cx="4023360" cy="2159635"/>
                  <wp:effectExtent l="0" t="0" r="0" b="0"/>
                  <wp:docPr id="298" name="Obj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007778C2" w:rsidRPr="000D4D6B">
              <w:rPr>
                <w:rFonts w:ascii="Segoe UI Light" w:hAnsi="Segoe UI Light"/>
                <w:sz w:val="16"/>
                <w:szCs w:val="16"/>
              </w:rPr>
              <w:t xml:space="preserve">   </w:t>
            </w:r>
            <w:r w:rsidR="00B44AF7" w:rsidRPr="000D4D6B">
              <w:rPr>
                <w:rFonts w:ascii="Segoe UI Light" w:hAnsi="Segoe UI Light"/>
                <w:noProof/>
                <w:sz w:val="16"/>
                <w:szCs w:val="16"/>
                <w:lang w:eastAsia="lv-LV"/>
              </w:rPr>
              <w:drawing>
                <wp:inline distT="0" distB="0" distL="0" distR="0" wp14:anchorId="2E6470BD" wp14:editId="019BA579">
                  <wp:extent cx="2061408" cy="2159635"/>
                  <wp:effectExtent l="0" t="0" r="0" b="0"/>
                  <wp:docPr id="335" name="Obj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c>
      </w:tr>
    </w:tbl>
    <w:p w14:paraId="0DA965BD" w14:textId="3BA92EF5" w:rsidR="007778C2" w:rsidRPr="00D829F0" w:rsidRDefault="007778C2" w:rsidP="1765FC69">
      <w:pPr>
        <w:spacing w:after="120" w:line="365" w:lineRule="atLeast"/>
        <w:jc w:val="both"/>
        <w:rPr>
          <w:rFonts w:ascii="Source Sans Pro" w:eastAsia="Times New Roman" w:hAnsi="Source Sans Pro" w:cs="Calibri Light"/>
          <w:color w:val="000000"/>
          <w:sz w:val="16"/>
          <w:szCs w:val="16"/>
        </w:rPr>
      </w:pPr>
      <w:r w:rsidRPr="00D829F0">
        <w:rPr>
          <w:rFonts w:ascii="Source Sans Pro" w:eastAsia="Times New Roman" w:hAnsi="Source Sans Pro" w:cs="Calibri Light"/>
          <w:color w:val="000000" w:themeColor="text1"/>
          <w:sz w:val="16"/>
          <w:szCs w:val="16"/>
        </w:rPr>
        <w:t>Avots: CSP</w:t>
      </w:r>
    </w:p>
    <w:p w14:paraId="1B7AD21B" w14:textId="77777777" w:rsidR="00110F45" w:rsidRDefault="00110F45" w:rsidP="003F161B">
      <w:pPr>
        <w:spacing w:after="120"/>
        <w:jc w:val="both"/>
        <w:rPr>
          <w:rFonts w:ascii="Source Sans Pro" w:hAnsi="Source Sans Pro"/>
          <w:szCs w:val="20"/>
        </w:rPr>
      </w:pPr>
    </w:p>
    <w:p w14:paraId="2685E663" w14:textId="00D58C7A" w:rsidR="003F161B" w:rsidRPr="00D829F0" w:rsidRDefault="003F161B" w:rsidP="003F161B">
      <w:pPr>
        <w:spacing w:after="120"/>
        <w:jc w:val="both"/>
        <w:rPr>
          <w:rFonts w:ascii="Source Sans Pro" w:hAnsi="Source Sans Pro"/>
          <w:szCs w:val="20"/>
        </w:rPr>
      </w:pPr>
      <w:r w:rsidRPr="00D829F0">
        <w:rPr>
          <w:rFonts w:ascii="Source Sans Pro" w:hAnsi="Source Sans Pro"/>
          <w:szCs w:val="20"/>
        </w:rPr>
        <w:t xml:space="preserve">Salīdzinoši nelielais absolvējušo skaita īpatsvara pieaugums dabas zinātņu, matemātikas un informācijas tehnoloģiju tematiskajā grupā, kā arī kritums inženierzinātņu, ražošanas un būvniecības tematiskajā grupā skaidrojams ar salīdzinoši lielu studentu atbirumu studiju </w:t>
      </w:r>
      <w:r w:rsidR="00774203" w:rsidRPr="00D829F0">
        <w:rPr>
          <w:rFonts w:ascii="Source Sans Pro" w:hAnsi="Source Sans Pro"/>
          <w:szCs w:val="20"/>
        </w:rPr>
        <w:t>laikā. Ievērojams</w:t>
      </w:r>
      <w:r w:rsidR="00306D74" w:rsidRPr="00D829F0">
        <w:rPr>
          <w:rFonts w:ascii="Source Sans Pro" w:hAnsi="Source Sans Pro"/>
          <w:szCs w:val="20"/>
        </w:rPr>
        <w:t xml:space="preserve"> atbirums 2025.</w:t>
      </w:r>
      <w:r w:rsidR="00ED7604">
        <w:rPr>
          <w:rFonts w:ascii="Source Sans Pro" w:hAnsi="Source Sans Pro"/>
          <w:szCs w:val="20"/>
        </w:rPr>
        <w:t> </w:t>
      </w:r>
      <w:r w:rsidR="00306D74" w:rsidRPr="00D829F0">
        <w:rPr>
          <w:rFonts w:ascii="Source Sans Pro" w:hAnsi="Source Sans Pro"/>
          <w:szCs w:val="20"/>
        </w:rPr>
        <w:t xml:space="preserve">gadā bija vērojams </w:t>
      </w:r>
      <w:r w:rsidR="00774203" w:rsidRPr="00D829F0">
        <w:rPr>
          <w:rFonts w:ascii="Source Sans Pro" w:hAnsi="Source Sans Pro"/>
          <w:szCs w:val="20"/>
        </w:rPr>
        <w:t xml:space="preserve">arī </w:t>
      </w:r>
      <w:r w:rsidR="00306D74" w:rsidRPr="00D829F0">
        <w:rPr>
          <w:rFonts w:ascii="Source Sans Pro" w:hAnsi="Source Sans Pro"/>
          <w:szCs w:val="20"/>
        </w:rPr>
        <w:t>pakalpojumu tematiskajā grupā.</w:t>
      </w:r>
    </w:p>
    <w:p w14:paraId="6FB9876F" w14:textId="7F67E416" w:rsidR="00D553FE" w:rsidRPr="00D829F0" w:rsidRDefault="00A4110C" w:rsidP="003F161B">
      <w:pPr>
        <w:spacing w:after="120"/>
        <w:jc w:val="both"/>
        <w:rPr>
          <w:rFonts w:ascii="Source Sans Pro" w:hAnsi="Source Sans Pro"/>
          <w:szCs w:val="20"/>
        </w:rPr>
      </w:pPr>
      <w:r w:rsidRPr="00D829F0">
        <w:rPr>
          <w:rFonts w:ascii="Source Sans Pro" w:hAnsi="Source Sans Pro"/>
          <w:szCs w:val="20"/>
        </w:rPr>
        <w:t>Tāpēc ī</w:t>
      </w:r>
      <w:r w:rsidR="00F23ACA" w:rsidRPr="00D829F0">
        <w:rPr>
          <w:rFonts w:ascii="Source Sans Pro" w:hAnsi="Source Sans Pro"/>
          <w:szCs w:val="20"/>
        </w:rPr>
        <w:t>paša uzmanība joprojām pievēršama STEM virzieniem, kuros nepieciešams veicināt studiju programmu pievilcību un mazināt studējošo atbirumu. Pēdējos gados STEM</w:t>
      </w:r>
      <w:r w:rsidR="00C96CEC" w:rsidRPr="00D829F0">
        <w:rPr>
          <w:rFonts w:ascii="Source Sans Pro" w:hAnsi="Source Sans Pro"/>
          <w:szCs w:val="20"/>
        </w:rPr>
        <w:t xml:space="preserve"> programmās</w:t>
      </w:r>
      <w:r w:rsidR="00F669CC" w:rsidRPr="00D829F0">
        <w:rPr>
          <w:rFonts w:ascii="Source Sans Pro" w:hAnsi="Source Sans Pro"/>
          <w:szCs w:val="20"/>
        </w:rPr>
        <w:t xml:space="preserve">, kas ietver </w:t>
      </w:r>
      <w:r w:rsidR="00C96CEC" w:rsidRPr="00D829F0">
        <w:rPr>
          <w:rFonts w:ascii="Source Sans Pro" w:hAnsi="Source Sans Pro"/>
          <w:szCs w:val="20"/>
        </w:rPr>
        <w:t>dabaszinātnes, matemātikas un informācijas tehnoloģijas, kā arī inženierzinātnes, ražošanas un būvniecības izglītības tematiskās grupas</w:t>
      </w:r>
      <w:r w:rsidR="00D553FE" w:rsidRPr="00D829F0">
        <w:rPr>
          <w:rFonts w:ascii="Source Sans Pro" w:hAnsi="Source Sans Pro"/>
          <w:szCs w:val="20"/>
        </w:rPr>
        <w:t>,</w:t>
      </w:r>
      <w:r w:rsidR="00F23ACA" w:rsidRPr="00D829F0">
        <w:rPr>
          <w:rFonts w:ascii="Source Sans Pro" w:hAnsi="Source Sans Pro"/>
          <w:szCs w:val="20"/>
        </w:rPr>
        <w:t xml:space="preserve"> </w:t>
      </w:r>
      <w:r w:rsidR="00A64CF3" w:rsidRPr="00D829F0">
        <w:rPr>
          <w:rFonts w:ascii="Source Sans Pro" w:hAnsi="Source Sans Pro"/>
          <w:szCs w:val="20"/>
        </w:rPr>
        <w:t xml:space="preserve">ir pieaudzis </w:t>
      </w:r>
      <w:r w:rsidR="00F23ACA" w:rsidRPr="00D829F0">
        <w:rPr>
          <w:rFonts w:ascii="Source Sans Pro" w:hAnsi="Source Sans Pro"/>
          <w:szCs w:val="20"/>
        </w:rPr>
        <w:t>par valsts budžeta līdzekļiem uzņemto studentu skaits. 2025.</w:t>
      </w:r>
      <w:r w:rsidR="00ED7604">
        <w:rPr>
          <w:rFonts w:ascii="Source Sans Pro" w:hAnsi="Source Sans Pro"/>
          <w:szCs w:val="20"/>
        </w:rPr>
        <w:t> </w:t>
      </w:r>
      <w:r w:rsidR="00F23ACA" w:rsidRPr="00D829F0">
        <w:rPr>
          <w:rFonts w:ascii="Source Sans Pro" w:hAnsi="Source Sans Pro"/>
          <w:szCs w:val="20"/>
        </w:rPr>
        <w:t>gadā sasniedz</w:t>
      </w:r>
      <w:r w:rsidR="00A64CF3" w:rsidRPr="00D829F0">
        <w:rPr>
          <w:rFonts w:ascii="Source Sans Pro" w:hAnsi="Source Sans Pro"/>
          <w:szCs w:val="20"/>
        </w:rPr>
        <w:t>ot</w:t>
      </w:r>
      <w:r w:rsidR="00F23ACA" w:rsidRPr="00D829F0">
        <w:rPr>
          <w:rFonts w:ascii="Source Sans Pro" w:hAnsi="Source Sans Pro"/>
          <w:szCs w:val="20"/>
        </w:rPr>
        <w:t xml:space="preserve"> 60% no kopējā uzņemto studentu skaita budžeta vietās atbilstošajās tematiskajās grupās. </w:t>
      </w:r>
    </w:p>
    <w:p w14:paraId="36B0B7BC" w14:textId="546AC79A" w:rsidR="007778C2" w:rsidRPr="00D829F0" w:rsidRDefault="00ED7604" w:rsidP="007778C2">
      <w:pPr>
        <w:spacing w:after="120"/>
        <w:jc w:val="both"/>
        <w:rPr>
          <w:rFonts w:ascii="Source Sans Pro" w:hAnsi="Source Sans Pro"/>
        </w:rPr>
      </w:pPr>
      <w:r>
        <w:rPr>
          <w:rFonts w:ascii="Source Sans Pro" w:hAnsi="Source Sans Pro"/>
        </w:rPr>
        <w:t>B</w:t>
      </w:r>
      <w:r w:rsidR="007778C2" w:rsidRPr="00D829F0">
        <w:rPr>
          <w:rFonts w:ascii="Source Sans Pro" w:hAnsi="Source Sans Pro"/>
        </w:rPr>
        <w:t xml:space="preserve">ūtiska nozīme jauniešu izvēlei par labu studijām STEM jomās ir valsts atbalsts un budžeta vietu pieejamība. </w:t>
      </w:r>
      <w:r w:rsidR="00DE13E0" w:rsidRPr="00D829F0">
        <w:rPr>
          <w:rFonts w:ascii="Source Sans Pro" w:hAnsi="Source Sans Pro"/>
        </w:rPr>
        <w:t>Īpaši augsts u</w:t>
      </w:r>
      <w:r w:rsidR="007778C2" w:rsidRPr="00D829F0">
        <w:rPr>
          <w:rFonts w:ascii="Source Sans Pro" w:hAnsi="Source Sans Pro"/>
        </w:rPr>
        <w:t>zņemto studentu īpatsvars par budžeta līdzekļiem</w:t>
      </w:r>
      <w:r w:rsidR="00DE13E0" w:rsidRPr="00D829F0">
        <w:rPr>
          <w:rFonts w:ascii="Source Sans Pro" w:hAnsi="Source Sans Pro"/>
        </w:rPr>
        <w:t xml:space="preserve"> 2025.</w:t>
      </w:r>
      <w:r>
        <w:rPr>
          <w:rFonts w:ascii="Source Sans Pro" w:hAnsi="Source Sans Pro"/>
        </w:rPr>
        <w:t> </w:t>
      </w:r>
      <w:r w:rsidR="00DE13E0" w:rsidRPr="00D829F0">
        <w:rPr>
          <w:rFonts w:ascii="Source Sans Pro" w:hAnsi="Source Sans Pro"/>
        </w:rPr>
        <w:t>gadā bija</w:t>
      </w:r>
      <w:r w:rsidR="007778C2" w:rsidRPr="00D829F0">
        <w:rPr>
          <w:rFonts w:ascii="Source Sans Pro" w:hAnsi="Source Sans Pro"/>
        </w:rPr>
        <w:t xml:space="preserve"> inženierzinātnes, ražošanas un būvniecības izglītības tematiskajā jomā</w:t>
      </w:r>
      <w:r w:rsidR="00FC06B6" w:rsidRPr="00D829F0">
        <w:rPr>
          <w:rFonts w:ascii="Source Sans Pro" w:hAnsi="Source Sans Pro"/>
        </w:rPr>
        <w:t xml:space="preserve">, veidojot </w:t>
      </w:r>
      <w:r w:rsidR="007778C2" w:rsidRPr="00D829F0">
        <w:rPr>
          <w:rFonts w:ascii="Source Sans Pro" w:hAnsi="Source Sans Pro"/>
        </w:rPr>
        <w:t xml:space="preserve">aptuveni 65% no visiem uzņemtajiem studentiem attiecīgajās programmās. Tāpat augsts uzņemto studentu īpatsvars valsts finansētās studiju vietās vērojams </w:t>
      </w:r>
      <w:r w:rsidR="00306D74" w:rsidRPr="00D829F0">
        <w:rPr>
          <w:rFonts w:ascii="Source Sans Pro" w:hAnsi="Source Sans Pro"/>
        </w:rPr>
        <w:t>humanitārās zinātnes tematiskajās jomā – 61%, izglītībā – 57%, kā</w:t>
      </w:r>
      <w:r w:rsidR="006301A5" w:rsidRPr="00D829F0">
        <w:rPr>
          <w:rFonts w:ascii="Source Sans Pro" w:hAnsi="Source Sans Pro"/>
        </w:rPr>
        <w:t xml:space="preserve"> arī dabaszinātnes, matemātikas un informācijas tehnoloģijas un lauksaimniecības tematiskajās jomās, katrā – 54%</w:t>
      </w:r>
      <w:r w:rsidR="00FC231E" w:rsidRPr="00D829F0">
        <w:rPr>
          <w:rFonts w:ascii="Source Sans Pro" w:hAnsi="Source Sans Pro"/>
        </w:rPr>
        <w:t xml:space="preserve"> no visiem studējošajiem uzņemti studijās par valsts budžeta līdzekļiem.</w:t>
      </w:r>
    </w:p>
    <w:p w14:paraId="5C854D11" w14:textId="737AB05A" w:rsidR="00C33FBE" w:rsidRPr="00D829F0" w:rsidRDefault="00C33FBE" w:rsidP="007778C2">
      <w:pPr>
        <w:spacing w:after="120"/>
        <w:jc w:val="both"/>
        <w:rPr>
          <w:rFonts w:ascii="Source Sans Pro" w:hAnsi="Source Sans Pro"/>
        </w:rPr>
      </w:pPr>
      <w:r w:rsidRPr="00D829F0">
        <w:rPr>
          <w:rFonts w:ascii="Source Sans Pro" w:hAnsi="Source Sans Pro"/>
        </w:rPr>
        <w:t>Kopumā 2025.</w:t>
      </w:r>
      <w:r w:rsidR="00ED7604">
        <w:rPr>
          <w:rFonts w:ascii="Source Sans Pro" w:hAnsi="Source Sans Pro"/>
        </w:rPr>
        <w:t> </w:t>
      </w:r>
      <w:r w:rsidRPr="00D829F0">
        <w:rPr>
          <w:rFonts w:ascii="Source Sans Pro" w:hAnsi="Source Sans Pro"/>
        </w:rPr>
        <w:t xml:space="preserve">gadā aptuveni 59% no visiem studijas uzsākušajiem studentiem studijas sāka par valsts budžeta līdzekļiem. </w:t>
      </w:r>
      <w:r w:rsidR="00602B6C">
        <w:rPr>
          <w:rFonts w:ascii="Source Sans Pro" w:hAnsi="Source Sans Pro"/>
        </w:rPr>
        <w:t>Turklāt</w:t>
      </w:r>
      <w:r w:rsidRPr="00D829F0">
        <w:rPr>
          <w:rFonts w:ascii="Source Sans Pro" w:hAnsi="Source Sans Pro"/>
        </w:rPr>
        <w:t xml:space="preserve"> valsts finansēto studiju vietu īpatsvars pēdējos gados ir </w:t>
      </w:r>
      <w:r w:rsidR="006D2A82" w:rsidRPr="00D829F0">
        <w:rPr>
          <w:rFonts w:ascii="Source Sans Pro" w:hAnsi="Source Sans Pro"/>
        </w:rPr>
        <w:t>palielinājies</w:t>
      </w:r>
      <w:r w:rsidRPr="00D829F0">
        <w:rPr>
          <w:rFonts w:ascii="Source Sans Pro" w:hAnsi="Source Sans Pro"/>
        </w:rPr>
        <w:t>. Vienlaikus lielāks budžeta vietās uzņemto studentu skaits negarantē absolventu skaita pieaugumu. Ņemot vērā augsto atbirumu STEM virzienos, jāturpina pasākumi vidusskolu absolventu piesaistei šīm studijām, vienlaikus stiprinot atbalstu studiju procesā, lai palielinātu ne tikai uzņemto, bet arī studijas pabeigušo studentu skaitu.</w:t>
      </w:r>
    </w:p>
    <w:p w14:paraId="2919E47E" w14:textId="4F7D1650" w:rsidR="007778C2" w:rsidRPr="00D829F0" w:rsidRDefault="007778C2" w:rsidP="007778C2">
      <w:pPr>
        <w:spacing w:after="120"/>
        <w:jc w:val="both"/>
        <w:rPr>
          <w:rFonts w:ascii="Source Sans Pro" w:hAnsi="Source Sans Pro"/>
        </w:rPr>
      </w:pPr>
      <w:r w:rsidRPr="00D829F0">
        <w:rPr>
          <w:rFonts w:ascii="Source Sans Pro" w:hAnsi="Source Sans Pro"/>
        </w:rPr>
        <w:t>Profesionālās vidējās izglītības iestādēs jaunieši visvairāk izvēlas mācīties inženierzinātņu, ražošanas un būvniecības tematiskajā grupā (202</w:t>
      </w:r>
      <w:r w:rsidR="009E6A74" w:rsidRPr="00D829F0">
        <w:rPr>
          <w:rFonts w:ascii="Source Sans Pro" w:hAnsi="Source Sans Pro"/>
        </w:rPr>
        <w:t>5</w:t>
      </w:r>
      <w:r w:rsidRPr="00D829F0">
        <w:rPr>
          <w:rFonts w:ascii="Source Sans Pro" w:hAnsi="Source Sans Pro"/>
        </w:rPr>
        <w:t xml:space="preserve">. gadā </w:t>
      </w:r>
      <w:r w:rsidR="009E6A74" w:rsidRPr="00D829F0">
        <w:rPr>
          <w:rFonts w:ascii="Source Sans Pro" w:hAnsi="Source Sans Pro"/>
        </w:rPr>
        <w:t>40</w:t>
      </w:r>
      <w:r w:rsidRPr="00D829F0">
        <w:rPr>
          <w:rFonts w:ascii="Source Sans Pro" w:hAnsi="Source Sans Pro"/>
        </w:rPr>
        <w:t xml:space="preserve">% no kopējā studentu skaita). Šī grupa skaitliski ir vislielākā. </w:t>
      </w:r>
      <w:r w:rsidRPr="00D829F0">
        <w:rPr>
          <w:rFonts w:ascii="Source Sans Pro" w:hAnsi="Source Sans Pro"/>
        </w:rPr>
        <w:lastRenderedPageBreak/>
        <w:t>Kopš 2008. gada tās īpatsvars bija samazinājies, tomēr 202</w:t>
      </w:r>
      <w:r w:rsidR="009E6A74" w:rsidRPr="00D829F0">
        <w:rPr>
          <w:rFonts w:ascii="Source Sans Pro" w:hAnsi="Source Sans Pro"/>
        </w:rPr>
        <w:t>5</w:t>
      </w:r>
      <w:r w:rsidRPr="00D829F0">
        <w:rPr>
          <w:rFonts w:ascii="Source Sans Pro" w:hAnsi="Source Sans Pro"/>
        </w:rPr>
        <w:t>.</w:t>
      </w:r>
      <w:r w:rsidR="00602B6C">
        <w:rPr>
          <w:rFonts w:ascii="Source Sans Pro" w:hAnsi="Source Sans Pro"/>
        </w:rPr>
        <w:t> </w:t>
      </w:r>
      <w:r w:rsidRPr="00D829F0">
        <w:rPr>
          <w:rFonts w:ascii="Source Sans Pro" w:hAnsi="Source Sans Pro"/>
        </w:rPr>
        <w:t>gadā</w:t>
      </w:r>
      <w:r w:rsidR="009E6A74" w:rsidRPr="00D829F0">
        <w:rPr>
          <w:rFonts w:ascii="Source Sans Pro" w:hAnsi="Source Sans Pro"/>
        </w:rPr>
        <w:t xml:space="preserve"> tas</w:t>
      </w:r>
      <w:r w:rsidRPr="00D829F0">
        <w:rPr>
          <w:rFonts w:ascii="Source Sans Pro" w:hAnsi="Source Sans Pro"/>
        </w:rPr>
        <w:t xml:space="preserve"> ir </w:t>
      </w:r>
      <w:r w:rsidR="009E6A74" w:rsidRPr="00D829F0">
        <w:rPr>
          <w:rFonts w:ascii="Source Sans Pro" w:hAnsi="Source Sans Pro"/>
        </w:rPr>
        <w:t>gandrīz sasniedzis</w:t>
      </w:r>
      <w:r w:rsidRPr="00D829F0">
        <w:rPr>
          <w:rFonts w:ascii="Source Sans Pro" w:hAnsi="Source Sans Pro"/>
        </w:rPr>
        <w:t xml:space="preserve"> 201</w:t>
      </w:r>
      <w:r w:rsidR="009E6A74" w:rsidRPr="00D829F0">
        <w:rPr>
          <w:rFonts w:ascii="Source Sans Pro" w:hAnsi="Source Sans Pro"/>
        </w:rPr>
        <w:t>0</w:t>
      </w:r>
      <w:r w:rsidRPr="00D829F0">
        <w:rPr>
          <w:rFonts w:ascii="Source Sans Pro" w:hAnsi="Source Sans Pro"/>
        </w:rPr>
        <w:t>.</w:t>
      </w:r>
      <w:r w:rsidR="00602B6C">
        <w:rPr>
          <w:rFonts w:ascii="Source Sans Pro" w:hAnsi="Source Sans Pro"/>
        </w:rPr>
        <w:t> </w:t>
      </w:r>
      <w:r w:rsidRPr="00D829F0">
        <w:rPr>
          <w:rFonts w:ascii="Source Sans Pro" w:hAnsi="Source Sans Pro"/>
        </w:rPr>
        <w:t>gada līmenī. Kopš 2018. gada būtiski ir samazinājies izglītības tematiskās grupas “pakalpojumi” uzņemto audzēkņu skaita īpatsvars (2018. gadā</w:t>
      </w:r>
      <w:r w:rsidR="00382BE1" w:rsidRPr="00D829F0">
        <w:rPr>
          <w:rFonts w:ascii="Source Sans Pro" w:hAnsi="Source Sans Pro"/>
        </w:rPr>
        <w:t xml:space="preserve"> - </w:t>
      </w:r>
      <w:r w:rsidRPr="00D829F0">
        <w:rPr>
          <w:rFonts w:ascii="Source Sans Pro" w:hAnsi="Source Sans Pro"/>
        </w:rPr>
        <w:t>27% no uzņemto audzēkņu skaita; 202</w:t>
      </w:r>
      <w:r w:rsidR="008A43C0" w:rsidRPr="00D829F0">
        <w:rPr>
          <w:rFonts w:ascii="Source Sans Pro" w:hAnsi="Source Sans Pro"/>
        </w:rPr>
        <w:t>5</w:t>
      </w:r>
      <w:r w:rsidRPr="00D829F0">
        <w:rPr>
          <w:rFonts w:ascii="Source Sans Pro" w:hAnsi="Source Sans Pro"/>
        </w:rPr>
        <w:t>. gadā</w:t>
      </w:r>
      <w:r w:rsidR="00382BE1" w:rsidRPr="00D829F0">
        <w:rPr>
          <w:rFonts w:ascii="Source Sans Pro" w:hAnsi="Source Sans Pro"/>
        </w:rPr>
        <w:t xml:space="preserve"> - </w:t>
      </w:r>
      <w:r w:rsidRPr="00D829F0">
        <w:rPr>
          <w:rFonts w:ascii="Source Sans Pro" w:hAnsi="Source Sans Pro"/>
        </w:rPr>
        <w:t>2</w:t>
      </w:r>
      <w:r w:rsidR="008A43C0" w:rsidRPr="00D829F0">
        <w:rPr>
          <w:rFonts w:ascii="Source Sans Pro" w:hAnsi="Source Sans Pro"/>
        </w:rPr>
        <w:t>2</w:t>
      </w:r>
      <w:r w:rsidRPr="00D829F0">
        <w:rPr>
          <w:rFonts w:ascii="Source Sans Pro" w:hAnsi="Source Sans Pro"/>
        </w:rPr>
        <w:t>%). Vienlaikus šajā periodā ir pieaudzis studentu īpatsvars lauksaimniecības izglītības tematiskajā grupā (202</w:t>
      </w:r>
      <w:r w:rsidR="008A43C0" w:rsidRPr="00D829F0">
        <w:rPr>
          <w:rFonts w:ascii="Source Sans Pro" w:hAnsi="Source Sans Pro"/>
        </w:rPr>
        <w:t>5</w:t>
      </w:r>
      <w:r w:rsidRPr="00D829F0">
        <w:rPr>
          <w:rFonts w:ascii="Source Sans Pro" w:hAnsi="Source Sans Pro"/>
        </w:rPr>
        <w:t>. gadā, salīdzinot ar 2018. gadu, par 3 procentpunktiem).</w:t>
      </w:r>
    </w:p>
    <w:p w14:paraId="42FBF652" w14:textId="521C74AE" w:rsidR="004C23D5" w:rsidRPr="00D829F0" w:rsidRDefault="004C23D5" w:rsidP="00F01249">
      <w:pPr>
        <w:spacing w:after="120"/>
        <w:jc w:val="right"/>
        <w:rPr>
          <w:rFonts w:ascii="Source Sans Pro" w:hAnsi="Source Sans Pro"/>
          <w:szCs w:val="20"/>
        </w:rPr>
      </w:pPr>
      <w:r w:rsidRPr="00D829F0">
        <w:rPr>
          <w:rFonts w:ascii="Source Sans Pro" w:hAnsi="Source Sans Pro"/>
          <w:szCs w:val="20"/>
        </w:rPr>
        <w:t>2.2</w:t>
      </w:r>
      <w:r w:rsidR="007A5910" w:rsidRPr="00D829F0">
        <w:rPr>
          <w:rFonts w:ascii="Source Sans Pro" w:hAnsi="Source Sans Pro"/>
          <w:szCs w:val="20"/>
        </w:rPr>
        <w:t>1</w:t>
      </w:r>
      <w:r w:rsidRPr="00D829F0">
        <w:rPr>
          <w:rFonts w:ascii="Source Sans Pro" w:hAnsi="Source Sans Pro"/>
          <w:szCs w:val="20"/>
        </w:rPr>
        <w:t>.</w:t>
      </w:r>
      <w:r w:rsidR="00602B6C">
        <w:rPr>
          <w:rFonts w:ascii="Source Sans Pro" w:hAnsi="Source Sans Pro"/>
          <w:szCs w:val="20"/>
        </w:rPr>
        <w:t> </w:t>
      </w:r>
      <w:r w:rsidRPr="00D829F0">
        <w:rPr>
          <w:rFonts w:ascii="Source Sans Pro" w:hAnsi="Source Sans Pro"/>
          <w:szCs w:val="20"/>
        </w:rPr>
        <w:t>attēls</w:t>
      </w:r>
    </w:p>
    <w:p w14:paraId="5725727E" w14:textId="39A8569A" w:rsidR="004C23D5" w:rsidRPr="003528E0" w:rsidRDefault="00FA2A6A" w:rsidP="007778C2">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0"/>
        <w:rPr>
          <w:rFonts w:ascii="Segoe UI Light" w:hAnsi="Segoe UI Light"/>
          <w:b/>
          <w:bCs/>
          <w:szCs w:val="26"/>
        </w:rPr>
      </w:pPr>
      <w:r w:rsidRPr="003528E0">
        <w:rPr>
          <w:rFonts w:ascii="Segoe UI Light" w:hAnsi="Segoe UI Light"/>
          <w:b/>
          <w:bCs/>
          <w:szCs w:val="26"/>
        </w:rPr>
        <w:t xml:space="preserve">Izglītojamo </w:t>
      </w:r>
      <w:r w:rsidR="004C23D5" w:rsidRPr="003528E0">
        <w:rPr>
          <w:rFonts w:ascii="Segoe UI Light" w:hAnsi="Segoe UI Light"/>
          <w:b/>
          <w:bCs/>
          <w:szCs w:val="26"/>
        </w:rPr>
        <w:t>skaita sadalījums profesionālās izglītības iestādēs pa izglītības tematiskām grupām</w:t>
      </w:r>
    </w:p>
    <w:p w14:paraId="52A62948" w14:textId="7375DEDC" w:rsidR="004C23D5" w:rsidRPr="003528E0" w:rsidRDefault="004C23D5" w:rsidP="00F0124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6804"/>
        </w:tabs>
        <w:suppressAutoHyphens/>
        <w:spacing w:after="120"/>
        <w:jc w:val="left"/>
        <w:rPr>
          <w:rFonts w:ascii="Segoe UI Light" w:hAnsi="Segoe UI Light"/>
          <w:b/>
          <w:i/>
          <w:sz w:val="16"/>
          <w:szCs w:val="16"/>
        </w:rPr>
      </w:pPr>
      <w:r w:rsidRPr="003528E0">
        <w:rPr>
          <w:rFonts w:ascii="Segoe UI Light" w:hAnsi="Segoe UI Light"/>
          <w:bCs/>
          <w:i/>
          <w:sz w:val="16"/>
          <w:szCs w:val="22"/>
        </w:rPr>
        <w:tab/>
      </w:r>
      <w:r w:rsidRPr="003528E0">
        <w:rPr>
          <w:rFonts w:ascii="Segoe UI Light" w:hAnsi="Segoe UI Light"/>
          <w:i/>
          <w:sz w:val="16"/>
          <w:szCs w:val="16"/>
        </w:rPr>
        <w:t xml:space="preserve">uzņemto </w:t>
      </w:r>
      <w:r w:rsidR="00FA2A6A" w:rsidRPr="003528E0">
        <w:rPr>
          <w:rFonts w:ascii="Segoe UI Light" w:hAnsi="Segoe UI Light"/>
          <w:i/>
          <w:sz w:val="16"/>
          <w:szCs w:val="16"/>
        </w:rPr>
        <w:t>izglītojamo</w:t>
      </w:r>
      <w:r w:rsidRPr="003528E0">
        <w:rPr>
          <w:rFonts w:ascii="Segoe UI Light" w:hAnsi="Segoe UI Light"/>
          <w:i/>
          <w:sz w:val="16"/>
          <w:szCs w:val="16"/>
        </w:rPr>
        <w:t xml:space="preserve"> skaits, procentos</w:t>
      </w:r>
      <w:r w:rsidRPr="003528E0">
        <w:rPr>
          <w:rFonts w:ascii="Segoe UI Light" w:hAnsi="Segoe UI Light"/>
          <w:b/>
          <w:bCs/>
          <w:i/>
          <w:sz w:val="16"/>
          <w:szCs w:val="22"/>
        </w:rPr>
        <w:tab/>
      </w:r>
      <w:r w:rsidR="00FA2A6A" w:rsidRPr="003528E0">
        <w:rPr>
          <w:rFonts w:ascii="Segoe UI Light" w:hAnsi="Segoe UI Light"/>
          <w:b/>
          <w:bCs/>
          <w:i/>
          <w:sz w:val="16"/>
          <w:szCs w:val="22"/>
        </w:rPr>
        <w:t xml:space="preserve">profesionālo </w:t>
      </w:r>
      <w:r w:rsidRPr="003528E0">
        <w:rPr>
          <w:rFonts w:ascii="Segoe UI Light" w:hAnsi="Segoe UI Light"/>
          <w:i/>
          <w:sz w:val="16"/>
          <w:szCs w:val="16"/>
        </w:rPr>
        <w:t>kvalifikāciju ieguvušo skaits, procentos</w:t>
      </w:r>
    </w:p>
    <w:p w14:paraId="656F62A9" w14:textId="4D1C6CD4" w:rsidR="007778C2" w:rsidRPr="003528E0" w:rsidRDefault="004C1C57" w:rsidP="003F161B">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237"/>
        </w:tabs>
        <w:suppressAutoHyphens/>
        <w:spacing w:after="120"/>
        <w:jc w:val="left"/>
        <w:rPr>
          <w:rFonts w:asciiTheme="minorHAnsi" w:hAnsiTheme="minorHAnsi"/>
          <w:sz w:val="20"/>
        </w:rPr>
      </w:pPr>
      <w:r w:rsidRPr="003528E0">
        <w:rPr>
          <w:rFonts w:asciiTheme="minorHAnsi" w:hAnsiTheme="minorHAnsi"/>
          <w:noProof/>
          <w:sz w:val="20"/>
          <w:lang w:eastAsia="lv-LV"/>
        </w:rPr>
        <w:drawing>
          <wp:inline distT="0" distB="0" distL="0" distR="0" wp14:anchorId="2A11F2F4" wp14:editId="5CDF537D">
            <wp:extent cx="2880360" cy="2282963"/>
            <wp:effectExtent l="0" t="0" r="0" b="3175"/>
            <wp:docPr id="438248655"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003528E0" w:rsidRPr="003528E0">
        <w:rPr>
          <w:rFonts w:asciiTheme="minorHAnsi" w:hAnsiTheme="minorHAnsi"/>
          <w:noProof/>
          <w:sz w:val="20"/>
          <w:lang w:eastAsia="lv-LV"/>
        </w:rPr>
        <w:drawing>
          <wp:inline distT="0" distB="0" distL="0" distR="0" wp14:anchorId="0C399501" wp14:editId="1815FA04">
            <wp:extent cx="2848911" cy="2278071"/>
            <wp:effectExtent l="0" t="0" r="8890" b="8255"/>
            <wp:docPr id="428219468"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0AA42CA" w14:textId="189A4E26" w:rsidR="004C23D5" w:rsidRPr="003528E0" w:rsidRDefault="007778C2" w:rsidP="007778C2">
      <w:pPr>
        <w:pStyle w:val="9pirmstab3"/>
        <w:tabs>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0"/>
        <w:jc w:val="left"/>
        <w:rPr>
          <w:rFonts w:asciiTheme="minorHAnsi" w:hAnsiTheme="minorHAnsi"/>
          <w:bCs/>
          <w:sz w:val="20"/>
        </w:rPr>
      </w:pPr>
      <w:r w:rsidRPr="003528E0">
        <w:rPr>
          <w:rFonts w:asciiTheme="minorHAnsi" w:hAnsiTheme="minorHAnsi"/>
          <w:noProof/>
          <w:sz w:val="20"/>
          <w:lang w:eastAsia="lv-LV"/>
        </w:rPr>
        <w:drawing>
          <wp:inline distT="0" distB="0" distL="0" distR="0" wp14:anchorId="42489D38" wp14:editId="76C456FD">
            <wp:extent cx="5760000" cy="720000"/>
            <wp:effectExtent l="0" t="0" r="0" b="4445"/>
            <wp:docPr id="301"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3ED0F99A" w14:textId="77777777" w:rsidR="004C23D5" w:rsidRPr="00D829F0" w:rsidRDefault="004C23D5" w:rsidP="00F01249">
      <w:pPr>
        <w:spacing w:after="120" w:line="365" w:lineRule="atLeast"/>
        <w:jc w:val="both"/>
        <w:rPr>
          <w:rFonts w:ascii="Source Sans Pro" w:eastAsia="Times New Roman" w:hAnsi="Source Sans Pro" w:cs="Calibri Light"/>
          <w:color w:val="000000"/>
          <w:sz w:val="16"/>
          <w:szCs w:val="20"/>
        </w:rPr>
      </w:pPr>
      <w:r w:rsidRPr="00D829F0">
        <w:rPr>
          <w:rFonts w:ascii="Source Sans Pro" w:eastAsia="Times New Roman" w:hAnsi="Source Sans Pro" w:cs="Calibri Light"/>
          <w:color w:val="000000"/>
          <w:sz w:val="16"/>
          <w:szCs w:val="20"/>
        </w:rPr>
        <w:t>Avots: CSP</w:t>
      </w:r>
    </w:p>
    <w:p w14:paraId="3A25AFBF" w14:textId="77777777" w:rsidR="0015374C" w:rsidRPr="0015374C" w:rsidRDefault="0015374C" w:rsidP="00F01249">
      <w:pPr>
        <w:spacing w:after="120"/>
        <w:jc w:val="both"/>
        <w:rPr>
          <w:rFonts w:ascii="Source Sans Pro" w:hAnsi="Source Sans Pro"/>
        </w:rPr>
      </w:pPr>
    </w:p>
    <w:p w14:paraId="72260C38" w14:textId="1EDDB2EB" w:rsidR="004C23D5" w:rsidRPr="0054750B" w:rsidRDefault="004C23D5" w:rsidP="00F01249">
      <w:pPr>
        <w:spacing w:after="120"/>
        <w:jc w:val="both"/>
        <w:rPr>
          <w:rFonts w:ascii="Aptos Narrow" w:hAnsi="Aptos Narrow"/>
          <w:b/>
          <w:color w:val="003E4C"/>
          <w:sz w:val="28"/>
          <w:szCs w:val="28"/>
        </w:rPr>
      </w:pPr>
      <w:r w:rsidRPr="0054750B">
        <w:rPr>
          <w:rFonts w:ascii="Aptos Narrow" w:hAnsi="Aptos Narrow"/>
          <w:b/>
          <w:color w:val="003E4C"/>
          <w:sz w:val="28"/>
          <w:szCs w:val="28"/>
        </w:rPr>
        <w:t>Pieaugušo izglītība</w:t>
      </w:r>
    </w:p>
    <w:p w14:paraId="38AFAF63" w14:textId="36CB3C94" w:rsidR="004C23D5" w:rsidRPr="00D829F0" w:rsidRDefault="007778C2" w:rsidP="00F01249">
      <w:pPr>
        <w:spacing w:after="120"/>
        <w:jc w:val="both"/>
        <w:rPr>
          <w:rFonts w:ascii="Source Sans Pro" w:hAnsi="Source Sans Pro"/>
        </w:rPr>
      </w:pPr>
      <w:r w:rsidRPr="00D829F0">
        <w:rPr>
          <w:rFonts w:ascii="Source Sans Pro" w:hAnsi="Source Sans Pro"/>
        </w:rPr>
        <w:t>202</w:t>
      </w:r>
      <w:r w:rsidR="00694517" w:rsidRPr="00D829F0">
        <w:rPr>
          <w:rFonts w:ascii="Source Sans Pro" w:hAnsi="Source Sans Pro"/>
        </w:rPr>
        <w:t>5</w:t>
      </w:r>
      <w:r w:rsidRPr="00D829F0">
        <w:rPr>
          <w:rFonts w:ascii="Source Sans Pro" w:hAnsi="Source Sans Pro"/>
        </w:rPr>
        <w:t>. </w:t>
      </w:r>
      <w:r w:rsidR="0080669C" w:rsidRPr="00D829F0">
        <w:rPr>
          <w:rFonts w:ascii="Source Sans Pro" w:hAnsi="Source Sans Pro"/>
        </w:rPr>
        <w:t>gad</w:t>
      </w:r>
      <w:r w:rsidR="004C23D5" w:rsidRPr="00D829F0">
        <w:rPr>
          <w:rFonts w:ascii="Source Sans Pro" w:hAnsi="Source Sans Pro"/>
        </w:rPr>
        <w:t xml:space="preserve">ā </w:t>
      </w:r>
      <w:r w:rsidR="00694517" w:rsidRPr="00D829F0">
        <w:rPr>
          <w:rFonts w:ascii="Source Sans Pro" w:hAnsi="Source Sans Pro"/>
        </w:rPr>
        <w:t>11,4</w:t>
      </w:r>
      <w:r w:rsidR="0080669C" w:rsidRPr="00D829F0">
        <w:rPr>
          <w:rFonts w:ascii="Source Sans Pro" w:hAnsi="Source Sans Pro"/>
        </w:rPr>
        <w:t>%</w:t>
      </w:r>
      <w:r w:rsidR="004C23D5" w:rsidRPr="00D829F0">
        <w:rPr>
          <w:rFonts w:ascii="Source Sans Pro" w:hAnsi="Source Sans Pro"/>
        </w:rPr>
        <w:t xml:space="preserve"> Latvijas iedzīvotāju vecumā no 25 līdz </w:t>
      </w:r>
      <w:r w:rsidRPr="00D829F0">
        <w:rPr>
          <w:rFonts w:ascii="Source Sans Pro" w:hAnsi="Source Sans Pro"/>
        </w:rPr>
        <w:t>64 gadiem</w:t>
      </w:r>
      <w:r w:rsidR="004C23D5" w:rsidRPr="00D829F0">
        <w:rPr>
          <w:rFonts w:ascii="Source Sans Pro" w:hAnsi="Source Sans Pro"/>
        </w:rPr>
        <w:t xml:space="preserve"> bija iesaistīti pieaugušo izglītības aktivitātēs, kamēr Ziemeļvalstīs šis rādītājs bija trīs un pat četras reizes augstāks. Lai arī </w:t>
      </w:r>
      <w:r w:rsidR="00FE223B" w:rsidRPr="00D829F0">
        <w:rPr>
          <w:rFonts w:ascii="Source Sans Pro" w:hAnsi="Source Sans Pro"/>
        </w:rPr>
        <w:t>kopš 2020.</w:t>
      </w:r>
      <w:r w:rsidR="00602B6C">
        <w:rPr>
          <w:rFonts w:ascii="Source Sans Pro" w:hAnsi="Source Sans Pro"/>
        </w:rPr>
        <w:t> </w:t>
      </w:r>
      <w:r w:rsidR="00FE223B" w:rsidRPr="00D829F0">
        <w:rPr>
          <w:rFonts w:ascii="Source Sans Pro" w:hAnsi="Source Sans Pro"/>
        </w:rPr>
        <w:t xml:space="preserve">gada </w:t>
      </w:r>
      <w:r w:rsidR="004C23D5" w:rsidRPr="00D829F0">
        <w:rPr>
          <w:rFonts w:ascii="Source Sans Pro" w:hAnsi="Source Sans Pro"/>
        </w:rPr>
        <w:t>pieaugušo dalība izglītības procesā ir pieaugusi (</w:t>
      </w:r>
      <w:r w:rsidR="00FE223B" w:rsidRPr="00D829F0">
        <w:rPr>
          <w:rFonts w:ascii="Source Sans Pro" w:hAnsi="Source Sans Pro"/>
        </w:rPr>
        <w:t>202</w:t>
      </w:r>
      <w:r w:rsidR="00694517" w:rsidRPr="00D829F0">
        <w:rPr>
          <w:rFonts w:ascii="Source Sans Pro" w:hAnsi="Source Sans Pro"/>
        </w:rPr>
        <w:t>5</w:t>
      </w:r>
      <w:r w:rsidR="00FE223B" w:rsidRPr="00D829F0">
        <w:rPr>
          <w:rFonts w:ascii="Source Sans Pro" w:hAnsi="Source Sans Pro"/>
        </w:rPr>
        <w:t>.</w:t>
      </w:r>
      <w:r w:rsidR="00302F8C">
        <w:rPr>
          <w:rFonts w:ascii="Source Sans Pro" w:hAnsi="Source Sans Pro"/>
        </w:rPr>
        <w:t> </w:t>
      </w:r>
      <w:r w:rsidR="00FE223B" w:rsidRPr="00D829F0">
        <w:rPr>
          <w:rFonts w:ascii="Source Sans Pro" w:hAnsi="Source Sans Pro"/>
        </w:rPr>
        <w:t xml:space="preserve">gadā, </w:t>
      </w:r>
      <w:r w:rsidR="004C23D5" w:rsidRPr="00D829F0">
        <w:rPr>
          <w:rFonts w:ascii="Source Sans Pro" w:hAnsi="Source Sans Pro"/>
        </w:rPr>
        <w:t xml:space="preserve">salīdzinot ar </w:t>
      </w:r>
      <w:r w:rsidRPr="00D829F0">
        <w:rPr>
          <w:rFonts w:ascii="Source Sans Pro" w:hAnsi="Source Sans Pro"/>
        </w:rPr>
        <w:t>202</w:t>
      </w:r>
      <w:r w:rsidR="008F777F" w:rsidRPr="00D829F0">
        <w:rPr>
          <w:rFonts w:ascii="Source Sans Pro" w:hAnsi="Source Sans Pro"/>
        </w:rPr>
        <w:t>0</w:t>
      </w:r>
      <w:r w:rsidRPr="00D829F0">
        <w:rPr>
          <w:rFonts w:ascii="Source Sans Pro" w:hAnsi="Source Sans Pro"/>
        </w:rPr>
        <w:t>. </w:t>
      </w:r>
      <w:r w:rsidR="0080669C" w:rsidRPr="00D829F0">
        <w:rPr>
          <w:rFonts w:ascii="Source Sans Pro" w:hAnsi="Source Sans Pro"/>
        </w:rPr>
        <w:t>gad</w:t>
      </w:r>
      <w:r w:rsidR="004C23D5" w:rsidRPr="00D829F0">
        <w:rPr>
          <w:rFonts w:ascii="Source Sans Pro" w:hAnsi="Source Sans Pro"/>
        </w:rPr>
        <w:t>u</w:t>
      </w:r>
      <w:r w:rsidR="00FE223B" w:rsidRPr="00D829F0">
        <w:rPr>
          <w:rFonts w:ascii="Source Sans Pro" w:hAnsi="Source Sans Pro"/>
        </w:rPr>
        <w:t xml:space="preserve">, par </w:t>
      </w:r>
      <w:r w:rsidR="008F777F" w:rsidRPr="00D829F0">
        <w:rPr>
          <w:rFonts w:ascii="Source Sans Pro" w:hAnsi="Source Sans Pro"/>
        </w:rPr>
        <w:t>4</w:t>
      </w:r>
      <w:r w:rsidR="00FE223B" w:rsidRPr="00D829F0">
        <w:rPr>
          <w:rFonts w:ascii="Source Sans Pro" w:hAnsi="Source Sans Pro"/>
        </w:rPr>
        <w:t>,</w:t>
      </w:r>
      <w:r w:rsidR="00694517" w:rsidRPr="00D829F0">
        <w:rPr>
          <w:rFonts w:ascii="Source Sans Pro" w:hAnsi="Source Sans Pro"/>
        </w:rPr>
        <w:t>8</w:t>
      </w:r>
      <w:r w:rsidR="00FE223B" w:rsidRPr="00D829F0">
        <w:rPr>
          <w:rFonts w:ascii="Source Sans Pro" w:hAnsi="Source Sans Pro"/>
        </w:rPr>
        <w:t xml:space="preserve"> procentpunktu</w:t>
      </w:r>
      <w:r w:rsidR="004C23D5" w:rsidRPr="00D829F0">
        <w:rPr>
          <w:rFonts w:ascii="Source Sans Pro" w:hAnsi="Source Sans Pro"/>
        </w:rPr>
        <w:t>), tā saglabājās zem ES vidējā līmeņa</w:t>
      </w:r>
      <w:r w:rsidR="00731E1A" w:rsidRPr="00D829F0">
        <w:rPr>
          <w:rFonts w:ascii="Source Sans Pro" w:hAnsi="Source Sans Pro"/>
        </w:rPr>
        <w:t>, atpaliekot par 2,3 procentpunktiem</w:t>
      </w:r>
      <w:r w:rsidR="004C23D5" w:rsidRPr="00D829F0">
        <w:rPr>
          <w:rFonts w:ascii="Source Sans Pro" w:hAnsi="Source Sans Pro"/>
        </w:rPr>
        <w:t xml:space="preserve">. </w:t>
      </w:r>
    </w:p>
    <w:p w14:paraId="46E84A4C" w14:textId="4F23BF0B" w:rsidR="004C23D5" w:rsidRPr="00D829F0" w:rsidRDefault="004C23D5" w:rsidP="00F01249">
      <w:pPr>
        <w:tabs>
          <w:tab w:val="left" w:pos="816"/>
          <w:tab w:val="right" w:pos="9072"/>
        </w:tabs>
        <w:spacing w:after="120"/>
        <w:jc w:val="right"/>
        <w:rPr>
          <w:rFonts w:ascii="Source Sans Pro" w:hAnsi="Source Sans Pro"/>
          <w:szCs w:val="20"/>
        </w:rPr>
      </w:pPr>
      <w:bookmarkStart w:id="47" w:name="_Hlk103939026"/>
      <w:r w:rsidRPr="00D829F0">
        <w:rPr>
          <w:rFonts w:ascii="Source Sans Pro" w:hAnsi="Source Sans Pro"/>
          <w:szCs w:val="20"/>
        </w:rPr>
        <w:t>2.2</w:t>
      </w:r>
      <w:r w:rsidR="007A5910" w:rsidRPr="00D829F0">
        <w:rPr>
          <w:rFonts w:ascii="Source Sans Pro" w:hAnsi="Source Sans Pro"/>
          <w:szCs w:val="20"/>
        </w:rPr>
        <w:t>2</w:t>
      </w:r>
      <w:r w:rsidRPr="00D829F0">
        <w:rPr>
          <w:rFonts w:ascii="Source Sans Pro" w:hAnsi="Source Sans Pro"/>
          <w:szCs w:val="20"/>
        </w:rPr>
        <w:t>. attēls</w:t>
      </w:r>
    </w:p>
    <w:p w14:paraId="58771D93" w14:textId="30668853" w:rsidR="004C23D5" w:rsidRPr="0095729E" w:rsidRDefault="004C23D5" w:rsidP="004C23D5">
      <w:pPr>
        <w:spacing w:after="120"/>
        <w:jc w:val="center"/>
        <w:rPr>
          <w:rFonts w:ascii="Segoe UI Light" w:hAnsi="Segoe UI Light"/>
          <w:i/>
          <w:iCs/>
          <w:sz w:val="16"/>
          <w:szCs w:val="16"/>
        </w:rPr>
      </w:pPr>
      <w:r w:rsidRPr="0095729E">
        <w:rPr>
          <w:rFonts w:ascii="Segoe UI Light" w:hAnsi="Segoe UI Light"/>
          <w:b/>
          <w:bCs/>
          <w:sz w:val="18"/>
          <w:szCs w:val="18"/>
        </w:rPr>
        <w:t xml:space="preserve">Iedzīvotāju līdzdalība pieaugušo izglītībā* </w:t>
      </w:r>
      <w:r w:rsidRPr="00D829F0">
        <w:rPr>
          <w:rFonts w:ascii="Source Sans Pro" w:hAnsi="Source Sans Pro"/>
        </w:rPr>
        <w:br/>
      </w:r>
      <w:r w:rsidRPr="0095729E">
        <w:rPr>
          <w:rFonts w:ascii="Segoe UI Light" w:hAnsi="Segoe UI Light"/>
          <w:i/>
          <w:iCs/>
          <w:sz w:val="16"/>
          <w:szCs w:val="16"/>
        </w:rPr>
        <w:t>vecuma grupā 25-</w:t>
      </w:r>
      <w:r w:rsidR="007778C2" w:rsidRPr="0095729E">
        <w:rPr>
          <w:rFonts w:ascii="Segoe UI Light" w:hAnsi="Segoe UI Light"/>
          <w:i/>
          <w:iCs/>
          <w:sz w:val="16"/>
          <w:szCs w:val="16"/>
        </w:rPr>
        <w:t>64 gadi</w:t>
      </w:r>
      <w:r w:rsidRPr="0095729E">
        <w:rPr>
          <w:rFonts w:ascii="Segoe UI Light" w:hAnsi="Segoe UI Light"/>
          <w:i/>
          <w:iCs/>
          <w:sz w:val="16"/>
          <w:szCs w:val="16"/>
        </w:rPr>
        <w:t>, procentos</w:t>
      </w:r>
    </w:p>
    <w:p w14:paraId="6CB673AE" w14:textId="63926DD4" w:rsidR="004C23D5" w:rsidRPr="00D829F0" w:rsidRDefault="0095729E" w:rsidP="005F2B6A">
      <w:pPr>
        <w:spacing w:after="120"/>
        <w:ind w:right="-1"/>
        <w:jc w:val="center"/>
        <w:rPr>
          <w:rFonts w:ascii="Source Sans Pro" w:hAnsi="Source Sans Pro"/>
        </w:rPr>
      </w:pPr>
      <w:r w:rsidRPr="00D829F0">
        <w:rPr>
          <w:rFonts w:ascii="Source Sans Pro" w:hAnsi="Source Sans Pro" w:cs="Segoe UI"/>
          <w:noProof/>
          <w:szCs w:val="20"/>
          <w:lang w:eastAsia="lv-LV"/>
        </w:rPr>
        <w:drawing>
          <wp:inline distT="0" distB="0" distL="0" distR="0" wp14:anchorId="25F4BB46" wp14:editId="68B53421">
            <wp:extent cx="5760085" cy="1858418"/>
            <wp:effectExtent l="0" t="0" r="0" b="8890"/>
            <wp:docPr id="122996039" name="Chart 1229960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bookmarkEnd w:id="47"/>
    <w:p w14:paraId="2E80CDE7" w14:textId="77777777" w:rsidR="004C23D5" w:rsidRPr="00D829F0" w:rsidRDefault="004C23D5" w:rsidP="00097A08">
      <w:pPr>
        <w:spacing w:before="120" w:after="120"/>
        <w:rPr>
          <w:rFonts w:ascii="Source Sans Pro" w:hAnsi="Source Sans Pro"/>
          <w:sz w:val="16"/>
          <w:szCs w:val="16"/>
        </w:rPr>
      </w:pPr>
      <w:r w:rsidRPr="00D829F0">
        <w:rPr>
          <w:rFonts w:ascii="Source Sans Pro" w:hAnsi="Source Sans Pro"/>
          <w:sz w:val="16"/>
          <w:szCs w:val="16"/>
        </w:rPr>
        <w:t xml:space="preserve">Avots: </w:t>
      </w:r>
      <w:r w:rsidRPr="00D829F0">
        <w:rPr>
          <w:rFonts w:ascii="Source Sans Pro" w:hAnsi="Source Sans Pro"/>
          <w:i/>
          <w:sz w:val="16"/>
          <w:szCs w:val="16"/>
        </w:rPr>
        <w:t xml:space="preserve">Eurostat (EU </w:t>
      </w:r>
      <w:r w:rsidRPr="00D829F0">
        <w:rPr>
          <w:rFonts w:ascii="Source Sans Pro" w:hAnsi="Source Sans Pro"/>
          <w:i/>
          <w:sz w:val="16"/>
          <w:szCs w:val="16"/>
          <w:lang w:val="en-GB"/>
        </w:rPr>
        <w:t>Labour force survey</w:t>
      </w:r>
      <w:r w:rsidRPr="00D829F0">
        <w:rPr>
          <w:rFonts w:ascii="Source Sans Pro" w:hAnsi="Source Sans Pro"/>
          <w:i/>
          <w:sz w:val="16"/>
          <w:szCs w:val="16"/>
        </w:rPr>
        <w:t>)</w:t>
      </w:r>
      <w:r w:rsidRPr="00D829F0">
        <w:rPr>
          <w:rFonts w:ascii="Source Sans Pro" w:hAnsi="Source Sans Pro"/>
          <w:i/>
          <w:sz w:val="16"/>
          <w:szCs w:val="16"/>
        </w:rPr>
        <w:br/>
      </w:r>
      <w:r w:rsidRPr="00D829F0">
        <w:rPr>
          <w:rFonts w:ascii="Source Sans Pro" w:hAnsi="Source Sans Pro"/>
          <w:sz w:val="16"/>
          <w:szCs w:val="16"/>
        </w:rPr>
        <w:t>* Četru nedēļu laikā pirms apsekojuma</w:t>
      </w:r>
    </w:p>
    <w:p w14:paraId="75E4BAA8" w14:textId="77777777" w:rsidR="0015374C" w:rsidRDefault="0015374C">
      <w:pPr>
        <w:spacing w:after="0"/>
        <w:rPr>
          <w:rFonts w:ascii="Source Sans Pro" w:hAnsi="Source Sans Pro"/>
        </w:rPr>
      </w:pPr>
      <w:r>
        <w:rPr>
          <w:rFonts w:ascii="Source Sans Pro" w:hAnsi="Source Sans Pro"/>
        </w:rPr>
        <w:br w:type="page"/>
      </w:r>
    </w:p>
    <w:p w14:paraId="0F036FAD" w14:textId="4CE2D363" w:rsidR="002D3B9E" w:rsidRPr="00D829F0" w:rsidRDefault="006B4A6A" w:rsidP="00F01249">
      <w:pPr>
        <w:spacing w:after="120"/>
        <w:jc w:val="both"/>
        <w:rPr>
          <w:rFonts w:ascii="Source Sans Pro" w:hAnsi="Source Sans Pro"/>
        </w:rPr>
      </w:pPr>
      <w:r w:rsidRPr="00D829F0">
        <w:rPr>
          <w:rFonts w:ascii="Source Sans Pro" w:hAnsi="Source Sans Pro"/>
        </w:rPr>
        <w:lastRenderedPageBreak/>
        <w:t xml:space="preserve">Nepietiekamai iesaiste par pamatu ir vairāki iemesli un fundamentālas problēmas visās trīs pieaugušo izglītības procesā iesaistītajās pusēs - darba devēji, darba ņēmēji un izglītības pakalpojumu sniedzēji. Sabiedrībā kopumā </w:t>
      </w:r>
      <w:r w:rsidR="00302F8C" w:rsidRPr="00D829F0">
        <w:rPr>
          <w:rFonts w:ascii="Source Sans Pro" w:hAnsi="Source Sans Pro"/>
        </w:rPr>
        <w:t>ir zema interese</w:t>
      </w:r>
      <w:r w:rsidRPr="00D829F0">
        <w:rPr>
          <w:rFonts w:ascii="Source Sans Pro" w:hAnsi="Source Sans Pro"/>
        </w:rPr>
        <w:t xml:space="preserve"> par pieaugušo izglītību. Arī zemais atalgojums virknē profesiju un nozaru ir viens no būtiskiem šķēršļiem personu iesaistei ilgākos mācības kursos. Iedzīvotāji pārsvarā sagaida mācību piedāvājumu individuālo kompetenču celšanai, un pieaugušo izglītība netiek aplūkota kā karjeras izaugsmes iespēja. Kavējošs faktors ir ari vājā reģionālā mobilitāte un iespēja apvienot mācības ar darbu. </w:t>
      </w:r>
    </w:p>
    <w:p w14:paraId="3A431E25" w14:textId="529EAEDD" w:rsidR="0030177B" w:rsidRPr="00D829F0" w:rsidRDefault="003307F6" w:rsidP="00F01249">
      <w:pPr>
        <w:spacing w:after="120"/>
        <w:jc w:val="both"/>
        <w:rPr>
          <w:rFonts w:ascii="Source Sans Pro" w:hAnsi="Source Sans Pro"/>
        </w:rPr>
      </w:pPr>
      <w:r w:rsidRPr="007252C9">
        <w:rPr>
          <w:rFonts w:ascii="Source Sans Pro" w:hAnsi="Source Sans Pro"/>
        </w:rPr>
        <w:t>Saskaņā ar CSP datiem 2020.</w:t>
      </w:r>
      <w:r w:rsidR="00302F8C">
        <w:rPr>
          <w:rFonts w:ascii="Source Sans Pro" w:hAnsi="Source Sans Pro"/>
        </w:rPr>
        <w:t> </w:t>
      </w:r>
      <w:r w:rsidRPr="007252C9">
        <w:rPr>
          <w:rFonts w:ascii="Source Sans Pro" w:hAnsi="Source Sans Pro"/>
        </w:rPr>
        <w:t>gadā 30,7</w:t>
      </w:r>
      <w:r w:rsidR="00302F8C">
        <w:rPr>
          <w:rFonts w:ascii="Source Sans Pro" w:hAnsi="Source Sans Pro"/>
        </w:rPr>
        <w:t> </w:t>
      </w:r>
      <w:r w:rsidRPr="007252C9">
        <w:rPr>
          <w:rFonts w:ascii="Source Sans Pro" w:hAnsi="Source Sans Pro"/>
        </w:rPr>
        <w:t>% darbinieku piedalījās darba devēja organizētās mācībās Latvijā, vidēji ES šis rādītājs bija 42,4</w:t>
      </w:r>
      <w:r w:rsidR="00302F8C">
        <w:rPr>
          <w:rFonts w:ascii="Source Sans Pro" w:hAnsi="Source Sans Pro"/>
        </w:rPr>
        <w:t> </w:t>
      </w:r>
      <w:r w:rsidRPr="007252C9">
        <w:rPr>
          <w:rFonts w:ascii="Source Sans Pro" w:hAnsi="Source Sans Pro"/>
        </w:rPr>
        <w:t xml:space="preserve">%. Izmaksas viena dalībnieka mācībās 2020. gadā Latvijā veidoja vidēji 297 eiro un bija mazākās starp Baltijas valstīm. </w:t>
      </w:r>
      <w:r w:rsidR="00E26023" w:rsidRPr="007252C9">
        <w:rPr>
          <w:rFonts w:ascii="Source Sans Pro" w:hAnsi="Source Sans Pro"/>
        </w:rPr>
        <w:t xml:space="preserve">Latvijā darba devēji salīdzinoši mazāk nekā citās ES valstīs atbalsta savu darbinieku mācības. </w:t>
      </w:r>
      <w:r w:rsidRPr="007252C9">
        <w:rPr>
          <w:rFonts w:ascii="Source Sans Pro" w:hAnsi="Source Sans Pro"/>
        </w:rPr>
        <w:t>202</w:t>
      </w:r>
      <w:r w:rsidR="006B4A6A" w:rsidRPr="007252C9">
        <w:rPr>
          <w:rFonts w:ascii="Source Sans Pro" w:hAnsi="Source Sans Pro"/>
        </w:rPr>
        <w:t>5</w:t>
      </w:r>
      <w:r w:rsidRPr="007252C9">
        <w:rPr>
          <w:rFonts w:ascii="Source Sans Pro" w:hAnsi="Source Sans Pro"/>
        </w:rPr>
        <w:t>.</w:t>
      </w:r>
      <w:r w:rsidR="00302F8C">
        <w:rPr>
          <w:rFonts w:ascii="Source Sans Pro" w:hAnsi="Source Sans Pro"/>
        </w:rPr>
        <w:t> </w:t>
      </w:r>
      <w:r w:rsidRPr="007252C9">
        <w:rPr>
          <w:rFonts w:ascii="Source Sans Pro" w:hAnsi="Source Sans Pro"/>
        </w:rPr>
        <w:t xml:space="preserve">gadā par </w:t>
      </w:r>
      <w:r w:rsidR="006B4A6A" w:rsidRPr="007252C9">
        <w:rPr>
          <w:rFonts w:ascii="Source Sans Pro" w:hAnsi="Source Sans Pro"/>
        </w:rPr>
        <w:t>3,6</w:t>
      </w:r>
      <w:r w:rsidRPr="007252C9">
        <w:rPr>
          <w:rFonts w:ascii="Source Sans Pro" w:hAnsi="Source Sans Pro"/>
        </w:rPr>
        <w:t xml:space="preserve"> procentpunktu samazinājās nodarbināto pieaugušo dalība mācības, kas tiek organizētas</w:t>
      </w:r>
      <w:r w:rsidRPr="00D829F0">
        <w:rPr>
          <w:rFonts w:ascii="Source Sans Pro" w:hAnsi="Source Sans Pro"/>
        </w:rPr>
        <w:t xml:space="preserve"> apmaksāto darba stundu laikā no </w:t>
      </w:r>
      <w:r w:rsidR="005E2D00" w:rsidRPr="00D829F0">
        <w:rPr>
          <w:rFonts w:ascii="Source Sans Pro" w:hAnsi="Source Sans Pro"/>
        </w:rPr>
        <w:t>56,1</w:t>
      </w:r>
      <w:r w:rsidRPr="00D829F0">
        <w:rPr>
          <w:rFonts w:ascii="Source Sans Pro" w:hAnsi="Source Sans Pro"/>
        </w:rPr>
        <w:t>% (202</w:t>
      </w:r>
      <w:r w:rsidR="005E2D00" w:rsidRPr="00D829F0">
        <w:rPr>
          <w:rFonts w:ascii="Source Sans Pro" w:hAnsi="Source Sans Pro"/>
        </w:rPr>
        <w:t>4</w:t>
      </w:r>
      <w:r w:rsidRPr="00D829F0">
        <w:rPr>
          <w:rFonts w:ascii="Source Sans Pro" w:hAnsi="Source Sans Pro"/>
        </w:rPr>
        <w:t xml:space="preserve">) līdz </w:t>
      </w:r>
      <w:r w:rsidR="005E2D00" w:rsidRPr="00D829F0">
        <w:rPr>
          <w:rFonts w:ascii="Source Sans Pro" w:hAnsi="Source Sans Pro"/>
        </w:rPr>
        <w:t>52,5</w:t>
      </w:r>
      <w:r w:rsidRPr="00D829F0">
        <w:rPr>
          <w:rFonts w:ascii="Source Sans Pro" w:hAnsi="Source Sans Pro"/>
        </w:rPr>
        <w:t>% (202</w:t>
      </w:r>
      <w:r w:rsidR="005E2D00" w:rsidRPr="00D829F0">
        <w:rPr>
          <w:rFonts w:ascii="Source Sans Pro" w:hAnsi="Source Sans Pro"/>
        </w:rPr>
        <w:t>5</w:t>
      </w:r>
      <w:r w:rsidRPr="00D829F0">
        <w:rPr>
          <w:rFonts w:ascii="Source Sans Pro" w:hAnsi="Source Sans Pro"/>
        </w:rPr>
        <w:t>),</w:t>
      </w:r>
      <w:r w:rsidR="00343E99" w:rsidRPr="00D829F0">
        <w:rPr>
          <w:rFonts w:ascii="Source Sans Pro" w:hAnsi="Source Sans Pro"/>
        </w:rPr>
        <w:t xml:space="preserve"> nedaudz</w:t>
      </w:r>
      <w:r w:rsidRPr="00D829F0">
        <w:rPr>
          <w:rFonts w:ascii="Source Sans Pro" w:hAnsi="Source Sans Pro"/>
        </w:rPr>
        <w:t xml:space="preserve"> atpaliekot no plānotā mērķa – 55% (2027). Darba devēju izdevumi savu darbinieku izglītošanai no kopējām darbaspēka izmaksām ir vieni no zemākajiem ES</w:t>
      </w:r>
      <w:r w:rsidRPr="00D829F0">
        <w:rPr>
          <w:rFonts w:ascii="Source Sans Pro" w:hAnsi="Source Sans Pro"/>
          <w:vertAlign w:val="superscript"/>
        </w:rPr>
        <w:endnoteReference w:id="2"/>
      </w:r>
      <w:r w:rsidRPr="00D829F0">
        <w:rPr>
          <w:rFonts w:ascii="Source Sans Pro" w:hAnsi="Source Sans Pro"/>
        </w:rPr>
        <w:t xml:space="preserve">. </w:t>
      </w:r>
      <w:r w:rsidR="00E26023" w:rsidRPr="00D829F0">
        <w:rPr>
          <w:rFonts w:ascii="Source Sans Pro" w:hAnsi="Source Sans Pro"/>
        </w:rPr>
        <w:t>Lietuvā šīs izmaksas bija 432</w:t>
      </w:r>
      <w:r w:rsidR="00871646">
        <w:rPr>
          <w:rFonts w:ascii="Source Sans Pro" w:hAnsi="Source Sans Pro"/>
        </w:rPr>
        <w:t> </w:t>
      </w:r>
      <w:r w:rsidR="00E26023" w:rsidRPr="00D829F0">
        <w:rPr>
          <w:rFonts w:ascii="Source Sans Pro" w:hAnsi="Source Sans Pro"/>
        </w:rPr>
        <w:t>eiro, Igaunijā – 892</w:t>
      </w:r>
      <w:r w:rsidR="00871646">
        <w:rPr>
          <w:rFonts w:ascii="Source Sans Pro" w:hAnsi="Source Sans Pro"/>
        </w:rPr>
        <w:t> </w:t>
      </w:r>
      <w:r w:rsidR="00E26023" w:rsidRPr="00D829F0">
        <w:rPr>
          <w:rFonts w:ascii="Source Sans Pro" w:hAnsi="Source Sans Pro"/>
        </w:rPr>
        <w:t>eiro, vidēji ES – 1441</w:t>
      </w:r>
      <w:r w:rsidR="00871646">
        <w:rPr>
          <w:rFonts w:ascii="Source Sans Pro" w:hAnsi="Source Sans Pro"/>
        </w:rPr>
        <w:t> </w:t>
      </w:r>
      <w:r w:rsidR="00E26023" w:rsidRPr="00D829F0">
        <w:rPr>
          <w:rFonts w:ascii="Source Sans Pro" w:hAnsi="Source Sans Pro"/>
        </w:rPr>
        <w:t>eiro</w:t>
      </w:r>
      <w:r w:rsidR="00E26023" w:rsidRPr="00D829F0">
        <w:rPr>
          <w:rStyle w:val="FootnoteReference"/>
          <w:rFonts w:ascii="Source Sans Pro" w:hAnsi="Source Sans Pro"/>
        </w:rPr>
        <w:footnoteReference w:id="3"/>
      </w:r>
      <w:r w:rsidR="00E26023" w:rsidRPr="00D829F0">
        <w:rPr>
          <w:rFonts w:ascii="Source Sans Pro" w:hAnsi="Source Sans Pro"/>
        </w:rPr>
        <w:t xml:space="preserve">. </w:t>
      </w:r>
      <w:r w:rsidR="004C23D5" w:rsidRPr="00D829F0">
        <w:rPr>
          <w:rFonts w:ascii="Source Sans Pro" w:hAnsi="Source Sans Pro"/>
        </w:rPr>
        <w:t>Tāpat uzņēmumu pusē ir virkne</w:t>
      </w:r>
      <w:r w:rsidR="007D489B" w:rsidRPr="00D829F0">
        <w:rPr>
          <w:rFonts w:ascii="Source Sans Pro" w:hAnsi="Source Sans Pro"/>
        </w:rPr>
        <w:t xml:space="preserve"> citu</w:t>
      </w:r>
      <w:r w:rsidR="004C23D5" w:rsidRPr="00D829F0">
        <w:rPr>
          <w:rFonts w:ascii="Source Sans Pro" w:hAnsi="Source Sans Pro"/>
        </w:rPr>
        <w:t xml:space="preserve"> iemeslu, kāpēc esošā sistēma nedarbojas pilnvērtīgi. </w:t>
      </w:r>
      <w:r w:rsidR="00730939" w:rsidRPr="00D829F0">
        <w:rPr>
          <w:rFonts w:ascii="Source Sans Pro" w:hAnsi="Source Sans Pro"/>
        </w:rPr>
        <w:t>Tirgū konkurē lēti, mazāk kvalitatīvi piedāvājumi, bet esošie administrēšanas un finansēšanas mehānismi nav atbalstoši un motivējoši.</w:t>
      </w:r>
      <w:r w:rsidR="0030177B" w:rsidRPr="00D829F0">
        <w:rPr>
          <w:rFonts w:ascii="Source Sans Pro" w:hAnsi="Source Sans Pro"/>
        </w:rPr>
        <w:t xml:space="preserve"> Savukārt izglītības iestāžu pusē nav skaidrs, precīzs uzņēmumu un nozaru pieprasījums.</w:t>
      </w:r>
    </w:p>
    <w:p w14:paraId="1E67DBC8" w14:textId="3BE84DD4" w:rsidR="004C23D5" w:rsidRPr="00D829F0" w:rsidRDefault="00040A3D" w:rsidP="00F01249">
      <w:pPr>
        <w:spacing w:after="120"/>
        <w:jc w:val="both"/>
        <w:rPr>
          <w:rFonts w:ascii="Source Sans Pro" w:hAnsi="Source Sans Pro"/>
        </w:rPr>
      </w:pPr>
      <w:r w:rsidRPr="00D829F0">
        <w:rPr>
          <w:rFonts w:ascii="Source Sans Pro" w:hAnsi="Source Sans Pro"/>
        </w:rPr>
        <w:t>Vienlaikus pēdējos gados tiek stiprināta pieaugušo izglītības sasaiste ar darba tirgus vajadzībām. Tiek attīstīta nozaru vajadzībās balstīta pieeja, tostarp veidojot prasmju fondus un pilnveidojot cilvēkkapitāla attīstības pārvaldību.</w:t>
      </w:r>
      <w:r w:rsidR="00E77DF7" w:rsidRPr="00D829F0">
        <w:rPr>
          <w:rFonts w:ascii="Source Sans Pro" w:hAnsi="Source Sans Pro"/>
        </w:rPr>
        <w:t xml:space="preserve"> Šo pasākumu ietekme būs vērtējama vidējā termiņā, tāpēc darba devēju līdzdalības, mācību kvalitātes un pieejamības jautājumi joprojām saglabājas aktuāli.</w:t>
      </w:r>
    </w:p>
    <w:p w14:paraId="658EB3A4" w14:textId="61AFE526" w:rsidR="00097A08" w:rsidRPr="00D829F0" w:rsidRDefault="004C23D5" w:rsidP="00F01249">
      <w:pPr>
        <w:spacing w:after="120"/>
        <w:jc w:val="both"/>
        <w:rPr>
          <w:rFonts w:ascii="Source Sans Pro" w:hAnsi="Source Sans Pro"/>
          <w:szCs w:val="20"/>
        </w:rPr>
      </w:pPr>
      <w:r w:rsidRPr="00D829F0">
        <w:rPr>
          <w:rFonts w:ascii="Source Sans Pro" w:hAnsi="Source Sans Pro"/>
          <w:szCs w:val="20"/>
        </w:rPr>
        <w:t>Ņemot vērā, ka darba tirgus kļūst aizvien mainīgāks, jau tuvākajā nākotnē nepieciešams virzīties uz funkcionālas pieaugušo izglītības sistēmas izveidi</w:t>
      </w:r>
      <w:r w:rsidR="00F14345" w:rsidRPr="00D829F0">
        <w:rPr>
          <w:rFonts w:ascii="Source Sans Pro" w:hAnsi="Source Sans Pro"/>
          <w:szCs w:val="20"/>
        </w:rPr>
        <w:t xml:space="preserve"> nepārtrauktai prasmju, iemaņu un kompetenču attīstībai,</w:t>
      </w:r>
      <w:r w:rsidR="00F14345" w:rsidRPr="00D829F0" w:rsidDel="007D489B">
        <w:rPr>
          <w:rFonts w:ascii="Source Sans Pro" w:hAnsi="Source Sans Pro"/>
          <w:szCs w:val="20"/>
        </w:rPr>
        <w:t xml:space="preserve"> </w:t>
      </w:r>
      <w:r w:rsidR="00AF4B26" w:rsidRPr="00D829F0">
        <w:rPr>
          <w:rFonts w:ascii="Source Sans Pro" w:hAnsi="Source Sans Pro"/>
          <w:szCs w:val="20"/>
        </w:rPr>
        <w:t xml:space="preserve">kas nodrošinātu </w:t>
      </w:r>
      <w:r w:rsidR="009D0087" w:rsidRPr="00D829F0">
        <w:rPr>
          <w:rFonts w:ascii="Source Sans Pro" w:hAnsi="Source Sans Pro"/>
          <w:szCs w:val="20"/>
        </w:rPr>
        <w:t xml:space="preserve">darba tirgu ar </w:t>
      </w:r>
      <w:r w:rsidRPr="00D829F0">
        <w:rPr>
          <w:rFonts w:ascii="Source Sans Pro" w:hAnsi="Source Sans Pro"/>
          <w:szCs w:val="20"/>
        </w:rPr>
        <w:t>nepieciešamajiem cilvēkresursiem.</w:t>
      </w:r>
    </w:p>
    <w:p w14:paraId="48116962" w14:textId="7798C291" w:rsidR="00DA0F82" w:rsidRPr="00EF7F3C" w:rsidRDefault="00DA0F82" w:rsidP="004F26D6">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jc w:val="right"/>
        <w:rPr>
          <w:rFonts w:ascii="Segoe UI Light" w:hAnsi="Segoe UI Light" w:cs="Segoe UI Light"/>
          <w:b/>
          <w:bCs/>
          <w:color w:val="000000" w:themeColor="text1"/>
          <w:sz w:val="16"/>
          <w:szCs w:val="16"/>
          <w:highlight w:val="yellow"/>
        </w:rPr>
      </w:pPr>
      <w:r w:rsidRPr="00FC3C87">
        <w:rPr>
          <w:rFonts w:ascii="Segoe UI Light" w:hAnsi="Segoe UI Light" w:cs="Segoe UI Light"/>
          <w:b/>
          <w:bCs/>
          <w:color w:val="000000" w:themeColor="text1"/>
          <w:sz w:val="16"/>
          <w:szCs w:val="16"/>
        </w:rPr>
        <w:t>Valsts līdzfinansēto pieaugušo izglītības atbalsta projektu</w:t>
      </w:r>
      <w:r w:rsidR="00447F25" w:rsidRPr="00FC3C87">
        <w:rPr>
          <w:rFonts w:ascii="Segoe UI Light" w:hAnsi="Segoe UI Light" w:cs="Segoe UI Light"/>
          <w:b/>
          <w:bCs/>
          <w:color w:val="000000" w:themeColor="text1"/>
          <w:sz w:val="16"/>
          <w:szCs w:val="16"/>
        </w:rPr>
        <w:t>*</w:t>
      </w:r>
      <w:r w:rsidRPr="00FC3C87">
        <w:rPr>
          <w:rFonts w:ascii="Segoe UI Light" w:hAnsi="Segoe UI Light" w:cs="Segoe UI Light"/>
          <w:b/>
          <w:bCs/>
          <w:color w:val="000000" w:themeColor="text1"/>
          <w:sz w:val="16"/>
          <w:szCs w:val="16"/>
        </w:rPr>
        <w:t xml:space="preserve"> rezultātu monitorings </w:t>
      </w:r>
    </w:p>
    <w:p w14:paraId="4FB0A290" w14:textId="3143CDD9" w:rsidR="007657AB" w:rsidRPr="00DB6D4A" w:rsidRDefault="00B32278" w:rsidP="004F26D6">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jc w:val="both"/>
        <w:rPr>
          <w:rFonts w:ascii="Segoe UI Light" w:hAnsi="Segoe UI Light" w:cs="Segoe UI Light"/>
          <w:sz w:val="16"/>
          <w:szCs w:val="16"/>
        </w:rPr>
      </w:pPr>
      <w:r w:rsidRPr="00DB6D4A">
        <w:rPr>
          <w:rFonts w:ascii="Segoe UI Light" w:hAnsi="Segoe UI Light" w:cs="Segoe UI Light"/>
          <w:sz w:val="16"/>
          <w:szCs w:val="16"/>
        </w:rPr>
        <w:t xml:space="preserve">Lai nodrošinātu mūžizglītības politikas atbilstību nākotnes darba tirgus prasībām, </w:t>
      </w:r>
      <w:r w:rsidR="00290BB7" w:rsidRPr="00DB6D4A">
        <w:rPr>
          <w:rFonts w:ascii="Segoe UI Light" w:hAnsi="Segoe UI Light" w:cs="Segoe UI Light"/>
          <w:sz w:val="16"/>
          <w:szCs w:val="16"/>
        </w:rPr>
        <w:t xml:space="preserve">EM un CSP, sadarbībā ar IZM, VIAA, LM, NVA un LIAA ir uzsākusi darbu pie </w:t>
      </w:r>
      <w:r w:rsidRPr="00DB6D4A">
        <w:rPr>
          <w:rFonts w:ascii="Segoe UI Light" w:hAnsi="Segoe UI Light" w:cs="Segoe UI Light"/>
          <w:sz w:val="16"/>
          <w:szCs w:val="16"/>
        </w:rPr>
        <w:t>absolventu monitoringa sistēma</w:t>
      </w:r>
      <w:r w:rsidR="00290BB7" w:rsidRPr="00DB6D4A">
        <w:rPr>
          <w:rFonts w:ascii="Segoe UI Light" w:hAnsi="Segoe UI Light" w:cs="Segoe UI Light"/>
          <w:sz w:val="16"/>
          <w:szCs w:val="16"/>
        </w:rPr>
        <w:t>s izveides</w:t>
      </w:r>
      <w:r w:rsidRPr="00DB6D4A">
        <w:rPr>
          <w:rFonts w:ascii="Segoe UI Light" w:hAnsi="Segoe UI Light" w:cs="Segoe UI Light"/>
          <w:sz w:val="16"/>
          <w:szCs w:val="16"/>
        </w:rPr>
        <w:t xml:space="preserve"> attiecībā uz </w:t>
      </w:r>
      <w:r w:rsidR="00290BB7" w:rsidRPr="00DB6D4A">
        <w:rPr>
          <w:rFonts w:ascii="Segoe UI Light" w:hAnsi="Segoe UI Light" w:cs="Segoe UI Light"/>
          <w:sz w:val="16"/>
          <w:szCs w:val="16"/>
        </w:rPr>
        <w:t xml:space="preserve">valsts finansētām </w:t>
      </w:r>
      <w:r w:rsidRPr="00DB6D4A">
        <w:rPr>
          <w:rFonts w:ascii="Segoe UI Light" w:hAnsi="Segoe UI Light" w:cs="Segoe UI Light"/>
          <w:sz w:val="16"/>
          <w:szCs w:val="16"/>
        </w:rPr>
        <w:t xml:space="preserve">tālākizglītības un kvalifikācijas paaugstināšanas programmām. </w:t>
      </w:r>
      <w:r w:rsidR="00290BB7" w:rsidRPr="00DB6D4A">
        <w:rPr>
          <w:rFonts w:ascii="Segoe UI Light" w:hAnsi="Segoe UI Light" w:cs="Segoe UI Light"/>
          <w:sz w:val="16"/>
          <w:szCs w:val="16"/>
        </w:rPr>
        <w:t xml:space="preserve">Esošais monitoringa datu apkopojums </w:t>
      </w:r>
      <w:r w:rsidRPr="00DB6D4A">
        <w:rPr>
          <w:rFonts w:ascii="Segoe UI Light" w:hAnsi="Segoe UI Light" w:cs="Segoe UI Light"/>
          <w:sz w:val="16"/>
          <w:szCs w:val="16"/>
        </w:rPr>
        <w:t xml:space="preserve"> ietver NVA, </w:t>
      </w:r>
      <w:r w:rsidR="0013499C" w:rsidRPr="00DB6D4A">
        <w:rPr>
          <w:rFonts w:ascii="Segoe UI Light" w:hAnsi="Segoe UI Light" w:cs="Segoe UI Light"/>
          <w:sz w:val="16"/>
          <w:szCs w:val="16"/>
        </w:rPr>
        <w:t>Valsts izglītības attīstības aģentūras (</w:t>
      </w:r>
      <w:r w:rsidRPr="00DB6D4A">
        <w:rPr>
          <w:rFonts w:ascii="Segoe UI Light" w:hAnsi="Segoe UI Light" w:cs="Segoe UI Light"/>
          <w:sz w:val="16"/>
          <w:szCs w:val="16"/>
        </w:rPr>
        <w:t>VIAA</w:t>
      </w:r>
      <w:r w:rsidR="0013499C" w:rsidRPr="00DB6D4A">
        <w:rPr>
          <w:rFonts w:ascii="Segoe UI Light" w:hAnsi="Segoe UI Light" w:cs="Segoe UI Light"/>
          <w:sz w:val="16"/>
          <w:szCs w:val="16"/>
        </w:rPr>
        <w:t>)</w:t>
      </w:r>
      <w:r w:rsidRPr="00DB6D4A">
        <w:rPr>
          <w:rFonts w:ascii="Segoe UI Light" w:hAnsi="Segoe UI Light" w:cs="Segoe UI Light"/>
          <w:sz w:val="16"/>
          <w:szCs w:val="16"/>
        </w:rPr>
        <w:t xml:space="preserve"> un</w:t>
      </w:r>
      <w:r w:rsidR="00FC6A36">
        <w:rPr>
          <w:rFonts w:ascii="Segoe UI Light" w:hAnsi="Segoe UI Light" w:cs="Segoe UI Light"/>
          <w:sz w:val="16"/>
          <w:szCs w:val="16"/>
        </w:rPr>
        <w:t xml:space="preserve"> </w:t>
      </w:r>
      <w:r w:rsidR="0013499C" w:rsidRPr="00DB6D4A">
        <w:rPr>
          <w:rFonts w:ascii="Segoe UI Light" w:hAnsi="Segoe UI Light" w:cs="Segoe UI Light"/>
          <w:sz w:val="16"/>
          <w:szCs w:val="16"/>
        </w:rPr>
        <w:t>Centrālās finanšu un līguma aģentūras (CFLA)</w:t>
      </w:r>
      <w:r w:rsidRPr="00DB6D4A">
        <w:rPr>
          <w:rFonts w:ascii="Segoe UI Light" w:hAnsi="Segoe UI Light" w:cs="Segoe UI Light"/>
          <w:sz w:val="16"/>
          <w:szCs w:val="16"/>
        </w:rPr>
        <w:t xml:space="preserve"> datus par izglītības iestādi, kas īstenojusi izglītības programmu, mācību nozari, izglītības programmas veidu, kā arī sociāli demogrāfiskos un ekonomiskos rādītājus par absolventiem, piemēram, vecumu, dzimumu, izglītību un nodarbinātību. Periodā no 2016. – 202</w:t>
      </w:r>
      <w:r w:rsidR="006C759E" w:rsidRPr="00DB6D4A">
        <w:rPr>
          <w:rFonts w:ascii="Segoe UI Light" w:hAnsi="Segoe UI Light" w:cs="Segoe UI Light"/>
          <w:sz w:val="16"/>
          <w:szCs w:val="16"/>
        </w:rPr>
        <w:t>4</w:t>
      </w:r>
      <w:r w:rsidRPr="00DB6D4A">
        <w:rPr>
          <w:rFonts w:ascii="Segoe UI Light" w:hAnsi="Segoe UI Light" w:cs="Segoe UI Light"/>
          <w:sz w:val="16"/>
          <w:szCs w:val="16"/>
        </w:rPr>
        <w:t>.</w:t>
      </w:r>
      <w:r w:rsidR="00871646">
        <w:rPr>
          <w:rFonts w:ascii="Segoe UI Light" w:hAnsi="Segoe UI Light" w:cs="Segoe UI Light"/>
          <w:sz w:val="16"/>
          <w:szCs w:val="16"/>
        </w:rPr>
        <w:t> </w:t>
      </w:r>
      <w:r w:rsidRPr="00DB6D4A">
        <w:rPr>
          <w:rFonts w:ascii="Segoe UI Light" w:hAnsi="Segoe UI Light" w:cs="Segoe UI Light"/>
          <w:sz w:val="16"/>
          <w:szCs w:val="16"/>
        </w:rPr>
        <w:t xml:space="preserve">gadam kopumā mācībās piedalījušies </w:t>
      </w:r>
      <w:r w:rsidR="00BF28EC" w:rsidRPr="00DB6D4A">
        <w:rPr>
          <w:rFonts w:ascii="Segoe UI Light" w:hAnsi="Segoe UI Light" w:cs="Segoe UI Light"/>
          <w:sz w:val="16"/>
          <w:szCs w:val="16"/>
        </w:rPr>
        <w:t>255</w:t>
      </w:r>
      <w:r w:rsidR="00FC3F4C" w:rsidRPr="00DB6D4A">
        <w:rPr>
          <w:rFonts w:ascii="Segoe UI Light" w:hAnsi="Segoe UI Light" w:cs="Segoe UI Light"/>
          <w:sz w:val="16"/>
          <w:szCs w:val="16"/>
        </w:rPr>
        <w:t>,</w:t>
      </w:r>
      <w:r w:rsidR="00BF28EC" w:rsidRPr="00DB6D4A">
        <w:rPr>
          <w:rFonts w:ascii="Segoe UI Light" w:hAnsi="Segoe UI Light" w:cs="Segoe UI Light"/>
          <w:sz w:val="16"/>
          <w:szCs w:val="16"/>
        </w:rPr>
        <w:t>9</w:t>
      </w:r>
      <w:r w:rsidR="00871646">
        <w:rPr>
          <w:rFonts w:ascii="Segoe UI Light" w:hAnsi="Segoe UI Light" w:cs="Segoe UI Light"/>
          <w:sz w:val="16"/>
          <w:szCs w:val="16"/>
        </w:rPr>
        <w:t> </w:t>
      </w:r>
      <w:r w:rsidRPr="00DB6D4A">
        <w:rPr>
          <w:rFonts w:ascii="Segoe UI Light" w:hAnsi="Segoe UI Light" w:cs="Segoe UI Light"/>
          <w:sz w:val="16"/>
          <w:szCs w:val="16"/>
        </w:rPr>
        <w:t xml:space="preserve">tūkst. personu. </w:t>
      </w:r>
      <w:r w:rsidR="005C7BF4" w:rsidRPr="00DB6D4A">
        <w:rPr>
          <w:rFonts w:ascii="Segoe UI Light" w:hAnsi="Segoe UI Light" w:cs="Segoe UI Light"/>
          <w:sz w:val="16"/>
          <w:szCs w:val="16"/>
        </w:rPr>
        <w:t>35</w:t>
      </w:r>
      <w:r w:rsidR="00FC3F4C" w:rsidRPr="00DB6D4A">
        <w:rPr>
          <w:rFonts w:ascii="Segoe UI Light" w:hAnsi="Segoe UI Light" w:cs="Segoe UI Light"/>
          <w:sz w:val="16"/>
          <w:szCs w:val="16"/>
        </w:rPr>
        <w:t>,3</w:t>
      </w:r>
      <w:r w:rsidR="00871646">
        <w:rPr>
          <w:rFonts w:ascii="Segoe UI Light" w:hAnsi="Segoe UI Light" w:cs="Segoe UI Light"/>
          <w:sz w:val="16"/>
          <w:szCs w:val="16"/>
        </w:rPr>
        <w:t> </w:t>
      </w:r>
      <w:r w:rsidR="00FD3ACA" w:rsidRPr="00DB6D4A">
        <w:rPr>
          <w:rFonts w:ascii="Segoe UI Light" w:hAnsi="Segoe UI Light" w:cs="Segoe UI Light"/>
          <w:sz w:val="16"/>
          <w:szCs w:val="16"/>
        </w:rPr>
        <w:t xml:space="preserve">tūkst. absolventu (aptuveni </w:t>
      </w:r>
      <w:r w:rsidR="009828BA" w:rsidRPr="00DB6D4A">
        <w:rPr>
          <w:rFonts w:ascii="Segoe UI Light" w:hAnsi="Segoe UI Light" w:cs="Segoe UI Light"/>
          <w:sz w:val="16"/>
          <w:szCs w:val="16"/>
        </w:rPr>
        <w:t>13,8%</w:t>
      </w:r>
      <w:r w:rsidR="00E73615">
        <w:rPr>
          <w:rFonts w:ascii="Segoe UI Light" w:hAnsi="Segoe UI Light" w:cs="Segoe UI Light"/>
          <w:sz w:val="16"/>
          <w:szCs w:val="16"/>
        </w:rPr>
        <w:t xml:space="preserve"> </w:t>
      </w:r>
      <w:r w:rsidR="00FD3ACA" w:rsidRPr="00DB6D4A">
        <w:rPr>
          <w:rFonts w:ascii="Segoe UI Light" w:hAnsi="Segoe UI Light" w:cs="Segoe UI Light"/>
          <w:sz w:val="16"/>
          <w:szCs w:val="16"/>
        </w:rPr>
        <w:t>no kopējā absolventu skaita) ir apguvuši izglītības programmas elektronisko un optisko iekārtu ražošanā; informācijas un komunikācijas tehnoloģijās. Tāpat 12,</w:t>
      </w:r>
      <w:r w:rsidR="009828BA" w:rsidRPr="00DB6D4A">
        <w:rPr>
          <w:rFonts w:ascii="Segoe UI Light" w:hAnsi="Segoe UI Light" w:cs="Segoe UI Light"/>
          <w:sz w:val="16"/>
          <w:szCs w:val="16"/>
        </w:rPr>
        <w:t>4</w:t>
      </w:r>
      <w:r w:rsidR="00871646">
        <w:rPr>
          <w:rFonts w:ascii="Segoe UI Light" w:hAnsi="Segoe UI Light" w:cs="Segoe UI Light"/>
          <w:sz w:val="16"/>
          <w:szCs w:val="16"/>
        </w:rPr>
        <w:t> </w:t>
      </w:r>
      <w:r w:rsidR="00FD3ACA" w:rsidRPr="00DB6D4A">
        <w:rPr>
          <w:rFonts w:ascii="Segoe UI Light" w:hAnsi="Segoe UI Light" w:cs="Segoe UI Light"/>
          <w:sz w:val="16"/>
          <w:szCs w:val="16"/>
        </w:rPr>
        <w:t xml:space="preserve">tūkst. (jeb </w:t>
      </w:r>
      <w:r w:rsidR="00FC3C87" w:rsidRPr="00DB6D4A">
        <w:rPr>
          <w:rFonts w:ascii="Segoe UI Light" w:hAnsi="Segoe UI Light" w:cs="Segoe UI Light"/>
          <w:sz w:val="16"/>
          <w:szCs w:val="16"/>
        </w:rPr>
        <w:t>4,8</w:t>
      </w:r>
      <w:r w:rsidR="00FD3ACA" w:rsidRPr="00DB6D4A">
        <w:rPr>
          <w:rFonts w:ascii="Segoe UI Light" w:hAnsi="Segoe UI Light" w:cs="Segoe UI Light"/>
          <w:sz w:val="16"/>
          <w:szCs w:val="16"/>
        </w:rPr>
        <w:t xml:space="preserve">% no kopējo absolventu skaita) absolventu beiguši kursus uzņēmējdarbības, finanšu, grāmatvedības (tirdzniecība, komerczinības) jomās. Aptuveni </w:t>
      </w:r>
      <w:r w:rsidR="00C67A8B" w:rsidRPr="00DB6D4A">
        <w:rPr>
          <w:rFonts w:ascii="Segoe UI Light" w:hAnsi="Segoe UI Light" w:cs="Segoe UI Light"/>
          <w:sz w:val="16"/>
          <w:szCs w:val="16"/>
        </w:rPr>
        <w:t>53</w:t>
      </w:r>
      <w:r w:rsidR="00FD3ACA" w:rsidRPr="00DB6D4A">
        <w:rPr>
          <w:rFonts w:ascii="Segoe UI Light" w:hAnsi="Segoe UI Light" w:cs="Segoe UI Light"/>
          <w:sz w:val="16"/>
          <w:szCs w:val="16"/>
        </w:rPr>
        <w:t xml:space="preserve">% no izglītības programmām sastāda neformālās izglītības programmas, ko absolvējuši </w:t>
      </w:r>
      <w:r w:rsidR="0020272C" w:rsidRPr="00DB6D4A">
        <w:rPr>
          <w:rFonts w:ascii="Segoe UI Light" w:hAnsi="Segoe UI Light" w:cs="Segoe UI Light"/>
          <w:sz w:val="16"/>
          <w:szCs w:val="16"/>
        </w:rPr>
        <w:t>134,8</w:t>
      </w:r>
      <w:r w:rsidR="00871646">
        <w:rPr>
          <w:rFonts w:ascii="Segoe UI Light" w:hAnsi="Segoe UI Light" w:cs="Segoe UI Light"/>
          <w:sz w:val="16"/>
          <w:szCs w:val="16"/>
        </w:rPr>
        <w:t> </w:t>
      </w:r>
      <w:r w:rsidR="00FD3ACA" w:rsidRPr="00DB6D4A">
        <w:rPr>
          <w:rFonts w:ascii="Segoe UI Light" w:hAnsi="Segoe UI Light" w:cs="Segoe UI Light"/>
          <w:sz w:val="16"/>
          <w:szCs w:val="16"/>
        </w:rPr>
        <w:t>tūkst. personu.</w:t>
      </w:r>
    </w:p>
    <w:p w14:paraId="1C5A456D" w14:textId="389A02EA" w:rsidR="007778C2" w:rsidRPr="00D5799D" w:rsidRDefault="00DF2A5F" w:rsidP="004F26D6">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rPr>
          <w:rFonts w:ascii="Segoe UI Light" w:hAnsi="Segoe UI Light" w:cs="Segoe UI Light"/>
          <w:color w:val="000000"/>
          <w:sz w:val="16"/>
          <w:szCs w:val="16"/>
        </w:rPr>
      </w:pPr>
      <w:r w:rsidRPr="00A86D74">
        <w:rPr>
          <w:rFonts w:ascii="Segoe UI Light" w:hAnsi="Segoe UI Light" w:cs="Segoe UI Light"/>
          <w:b/>
          <w:bCs/>
          <w:color w:val="000000" w:themeColor="text1"/>
          <w:sz w:val="16"/>
          <w:szCs w:val="16"/>
        </w:rPr>
        <w:tab/>
      </w:r>
      <w:r w:rsidR="007778C2" w:rsidRPr="00A86D74">
        <w:rPr>
          <w:rFonts w:ascii="Segoe UI Light" w:hAnsi="Segoe UI Light" w:cs="Segoe UI Light"/>
          <w:b/>
          <w:bCs/>
          <w:color w:val="000000" w:themeColor="text1"/>
          <w:sz w:val="16"/>
          <w:szCs w:val="16"/>
        </w:rPr>
        <w:t>Absolventu skaits pa gadiem</w:t>
      </w:r>
      <w:r w:rsidR="007778C2" w:rsidRPr="00D829F0">
        <w:rPr>
          <w:rFonts w:ascii="Source Sans Pro" w:hAnsi="Source Sans Pro"/>
        </w:rPr>
        <w:tab/>
      </w:r>
      <w:r w:rsidR="007778C2" w:rsidRPr="00D5799D">
        <w:rPr>
          <w:rFonts w:ascii="Segoe UI Light" w:hAnsi="Segoe UI Light" w:cs="Segoe UI Light"/>
          <w:b/>
          <w:bCs/>
          <w:color w:val="000000" w:themeColor="text1"/>
          <w:sz w:val="16"/>
          <w:szCs w:val="16"/>
        </w:rPr>
        <w:t>Absolventu skaits pēc dalības reizēm apmācībās</w:t>
      </w:r>
      <w:r w:rsidR="00F12A97" w:rsidRPr="00D5799D">
        <w:rPr>
          <w:rFonts w:ascii="Segoe UI Light" w:hAnsi="Segoe UI Light" w:cs="Segoe UI Light"/>
          <w:b/>
          <w:bCs/>
          <w:color w:val="000000" w:themeColor="text1"/>
          <w:sz w:val="16"/>
          <w:szCs w:val="16"/>
        </w:rPr>
        <w:br/>
      </w:r>
      <w:r w:rsidR="007778C2" w:rsidRPr="00D5799D">
        <w:rPr>
          <w:rFonts w:ascii="Segoe UI Light" w:hAnsi="Segoe UI Light" w:cs="Segoe UI Light"/>
          <w:color w:val="000000" w:themeColor="text1"/>
          <w:sz w:val="16"/>
          <w:szCs w:val="16"/>
        </w:rPr>
        <w:tab/>
      </w:r>
      <w:r w:rsidR="00A73235" w:rsidRPr="00D5799D">
        <w:rPr>
          <w:rFonts w:ascii="Segoe UI Light" w:hAnsi="Segoe UI Light" w:cs="Segoe UI Light"/>
          <w:color w:val="000000" w:themeColor="text1"/>
          <w:sz w:val="16"/>
          <w:szCs w:val="16"/>
        </w:rPr>
        <w:t>tūkst.</w:t>
      </w:r>
      <w:r w:rsidR="007778C2" w:rsidRPr="00D5799D">
        <w:rPr>
          <w:rFonts w:ascii="Segoe UI Light" w:hAnsi="Segoe UI Light" w:cs="Segoe UI Light"/>
          <w:color w:val="000000" w:themeColor="text1"/>
          <w:sz w:val="16"/>
          <w:szCs w:val="16"/>
        </w:rPr>
        <w:tab/>
      </w:r>
      <w:r w:rsidR="00180228" w:rsidRPr="00D5799D">
        <w:rPr>
          <w:rFonts w:ascii="Segoe UI Light" w:hAnsi="Segoe UI Light" w:cs="Segoe UI Light"/>
          <w:color w:val="000000" w:themeColor="text1"/>
          <w:sz w:val="16"/>
          <w:szCs w:val="16"/>
        </w:rPr>
        <w:t xml:space="preserve">tūkst., </w:t>
      </w:r>
      <w:r w:rsidR="007778C2" w:rsidRPr="00D5799D">
        <w:rPr>
          <w:rFonts w:ascii="Segoe UI Light" w:hAnsi="Segoe UI Light" w:cs="Segoe UI Light"/>
          <w:color w:val="000000"/>
          <w:sz w:val="16"/>
          <w:szCs w:val="16"/>
        </w:rPr>
        <w:t>kopā par periodu no 2016.-202</w:t>
      </w:r>
      <w:r w:rsidR="00D5799D" w:rsidRPr="00D5799D">
        <w:rPr>
          <w:rFonts w:ascii="Segoe UI Light" w:hAnsi="Segoe UI Light" w:cs="Segoe UI Light"/>
          <w:color w:val="000000"/>
          <w:sz w:val="16"/>
          <w:szCs w:val="16"/>
        </w:rPr>
        <w:t>4</w:t>
      </w:r>
      <w:r w:rsidR="007778C2" w:rsidRPr="00D5799D">
        <w:rPr>
          <w:rFonts w:ascii="Segoe UI Light" w:hAnsi="Segoe UI Light" w:cs="Segoe UI Light"/>
          <w:color w:val="000000"/>
          <w:sz w:val="16"/>
          <w:szCs w:val="16"/>
        </w:rPr>
        <w:t>.</w:t>
      </w:r>
      <w:r w:rsidR="00871646">
        <w:rPr>
          <w:rFonts w:ascii="Segoe UI Light" w:hAnsi="Segoe UI Light" w:cs="Segoe UI Light"/>
          <w:color w:val="000000"/>
          <w:sz w:val="16"/>
          <w:szCs w:val="16"/>
        </w:rPr>
        <w:t> </w:t>
      </w:r>
      <w:r w:rsidR="007778C2" w:rsidRPr="00D5799D">
        <w:rPr>
          <w:rFonts w:ascii="Segoe UI Light" w:hAnsi="Segoe UI Light" w:cs="Segoe UI Light"/>
          <w:color w:val="000000"/>
          <w:sz w:val="16"/>
          <w:szCs w:val="16"/>
        </w:rPr>
        <w:t>gadam</w:t>
      </w:r>
    </w:p>
    <w:p w14:paraId="4E2628C2" w14:textId="0A9AA55B" w:rsidR="007778C2" w:rsidRPr="00EF7F3C" w:rsidRDefault="007778C2" w:rsidP="004F26D6">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cs="Segoe UI Light"/>
          <w:color w:val="000000"/>
          <w:sz w:val="16"/>
          <w:szCs w:val="16"/>
          <w:highlight w:val="yellow"/>
        </w:rPr>
      </w:pPr>
      <w:r w:rsidRPr="00D5799D">
        <w:rPr>
          <w:rFonts w:ascii="Segoe UI Light" w:hAnsi="Segoe UI Light" w:cs="Segoe UI Light"/>
          <w:noProof/>
          <w:color w:val="000000"/>
          <w:sz w:val="16"/>
          <w:szCs w:val="16"/>
        </w:rPr>
        <w:drawing>
          <wp:inline distT="0" distB="0" distL="0" distR="0" wp14:anchorId="647813EE" wp14:editId="4FD08AF4">
            <wp:extent cx="2880000" cy="18000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sidRPr="00D5799D">
        <w:rPr>
          <w:rFonts w:ascii="Segoe UI Light" w:hAnsi="Segoe UI Light" w:cs="Segoe UI Light"/>
          <w:noProof/>
          <w:color w:val="000000"/>
          <w:sz w:val="16"/>
          <w:szCs w:val="16"/>
        </w:rPr>
        <w:drawing>
          <wp:inline distT="0" distB="0" distL="0" distR="0" wp14:anchorId="678C78E3" wp14:editId="3AB06CC8">
            <wp:extent cx="2880000" cy="18000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3D7A0A83" w14:textId="77777777" w:rsidR="0015374C" w:rsidRDefault="0015374C">
      <w:pPr>
        <w:spacing w:after="0"/>
        <w:rPr>
          <w:rFonts w:ascii="Segoe UI Light" w:hAnsi="Segoe UI Light" w:cs="Segoe UI Light"/>
          <w:b/>
          <w:color w:val="000000" w:themeColor="text1"/>
          <w:sz w:val="16"/>
          <w:szCs w:val="16"/>
        </w:rPr>
      </w:pPr>
      <w:r>
        <w:rPr>
          <w:rFonts w:ascii="Segoe UI Light" w:hAnsi="Segoe UI Light" w:cs="Segoe UI Light"/>
          <w:b/>
          <w:color w:val="000000" w:themeColor="text1"/>
          <w:sz w:val="16"/>
          <w:szCs w:val="16"/>
        </w:rPr>
        <w:br w:type="page"/>
      </w:r>
    </w:p>
    <w:p w14:paraId="0960FDB8" w14:textId="6BE4A3D6" w:rsidR="007778C2" w:rsidRPr="00A243D7" w:rsidRDefault="00E44273" w:rsidP="004F26D6">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rPr>
          <w:rFonts w:ascii="Segoe UI Light" w:hAnsi="Segoe UI Light" w:cs="Segoe UI Light"/>
          <w:color w:val="000000" w:themeColor="text1"/>
          <w:sz w:val="16"/>
          <w:szCs w:val="16"/>
        </w:rPr>
      </w:pPr>
      <w:r w:rsidRPr="00A243D7">
        <w:rPr>
          <w:rFonts w:ascii="Segoe UI Light" w:hAnsi="Segoe UI Light" w:cs="Segoe UI Light"/>
          <w:b/>
          <w:bCs/>
          <w:color w:val="000000" w:themeColor="text1"/>
          <w:sz w:val="16"/>
          <w:szCs w:val="16"/>
        </w:rPr>
        <w:lastRenderedPageBreak/>
        <w:tab/>
      </w:r>
      <w:r w:rsidR="007778C2" w:rsidRPr="00A243D7">
        <w:rPr>
          <w:rFonts w:ascii="Segoe UI Light" w:hAnsi="Segoe UI Light" w:cs="Segoe UI Light"/>
          <w:b/>
          <w:bCs/>
          <w:color w:val="000000" w:themeColor="text1"/>
          <w:sz w:val="16"/>
          <w:szCs w:val="16"/>
        </w:rPr>
        <w:t>Absolventi pēc mācību nozares</w:t>
      </w:r>
      <w:r w:rsidRPr="00A243D7">
        <w:rPr>
          <w:rFonts w:ascii="Segoe UI Light" w:hAnsi="Segoe UI Light" w:cs="Segoe UI Light"/>
          <w:b/>
          <w:bCs/>
          <w:color w:val="000000" w:themeColor="text1"/>
          <w:sz w:val="16"/>
          <w:szCs w:val="16"/>
        </w:rPr>
        <w:tab/>
      </w:r>
      <w:r w:rsidR="007778C2" w:rsidRPr="00D0492B">
        <w:rPr>
          <w:rFonts w:ascii="Segoe UI Light" w:hAnsi="Segoe UI Light" w:cs="Segoe UI Light"/>
          <w:b/>
          <w:bCs/>
          <w:color w:val="000000" w:themeColor="text1"/>
          <w:sz w:val="16"/>
          <w:szCs w:val="16"/>
        </w:rPr>
        <w:t>Absolventu skaits pēc izglītības programmas veida</w:t>
      </w:r>
      <w:r w:rsidRPr="00EF7F3C">
        <w:rPr>
          <w:rFonts w:ascii="Segoe UI Light" w:hAnsi="Segoe UI Light" w:cs="Segoe UI Light"/>
          <w:b/>
          <w:bCs/>
          <w:color w:val="000000" w:themeColor="text1"/>
          <w:sz w:val="16"/>
          <w:szCs w:val="16"/>
          <w:highlight w:val="yellow"/>
        </w:rPr>
        <w:br/>
      </w:r>
      <w:r w:rsidRPr="00A243D7">
        <w:rPr>
          <w:rFonts w:ascii="Segoe UI Light" w:hAnsi="Segoe UI Light" w:cs="Segoe UI Light"/>
          <w:color w:val="000000" w:themeColor="text1"/>
          <w:sz w:val="16"/>
          <w:szCs w:val="16"/>
        </w:rPr>
        <w:tab/>
      </w:r>
      <w:r w:rsidR="00EA12A0" w:rsidRPr="00A243D7">
        <w:rPr>
          <w:rFonts w:ascii="Segoe UI Light" w:hAnsi="Segoe UI Light" w:cs="Segoe UI Light"/>
          <w:color w:val="000000" w:themeColor="text1"/>
          <w:sz w:val="16"/>
          <w:szCs w:val="16"/>
        </w:rPr>
        <w:t xml:space="preserve">tūkst., </w:t>
      </w:r>
      <w:r w:rsidR="007778C2" w:rsidRPr="00A243D7">
        <w:rPr>
          <w:rFonts w:ascii="Segoe UI Light" w:hAnsi="Segoe UI Light" w:cs="Segoe UI Light"/>
          <w:color w:val="000000" w:themeColor="text1"/>
          <w:sz w:val="16"/>
          <w:szCs w:val="16"/>
        </w:rPr>
        <w:t>kopā par periodu no 2016.-202</w:t>
      </w:r>
      <w:r w:rsidR="00A00D8F" w:rsidRPr="00A243D7">
        <w:rPr>
          <w:rFonts w:ascii="Segoe UI Light" w:hAnsi="Segoe UI Light" w:cs="Segoe UI Light"/>
          <w:color w:val="000000" w:themeColor="text1"/>
          <w:sz w:val="16"/>
          <w:szCs w:val="16"/>
        </w:rPr>
        <w:t>4</w:t>
      </w:r>
      <w:r w:rsidR="007778C2" w:rsidRPr="00A243D7">
        <w:rPr>
          <w:rFonts w:ascii="Segoe UI Light" w:hAnsi="Segoe UI Light" w:cs="Segoe UI Light"/>
          <w:color w:val="000000" w:themeColor="text1"/>
          <w:sz w:val="16"/>
          <w:szCs w:val="16"/>
        </w:rPr>
        <w:t>.</w:t>
      </w:r>
      <w:r w:rsidR="00871646">
        <w:rPr>
          <w:rFonts w:ascii="Segoe UI Light" w:hAnsi="Segoe UI Light" w:cs="Segoe UI Light"/>
          <w:color w:val="000000" w:themeColor="text1"/>
          <w:sz w:val="16"/>
          <w:szCs w:val="16"/>
        </w:rPr>
        <w:t> </w:t>
      </w:r>
      <w:r w:rsidR="007778C2" w:rsidRPr="00A243D7">
        <w:rPr>
          <w:rFonts w:ascii="Segoe UI Light" w:hAnsi="Segoe UI Light" w:cs="Segoe UI Light"/>
          <w:color w:val="000000" w:themeColor="text1"/>
          <w:sz w:val="16"/>
          <w:szCs w:val="16"/>
        </w:rPr>
        <w:t>gadam</w:t>
      </w:r>
      <w:r w:rsidR="007778C2" w:rsidRPr="00A243D7">
        <w:rPr>
          <w:rFonts w:ascii="Segoe UI Light" w:hAnsi="Segoe UI Light" w:cs="Segoe UI Light"/>
          <w:color w:val="000000" w:themeColor="text1"/>
          <w:sz w:val="16"/>
          <w:szCs w:val="16"/>
        </w:rPr>
        <w:tab/>
      </w:r>
      <w:r w:rsidR="00EA12A0" w:rsidRPr="00A243D7">
        <w:rPr>
          <w:rFonts w:ascii="Segoe UI Light" w:hAnsi="Segoe UI Light" w:cs="Segoe UI Light"/>
          <w:color w:val="000000" w:themeColor="text1"/>
          <w:sz w:val="16"/>
          <w:szCs w:val="16"/>
        </w:rPr>
        <w:t xml:space="preserve">tūkst., </w:t>
      </w:r>
      <w:r w:rsidR="007778C2" w:rsidRPr="00D0492B">
        <w:rPr>
          <w:rFonts w:ascii="Segoe UI Light" w:hAnsi="Segoe UI Light" w:cs="Segoe UI Light"/>
          <w:color w:val="000000" w:themeColor="text1"/>
          <w:sz w:val="16"/>
          <w:szCs w:val="16"/>
        </w:rPr>
        <w:t>kopā par periodu no 2016.-202</w:t>
      </w:r>
      <w:r w:rsidR="00A00D8F" w:rsidRPr="00D0492B">
        <w:rPr>
          <w:rFonts w:ascii="Segoe UI Light" w:hAnsi="Segoe UI Light" w:cs="Segoe UI Light"/>
          <w:color w:val="000000" w:themeColor="text1"/>
          <w:sz w:val="16"/>
          <w:szCs w:val="16"/>
        </w:rPr>
        <w:t>4</w:t>
      </w:r>
      <w:r w:rsidR="007778C2" w:rsidRPr="00D0492B">
        <w:rPr>
          <w:rFonts w:ascii="Segoe UI Light" w:hAnsi="Segoe UI Light" w:cs="Segoe UI Light"/>
          <w:color w:val="000000" w:themeColor="text1"/>
          <w:sz w:val="16"/>
          <w:szCs w:val="16"/>
        </w:rPr>
        <w:t>.</w:t>
      </w:r>
      <w:r w:rsidR="00871646">
        <w:rPr>
          <w:rFonts w:ascii="Segoe UI Light" w:hAnsi="Segoe UI Light" w:cs="Segoe UI Light"/>
          <w:color w:val="000000" w:themeColor="text1"/>
          <w:sz w:val="16"/>
          <w:szCs w:val="16"/>
        </w:rPr>
        <w:t> </w:t>
      </w:r>
      <w:r w:rsidR="007778C2" w:rsidRPr="00D0492B">
        <w:rPr>
          <w:rFonts w:ascii="Segoe UI Light" w:hAnsi="Segoe UI Light" w:cs="Segoe UI Light"/>
          <w:color w:val="000000" w:themeColor="text1"/>
          <w:sz w:val="16"/>
          <w:szCs w:val="16"/>
        </w:rPr>
        <w:t>gadam</w:t>
      </w:r>
    </w:p>
    <w:p w14:paraId="68F22188" w14:textId="38B75303" w:rsidR="007778C2" w:rsidRPr="000557F8" w:rsidRDefault="00FD3F28" w:rsidP="004F26D6">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rPr>
          <w:rFonts w:ascii="Segoe UI Light" w:hAnsi="Segoe UI Light" w:cs="Segoe UI Light"/>
          <w:color w:val="000000" w:themeColor="text1"/>
          <w:sz w:val="16"/>
          <w:szCs w:val="16"/>
        </w:rPr>
      </w:pPr>
      <w:r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42" behindDoc="0" locked="0" layoutInCell="1" allowOverlap="1" wp14:anchorId="0D7BA57C" wp14:editId="2B20A565">
                <wp:simplePos x="0" y="0"/>
                <wp:positionH relativeFrom="column">
                  <wp:posOffset>2637211</wp:posOffset>
                </wp:positionH>
                <wp:positionV relativeFrom="paragraph">
                  <wp:posOffset>1831751</wp:posOffset>
                </wp:positionV>
                <wp:extent cx="823965" cy="678264"/>
                <wp:effectExtent l="0" t="0" r="0" b="7620"/>
                <wp:wrapNone/>
                <wp:docPr id="71" name="Text Box 71"/>
                <wp:cNvGraphicFramePr/>
                <a:graphic xmlns:a="http://schemas.openxmlformats.org/drawingml/2006/main">
                  <a:graphicData uri="http://schemas.microsoft.com/office/word/2010/wordprocessingShape">
                    <wps:wsp>
                      <wps:cNvSpPr txBox="1"/>
                      <wps:spPr>
                        <a:xfrm>
                          <a:off x="0" y="0"/>
                          <a:ext cx="823965" cy="678264"/>
                        </a:xfrm>
                        <a:prstGeom prst="rect">
                          <a:avLst/>
                        </a:prstGeom>
                        <a:noFill/>
                        <a:ln w="6350">
                          <a:noFill/>
                        </a:ln>
                      </wps:spPr>
                      <wps:txbx>
                        <w:txbxContent>
                          <w:p w14:paraId="5EF25C81" w14:textId="17B2FFF8" w:rsidR="00B83D7D" w:rsidRPr="00FD3F28" w:rsidRDefault="00E32F92" w:rsidP="00B46CBE">
                            <w:pPr>
                              <w:spacing w:after="0"/>
                              <w:rPr>
                                <w:rFonts w:ascii="Segoe UI Light" w:hAnsi="Segoe UI Light" w:cs="Segoe UI Light"/>
                                <w:color w:val="FFFFFF" w:themeColor="background1"/>
                                <w:sz w:val="16"/>
                                <w:szCs w:val="16"/>
                              </w:rPr>
                            </w:pPr>
                            <w:r w:rsidRPr="00FD3F28">
                              <w:rPr>
                                <w:rFonts w:ascii="Segoe UI Light" w:hAnsi="Segoe UI Light" w:cs="Segoe UI Light"/>
                                <w:color w:val="FFFFFF" w:themeColor="background1"/>
                                <w:sz w:val="16"/>
                                <w:szCs w:val="16"/>
                              </w:rPr>
                              <w:t>Uzņēmējdarbība, finanses, grāmatvedība, administrēšana</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BA57C" id="Text Box 71" o:spid="_x0000_s1210" type="#_x0000_t202" style="position:absolute;margin-left:207.65pt;margin-top:144.25pt;width:64.9pt;height:53.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qToFgIAADQEAAAOAAAAZHJzL2Uyb0RvYy54bWysU01v2zAMvQ/YfxB0X+wka5YacYqsRYYB&#10;RVsgHXpWZCk2IIsapcTOfv0o5RPdTsMuMinSjx/vaXbXt4btFPoGbMmHg5wzZSVUjd2U/Mfr8tOU&#10;Mx+ErYQBq0q+V57fzT9+mHWuUCOowVQKGYFYX3Su5HUIrsgyL2vVCj8ApywFNWArArm4ySoUHaG3&#10;Jhvl+STrACuHIJX3dPtwCPJ5wtdayfCstVeBmZJTbyGdmM51PLP5TBQbFK5u5LEN8Q9dtKKxVPQM&#10;9SCCYFts/oBqG4ngQYeBhDYDrRup0gw0zTB/N82qFk6lWWg53p3X5P8frHzardwLstB/hZ4IjAvp&#10;nC88XcZ5eo1t/FKnjOK0wv15baoPTNLldDS+ndxwJik0+TIdTT5HlOzys0MfviloWTRKjsRKWpbY&#10;PfpwSD2lxFoWlo0xiRljWUeg45s8/XCOELixVOPSarRCv+5ZU9EY09RCvFtDtaf5EA7UeyeXDXXx&#10;KHx4EUhc00ik3/BMhzZA1eBocVYD/vrbfcwnCijKWUfaKbn/uRWoODPfLZEznuR5FNu1g9fO+tqx&#10;2/YeSJ5DeilOJpN+xmBOpkZo30jmi1iVQsJKql3y9cm8DwdF0zORarFISSQvJ8KjXTkZoeNe445f&#10;+zeB7khEIAaf4KQyUbzj45B7YGSxDaCbRNZlq0cCSJqJ7uMzitq/9lPW5bHPfwMAAP//AwBQSwME&#10;FAAGAAgAAAAhABJLZ9niAAAACwEAAA8AAABkcnMvZG93bnJldi54bWxMj8FOwzAQRO9I/IO1SFwq&#10;6iRtqjSNUxUkLkioovTA0YndxCJeR7GbpH/PcoLjap5m3hb72XZs1IM3DgXEywiYxtopg42A8+fr&#10;UwbMB4lKdg61gJv2sC/v7wqZKzfhhx5PoWFUgj6XAtoQ+pxzX7faSr90vUbKLm6wMtA5NFwNcqJy&#10;2/EkijbcSoO00Mpev7S6/j5drYBjsvkyeDlPajFWZvF8e8fDWxDi8WE+7IAFPYc/GH71SR1Kcqrc&#10;FZVnnYB1nK4IFZBkWQqMiHSdxsAqAastRbws+P8fyh8AAAD//wMAUEsBAi0AFAAGAAgAAAAhALaD&#10;OJL+AAAA4QEAABMAAAAAAAAAAAAAAAAAAAAAAFtDb250ZW50X1R5cGVzXS54bWxQSwECLQAUAAYA&#10;CAAAACEAOP0h/9YAAACUAQAACwAAAAAAAAAAAAAAAAAvAQAAX3JlbHMvLnJlbHNQSwECLQAUAAYA&#10;CAAAACEAhiak6BYCAAA0BAAADgAAAAAAAAAAAAAAAAAuAgAAZHJzL2Uyb0RvYy54bWxQSwECLQAU&#10;AAYACAAAACEAEktn2eIAAAALAQAADwAAAAAAAAAAAAAAAABwBAAAZHJzL2Rvd25yZXYueG1sUEsF&#10;BgAAAAAEAAQA8wAAAH8FAAAAAA==&#10;" filled="f" stroked="f" strokeweight=".5pt">
                <v:textbox inset="1mm,1mm,1mm,1mm">
                  <w:txbxContent>
                    <w:p w14:paraId="5EF25C81" w14:textId="17B2FFF8" w:rsidR="00B83D7D" w:rsidRPr="00FD3F28" w:rsidRDefault="00E32F92" w:rsidP="00B46CBE">
                      <w:pPr>
                        <w:spacing w:after="0"/>
                        <w:rPr>
                          <w:rFonts w:ascii="Segoe UI Light" w:hAnsi="Segoe UI Light" w:cs="Segoe UI Light"/>
                          <w:color w:val="FFFFFF" w:themeColor="background1"/>
                          <w:sz w:val="16"/>
                          <w:szCs w:val="16"/>
                        </w:rPr>
                      </w:pPr>
                      <w:r w:rsidRPr="00FD3F28">
                        <w:rPr>
                          <w:rFonts w:ascii="Segoe UI Light" w:hAnsi="Segoe UI Light" w:cs="Segoe UI Light"/>
                          <w:color w:val="FFFFFF" w:themeColor="background1"/>
                          <w:sz w:val="16"/>
                          <w:szCs w:val="16"/>
                        </w:rPr>
                        <w:t>Uzņēmējdarbība, finanses, grāmatvedība, administrēšana</w:t>
                      </w:r>
                    </w:p>
                  </w:txbxContent>
                </v:textbox>
              </v:shape>
            </w:pict>
          </mc:Fallback>
        </mc:AlternateContent>
      </w:r>
      <w:r w:rsidR="00581481"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401" behindDoc="0" locked="0" layoutInCell="1" allowOverlap="1" wp14:anchorId="61FE6BBA" wp14:editId="3FCC9BEC">
                <wp:simplePos x="0" y="0"/>
                <wp:positionH relativeFrom="column">
                  <wp:posOffset>2989057</wp:posOffset>
                </wp:positionH>
                <wp:positionV relativeFrom="paragraph">
                  <wp:posOffset>3431812</wp:posOffset>
                </wp:positionV>
                <wp:extent cx="321274" cy="199389"/>
                <wp:effectExtent l="0" t="0" r="3175" b="0"/>
                <wp:wrapNone/>
                <wp:docPr id="1623493212" name="Text Box 1623493212"/>
                <wp:cNvGraphicFramePr/>
                <a:graphic xmlns:a="http://schemas.openxmlformats.org/drawingml/2006/main">
                  <a:graphicData uri="http://schemas.microsoft.com/office/word/2010/wordprocessingShape">
                    <wps:wsp>
                      <wps:cNvSpPr txBox="1"/>
                      <wps:spPr>
                        <a:xfrm>
                          <a:off x="0" y="0"/>
                          <a:ext cx="321274" cy="199389"/>
                        </a:xfrm>
                        <a:prstGeom prst="rect">
                          <a:avLst/>
                        </a:prstGeom>
                        <a:noFill/>
                        <a:ln w="6350">
                          <a:noFill/>
                        </a:ln>
                      </wps:spPr>
                      <wps:txbx>
                        <w:txbxContent>
                          <w:p w14:paraId="5A50952B" w14:textId="267E4355" w:rsidR="002B29DA" w:rsidRPr="00581481" w:rsidRDefault="002B29DA" w:rsidP="002B29DA">
                            <w:pPr>
                              <w:spacing w:after="0"/>
                              <w:rPr>
                                <w:rFonts w:ascii="Segoe UI Light" w:hAnsi="Segoe UI Light" w:cs="Segoe UI Light"/>
                                <w:color w:val="FFFFFF" w:themeColor="background1"/>
                                <w:sz w:val="14"/>
                                <w:szCs w:val="14"/>
                              </w:rPr>
                            </w:pPr>
                            <w:r w:rsidRPr="00581481">
                              <w:rPr>
                                <w:rFonts w:ascii="Segoe UI Light" w:hAnsi="Segoe UI Light" w:cs="Segoe UI Light"/>
                                <w:color w:val="FFFFFF" w:themeColor="background1"/>
                                <w:sz w:val="14"/>
                                <w:szCs w:val="14"/>
                              </w:rPr>
                              <w:t>Druka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E6BBA" id="Text Box 1623493212" o:spid="_x0000_s1211" type="#_x0000_t202" style="position:absolute;margin-left:235.35pt;margin-top:270.2pt;width:25.3pt;height:15.7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9ibGAIAADQEAAAOAAAAZHJzL2Uyb0RvYy54bWysU02P2jAQvVfqf7B8LwnQpRARVnRXVJXQ&#10;7kpstWfj2MSS43FtQ0J/fccOX9r2VPXizHgm8/He8/y+azQ5COcVmJIOBzklwnColNmV9Mfr6tOU&#10;Eh+YqZgGI0p6FJ7eLz5+mLe2ECOoQVfCESxifNHaktYh2CLLPK9Fw/wArDAYlOAaFtB1u6xyrMXq&#10;jc5GeT7JWnCVdcCF93j72AfpItWXUvDwLKUXgeiS4mwhnS6d23hmizkrdo7ZWvHTGOwfpmiYMtj0&#10;UuqRBUb2Tv1RqlHcgQcZBhyaDKRUXKQdcJth/m6bTc2sSLsgON5eYPL/ryx/OmzsiyOh+wodEhgB&#10;aa0vPF7GfTrpmvjFSQnGEcLjBTbRBcLxcjwajr58poRjaDibjaezWCW7/mydD98ENCQaJXXISgKL&#10;HdY+9KnnlNjLwEppnZjRhrQlnYzv8vTDJYLFtcEe11GjFbptR1SFU0zvzotsoTrifg566r3lK4VT&#10;rJkPL8wh17gS6jc84yE1YDc4WZTU4H797T7mIwUYpaRF7ZTU/9wzJyjR3w2SM57keRTbreNune2t&#10;Y/bNA6A8h/hSLE8m/uyCPpvSQfOGMl/GrhhihmPvkoaz+RB6ReMz4WK5TEkoL8vC2mwsj6UjrhHj&#10;1+6NOXsiIiCDT3BWGSve8dHn9ows9wGkSmRFpHtUTwSgNBPdp2cUtX/rp6zrY1/8BgAA//8DAFBL&#10;AwQUAAYACAAAACEAxYWEjOAAAAALAQAADwAAAGRycy9kb3ducmV2LnhtbEyPwU6DQBCG7ya+w2aa&#10;eLO7VCoNZWksSRMvHqwePC4wAoGdRXZL8e0dT3qbyXz55/uzw2IHMePkO0caorUCgVS5uqNGw/vb&#10;6X4HwgdDtRkcoYZv9HDIb28yk9buSq84n0MjOIR8ajS0IYyplL5q0Rq/diMS3z7dZE3gdWpkPZkr&#10;h9tBbpR6lNZ0xB9aM2LRYtWfL1bDR78UNpySY9nj1/PLMS78XBZa362Wpz2IgEv4g+FXn9UhZ6fS&#10;Xaj2YtAQJyphVMM2VjEIJrab6AFEyUMS7UDmmfzfIf8BAAD//wMAUEsBAi0AFAAGAAgAAAAhALaD&#10;OJL+AAAA4QEAABMAAAAAAAAAAAAAAAAAAAAAAFtDb250ZW50X1R5cGVzXS54bWxQSwECLQAUAAYA&#10;CAAAACEAOP0h/9YAAACUAQAACwAAAAAAAAAAAAAAAAAvAQAAX3JlbHMvLnJlbHNQSwECLQAUAAYA&#10;CAAAACEAM3/YmxgCAAA0BAAADgAAAAAAAAAAAAAAAAAuAgAAZHJzL2Uyb0RvYy54bWxQSwECLQAU&#10;AAYACAAAACEAxYWEjOAAAAALAQAADwAAAAAAAAAAAAAAAAByBAAAZHJzL2Rvd25yZXYueG1sUEsF&#10;BgAAAAAEAAQA8wAAAH8FAAAAAA==&#10;" filled="f" stroked="f" strokeweight=".5pt">
                <v:textbox inset="1mm,1mm,1mm,1mm">
                  <w:txbxContent>
                    <w:p w14:paraId="5A50952B" w14:textId="267E4355" w:rsidR="002B29DA" w:rsidRPr="00581481" w:rsidRDefault="002B29DA" w:rsidP="002B29DA">
                      <w:pPr>
                        <w:spacing w:after="0"/>
                        <w:rPr>
                          <w:rFonts w:ascii="Segoe UI Light" w:hAnsi="Segoe UI Light" w:cs="Segoe UI Light"/>
                          <w:color w:val="FFFFFF" w:themeColor="background1"/>
                          <w:sz w:val="14"/>
                          <w:szCs w:val="14"/>
                        </w:rPr>
                      </w:pPr>
                      <w:r w:rsidRPr="00581481">
                        <w:rPr>
                          <w:rFonts w:ascii="Segoe UI Light" w:hAnsi="Segoe UI Light" w:cs="Segoe UI Light"/>
                          <w:color w:val="FFFFFF" w:themeColor="background1"/>
                          <w:sz w:val="14"/>
                          <w:szCs w:val="14"/>
                        </w:rPr>
                        <w:t>Druka</w:t>
                      </w:r>
                    </w:p>
                  </w:txbxContent>
                </v:textbox>
              </v:shape>
            </w:pict>
          </mc:Fallback>
        </mc:AlternateContent>
      </w:r>
      <w:r w:rsidR="00581481"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50" behindDoc="0" locked="0" layoutInCell="1" allowOverlap="1" wp14:anchorId="13741687" wp14:editId="7F38AE74">
                <wp:simplePos x="0" y="0"/>
                <wp:positionH relativeFrom="column">
                  <wp:posOffset>2974145</wp:posOffset>
                </wp:positionH>
                <wp:positionV relativeFrom="paragraph">
                  <wp:posOffset>2840048</wp:posOffset>
                </wp:positionV>
                <wp:extent cx="544195" cy="323850"/>
                <wp:effectExtent l="0" t="0" r="8255" b="0"/>
                <wp:wrapNone/>
                <wp:docPr id="199" name="Text Box 199"/>
                <wp:cNvGraphicFramePr/>
                <a:graphic xmlns:a="http://schemas.openxmlformats.org/drawingml/2006/main">
                  <a:graphicData uri="http://schemas.microsoft.com/office/word/2010/wordprocessingShape">
                    <wps:wsp>
                      <wps:cNvSpPr txBox="1"/>
                      <wps:spPr>
                        <a:xfrm>
                          <a:off x="0" y="0"/>
                          <a:ext cx="544195" cy="323850"/>
                        </a:xfrm>
                        <a:prstGeom prst="rect">
                          <a:avLst/>
                        </a:prstGeom>
                        <a:noFill/>
                        <a:ln w="6350">
                          <a:noFill/>
                        </a:ln>
                      </wps:spPr>
                      <wps:txbx>
                        <w:txbxContent>
                          <w:p w14:paraId="77F43069" w14:textId="7E09CA19" w:rsidR="00B83D7D" w:rsidRPr="00C308E9" w:rsidRDefault="00C1565D" w:rsidP="00B46CBE">
                            <w:pPr>
                              <w:spacing w:after="0"/>
                              <w:rPr>
                                <w:rFonts w:ascii="Segoe UI Light" w:hAnsi="Segoe UI Light" w:cs="Segoe UI Light"/>
                                <w:color w:val="FFFFFF" w:themeColor="background1"/>
                                <w:sz w:val="12"/>
                                <w:szCs w:val="12"/>
                              </w:rPr>
                            </w:pPr>
                            <w:r w:rsidRPr="00C308E9">
                              <w:rPr>
                                <w:rFonts w:ascii="Segoe UI Light" w:hAnsi="Segoe UI Light" w:cs="Segoe UI Light"/>
                                <w:color w:val="FFFFFF" w:themeColor="background1"/>
                                <w:sz w:val="12"/>
                                <w:szCs w:val="12"/>
                              </w:rPr>
                              <w:t>Mūž</w:t>
                            </w:r>
                            <w:r w:rsidR="00C308E9" w:rsidRPr="00C308E9">
                              <w:rPr>
                                <w:rFonts w:ascii="Segoe UI Light" w:hAnsi="Segoe UI Light" w:cs="Segoe UI Light"/>
                                <w:color w:val="FFFFFF" w:themeColor="background1"/>
                                <w:sz w:val="12"/>
                                <w:szCs w:val="12"/>
                              </w:rPr>
                              <w:t>izglītības kompetence</w:t>
                            </w:r>
                            <w:r w:rsidR="00C308E9">
                              <w:rPr>
                                <w:rFonts w:ascii="Segoe UI Light" w:hAnsi="Segoe UI Light" w:cs="Segoe UI Light"/>
                                <w:color w:val="FFFFFF" w:themeColor="background1"/>
                                <w:sz w:val="12"/>
                                <w:szCs w:val="12"/>
                              </w:rPr>
                              <w:t>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41687" id="Text Box 199" o:spid="_x0000_s1212" type="#_x0000_t202" style="position:absolute;margin-left:234.2pt;margin-top:223.65pt;width:42.85pt;height:2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r+FwIAADQEAAAOAAAAZHJzL2Uyb0RvYy54bWysU02P2yAQvVfqf0DcGzvJJkqtOKt0V6kq&#10;RbsrZas9EwyxJWAokNjpr++A89VtT1UvMDDDfLz3mN93WpGDcL4BU9LhIKdEGA5VY3Yl/f66+jSj&#10;xAdmKqbAiJIehaf3i48f5q0txAhqUJVwBJMYX7S2pHUItsgyz2uhmR+AFQadEpxmAY9ul1WOtZhd&#10;q2yU59OsBVdZB1x4j7ePvZMuUn4pBQ/PUnoRiCop9hbS6tK6jWu2mLNi55itG35qg/1DF5o1Bote&#10;Uj2ywMjeNX+k0g134EGGAQedgZQNF2kGnGaYv5tmUzMr0iwIjrcXmPz/S8ufDhv74kjovkCHBEZA&#10;WusLj5dxnk46HXfslKAfITxeYBNdIBwvJ3d3w88TSji6xqPxbJJgza6PrfPhqwBNolFSh6wksNhh&#10;7QMWxNBzSKxlYNUolZhRhrQlnY4x5W8efKEMPry2Gq3QbTvSVDjGbHoeZAvVEedz0FPvLV812MWa&#10;+fDCHHKNI6F+wzMuUgFWg5NFSQ3u59/uYzxSgF5KWtROSf2PPXOCEvXNIDnjaZ5Hsd0e3O1he3sw&#10;e/0AKM8h/hTLk4mPXVBnUzrQbyjzZayKLmY41i5pOJsPoVc0fhMulssUhPKyLKzNxvKYOqIXMX7t&#10;3pizJyICMvgEZ5Wx4h0ffWyP+3IfQDaJrIh0j+qJAJRm4vD0jaL2b88p6vrZF78AAAD//wMAUEsD&#10;BBQABgAIAAAAIQDtYudV4AAAAAsBAAAPAAAAZHJzL2Rvd25yZXYueG1sTI9NT4NAEIbvJv6HzZh4&#10;s0vttqXI0liSJl48WD30uMAIBHYW2S3Ff+940tt8PHnnmXQ/215MOPrWkYblIgKBVLqqpVrDx/vx&#10;IQbhg6HK9I5Qwzd62Ge3N6lJKnelN5xOoRYcQj4xGpoQhkRKXzZojV+4AYl3n260JnA71rIazZXD&#10;bS8fo2gjrWmJLzRmwLzBsjtdrIZzN+c2HLeHosOvl9eDyv1U5Frf383PTyACzuEPhl99VoeMnQp3&#10;ocqLXoPaxIpRLtR2BYKJ9VotQRQ82cUrkFkq//+Q/QAAAP//AwBQSwECLQAUAAYACAAAACEAtoM4&#10;kv4AAADhAQAAEwAAAAAAAAAAAAAAAAAAAAAAW0NvbnRlbnRfVHlwZXNdLnhtbFBLAQItABQABgAI&#10;AAAAIQA4/SH/1gAAAJQBAAALAAAAAAAAAAAAAAAAAC8BAABfcmVscy8ucmVsc1BLAQItABQABgAI&#10;AAAAIQCfphr+FwIAADQEAAAOAAAAAAAAAAAAAAAAAC4CAABkcnMvZTJvRG9jLnhtbFBLAQItABQA&#10;BgAIAAAAIQDtYudV4AAAAAsBAAAPAAAAAAAAAAAAAAAAAHEEAABkcnMvZG93bnJldi54bWxQSwUG&#10;AAAAAAQABADzAAAAfgUAAAAA&#10;" filled="f" stroked="f" strokeweight=".5pt">
                <v:textbox inset="1mm,1mm,1mm,1mm">
                  <w:txbxContent>
                    <w:p w14:paraId="77F43069" w14:textId="7E09CA19" w:rsidR="00B83D7D" w:rsidRPr="00C308E9" w:rsidRDefault="00C1565D" w:rsidP="00B46CBE">
                      <w:pPr>
                        <w:spacing w:after="0"/>
                        <w:rPr>
                          <w:rFonts w:ascii="Segoe UI Light" w:hAnsi="Segoe UI Light" w:cs="Segoe UI Light"/>
                          <w:color w:val="FFFFFF" w:themeColor="background1"/>
                          <w:sz w:val="12"/>
                          <w:szCs w:val="12"/>
                        </w:rPr>
                      </w:pPr>
                      <w:r w:rsidRPr="00C308E9">
                        <w:rPr>
                          <w:rFonts w:ascii="Segoe UI Light" w:hAnsi="Segoe UI Light" w:cs="Segoe UI Light"/>
                          <w:color w:val="FFFFFF" w:themeColor="background1"/>
                          <w:sz w:val="12"/>
                          <w:szCs w:val="12"/>
                        </w:rPr>
                        <w:t>Mūž</w:t>
                      </w:r>
                      <w:r w:rsidR="00C308E9" w:rsidRPr="00C308E9">
                        <w:rPr>
                          <w:rFonts w:ascii="Segoe UI Light" w:hAnsi="Segoe UI Light" w:cs="Segoe UI Light"/>
                          <w:color w:val="FFFFFF" w:themeColor="background1"/>
                          <w:sz w:val="12"/>
                          <w:szCs w:val="12"/>
                        </w:rPr>
                        <w:t>izglītības kompetence</w:t>
                      </w:r>
                      <w:r w:rsidR="00C308E9">
                        <w:rPr>
                          <w:rFonts w:ascii="Segoe UI Light" w:hAnsi="Segoe UI Light" w:cs="Segoe UI Light"/>
                          <w:color w:val="FFFFFF" w:themeColor="background1"/>
                          <w:sz w:val="12"/>
                          <w:szCs w:val="12"/>
                        </w:rPr>
                        <w:t>s</w:t>
                      </w:r>
                    </w:p>
                  </w:txbxContent>
                </v:textbox>
              </v:shape>
            </w:pict>
          </mc:Fallback>
        </mc:AlternateContent>
      </w:r>
      <w:r w:rsidR="00581481"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51" behindDoc="0" locked="0" layoutInCell="1" allowOverlap="1" wp14:anchorId="01A96346" wp14:editId="668727F5">
                <wp:simplePos x="0" y="0"/>
                <wp:positionH relativeFrom="column">
                  <wp:posOffset>2295748</wp:posOffset>
                </wp:positionH>
                <wp:positionV relativeFrom="paragraph">
                  <wp:posOffset>3248548</wp:posOffset>
                </wp:positionV>
                <wp:extent cx="447152" cy="381929"/>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447152" cy="381929"/>
                        </a:xfrm>
                        <a:prstGeom prst="rect">
                          <a:avLst/>
                        </a:prstGeom>
                        <a:noFill/>
                        <a:ln w="6350">
                          <a:noFill/>
                        </a:ln>
                      </wps:spPr>
                      <wps:txbx>
                        <w:txbxContent>
                          <w:p w14:paraId="02D80B4C" w14:textId="5D56C340" w:rsidR="00B83D7D" w:rsidRPr="00581481" w:rsidRDefault="002B29DA" w:rsidP="00B46CBE">
                            <w:pPr>
                              <w:spacing w:after="0"/>
                              <w:rPr>
                                <w:rFonts w:ascii="Segoe UI Light" w:hAnsi="Segoe UI Light" w:cs="Segoe UI Light"/>
                                <w:color w:val="FFFFFF" w:themeColor="background1"/>
                                <w:sz w:val="14"/>
                                <w:szCs w:val="14"/>
                              </w:rPr>
                            </w:pPr>
                            <w:r w:rsidRPr="00581481">
                              <w:rPr>
                                <w:rFonts w:ascii="Segoe UI Light" w:hAnsi="Segoe UI Light" w:cs="Segoe UI Light"/>
                                <w:color w:val="FFFFFF" w:themeColor="background1"/>
                                <w:sz w:val="14"/>
                                <w:szCs w:val="14"/>
                              </w:rPr>
                              <w:t>Apģērbu ražošana</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96346" id="Text Box 200" o:spid="_x0000_s1213" type="#_x0000_t202" style="position:absolute;margin-left:180.75pt;margin-top:255.8pt;width:35.2pt;height:30.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M0GQIAADQEAAAOAAAAZHJzL2Uyb0RvYy54bWysU8tu2zAQvBfoPxC815LtxHEEy4GbwEUB&#10;IwngFDnTFGkJILksSVtyv75Lyi+kPRW9ULvc1T5mhrOHTiuyF843YEo6HOSUCMOhasy2pD/ell+m&#10;lPjATMUUGFHSg/D0Yf7506y1hRhBDaoSjmAR44vWlrQOwRZZ5nktNPMDsMJgUILTLKDrtlnlWIvV&#10;tcpGeT7JWnCVdcCF93j71AfpPNWXUvDwIqUXgaiS4mwhnS6dm3hm8xkrto7ZuuHHMdg/TKFZY7Dp&#10;udQTC4zsXPNHKd1wBx5kGHDQGUjZcJF2wG2G+Ydt1jWzIu2C4Hh7hsn/v7L8eb+2r46E7it0SGAE&#10;pLW+8HgZ9+mk0/GLkxKMI4SHM2yiC4Tj5c3N3fB2RAnH0Hg6vB/dxyrZ5WfrfPgmQJNolNQhKwks&#10;tl/50KeeUmIvA8tGqcSMMqQt6WR8m6cfzhEsrgz2uIwardBtOtJUuMb07rTIBqoD7uegp95bvmxw&#10;ihXz4ZU55BpXQv2GFzykAuwGR4uSGtyvv93HfKQAo5S0qJ2S+p875gQl6rtBcsaTPI9iu3bctbO5&#10;dsxOPwLKc4gvxfJk4s8uqJMpHeh3lPkidsUQMxx7l3RzMh9Dr2h8JlwsFikJ5WVZWJm15bF0xDVi&#10;/Na9M2ePRARk8BlOKmPFBz763J6RxS6AbBJZEeke1SMBKM1E9/EZRe1f+ynr8tjnvwEAAP//AwBQ&#10;SwMEFAAGAAgAAAAhADmUEfziAAAACwEAAA8AAABkcnMvZG93bnJldi54bWxMj8FOwzAMhu9IvENk&#10;JC4TS7OxDkrTaSBxQZoQ2w47po3XRjRO1WRt9/aEExxtf/r9/flmsi0bsPfGkQQxT4AhVU4bqiUc&#10;D+8PT8B8UKRV6wglXNHDpri9yVWm3UhfOOxDzWII+UxJaELoMs591aBVfu46pHg7u96qEMe+5rpX&#10;Ywy3LV8kScqtMhQ/NKrDtwar7/3FSvhcpCdD5+OoZ0NpZq/XHW0/gpT3d9P2BVjAKfzB8Ksf1aGI&#10;TqW7kPaslbBMxSqiElZCpMAi8bgUz8DKuFmLNfAi5/87FD8AAAD//wMAUEsBAi0AFAAGAAgAAAAh&#10;ALaDOJL+AAAA4QEAABMAAAAAAAAAAAAAAAAAAAAAAFtDb250ZW50X1R5cGVzXS54bWxQSwECLQAU&#10;AAYACAAAACEAOP0h/9YAAACUAQAACwAAAAAAAAAAAAAAAAAvAQAAX3JlbHMvLnJlbHNQSwECLQAU&#10;AAYACAAAACEA34eTNBkCAAA0BAAADgAAAAAAAAAAAAAAAAAuAgAAZHJzL2Uyb0RvYy54bWxQSwEC&#10;LQAUAAYACAAAACEAOZQR/OIAAAALAQAADwAAAAAAAAAAAAAAAABzBAAAZHJzL2Rvd25yZXYueG1s&#10;UEsFBgAAAAAEAAQA8wAAAIIFAAAAAA==&#10;" filled="f" stroked="f" strokeweight=".5pt">
                <v:textbox inset="1mm,1mm,1mm,1mm">
                  <w:txbxContent>
                    <w:p w14:paraId="02D80B4C" w14:textId="5D56C340" w:rsidR="00B83D7D" w:rsidRPr="00581481" w:rsidRDefault="002B29DA" w:rsidP="00B46CBE">
                      <w:pPr>
                        <w:spacing w:after="0"/>
                        <w:rPr>
                          <w:rFonts w:ascii="Segoe UI Light" w:hAnsi="Segoe UI Light" w:cs="Segoe UI Light"/>
                          <w:color w:val="FFFFFF" w:themeColor="background1"/>
                          <w:sz w:val="14"/>
                          <w:szCs w:val="14"/>
                        </w:rPr>
                      </w:pPr>
                      <w:r w:rsidRPr="00581481">
                        <w:rPr>
                          <w:rFonts w:ascii="Segoe UI Light" w:hAnsi="Segoe UI Light" w:cs="Segoe UI Light"/>
                          <w:color w:val="FFFFFF" w:themeColor="background1"/>
                          <w:sz w:val="14"/>
                          <w:szCs w:val="14"/>
                        </w:rPr>
                        <w:t>Apģērbu ražošana</w:t>
                      </w:r>
                    </w:p>
                  </w:txbxContent>
                </v:textbox>
              </v:shape>
            </w:pict>
          </mc:Fallback>
        </mc:AlternateContent>
      </w:r>
      <w:r w:rsidR="00581481"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47" behindDoc="0" locked="0" layoutInCell="1" allowOverlap="1" wp14:anchorId="4C6078AB" wp14:editId="3EA8A1FE">
                <wp:simplePos x="0" y="0"/>
                <wp:positionH relativeFrom="column">
                  <wp:posOffset>2303690</wp:posOffset>
                </wp:positionH>
                <wp:positionV relativeFrom="paragraph">
                  <wp:posOffset>3894378</wp:posOffset>
                </wp:positionV>
                <wp:extent cx="633412" cy="324000"/>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633412" cy="324000"/>
                        </a:xfrm>
                        <a:prstGeom prst="rect">
                          <a:avLst/>
                        </a:prstGeom>
                        <a:noFill/>
                        <a:ln w="6350">
                          <a:noFill/>
                        </a:ln>
                      </wps:spPr>
                      <wps:txbx>
                        <w:txbxContent>
                          <w:p w14:paraId="5A24D7A6" w14:textId="0BB6359C" w:rsidR="00B83D7D" w:rsidRPr="00DA0A83" w:rsidRDefault="002B29DA"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Enerģētika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078AB" id="Text Box 125" o:spid="_x0000_s1214" type="#_x0000_t202" style="position:absolute;margin-left:181.4pt;margin-top:306.65pt;width:49.85pt;height:2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NzFAIAADQEAAAOAAAAZHJzL2Uyb0RvYy54bWysU0tvGjEQvlfqf7B8L7tAihBiiWgiqkoo&#10;iUSinI3XZlfyetyxYZf++o69vJT2VPViz3je3zee33eNYQeFvgZb8OEg50xZCWVtdwV/e119mXLm&#10;g7ClMGBVwY/K8/vF50/z1s3UCCowpUJGSayfta7gVQhulmVeVqoRfgBOWTJqwEYEUnGXlShayt6Y&#10;bJTnk6wFLB2CVN7T62Nv5IuUX2slw7PWXgVmCk69hXRiOrfxzBZzMduhcFUtT22If+iiEbWlopdU&#10;jyIItsf6j1RNLRE86DCQ0GSgdS1VmoGmGeYfptlUwqk0C4Hj3QUm///SyqfDxr0gC9036IjACEjr&#10;/MzTY5yn09jEmzplZCcIjxfYVBeYpMfJeHw3HHEmyTQe3eV5gjW7Bjv04buChkWh4EisJLDEYe0D&#10;FSTXs0usZWFVG5OYMZa1scDXPAVcLBRhLAVeW41S6LYdq0saYzo9D7KF8kjzIfTUeydXNXWxFj68&#10;CCSuaSTa3/BMhzZA1eAkcVYB/vrbe/QnCsjKWUu7U3D/cy9QcWZ+WCJnPIkYsHCr4K2yvVXsvnkA&#10;Ws8h/RQnk0jBGMxZ1AjNO635MlYlk7CSahc8nMWH0G80fROplsvkROvlRFjbjZMxdcQ1YvzavQt0&#10;JyICMfgE5y0Tsw989L49I8t9AF0nsiLSPaonAmg1E4enbxR3/1ZPXtfPvvgNAAD//wMAUEsDBBQA&#10;BgAIAAAAIQDINLsR4AAAAAsBAAAPAAAAZHJzL2Rvd25yZXYueG1sTI9BT4QwEIXvJv6HZky8uWUB&#10;q0HKxiXZxIsHVw8eC4xAoFOkXRb/vePJPc6bl/e+l+9WO4oFZ9870rDdRCCQatf01Gr4eD/cPYLw&#10;wVBjRkeo4Qc97Irrq9xkjTvTGy7H0AoOIZ8ZDV0IUyalrzu0xm/chMS/LzdbE/icW9nM5szhdpRx&#10;FClpTU/c0JkJyw7r4XiyGj6HtbTh8LCvBvx+ed2npV+qUuvbm/X5CUTANfyb4Q+f0aFgpsqdqPFi&#10;1JComNGDBrVNEhDsSFV8D6JiRaUJyCKXlxuKXwAAAP//AwBQSwECLQAUAAYACAAAACEAtoM4kv4A&#10;AADhAQAAEwAAAAAAAAAAAAAAAAAAAAAAW0NvbnRlbnRfVHlwZXNdLnhtbFBLAQItABQABgAIAAAA&#10;IQA4/SH/1gAAAJQBAAALAAAAAAAAAAAAAAAAAC8BAABfcmVscy8ucmVsc1BLAQItABQABgAIAAAA&#10;IQCbcTNzFAIAADQEAAAOAAAAAAAAAAAAAAAAAC4CAABkcnMvZTJvRG9jLnhtbFBLAQItABQABgAI&#10;AAAAIQDINLsR4AAAAAsBAAAPAAAAAAAAAAAAAAAAAG4EAABkcnMvZG93bnJldi54bWxQSwUGAAAA&#10;AAQABADzAAAAewUAAAAA&#10;" filled="f" stroked="f" strokeweight=".5pt">
                <v:textbox inset="1mm,1mm,1mm,1mm">
                  <w:txbxContent>
                    <w:p w14:paraId="5A24D7A6" w14:textId="0BB6359C" w:rsidR="00B83D7D" w:rsidRPr="00DA0A83" w:rsidRDefault="002B29DA"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Enerģētika</w:t>
                      </w:r>
                    </w:p>
                  </w:txbxContent>
                </v:textbox>
              </v:shape>
            </w:pict>
          </mc:Fallback>
        </mc:AlternateContent>
      </w:r>
      <w:r w:rsidR="00CF7865"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49" behindDoc="0" locked="0" layoutInCell="1" allowOverlap="1" wp14:anchorId="08E9700A" wp14:editId="6FBCAF38">
                <wp:simplePos x="0" y="0"/>
                <wp:positionH relativeFrom="column">
                  <wp:posOffset>2304025</wp:posOffset>
                </wp:positionH>
                <wp:positionV relativeFrom="paragraph">
                  <wp:posOffset>2824040</wp:posOffset>
                </wp:positionV>
                <wp:extent cx="633412" cy="324000"/>
                <wp:effectExtent l="0" t="0" r="0" b="0"/>
                <wp:wrapNone/>
                <wp:docPr id="139" name="Text Box 139"/>
                <wp:cNvGraphicFramePr/>
                <a:graphic xmlns:a="http://schemas.openxmlformats.org/drawingml/2006/main">
                  <a:graphicData uri="http://schemas.microsoft.com/office/word/2010/wordprocessingShape">
                    <wps:wsp>
                      <wps:cNvSpPr txBox="1"/>
                      <wps:spPr>
                        <a:xfrm>
                          <a:off x="0" y="0"/>
                          <a:ext cx="633412" cy="324000"/>
                        </a:xfrm>
                        <a:prstGeom prst="rect">
                          <a:avLst/>
                        </a:prstGeom>
                        <a:noFill/>
                        <a:ln w="6350">
                          <a:noFill/>
                        </a:ln>
                      </wps:spPr>
                      <wps:txbx>
                        <w:txbxContent>
                          <w:p w14:paraId="0000940C" w14:textId="682A0D84" w:rsidR="00B83D7D" w:rsidRPr="00DA0A83" w:rsidRDefault="00C1565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Ēdināšanas pakalpojumi un tūrisms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9700A" id="Text Box 139" o:spid="_x0000_s1215" type="#_x0000_t202" style="position:absolute;margin-left:181.4pt;margin-top:222.35pt;width:49.85pt;height:2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3ymFQIAADQEAAAOAAAAZHJzL2Uyb0RvYy54bWysU0tv2zAMvg/YfxB0X+wkXdAZcYqsRYYB&#10;RVsgHXpWZCk2IIsapcTOfv0oOS90Ow27SKT4/j5qfte3hu0V+gZsycejnDNlJVSN3Zb8x+vq0y1n&#10;PghbCQNWlfygPL9bfPww71yhJlCDqRQySmJ90bmS1yG4Isu8rFUr/AicsmTUgK0IpOI2q1B0lL01&#10;2STPZ1kHWDkEqbyn14fByBcpv9ZKhmetvQrMlJx6C+nEdG7imS3motiicHUjj22If+iiFY2loudU&#10;DyIItsPmj1RtIxE86DCS0GagdSNVmoGmGefvplnXwqk0C4Hj3Rkm///Syqf92r0gC/1X6InACEjn&#10;fOHpMc7Ta2zjTZ0yshOEhzNsqg9M0uNsOr0ZTziTZJpObvI8wZpdgh368E1By6JQciRWElhi/+gD&#10;FSTXk0usZWHVGJOYMZZ1scDnPAWcLRRhLAVeWo1S6Dc9ayoa4/bLaZANVAeaD2Gg3ju5aqiLR+HD&#10;i0Dimkai/Q3PdGgDVA2OEmc14K+/vUd/ooCsnHW0OyX3P3cCFWfmuyVyprOIAQvXCl4rm2vF7tp7&#10;oPUc009xMokUjMGcRI3QvtGaL2NVMgkrqXbJw0m8D8NG0zeRarlMTrReToRHu3Yypo64Roxf+zeB&#10;7khEIAaf4LRlonjHx+A7MLLcBdBNIisiPaB6JIBWM3F4/EZx96/15HX57IvfAAAA//8DAFBLAwQU&#10;AAYACAAAACEA0u7ereAAAAALAQAADwAAAGRycy9kb3ducmV2LnhtbEyPQU+EMBCF7yb+h2ZMvLlF&#10;ZEGRsnFJNvHiwdWDx0JHINAp0i6L/97xpLd5mZf3vlfsVjuKBWffO1Jwu4lAIDXO9NQqeH873NyD&#10;8EGT0aMjVPCNHnbl5UWhc+PO9IrLMbSCQ8jnWkEXwpRL6ZsOrfYbNyHx79PNVgeWcyvNrM8cbkcZ&#10;R1Eqre6JGzo9YdVhMxxPVsHHsFY2HLJ9PeDX88s+qfxSV0pdX61PjyACruHPDL/4jA4lM9XuRMaL&#10;UcFdGjN6UJAkSQaCHUkab0HUfDxsM5BlIf9vKH8AAAD//wMAUEsBAi0AFAAGAAgAAAAhALaDOJL+&#10;AAAA4QEAABMAAAAAAAAAAAAAAAAAAAAAAFtDb250ZW50X1R5cGVzXS54bWxQSwECLQAUAAYACAAA&#10;ACEAOP0h/9YAAACUAQAACwAAAAAAAAAAAAAAAAAvAQAAX3JlbHMvLnJlbHNQSwECLQAUAAYACAAA&#10;ACEA5MN8phUCAAA0BAAADgAAAAAAAAAAAAAAAAAuAgAAZHJzL2Uyb0RvYy54bWxQSwECLQAUAAYA&#10;CAAAACEA0u7ereAAAAALAQAADwAAAAAAAAAAAAAAAABvBAAAZHJzL2Rvd25yZXYueG1sUEsFBgAA&#10;AAAEAAQA8wAAAHwFAAAAAA==&#10;" filled="f" stroked="f" strokeweight=".5pt">
                <v:textbox inset="1mm,1mm,1mm,1mm">
                  <w:txbxContent>
                    <w:p w14:paraId="0000940C" w14:textId="682A0D84" w:rsidR="00B83D7D" w:rsidRPr="00DA0A83" w:rsidRDefault="00C1565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Ēdināšanas pakalpojumi un tūrisms</w:t>
                      </w:r>
                    </w:p>
                  </w:txbxContent>
                </v:textbox>
              </v:shape>
            </w:pict>
          </mc:Fallback>
        </mc:AlternateContent>
      </w:r>
      <w:r w:rsidR="00CF7865"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48" behindDoc="0" locked="0" layoutInCell="1" allowOverlap="1" wp14:anchorId="1D735526" wp14:editId="25D26332">
                <wp:simplePos x="0" y="0"/>
                <wp:positionH relativeFrom="column">
                  <wp:posOffset>1698687</wp:posOffset>
                </wp:positionH>
                <wp:positionV relativeFrom="paragraph">
                  <wp:posOffset>3894895</wp:posOffset>
                </wp:positionV>
                <wp:extent cx="633095" cy="184994"/>
                <wp:effectExtent l="0" t="0" r="0" b="5715"/>
                <wp:wrapNone/>
                <wp:docPr id="138" name="Text Box 138"/>
                <wp:cNvGraphicFramePr/>
                <a:graphic xmlns:a="http://schemas.openxmlformats.org/drawingml/2006/main">
                  <a:graphicData uri="http://schemas.microsoft.com/office/word/2010/wordprocessingShape">
                    <wps:wsp>
                      <wps:cNvSpPr txBox="1"/>
                      <wps:spPr>
                        <a:xfrm>
                          <a:off x="0" y="0"/>
                          <a:ext cx="633095" cy="184994"/>
                        </a:xfrm>
                        <a:prstGeom prst="rect">
                          <a:avLst/>
                        </a:prstGeom>
                        <a:noFill/>
                        <a:ln w="6350">
                          <a:noFill/>
                        </a:ln>
                      </wps:spPr>
                      <wps:txbx>
                        <w:txbxContent>
                          <w:p w14:paraId="6F28C43E" w14:textId="34CD494D" w:rsidR="00B83D7D" w:rsidRPr="00DA0A83" w:rsidRDefault="00C1565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Kokrūpniecība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35526" id="Text Box 138" o:spid="_x0000_s1216" type="#_x0000_t202" style="position:absolute;margin-left:133.75pt;margin-top:306.7pt;width:49.85pt;height:14.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hEFAIAADQEAAAOAAAAZHJzL2Uyb0RvYy54bWysU0tvGjEQvlfqf7B8L7uEBIUVS0QTUVVC&#10;SSRS5Wy8Nqzk9bhjwy799R17eSntqerFnpfn9X2ePnSNYXuFvgZb8uEg50xZCVVtNyX/8bb4cs+Z&#10;D8JWwoBVJT8ozx9mnz9NW1eoG9iCqRQySmJ90bqSb0NwRZZ5uVWN8ANwypJTAzYikIqbrELRUvbG&#10;ZDd5Ps5awMohSOU9WZ96J5+l/ForGV609iowU3LqLaQT07mOZzabimKDwm1reWxD/EMXjagtFT2n&#10;ehJBsB3Wf6RqaongQYeBhCYDrWup0gw0zTD/MM1qK5xKs9ByvDuvyf+/tPJ5v3KvyEL3FToCMC6k&#10;db7wZIzzdBqbeFOnjPy0wsN5baoLTJJxPBrlkzvOJLmG97eTyW3Mkl0eO/Thm4KGRaHkSKikZYn9&#10;0oc+9BQSa1lY1MYkZIxlbSxwl6cHZw8lN5ZqXFqNUujWHasr6mKSkI22NVQHmg+hh947uaipi6Xw&#10;4VUgYU0jEX/DCx3aAFWDo8TZFvDX3+wxniAgL2ctcafk/udOoOLMfLcEzmic55Fs1wpeK+trxe6a&#10;RyB6DumnOJlEeozBnESN0LwTzeexKrmElVS75OEkPoae0fRNpJrPUxDRy4mwtCsnY+q417jjt+5d&#10;oDsCEQjBZzixTBQf8Ohje0TmuwC6TmBdtnoEgKiZ4D5+o8j9az1FXT777DcAAAD//wMAUEsDBBQA&#10;BgAIAAAAIQAaNOFL4AAAAAsBAAAPAAAAZHJzL2Rvd25yZXYueG1sTI/BToNAEIbvJr7DZky82aWU&#10;gqEsjSVp4sWD1YPHBaZAYGeR3VJ8e8eTPc7Ml3++P9svZhAzTq6zpGC9CkAgVbbuqFHw+XF8egbh&#10;vKZaD5ZQwQ862Of3d5lOa3uld5xPvhEcQi7VClrvx1RKV7VotFvZEYlvZzsZ7XmcGllP+srhZpBh&#10;EMTS6I74Q6tHLFqs+tPFKPjql8L4Y3Ioe/x+fTtEhZvLQqnHh+VlB8Lj4v9h+NNndcjZqbQXqp0Y&#10;FIRxsmVUQbzeRCCY2MRJCKLkTRRuQeaZvO2Q/wIAAP//AwBQSwECLQAUAAYACAAAACEAtoM4kv4A&#10;AADhAQAAEwAAAAAAAAAAAAAAAAAAAAAAW0NvbnRlbnRfVHlwZXNdLnhtbFBLAQItABQABgAIAAAA&#10;IQA4/SH/1gAAAJQBAAALAAAAAAAAAAAAAAAAAC8BAABfcmVscy8ucmVsc1BLAQItABQABgAIAAAA&#10;IQCAZ2hEFAIAADQEAAAOAAAAAAAAAAAAAAAAAC4CAABkcnMvZTJvRG9jLnhtbFBLAQItABQABgAI&#10;AAAAIQAaNOFL4AAAAAsBAAAPAAAAAAAAAAAAAAAAAG4EAABkcnMvZG93bnJldi54bWxQSwUGAAAA&#10;AAQABADzAAAAewUAAAAA&#10;" filled="f" stroked="f" strokeweight=".5pt">
                <v:textbox inset="1mm,1mm,1mm,1mm">
                  <w:txbxContent>
                    <w:p w14:paraId="6F28C43E" w14:textId="34CD494D" w:rsidR="00B83D7D" w:rsidRPr="00DA0A83" w:rsidRDefault="00C1565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Kokrūpniecība</w:t>
                      </w:r>
                    </w:p>
                  </w:txbxContent>
                </v:textbox>
              </v:shape>
            </w:pict>
          </mc:Fallback>
        </mc:AlternateContent>
      </w:r>
      <w:r w:rsidR="00CF7865"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46" behindDoc="0" locked="0" layoutInCell="1" allowOverlap="1" wp14:anchorId="61EA4B8F" wp14:editId="017739B0">
                <wp:simplePos x="0" y="0"/>
                <wp:positionH relativeFrom="column">
                  <wp:posOffset>1701346</wp:posOffset>
                </wp:positionH>
                <wp:positionV relativeFrom="paragraph">
                  <wp:posOffset>2968158</wp:posOffset>
                </wp:positionV>
                <wp:extent cx="676275" cy="349471"/>
                <wp:effectExtent l="0" t="0" r="9525" b="0"/>
                <wp:wrapNone/>
                <wp:docPr id="124" name="Text Box 124"/>
                <wp:cNvGraphicFramePr/>
                <a:graphic xmlns:a="http://schemas.openxmlformats.org/drawingml/2006/main">
                  <a:graphicData uri="http://schemas.microsoft.com/office/word/2010/wordprocessingShape">
                    <wps:wsp>
                      <wps:cNvSpPr txBox="1"/>
                      <wps:spPr>
                        <a:xfrm>
                          <a:off x="0" y="0"/>
                          <a:ext cx="676275" cy="349471"/>
                        </a:xfrm>
                        <a:prstGeom prst="rect">
                          <a:avLst/>
                        </a:prstGeom>
                        <a:noFill/>
                        <a:ln w="6350">
                          <a:noFill/>
                        </a:ln>
                      </wps:spPr>
                      <wps:txbx>
                        <w:txbxContent>
                          <w:p w14:paraId="74301C6E" w14:textId="0DBFD696" w:rsidR="00B83D7D" w:rsidRPr="00DA0A83" w:rsidRDefault="00C1565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Metālapstrāde, mašīnbūve</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A4B8F" id="Text Box 124" o:spid="_x0000_s1217" type="#_x0000_t202" style="position:absolute;margin-left:133.95pt;margin-top:233.7pt;width:53.25pt;height:2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VxFgIAADQEAAAOAAAAZHJzL2Uyb0RvYy54bWysU0tvGyEQvlfqf0Dc613biZ2svI7cRK4q&#10;WUkkp8oZs+BFYhkK2Lvur+/A+qW0p6oXmGHe833MHrpGk71wXoEp6XCQUyIMh0qZbUl/vC2/3FHi&#10;AzMV02BESQ/C04f550+z1hZiBDXoSjiCSYwvWlvSOgRbZJnntWiYH4AVBo0SXMMCqm6bVY61mL3R&#10;2SjPJ1kLrrIOuPAeX596I52n/FIKHl6k9CIQXVLsLaTTpXMTz2w+Y8XWMVsrfmyD/UMXDVMGi55T&#10;PbHAyM6pP1I1ijvwIMOAQ5OBlIqLNANOM8w/TLOumRVpFlyOt+c1+f+Xlj/v1/bVkdB9hQ4BjAtp&#10;rS88PsZ5OumaeGOnBO24wsN5baILhOPjZDoZTW8p4Wga39zfTFOW7BJsnQ/fBDQkCiV1iEpaFtuv&#10;fMCC6HpyibUMLJXWCRltSIsFxrd5CjhbMEIbDLy0GqXQbTqiKhzj/jzIBqoDzuegh95bvlTYxYr5&#10;8MocYo0jIX/DCx5SA1aDo0RJDe7X396jP0KAVkpa5E5J/c8dc4IS/d0gOONJnkeyXSvuWtlcK2bX&#10;PALSc4g/xfIkYrAL+iRKB8070nwRq6KJGY61S7o5iY+hZzR+Ey4Wi+SE9LIsrMza8pg67jXu+K17&#10;Z84egQiI4DOcWMaKD3j0vj0ii10AqRJYcdP9Vo8AIDUThsdvFLl/rSevy2ef/wYAAP//AwBQSwME&#10;FAAGAAgAAAAhAO+wUAnhAAAACwEAAA8AAABkcnMvZG93bnJldi54bWxMj8FOwzAMhu9IvENkJC4T&#10;SwmlhdJ0GkhckCbE2IFj2mRtRONUTdZ2b485wc2WP/3+/nKzuJ5NZgzWo4TbdQLMYOO1xVbC4fP1&#10;5gFYiAq16j0aCWcTYFNdXpSq0H7GDzPtY8soBEOhJHQxDgXnoemMU2HtB4N0O/rRqUjr2HI9qpnC&#10;Xc9FkmTcKYv0oVODeelM870/OQnvIvuyeDzMejXVdvV83uH2LUp5fbVsn4BFs8Q/GH71SR0qcqr9&#10;CXVgvQSR5Y+ESkizPAVGxF2e0lBLuBciBV6V/H+H6gcAAP//AwBQSwECLQAUAAYACAAAACEAtoM4&#10;kv4AAADhAQAAEwAAAAAAAAAAAAAAAAAAAAAAW0NvbnRlbnRfVHlwZXNdLnhtbFBLAQItABQABgAI&#10;AAAAIQA4/SH/1gAAAJQBAAALAAAAAAAAAAAAAAAAAC8BAABfcmVscy8ucmVsc1BLAQItABQABgAI&#10;AAAAIQByaZVxFgIAADQEAAAOAAAAAAAAAAAAAAAAAC4CAABkcnMvZTJvRG9jLnhtbFBLAQItABQA&#10;BgAIAAAAIQDvsFAJ4QAAAAsBAAAPAAAAAAAAAAAAAAAAAHAEAABkcnMvZG93bnJldi54bWxQSwUG&#10;AAAAAAQABADzAAAAfgUAAAAA&#10;" filled="f" stroked="f" strokeweight=".5pt">
                <v:textbox inset="1mm,1mm,1mm,1mm">
                  <w:txbxContent>
                    <w:p w14:paraId="74301C6E" w14:textId="0DBFD696" w:rsidR="00B83D7D" w:rsidRPr="00DA0A83" w:rsidRDefault="00C1565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Metālapstrāde, mašīnbūve</w:t>
                      </w:r>
                    </w:p>
                  </w:txbxContent>
                </v:textbox>
              </v:shape>
            </w:pict>
          </mc:Fallback>
        </mc:AlternateContent>
      </w:r>
      <w:r w:rsidR="00B81FCF"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41" behindDoc="0" locked="0" layoutInCell="1" allowOverlap="1" wp14:anchorId="78F5D984" wp14:editId="2DFEDAE8">
                <wp:simplePos x="0" y="0"/>
                <wp:positionH relativeFrom="column">
                  <wp:posOffset>84979</wp:posOffset>
                </wp:positionH>
                <wp:positionV relativeFrom="paragraph">
                  <wp:posOffset>1957112</wp:posOffset>
                </wp:positionV>
                <wp:extent cx="1260000" cy="5400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260000" cy="540000"/>
                        </a:xfrm>
                        <a:prstGeom prst="rect">
                          <a:avLst/>
                        </a:prstGeom>
                        <a:noFill/>
                        <a:ln w="6350">
                          <a:noFill/>
                        </a:ln>
                      </wps:spPr>
                      <wps:txbx>
                        <w:txbxContent>
                          <w:p w14:paraId="5F46AA7F" w14:textId="24A3A2C2" w:rsidR="00B83D7D" w:rsidRPr="00B81FCF" w:rsidRDefault="000557F8" w:rsidP="00B46CBE">
                            <w:pPr>
                              <w:spacing w:after="0"/>
                              <w:rPr>
                                <w:rFonts w:ascii="Segoe UI Light" w:hAnsi="Segoe UI Light" w:cs="Segoe UI Light"/>
                                <w:color w:val="FFFFFF" w:themeColor="background1"/>
                                <w:sz w:val="16"/>
                                <w:szCs w:val="16"/>
                              </w:rPr>
                            </w:pPr>
                            <w:r w:rsidRPr="00B81FCF">
                              <w:rPr>
                                <w:rFonts w:ascii="Segoe UI Light" w:hAnsi="Segoe UI Light" w:cs="Segoe UI Light"/>
                                <w:color w:val="FFFFFF" w:themeColor="background1"/>
                                <w:sz w:val="16"/>
                                <w:szCs w:val="16"/>
                              </w:rPr>
                              <w:t>Elektronisko un optisko iekārtu ražošana, IKT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5D984" id="Text Box 70" o:spid="_x0000_s1218" type="#_x0000_t202" style="position:absolute;margin-left:6.7pt;margin-top:154.1pt;width:99.2pt;height: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CEFAIAADUEAAAOAAAAZHJzL2Uyb0RvYy54bWysU8tu2zAQvBfoPxC815KdxmgEy4GbwEUB&#10;IwngFDnTFGkJoLjskrbkfn2XlF9IeyqqA7XkLvcxM5zd961he4W+AVvy8SjnTFkJVWO3Jf/xuvz0&#10;hTMfhK2EAatKflCe388/fph1rlATqMFUChklsb7oXMnrEFyRZV7WqhV+BE5ZcmrAVgTa4jarUHSU&#10;vTXZJM+nWQdYOQSpvKfTx8HJ5ym/1kqGZ629CsyUnHoLacW0buKazWei2KJwdSOPbYh/6KIVjaWi&#10;51SPIgi2w+aPVG0jETzoMJLQZqB1I1WagaYZ5++mWdfCqTQLgePdGSb//9LKp/3avSAL/VfoicAI&#10;SOd84ekwztNrbOOfOmXkJwgPZ9hUH5iMlybTnD7OJPluPyeb0mSX2w59+KagZdEoORItCS2xX/kw&#10;hJ5CYjELy8aYRI2xrCv59OY2TxfOHkpuLNW49Bqt0G961lTU0t3kNMkGqgMNiDBw751cNtTFSvjw&#10;IpDIpsZJwOGZFm2AqsHR4qwG/PW38xhPHJCXs47EU3L/cydQcWa+W2LnJgJCarve4PVmc72xu/YB&#10;SJ9jeipOJpMuYzAnUyO0b6TzRaxKLmEl1S755mQ+hEHS9E6kWixSEOnLibCyaydj6ohrxPi1fxPo&#10;jkQEovAJTjITxTs+htiBkcUugG4SWRHpAdUjAaTNRPfxHUXxX+9T1OW1z38DAAD//wMAUEsDBBQA&#10;BgAIAAAAIQDyuGcw3wAAAAoBAAAPAAAAZHJzL2Rvd25yZXYueG1sTI/NTsMwEITvSLyDtUhcKur8&#10;oKqEOFVB4oKEEKUHjk68TSzidRS7Sfr2LCc4zuyn2Zlyt7heTDgG60lBuk5AIDXeWGoVHD9f7rYg&#10;QtRkdO8JFVwwwK66vip1YfxMHzgdYis4hEKhFXQxDoWUoenQ6bD2AxLfTn50OrIcW2lGPXO462WW&#10;JBvptCX+0OkBnztsvg9np+A923xZOh1ns5pqu3q6vNH+NSp1e7PsH0FEXOIfDL/1uTpU3Kn2ZzJB&#10;9KzzeyYV5Mk2A8FAlqa8pWbnIc9AVqX8P6H6AQAA//8DAFBLAQItABQABgAIAAAAIQC2gziS/gAA&#10;AOEBAAATAAAAAAAAAAAAAAAAAAAAAABbQ29udGVudF9UeXBlc10ueG1sUEsBAi0AFAAGAAgAAAAh&#10;ADj9If/WAAAAlAEAAAsAAAAAAAAAAAAAAAAALwEAAF9yZWxzLy5yZWxzUEsBAi0AFAAGAAgAAAAh&#10;AMF6IIQUAgAANQQAAA4AAAAAAAAAAAAAAAAALgIAAGRycy9lMm9Eb2MueG1sUEsBAi0AFAAGAAgA&#10;AAAhAPK4ZzDfAAAACgEAAA8AAAAAAAAAAAAAAAAAbgQAAGRycy9kb3ducmV2LnhtbFBLBQYAAAAA&#10;BAAEAPMAAAB6BQAAAAA=&#10;" filled="f" stroked="f" strokeweight=".5pt">
                <v:textbox inset="1mm,1mm,1mm,1mm">
                  <w:txbxContent>
                    <w:p w14:paraId="5F46AA7F" w14:textId="24A3A2C2" w:rsidR="00B83D7D" w:rsidRPr="00B81FCF" w:rsidRDefault="000557F8" w:rsidP="00B46CBE">
                      <w:pPr>
                        <w:spacing w:after="0"/>
                        <w:rPr>
                          <w:rFonts w:ascii="Segoe UI Light" w:hAnsi="Segoe UI Light" w:cs="Segoe UI Light"/>
                          <w:color w:val="FFFFFF" w:themeColor="background1"/>
                          <w:sz w:val="16"/>
                          <w:szCs w:val="16"/>
                        </w:rPr>
                      </w:pPr>
                      <w:r w:rsidRPr="00B81FCF">
                        <w:rPr>
                          <w:rFonts w:ascii="Segoe UI Light" w:hAnsi="Segoe UI Light" w:cs="Segoe UI Light"/>
                          <w:color w:val="FFFFFF" w:themeColor="background1"/>
                          <w:sz w:val="16"/>
                          <w:szCs w:val="16"/>
                        </w:rPr>
                        <w:t>Elektronisko un optisko iekārtu ražošana, IKT</w:t>
                      </w:r>
                    </w:p>
                  </w:txbxContent>
                </v:textbox>
              </v:shape>
            </w:pict>
          </mc:Fallback>
        </mc:AlternateContent>
      </w:r>
      <w:r w:rsidR="00B81FCF"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43" behindDoc="0" locked="0" layoutInCell="1" allowOverlap="1" wp14:anchorId="1CE4A5F0" wp14:editId="0D007987">
                <wp:simplePos x="0" y="0"/>
                <wp:positionH relativeFrom="column">
                  <wp:posOffset>793583</wp:posOffset>
                </wp:positionH>
                <wp:positionV relativeFrom="paragraph">
                  <wp:posOffset>2917134</wp:posOffset>
                </wp:positionV>
                <wp:extent cx="768699" cy="5397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768699" cy="539750"/>
                        </a:xfrm>
                        <a:prstGeom prst="rect">
                          <a:avLst/>
                        </a:prstGeom>
                        <a:noFill/>
                        <a:ln w="6350">
                          <a:noFill/>
                        </a:ln>
                      </wps:spPr>
                      <wps:txbx>
                        <w:txbxContent>
                          <w:p w14:paraId="0C2D4547" w14:textId="597F2901" w:rsidR="00B83D7D" w:rsidRPr="00B81FCF" w:rsidRDefault="00E32F92" w:rsidP="00B46CBE">
                            <w:pPr>
                              <w:spacing w:after="0"/>
                              <w:rPr>
                                <w:rFonts w:ascii="Segoe UI Light" w:hAnsi="Segoe UI Light" w:cs="Segoe UI Light"/>
                                <w:color w:val="FFFFFF" w:themeColor="background1"/>
                                <w:sz w:val="16"/>
                                <w:szCs w:val="16"/>
                              </w:rPr>
                            </w:pPr>
                            <w:r w:rsidRPr="00B81FCF">
                              <w:rPr>
                                <w:rFonts w:ascii="Segoe UI Light" w:hAnsi="Segoe UI Light" w:cs="Segoe UI Light"/>
                                <w:color w:val="FFFFFF" w:themeColor="background1"/>
                                <w:sz w:val="16"/>
                                <w:szCs w:val="16"/>
                              </w:rPr>
                              <w:t>Transports un loģistika</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4A5F0" id="Text Box 78" o:spid="_x0000_s1219" type="#_x0000_t202" style="position:absolute;margin-left:62.5pt;margin-top:229.7pt;width:60.55pt;height:4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GAIAADQEAAAOAAAAZHJzL2Uyb0RvYy54bWysU01vGjEQvVfqf7B8L7sEhQTEEtFEVJVQ&#10;EolUORuvza7k9bhjwy799R17IZC0p6oXe+wZz8d7z7O7rjFsr9DXYAs+HOScKSuhrO224D9ell9u&#10;OfNB2FIYsKrgB+X53fzzp1nrpuoKKjClQkZJrJ+2ruBVCG6aZV5WqhF+AE5ZcmrARgQ64jYrUbSU&#10;vTHZVZ6PsxawdAhSeU+3D72Tz1N+rZUMT1p7FZgpOPUW0opp3cQ1m8/EdIvCVbU8tiH+oYtG1JaK&#10;vqV6EEGwHdZ/pGpqieBBh4GEJgOta6nSDDTNMP8wzboSTqVZCBzv3mDy/y+tfNyv3TOy0H2FjgiM&#10;gLTOTz1dxnk6jU3cqVNGfoLw8Aab6gKTdHkzvh1PJpxJcl2PJjfXCdbs/NihD98UNCwaBUdiJYEl&#10;9isfqCCFnkJiLQvL2pjEjLGsLfh4RCnfeeiFsfTw3Gq0QrfpWF3SGJPRaZANlAeaD6Gn3ju5rKmL&#10;lfDhWSBxTSORfsMTLdoAVYOjxVkF+Otv9zGeKCAvZy1pp+D+506g4sx8t0TOaJznUWyXB7w8bC4P&#10;dtfcA8lzSD/FyWTSYwzmZGqE5pVkvohVySWspNoF35zM+9Armr6JVItFCiJ5ORFWdu1kTB3Rixi/&#10;dK8C3ZGIQAw+wkllYvqBjz62x32xC6DrRFZEukf1SABJM3F4/EZR+5fnFHX+7PPfAAAA//8DAFBL&#10;AwQUAAYACAAAACEA8CGEVuEAAAALAQAADwAAAGRycy9kb3ducmV2LnhtbEyPMU/DMBSEdyT+g/WQ&#10;WKrWaeREEOJUBYkFCSFKh45O7CYW8XMUu0n673lMMJ7udPdduVtczyYzButRwnaTADPYeG2xlXD8&#10;el0/AAtRoVa9RyPhagLsqtubUhXaz/hppkNsGZVgKJSELsah4Dw0nXEqbPxgkLyzH52KJMeW61HN&#10;VO56niZJzp2ySAudGsxLZ5rvw8VJ+Ejzk8Xzcdarqbar5+s77t+ilPd3y/4JWDRL/AvDLz6hQ0VM&#10;tb+gDqwnnWb0JUoQ2aMARolU5FtgtYRMCAG8Kvn/D9UPAAAA//8DAFBLAQItABQABgAIAAAAIQC2&#10;gziS/gAAAOEBAAATAAAAAAAAAAAAAAAAAAAAAABbQ29udGVudF9UeXBlc10ueG1sUEsBAi0AFAAG&#10;AAgAAAAhADj9If/WAAAAlAEAAAsAAAAAAAAAAAAAAAAALwEAAF9yZWxzLy5yZWxzUEsBAi0AFAAG&#10;AAgAAAAhAEH/H/sYAgAANAQAAA4AAAAAAAAAAAAAAAAALgIAAGRycy9lMm9Eb2MueG1sUEsBAi0A&#10;FAAGAAgAAAAhAPAhhFbhAAAACwEAAA8AAAAAAAAAAAAAAAAAcgQAAGRycy9kb3ducmV2LnhtbFBL&#10;BQYAAAAABAAEAPMAAACABQAAAAA=&#10;" filled="f" stroked="f" strokeweight=".5pt">
                <v:textbox inset="1mm,1mm,1mm,1mm">
                  <w:txbxContent>
                    <w:p w14:paraId="0C2D4547" w14:textId="597F2901" w:rsidR="00B83D7D" w:rsidRPr="00B81FCF" w:rsidRDefault="00E32F92" w:rsidP="00B46CBE">
                      <w:pPr>
                        <w:spacing w:after="0"/>
                        <w:rPr>
                          <w:rFonts w:ascii="Segoe UI Light" w:hAnsi="Segoe UI Light" w:cs="Segoe UI Light"/>
                          <w:color w:val="FFFFFF" w:themeColor="background1"/>
                          <w:sz w:val="16"/>
                          <w:szCs w:val="16"/>
                        </w:rPr>
                      </w:pPr>
                      <w:r w:rsidRPr="00B81FCF">
                        <w:rPr>
                          <w:rFonts w:ascii="Segoe UI Light" w:hAnsi="Segoe UI Light" w:cs="Segoe UI Light"/>
                          <w:color w:val="FFFFFF" w:themeColor="background1"/>
                          <w:sz w:val="16"/>
                          <w:szCs w:val="16"/>
                        </w:rPr>
                        <w:t>Transports un loģistika</w:t>
                      </w:r>
                    </w:p>
                  </w:txbxContent>
                </v:textbox>
              </v:shape>
            </w:pict>
          </mc:Fallback>
        </mc:AlternateContent>
      </w:r>
      <w:r w:rsidR="00B81FCF"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44" behindDoc="0" locked="0" layoutInCell="1" allowOverlap="1" wp14:anchorId="05AD6D52" wp14:editId="609C5364">
                <wp:simplePos x="0" y="0"/>
                <wp:positionH relativeFrom="column">
                  <wp:posOffset>778245</wp:posOffset>
                </wp:positionH>
                <wp:positionV relativeFrom="paragraph">
                  <wp:posOffset>3600171</wp:posOffset>
                </wp:positionV>
                <wp:extent cx="844062" cy="495377"/>
                <wp:effectExtent l="0" t="0" r="0" b="0"/>
                <wp:wrapNone/>
                <wp:docPr id="95" name="Text Box 95"/>
                <wp:cNvGraphicFramePr/>
                <a:graphic xmlns:a="http://schemas.openxmlformats.org/drawingml/2006/main">
                  <a:graphicData uri="http://schemas.microsoft.com/office/word/2010/wordprocessingShape">
                    <wps:wsp>
                      <wps:cNvSpPr txBox="1"/>
                      <wps:spPr>
                        <a:xfrm>
                          <a:off x="0" y="0"/>
                          <a:ext cx="844062" cy="495377"/>
                        </a:xfrm>
                        <a:prstGeom prst="rect">
                          <a:avLst/>
                        </a:prstGeom>
                        <a:noFill/>
                        <a:ln w="6350">
                          <a:noFill/>
                        </a:ln>
                      </wps:spPr>
                      <wps:txbx>
                        <w:txbxContent>
                          <w:p w14:paraId="172C8DC6" w14:textId="172D7881" w:rsidR="00B83D7D" w:rsidRPr="00B81FCF" w:rsidRDefault="00B86553" w:rsidP="00B46CBE">
                            <w:pPr>
                              <w:spacing w:after="0"/>
                              <w:rPr>
                                <w:rFonts w:ascii="Segoe UI Light" w:hAnsi="Segoe UI Light" w:cs="Segoe UI Light"/>
                                <w:color w:val="FFFFFF" w:themeColor="background1"/>
                                <w:sz w:val="16"/>
                                <w:szCs w:val="16"/>
                              </w:rPr>
                            </w:pPr>
                            <w:r w:rsidRPr="00B81FCF">
                              <w:rPr>
                                <w:rFonts w:ascii="Segoe UI Light" w:hAnsi="Segoe UI Light" w:cs="Segoe UI Light"/>
                                <w:color w:val="FFFFFF" w:themeColor="background1"/>
                                <w:sz w:val="16"/>
                                <w:szCs w:val="16"/>
                              </w:rPr>
                              <w:t>Mākslas, un radošo industriju sektors</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D6D52" id="Text Box 95" o:spid="_x0000_s1220" type="#_x0000_t202" style="position:absolute;margin-left:61.3pt;margin-top:283.5pt;width:66.45pt;height:3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H4GQIAADQ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d1kkk9HlHAMTe5vxre3sUp2+dk6H74JaEg0SuqQlQQW&#10;26986FNPKbGXgaXSOjGjDWlLOh3f5OmHcwSLa4M9LqNGK3SbjqgK17ifnBbZQHXA/Rz01HvLlwqn&#10;WDEfXplDrnEl1G94wUNqwG5wtCipwf36233MRwowSkmL2imp/7ljTlCivxskZzzN8yi2a8ddO5tr&#10;x+yaR0B5DvGlWJ5M/NkFfTKlg+YdZb6IXTHEDMfeJd2czMfQKxqfCReLRUpCeVkWVmZteSwdcY0Y&#10;v3XvzNkjEQEZfIaTyljxgY8+t2dksQsgVSIrIt2jeiQApZnoPj6jqP1rP2VdHvv8NwAAAP//AwBQ&#10;SwMEFAAGAAgAAAAhAA6Nq1zgAAAACwEAAA8AAABkcnMvZG93bnJldi54bWxMj0FLxDAQhe+C/yGM&#10;4GXZTQ0mSm26rIIXQcR1D3tMm2xbbCalybbdf+940uNjPt58r9guvmeTG2MXUMPdJgPmsA62w0bD&#10;4et1/QgsJoPW9AGdhouLsC2vrwqT2zDjp5v2qWFUgjE3GtqUhpzzWLfOm7gJg0O6ncLoTaI4NtyO&#10;ZqZy33ORZYp70yF9aM3gXlpXf+/PXsOHUMcOT4fZrqaqWz1f3nH3lrS+vVl2T8CSW9IfDL/6pA4l&#10;OVXhjDaynrIQilANUj3QKCKElBJYpUHdywx4WfD/G8ofAAAA//8DAFBLAQItABQABgAIAAAAIQC2&#10;gziS/gAAAOEBAAATAAAAAAAAAAAAAAAAAAAAAABbQ29udGVudF9UeXBlc10ueG1sUEsBAi0AFAAG&#10;AAgAAAAhADj9If/WAAAAlAEAAAsAAAAAAAAAAAAAAAAALwEAAF9yZWxzLy5yZWxzUEsBAi0AFAAG&#10;AAgAAAAhABsJUfgZAgAANAQAAA4AAAAAAAAAAAAAAAAALgIAAGRycy9lMm9Eb2MueG1sUEsBAi0A&#10;FAAGAAgAAAAhAA6Nq1zgAAAACwEAAA8AAAAAAAAAAAAAAAAAcwQAAGRycy9kb3ducmV2LnhtbFBL&#10;BQYAAAAABAAEAPMAAACABQAAAAA=&#10;" filled="f" stroked="f" strokeweight=".5pt">
                <v:textbox inset="1mm,1mm,1mm,1mm">
                  <w:txbxContent>
                    <w:p w14:paraId="172C8DC6" w14:textId="172D7881" w:rsidR="00B83D7D" w:rsidRPr="00B81FCF" w:rsidRDefault="00B86553" w:rsidP="00B46CBE">
                      <w:pPr>
                        <w:spacing w:after="0"/>
                        <w:rPr>
                          <w:rFonts w:ascii="Segoe UI Light" w:hAnsi="Segoe UI Light" w:cs="Segoe UI Light"/>
                          <w:color w:val="FFFFFF" w:themeColor="background1"/>
                          <w:sz w:val="16"/>
                          <w:szCs w:val="16"/>
                        </w:rPr>
                      </w:pPr>
                      <w:r w:rsidRPr="00B81FCF">
                        <w:rPr>
                          <w:rFonts w:ascii="Segoe UI Light" w:hAnsi="Segoe UI Light" w:cs="Segoe UI Light"/>
                          <w:color w:val="FFFFFF" w:themeColor="background1"/>
                          <w:sz w:val="16"/>
                          <w:szCs w:val="16"/>
                        </w:rPr>
                        <w:t>Mākslas, un radošo industriju sektors</w:t>
                      </w:r>
                    </w:p>
                  </w:txbxContent>
                </v:textbox>
              </v:shape>
            </w:pict>
          </mc:Fallback>
        </mc:AlternateContent>
      </w:r>
      <w:r w:rsidR="00D3579B" w:rsidRPr="00A243D7">
        <w:rPr>
          <w:rFonts w:ascii="Segoe UI Light" w:hAnsi="Segoe UI Light" w:cs="Segoe UI Light"/>
          <w:noProof/>
          <w:color w:val="000000" w:themeColor="text1"/>
          <w:sz w:val="16"/>
          <w:szCs w:val="16"/>
        </w:rPr>
        <mc:AlternateContent>
          <mc:Choice Requires="wps">
            <w:drawing>
              <wp:anchor distT="0" distB="0" distL="114300" distR="114300" simplePos="0" relativeHeight="251658245" behindDoc="0" locked="0" layoutInCell="1" allowOverlap="1" wp14:anchorId="18316B85" wp14:editId="2078C664">
                <wp:simplePos x="0" y="0"/>
                <wp:positionH relativeFrom="column">
                  <wp:posOffset>85292</wp:posOffset>
                </wp:positionH>
                <wp:positionV relativeFrom="paragraph">
                  <wp:posOffset>3851512</wp:posOffset>
                </wp:positionV>
                <wp:extent cx="542925" cy="228251"/>
                <wp:effectExtent l="0" t="0" r="9525" b="635"/>
                <wp:wrapNone/>
                <wp:docPr id="123" name="Text Box 123"/>
                <wp:cNvGraphicFramePr/>
                <a:graphic xmlns:a="http://schemas.openxmlformats.org/drawingml/2006/main">
                  <a:graphicData uri="http://schemas.microsoft.com/office/word/2010/wordprocessingShape">
                    <wps:wsp>
                      <wps:cNvSpPr txBox="1"/>
                      <wps:spPr>
                        <a:xfrm>
                          <a:off x="0" y="0"/>
                          <a:ext cx="542925" cy="228251"/>
                        </a:xfrm>
                        <a:prstGeom prst="rect">
                          <a:avLst/>
                        </a:prstGeom>
                        <a:noFill/>
                        <a:ln w="6350">
                          <a:noFill/>
                        </a:ln>
                      </wps:spPr>
                      <wps:txbx>
                        <w:txbxContent>
                          <w:p w14:paraId="754A601B" w14:textId="1CB0B91F" w:rsidR="00B83D7D" w:rsidRPr="00B81FCF" w:rsidRDefault="00E32F92" w:rsidP="00B46CBE">
                            <w:pPr>
                              <w:spacing w:after="0"/>
                              <w:rPr>
                                <w:rFonts w:ascii="Segoe UI Light" w:hAnsi="Segoe UI Light" w:cs="Segoe UI Light"/>
                                <w:color w:val="FFFFFF" w:themeColor="background1"/>
                                <w:sz w:val="16"/>
                                <w:szCs w:val="16"/>
                              </w:rPr>
                            </w:pPr>
                            <w:r w:rsidRPr="00B81FCF">
                              <w:rPr>
                                <w:rFonts w:ascii="Segoe UI Light" w:hAnsi="Segoe UI Light" w:cs="Segoe UI Light"/>
                                <w:color w:val="FFFFFF" w:themeColor="background1"/>
                                <w:sz w:val="16"/>
                                <w:szCs w:val="16"/>
                              </w:rPr>
                              <w:t>Būvniecība</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16B85" id="Text Box 123" o:spid="_x0000_s1221" type="#_x0000_t202" style="position:absolute;margin-left:6.7pt;margin-top:303.25pt;width:42.75pt;height:17.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117FwIAADQEAAAOAAAAZHJzL2Uyb0RvYy54bWysU0tvGyEQvlfqf0Dc611vaitZeR25iVxV&#10;spJITpQzZsGLxDIUsHfdX9+B9UtpT1UvMMO85/uY3fetJnvhvAJT0fEop0QYDrUy24q+vS6/3FLi&#10;AzM102BERQ/C0/v550+zzpaigAZ0LRzBJMaXna1oE4Its8zzRrTMj8AKg0YJrmUBVbfNasc6zN7q&#10;rMjzadaBq60DLrzH18fBSOcpv5SCh2cpvQhEVxR7C+l06dzEM5vPWLl1zDaKH9tg/9BFy5TBoudU&#10;jywwsnPqj1St4g48yDDi0GYgpeIizYDTjPMP06wbZkWaBZfj7XlN/v+l5U/7tX1xJPTfoEcA40I6&#10;60uPj3GeXro23tgpQTuu8HBem+gD4fg4+VrcFRNKOJqK4raYpCzZJdg6H74LaEkUKuoQlbQstl/5&#10;gAXR9eQSaxlYKq0TMtqQrqLTm0meAs4WjNAGAy+tRin0m56oGse4m5wG2UB9wPkcDNB7y5cKu1gx&#10;H16YQ6xxJORveMZDasBqcJQoacD9+tt79EcI0EpJh9ypqP+5Y05Qon8YBOdmmueRbNeKu1Y214rZ&#10;tQ+A9BzjT7E8iRjsgj6J0kH7jjRfxKpoYoZj7YpuTuJDGBiN34SLxSI5Ib0sCyuztjymjnuNO37t&#10;35mzRyACIvgEJ5ax8gMeg++AyGIXQKoEVtz0sNUjAEjNhOHxG0XuX+vJ6/LZ578BAAD//wMAUEsD&#10;BBQABgAIAAAAIQBuuE9O3wAAAAkBAAAPAAAAZHJzL2Rvd25yZXYueG1sTI/BToNAEIbvJr7DZky8&#10;NHYRkbSUpakmXkxMY+2hx4WdApGdJewW6Ns7nvT4z3z555t8O9tOjDj41pGCx2UEAqlypqVawfHr&#10;7WEFwgdNRneOUMEVPWyL25tcZ8ZN9InjIdSCS8hnWkETQp9J6asGrfZL1yPx7uwGqwPHoZZm0BOX&#10;207GUZRKq1viC43u8bXB6vtwsQr2cXpq6XyczGIs28XL9YN270Gp+7t5twERcA5/MPzqszoU7FS6&#10;CxkvOs5PCZMK0ih9BsHAerUGUfIgiROQRS7/f1D8AAAA//8DAFBLAQItABQABgAIAAAAIQC2gziS&#10;/gAAAOEBAAATAAAAAAAAAAAAAAAAAAAAAABbQ29udGVudF9UeXBlc10ueG1sUEsBAi0AFAAGAAgA&#10;AAAhADj9If/WAAAAlAEAAAsAAAAAAAAAAAAAAAAALwEAAF9yZWxzLy5yZWxzUEsBAi0AFAAGAAgA&#10;AAAhAM9DXXsXAgAANAQAAA4AAAAAAAAAAAAAAAAALgIAAGRycy9lMm9Eb2MueG1sUEsBAi0AFAAG&#10;AAgAAAAhAG64T07fAAAACQEAAA8AAAAAAAAAAAAAAAAAcQQAAGRycy9kb3ducmV2LnhtbFBLBQYA&#10;AAAABAAEAPMAAAB9BQAAAAA=&#10;" filled="f" stroked="f" strokeweight=".5pt">
                <v:textbox inset="1mm,1mm,1mm,1mm">
                  <w:txbxContent>
                    <w:p w14:paraId="754A601B" w14:textId="1CB0B91F" w:rsidR="00B83D7D" w:rsidRPr="00B81FCF" w:rsidRDefault="00E32F92" w:rsidP="00B46CBE">
                      <w:pPr>
                        <w:spacing w:after="0"/>
                        <w:rPr>
                          <w:rFonts w:ascii="Segoe UI Light" w:hAnsi="Segoe UI Light" w:cs="Segoe UI Light"/>
                          <w:color w:val="FFFFFF" w:themeColor="background1"/>
                          <w:sz w:val="16"/>
                          <w:szCs w:val="16"/>
                        </w:rPr>
                      </w:pPr>
                      <w:r w:rsidRPr="00B81FCF">
                        <w:rPr>
                          <w:rFonts w:ascii="Segoe UI Light" w:hAnsi="Segoe UI Light" w:cs="Segoe UI Light"/>
                          <w:color w:val="FFFFFF" w:themeColor="background1"/>
                          <w:sz w:val="16"/>
                          <w:szCs w:val="16"/>
                        </w:rPr>
                        <w:t>Būvniecība</w:t>
                      </w:r>
                    </w:p>
                  </w:txbxContent>
                </v:textbox>
              </v:shape>
            </w:pict>
          </mc:Fallback>
        </mc:AlternateContent>
      </w:r>
      <w:r w:rsidR="007778C2" w:rsidRPr="00A243D7">
        <w:rPr>
          <w:rFonts w:ascii="Segoe UI Light" w:hAnsi="Segoe UI Light" w:cs="Segoe UI Light"/>
          <w:noProof/>
          <w:color w:val="000000" w:themeColor="text1"/>
          <w:sz w:val="16"/>
          <w:szCs w:val="16"/>
        </w:rPr>
        <mc:AlternateContent>
          <mc:Choice Requires="cx1">
            <w:drawing>
              <wp:inline distT="0" distB="0" distL="0" distR="0" wp14:anchorId="7F7020E5" wp14:editId="1B88C7D0">
                <wp:extent cx="3600000" cy="4320000"/>
                <wp:effectExtent l="0" t="0" r="0" b="0"/>
                <wp:docPr id="41" name="Chart 4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0"/>
                  </a:graphicData>
                </a:graphic>
              </wp:inline>
            </w:drawing>
          </mc:Choice>
          <mc:Fallback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xmlns:w16cei="http://schemas.microsoft.com/office/word/2026/wordml/cei">
            <w:drawing xmlns:w="http://schemas.openxmlformats.org/wordprocessingml/2006/main">
              <wp:inline xmlns:wp="http://schemas.openxmlformats.org/drawingml/2006/wordprocessingDrawing" xmlns:wp14="http://schemas.microsoft.com/office/word/2010/wordprocessingDrawing" distT="0" distB="0" distL="0" distR="0" wp14:anchorId="36C4EDE8" wp14:editId="1B88C7D0">
                <wp:extent cx="3600000" cy="4320000"/>
                <wp:effectExtent l="0" t="0" r="0" b="0"/>
                <wp:docPr id="652528007" name="Chart 4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xmlns:mc="http://schemas.openxmlformats.org/markup-compatibility/2006">
                      <pic:nvPicPr>
                        <pic:cNvPr id="41" name="Chart 41"/>
                        <pic:cNvPicPr>
                          <a:picLocks noGrp="1" noRot="1" noChangeAspect="1" noMove="1" noResize="1" noEditPoints="1" noAdjustHandles="1" noChangeArrowheads="1" noChangeShapeType="1"/>
                        </pic:cNvPicPr>
                      </pic:nvPicPr>
                      <pic:blipFill>
                        <a:blip xmlns:r="http://schemas.openxmlformats.org/officeDocument/2006/relationships" r:embed="rId107"/>
                        <a:stretch>
                          <a:fillRect/>
                        </a:stretch>
                      </pic:blipFill>
                      <pic:spPr>
                        <a:xfrm>
                          <a:off x="0" y="0"/>
                          <a:ext cx="3599815" cy="4319905"/>
                        </a:xfrm>
                        <a:prstGeom prst="rect">
                          <a:avLst/>
                        </a:prstGeom>
                      </pic:spPr>
                    </pic:pic>
                  </a:graphicData>
                </a:graphic>
              </wp:inline>
            </w:drawing>
          </mc:Fallback>
        </mc:AlternateContent>
      </w:r>
      <w:r w:rsidR="007778C2" w:rsidRPr="000557F8">
        <w:rPr>
          <w:rFonts w:ascii="Segoe UI Light" w:hAnsi="Segoe UI Light" w:cs="Segoe UI Light"/>
          <w:noProof/>
          <w:color w:val="000000" w:themeColor="text1"/>
          <w:sz w:val="16"/>
          <w:szCs w:val="16"/>
        </w:rPr>
        <w:drawing>
          <wp:inline distT="0" distB="0" distL="0" distR="0" wp14:anchorId="357D5E26" wp14:editId="04C9464C">
            <wp:extent cx="2159635" cy="43200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0836314E" w14:textId="04D777A9" w:rsidR="00865871" w:rsidRDefault="003130CD" w:rsidP="003130CD">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1985"/>
          <w:tab w:val="left" w:pos="4820"/>
        </w:tabs>
        <w:spacing w:after="0"/>
        <w:rPr>
          <w:rFonts w:ascii="Segoe UI Light" w:hAnsi="Segoe UI Light" w:cs="Segoe UI Light"/>
          <w:color w:val="000000"/>
          <w:sz w:val="12"/>
          <w:szCs w:val="12"/>
        </w:rPr>
      </w:pPr>
      <w:r>
        <w:rPr>
          <w:rFonts w:ascii="Segoe UI Light" w:hAnsi="Segoe UI Light" w:cs="Segoe UI Light"/>
          <w:b/>
          <w:bCs/>
          <w:color w:val="000000" w:themeColor="text1"/>
          <w:sz w:val="16"/>
          <w:szCs w:val="16"/>
        </w:rPr>
        <w:tab/>
      </w:r>
      <w:r w:rsidR="007778C2" w:rsidRPr="00A95EAA">
        <w:rPr>
          <w:rFonts w:ascii="Segoe UI Light" w:hAnsi="Segoe UI Light" w:cs="Segoe UI Light"/>
          <w:b/>
          <w:bCs/>
          <w:color w:val="000000" w:themeColor="text1"/>
          <w:sz w:val="16"/>
          <w:szCs w:val="16"/>
        </w:rPr>
        <w:t>Absolventu izglītības līmenis</w:t>
      </w:r>
      <w:r w:rsidR="00865871">
        <w:rPr>
          <w:rFonts w:ascii="Segoe UI Light" w:hAnsi="Segoe UI Light" w:cs="Segoe UI Light"/>
          <w:b/>
          <w:bCs/>
          <w:color w:val="000000" w:themeColor="text1"/>
          <w:sz w:val="16"/>
          <w:szCs w:val="16"/>
        </w:rPr>
        <w:t xml:space="preserve"> </w:t>
      </w:r>
      <w:r w:rsidR="00865871">
        <w:rPr>
          <w:rFonts w:ascii="Segoe UI Light" w:hAnsi="Segoe UI Light" w:cs="Segoe UI Light"/>
          <w:b/>
          <w:bCs/>
          <w:color w:val="000000" w:themeColor="text1"/>
          <w:sz w:val="16"/>
          <w:szCs w:val="16"/>
        </w:rPr>
        <w:tab/>
      </w:r>
      <w:r w:rsidR="00865871">
        <w:rPr>
          <w:rFonts w:ascii="Segoe UI Light" w:hAnsi="Segoe UI Light" w:cs="Segoe UI Light"/>
          <w:b/>
          <w:bCs/>
          <w:color w:val="000000" w:themeColor="text1"/>
          <w:sz w:val="16"/>
          <w:szCs w:val="16"/>
        </w:rPr>
        <w:tab/>
      </w:r>
      <w:r w:rsidR="00127104">
        <w:rPr>
          <w:rFonts w:ascii="Segoe UI Light" w:hAnsi="Segoe UI Light" w:cs="Segoe UI Light"/>
          <w:b/>
          <w:bCs/>
          <w:color w:val="000000" w:themeColor="text1"/>
          <w:sz w:val="16"/>
          <w:szCs w:val="16"/>
        </w:rPr>
        <w:tab/>
      </w:r>
      <w:r w:rsidR="00865871" w:rsidRPr="00865871">
        <w:rPr>
          <w:rFonts w:ascii="Segoe UI Light" w:hAnsi="Segoe UI Light" w:cs="Segoe UI Light"/>
          <w:b/>
          <w:bCs/>
          <w:color w:val="000000" w:themeColor="text1"/>
          <w:sz w:val="16"/>
          <w:szCs w:val="16"/>
        </w:rPr>
        <w:t>Absolventu vecuma sadalījums</w:t>
      </w:r>
    </w:p>
    <w:p w14:paraId="203138A3" w14:textId="50A04F0C" w:rsidR="00865871" w:rsidRPr="005F318B" w:rsidRDefault="003130CD" w:rsidP="003130CD">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1985"/>
        </w:tabs>
        <w:spacing w:after="60"/>
        <w:rPr>
          <w:rFonts w:ascii="Segoe UI Light" w:hAnsi="Segoe UI Light" w:cs="Segoe UI Light"/>
          <w:color w:val="000000" w:themeColor="text1"/>
          <w:sz w:val="16"/>
          <w:szCs w:val="16"/>
        </w:rPr>
      </w:pPr>
      <w:r>
        <w:rPr>
          <w:rFonts w:ascii="Segoe UI Light" w:hAnsi="Segoe UI Light" w:cs="Segoe UI Light"/>
          <w:color w:val="000000" w:themeColor="text1"/>
          <w:sz w:val="16"/>
          <w:szCs w:val="16"/>
        </w:rPr>
        <w:tab/>
        <w:t>p</w:t>
      </w:r>
      <w:r w:rsidR="007778C2" w:rsidRPr="005F318B">
        <w:rPr>
          <w:rFonts w:ascii="Segoe UI Light" w:hAnsi="Segoe UI Light" w:cs="Segoe UI Light"/>
          <w:color w:val="000000" w:themeColor="text1"/>
          <w:sz w:val="16"/>
          <w:szCs w:val="16"/>
        </w:rPr>
        <w:t>rocentos</w:t>
      </w:r>
      <w:r w:rsidR="00865871">
        <w:rPr>
          <w:rFonts w:ascii="Segoe UI Light" w:hAnsi="Segoe UI Light" w:cs="Segoe UI Light"/>
          <w:color w:val="000000" w:themeColor="text1"/>
          <w:sz w:val="16"/>
          <w:szCs w:val="16"/>
        </w:rPr>
        <w:tab/>
      </w:r>
      <w:r w:rsidR="00865871">
        <w:rPr>
          <w:rFonts w:ascii="Segoe UI Light" w:hAnsi="Segoe UI Light" w:cs="Segoe UI Light"/>
          <w:color w:val="000000" w:themeColor="text1"/>
          <w:sz w:val="16"/>
          <w:szCs w:val="16"/>
        </w:rPr>
        <w:tab/>
        <w:t xml:space="preserve">   </w:t>
      </w:r>
      <w:r>
        <w:rPr>
          <w:rFonts w:ascii="Segoe UI Light" w:hAnsi="Segoe UI Light" w:cs="Segoe UI Light"/>
          <w:color w:val="000000" w:themeColor="text1"/>
          <w:sz w:val="16"/>
          <w:szCs w:val="16"/>
        </w:rPr>
        <w:tab/>
        <w:t xml:space="preserve">             </w:t>
      </w:r>
      <w:r w:rsidR="00127104">
        <w:rPr>
          <w:rFonts w:ascii="Segoe UI Light" w:hAnsi="Segoe UI Light" w:cs="Segoe UI Light"/>
          <w:color w:val="000000" w:themeColor="text1"/>
          <w:sz w:val="16"/>
          <w:szCs w:val="16"/>
        </w:rPr>
        <w:tab/>
        <w:t xml:space="preserve">              </w:t>
      </w:r>
      <w:r w:rsidR="007778C2" w:rsidRPr="005F318B">
        <w:rPr>
          <w:rFonts w:ascii="Segoe UI Light" w:hAnsi="Segoe UI Light" w:cs="Segoe UI Light"/>
          <w:color w:val="000000" w:themeColor="text1"/>
          <w:sz w:val="16"/>
          <w:szCs w:val="16"/>
        </w:rPr>
        <w:t>procentos no visiem absolventiem</w:t>
      </w:r>
    </w:p>
    <w:p w14:paraId="119C92E5" w14:textId="77777777" w:rsidR="007778C2" w:rsidRPr="005F318B" w:rsidRDefault="007778C2" w:rsidP="003130CD">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5670"/>
        </w:tabs>
        <w:spacing w:after="60"/>
        <w:rPr>
          <w:rFonts w:ascii="Segoe UI Light" w:hAnsi="Segoe UI Light" w:cs="Segoe UI Light"/>
          <w:color w:val="000000" w:themeColor="text1"/>
          <w:sz w:val="16"/>
          <w:szCs w:val="16"/>
        </w:rPr>
      </w:pPr>
      <w:r w:rsidRPr="005F318B">
        <w:rPr>
          <w:rFonts w:ascii="Segoe UI Light" w:hAnsi="Segoe UI Light" w:cs="Segoe UI Light"/>
          <w:noProof/>
          <w:color w:val="000000" w:themeColor="text1"/>
          <w:sz w:val="16"/>
          <w:szCs w:val="16"/>
        </w:rPr>
        <w:drawing>
          <wp:inline distT="0" distB="0" distL="0" distR="0" wp14:anchorId="6172B773" wp14:editId="1F136638">
            <wp:extent cx="2520000" cy="2160000"/>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r w:rsidRPr="005F318B">
        <w:rPr>
          <w:rFonts w:ascii="Segoe UI Light" w:hAnsi="Segoe UI Light" w:cs="Segoe UI Light"/>
          <w:noProof/>
          <w:color w:val="000000" w:themeColor="text1"/>
          <w:sz w:val="16"/>
          <w:szCs w:val="16"/>
        </w:rPr>
        <w:drawing>
          <wp:inline distT="0" distB="0" distL="0" distR="0" wp14:anchorId="297C6DA6" wp14:editId="11199FC8">
            <wp:extent cx="3240000" cy="21600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22FCB464" w14:textId="12976CC2" w:rsidR="00B83D7D" w:rsidRPr="00E73615" w:rsidRDefault="00030E81" w:rsidP="00E73615">
      <w:pPr>
        <w:pBdr>
          <w:top w:val="single" w:sz="4" w:space="6" w:color="auto" w:shadow="1"/>
          <w:left w:val="single" w:sz="4" w:space="6" w:color="auto" w:shadow="1"/>
          <w:bottom w:val="single" w:sz="4" w:space="6" w:color="auto" w:shadow="1"/>
          <w:right w:val="single" w:sz="4" w:space="6" w:color="auto" w:shadow="1"/>
        </w:pBdr>
        <w:shd w:val="clear" w:color="auto" w:fill="DCE7EB"/>
        <w:spacing w:after="60"/>
        <w:ind w:left="142" w:hanging="142"/>
        <w:rPr>
          <w:rFonts w:ascii="Segoe UI Light" w:hAnsi="Segoe UI Light" w:cs="Segoe UI Light"/>
          <w:color w:val="000000" w:themeColor="text1"/>
          <w:sz w:val="12"/>
          <w:szCs w:val="12"/>
        </w:rPr>
      </w:pPr>
      <w:r>
        <w:rPr>
          <w:rFonts w:ascii="Segoe UI Light" w:hAnsi="Segoe UI Light" w:cs="Segoe UI Light"/>
          <w:color w:val="000000"/>
          <w:sz w:val="12"/>
          <w:szCs w:val="12"/>
        </w:rPr>
        <w:t xml:space="preserve">* </w:t>
      </w:r>
      <w:r w:rsidR="00FD3F28">
        <w:rPr>
          <w:rFonts w:ascii="Segoe UI Light" w:hAnsi="Segoe UI Light" w:cs="Segoe UI Light"/>
          <w:color w:val="000000"/>
          <w:sz w:val="12"/>
          <w:szCs w:val="12"/>
        </w:rPr>
        <w:tab/>
      </w:r>
      <w:r w:rsidR="00C26B09" w:rsidRPr="00030E81">
        <w:rPr>
          <w:rFonts w:ascii="Segoe UI Light" w:hAnsi="Segoe UI Light" w:cs="Segoe UI Light"/>
          <w:color w:val="000000" w:themeColor="text1"/>
          <w:sz w:val="12"/>
          <w:szCs w:val="12"/>
        </w:rPr>
        <w:t>EM:</w:t>
      </w:r>
      <w:r w:rsidR="00B83D7D" w:rsidRPr="00030E81">
        <w:rPr>
          <w:rFonts w:ascii="Segoe UI Light" w:hAnsi="Segoe UI Light" w:cs="Segoe UI Light"/>
          <w:color w:val="000000" w:themeColor="text1"/>
          <w:sz w:val="12"/>
          <w:szCs w:val="12"/>
        </w:rPr>
        <w:t xml:space="preserve"> Darbības programmas “Izaugsme un nodarbinātība” 1.2.2. specifiskā atbalsta mērķa “Veicināt inovāciju ieviešanu komersantos” 1.2.2.1. pasākum</w:t>
      </w:r>
      <w:r w:rsidR="00C26B09" w:rsidRPr="00030E81">
        <w:rPr>
          <w:rFonts w:ascii="Segoe UI Light" w:hAnsi="Segoe UI Light" w:cs="Segoe UI Light"/>
          <w:color w:val="000000" w:themeColor="text1"/>
          <w:sz w:val="12"/>
          <w:szCs w:val="12"/>
        </w:rPr>
        <w:t>s</w:t>
      </w:r>
      <w:r w:rsidR="00B83D7D" w:rsidRPr="00030E81">
        <w:rPr>
          <w:rFonts w:ascii="Segoe UI Light" w:hAnsi="Segoe UI Light" w:cs="Segoe UI Light"/>
          <w:color w:val="000000" w:themeColor="text1"/>
          <w:sz w:val="12"/>
          <w:szCs w:val="12"/>
        </w:rPr>
        <w:t xml:space="preserve"> “Atbalsts nodarbināto apmācībām”, 1.2.2.2. pasākum</w:t>
      </w:r>
      <w:r w:rsidR="00C26B09" w:rsidRPr="00030E81">
        <w:rPr>
          <w:rFonts w:ascii="Segoe UI Light" w:hAnsi="Segoe UI Light" w:cs="Segoe UI Light"/>
          <w:color w:val="000000" w:themeColor="text1"/>
          <w:sz w:val="12"/>
          <w:szCs w:val="12"/>
        </w:rPr>
        <w:t>s</w:t>
      </w:r>
      <w:r w:rsidR="00B83D7D" w:rsidRPr="00030E81">
        <w:rPr>
          <w:rFonts w:ascii="Segoe UI Light" w:hAnsi="Segoe UI Light" w:cs="Segoe UI Light"/>
          <w:color w:val="000000" w:themeColor="text1"/>
          <w:sz w:val="12"/>
          <w:szCs w:val="12"/>
        </w:rPr>
        <w:t xml:space="preserve"> “Inovāciju motivācijas programma”</w:t>
      </w:r>
      <w:r w:rsidR="00C26B09" w:rsidRPr="00030E81">
        <w:rPr>
          <w:rFonts w:ascii="Segoe UI Light" w:hAnsi="Segoe UI Light" w:cs="Segoe UI Light"/>
          <w:color w:val="000000" w:themeColor="text1"/>
          <w:sz w:val="12"/>
          <w:szCs w:val="12"/>
        </w:rPr>
        <w:t xml:space="preserve">, </w:t>
      </w:r>
      <w:r w:rsidR="00B83D7D" w:rsidRPr="00030E81">
        <w:rPr>
          <w:rFonts w:ascii="Segoe UI Light" w:hAnsi="Segoe UI Light" w:cs="Segoe UI Light"/>
          <w:color w:val="000000" w:themeColor="text1"/>
          <w:sz w:val="12"/>
          <w:szCs w:val="12"/>
        </w:rPr>
        <w:t>1.2.2.3. pasākum</w:t>
      </w:r>
      <w:r w:rsidR="00C26B09" w:rsidRPr="00030E81">
        <w:rPr>
          <w:rFonts w:ascii="Segoe UI Light" w:hAnsi="Segoe UI Light" w:cs="Segoe UI Light"/>
          <w:color w:val="000000" w:themeColor="text1"/>
          <w:sz w:val="12"/>
          <w:szCs w:val="12"/>
        </w:rPr>
        <w:t>s</w:t>
      </w:r>
      <w:r w:rsidR="00B83D7D" w:rsidRPr="00030E81">
        <w:rPr>
          <w:rFonts w:ascii="Segoe UI Light" w:hAnsi="Segoe UI Light" w:cs="Segoe UI Light"/>
          <w:color w:val="000000" w:themeColor="text1"/>
          <w:sz w:val="12"/>
          <w:szCs w:val="12"/>
        </w:rPr>
        <w:t xml:space="preserve"> “Atbalsts IKT un netehnoloģiskām apmācībām, kā arī apmācībām, lai sekmētu investoru piesaisti”</w:t>
      </w:r>
      <w:r w:rsidR="00C26B09" w:rsidRPr="00030E81">
        <w:rPr>
          <w:rFonts w:ascii="Segoe UI Light" w:hAnsi="Segoe UI Light" w:cs="Segoe UI Light"/>
          <w:color w:val="000000" w:themeColor="text1"/>
          <w:sz w:val="12"/>
          <w:szCs w:val="12"/>
        </w:rPr>
        <w:t xml:space="preserve">; IZM/VIAA: </w:t>
      </w:r>
      <w:r w:rsidR="009C34A0" w:rsidRPr="009C34A0">
        <w:rPr>
          <w:rFonts w:ascii="Segoe UI Light" w:hAnsi="Segoe UI Light" w:cs="Segoe UI Light"/>
          <w:color w:val="000000" w:themeColor="text1"/>
          <w:sz w:val="12"/>
          <w:szCs w:val="12"/>
        </w:rPr>
        <w:t>Eiropas Sociāl</w:t>
      </w:r>
      <w:r w:rsidR="009C34A0">
        <w:rPr>
          <w:rFonts w:ascii="Segoe UI Light" w:hAnsi="Segoe UI Light" w:cs="Segoe UI Light"/>
          <w:color w:val="000000" w:themeColor="text1"/>
          <w:sz w:val="12"/>
          <w:szCs w:val="12"/>
        </w:rPr>
        <w:t>ā</w:t>
      </w:r>
      <w:r w:rsidR="009C34A0" w:rsidRPr="009C34A0">
        <w:rPr>
          <w:rFonts w:ascii="Segoe UI Light" w:hAnsi="Segoe UI Light" w:cs="Segoe UI Light"/>
          <w:color w:val="000000" w:themeColor="text1"/>
          <w:sz w:val="12"/>
          <w:szCs w:val="12"/>
        </w:rPr>
        <w:t xml:space="preserve"> fond</w:t>
      </w:r>
      <w:r w:rsidR="009C34A0">
        <w:rPr>
          <w:rFonts w:ascii="Segoe UI Light" w:hAnsi="Segoe UI Light" w:cs="Segoe UI Light"/>
          <w:color w:val="000000" w:themeColor="text1"/>
          <w:sz w:val="12"/>
          <w:szCs w:val="12"/>
        </w:rPr>
        <w:t>a (</w:t>
      </w:r>
      <w:r w:rsidR="00C26B09" w:rsidRPr="00030E81">
        <w:rPr>
          <w:rFonts w:ascii="Segoe UI Light" w:hAnsi="Segoe UI Light" w:cs="Segoe UI Light"/>
          <w:color w:val="000000" w:themeColor="text1"/>
          <w:sz w:val="12"/>
          <w:szCs w:val="12"/>
        </w:rPr>
        <w:t>ESF</w:t>
      </w:r>
      <w:r w:rsidR="009C34A0">
        <w:rPr>
          <w:rFonts w:ascii="Segoe UI Light" w:hAnsi="Segoe UI Light" w:cs="Segoe UI Light"/>
          <w:color w:val="000000" w:themeColor="text1"/>
          <w:sz w:val="12"/>
          <w:szCs w:val="12"/>
        </w:rPr>
        <w:t>)</w:t>
      </w:r>
      <w:r w:rsidR="00C26B09" w:rsidRPr="00030E81">
        <w:rPr>
          <w:rFonts w:ascii="Segoe UI Light" w:hAnsi="Segoe UI Light" w:cs="Segoe UI Light"/>
          <w:color w:val="000000" w:themeColor="text1"/>
          <w:sz w:val="12"/>
          <w:szCs w:val="12"/>
        </w:rPr>
        <w:t xml:space="preserve"> projekts “Nodarbināto personu profesionālās kompetences pilnveide”; LM/NVA: dati par profesionālās tālākizglītības vai pilnveides apmācības pabeigušajiem.</w:t>
      </w:r>
    </w:p>
    <w:p w14:paraId="32D2F779" w14:textId="77777777" w:rsidR="00FD3F28" w:rsidRDefault="00FD3F28" w:rsidP="00FD3F28">
      <w:pPr>
        <w:spacing w:after="120"/>
        <w:jc w:val="both"/>
        <w:rPr>
          <w:rFonts w:ascii="Source Sans Pro" w:hAnsi="Source Sans Pro"/>
          <w:szCs w:val="20"/>
        </w:rPr>
      </w:pPr>
    </w:p>
    <w:p w14:paraId="3B66D955" w14:textId="77777777" w:rsidR="0015374C" w:rsidRDefault="0015374C">
      <w:pPr>
        <w:spacing w:after="0"/>
        <w:rPr>
          <w:rFonts w:ascii="Source Sans Pro" w:hAnsi="Source Sans Pro"/>
          <w:szCs w:val="20"/>
        </w:rPr>
      </w:pPr>
      <w:r>
        <w:rPr>
          <w:rFonts w:ascii="Source Sans Pro" w:hAnsi="Source Sans Pro"/>
          <w:szCs w:val="20"/>
        </w:rPr>
        <w:br w:type="page"/>
      </w:r>
    </w:p>
    <w:p w14:paraId="5B4867F8" w14:textId="17BA2414" w:rsidR="003F161B" w:rsidRPr="00D829F0" w:rsidRDefault="003F161B" w:rsidP="003F161B">
      <w:pPr>
        <w:spacing w:after="120"/>
        <w:jc w:val="right"/>
        <w:rPr>
          <w:rFonts w:ascii="Source Sans Pro" w:hAnsi="Source Sans Pro"/>
          <w:szCs w:val="20"/>
        </w:rPr>
      </w:pPr>
      <w:r w:rsidRPr="00D829F0">
        <w:rPr>
          <w:rFonts w:ascii="Source Sans Pro" w:hAnsi="Source Sans Pro"/>
          <w:szCs w:val="20"/>
        </w:rPr>
        <w:lastRenderedPageBreak/>
        <w:t>2.23.</w:t>
      </w:r>
      <w:r w:rsidR="00394690">
        <w:rPr>
          <w:rFonts w:ascii="Source Sans Pro" w:hAnsi="Source Sans Pro"/>
          <w:szCs w:val="20"/>
        </w:rPr>
        <w:t> </w:t>
      </w:r>
      <w:r w:rsidRPr="00D829F0">
        <w:rPr>
          <w:rFonts w:ascii="Source Sans Pro" w:hAnsi="Source Sans Pro"/>
          <w:szCs w:val="20"/>
        </w:rPr>
        <w:t>attēls</w:t>
      </w:r>
    </w:p>
    <w:p w14:paraId="03C9893D" w14:textId="77777777" w:rsidR="003F161B" w:rsidRPr="00AF2900" w:rsidRDefault="003F161B" w:rsidP="003F161B">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120"/>
        <w:rPr>
          <w:rFonts w:ascii="Segoe UI Light" w:hAnsi="Segoe UI Light"/>
          <w:bCs/>
          <w:i/>
          <w:sz w:val="16"/>
          <w:szCs w:val="22"/>
        </w:rPr>
      </w:pPr>
      <w:r w:rsidRPr="00AF2900">
        <w:rPr>
          <w:rFonts w:ascii="Segoe UI Light" w:hAnsi="Segoe UI Light"/>
          <w:b/>
          <w:bCs/>
          <w:szCs w:val="26"/>
        </w:rPr>
        <w:t>Iedzīvotāju iesaistīšanās līmenis mūžizglītībā</w:t>
      </w:r>
      <w:r w:rsidRPr="00AF2900">
        <w:rPr>
          <w:rFonts w:ascii="Segoe UI Light" w:hAnsi="Segoe UI Light"/>
          <w:b/>
          <w:bCs/>
          <w:szCs w:val="26"/>
        </w:rPr>
        <w:br/>
      </w:r>
      <w:r w:rsidRPr="00AF2900">
        <w:rPr>
          <w:rFonts w:ascii="Segoe UI Light" w:hAnsi="Segoe UI Light"/>
          <w:bCs/>
          <w:i/>
          <w:sz w:val="16"/>
          <w:szCs w:val="22"/>
        </w:rPr>
        <w:t>procentos no iedzīvotājiem vecuma grupā 25-64 gadi</w:t>
      </w:r>
    </w:p>
    <w:p w14:paraId="65A28B1A" w14:textId="52461E2A" w:rsidR="003F161B" w:rsidRPr="00D829F0" w:rsidRDefault="00AF2900" w:rsidP="003F161B">
      <w:pPr>
        <w:spacing w:after="120"/>
        <w:jc w:val="center"/>
        <w:rPr>
          <w:rFonts w:ascii="Source Sans Pro" w:hAnsi="Source Sans Pro"/>
        </w:rPr>
      </w:pPr>
      <w:r w:rsidRPr="00AF2900">
        <w:rPr>
          <w:rFonts w:ascii="Arial Narrow" w:hAnsi="Arial Narrow"/>
          <w:noProof/>
          <w:szCs w:val="20"/>
          <w:lang w:eastAsia="lv-LV"/>
        </w:rPr>
        <w:drawing>
          <wp:inline distT="0" distB="0" distL="0" distR="0" wp14:anchorId="6330EFA9" wp14:editId="138DBAB6">
            <wp:extent cx="5760085" cy="2346678"/>
            <wp:effectExtent l="0" t="0" r="0" b="0"/>
            <wp:docPr id="940734367" name="Objec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27BF4927" w14:textId="77777777" w:rsidR="003F161B" w:rsidRPr="00D829F0" w:rsidRDefault="003F161B" w:rsidP="003F161B">
      <w:pPr>
        <w:spacing w:after="120"/>
        <w:jc w:val="both"/>
        <w:rPr>
          <w:rFonts w:ascii="Source Sans Pro" w:hAnsi="Source Sans Pro"/>
          <w:sz w:val="16"/>
          <w:szCs w:val="16"/>
        </w:rPr>
      </w:pPr>
      <w:r w:rsidRPr="00D829F0">
        <w:rPr>
          <w:rFonts w:ascii="Source Sans Pro" w:hAnsi="Source Sans Pro"/>
          <w:sz w:val="16"/>
          <w:szCs w:val="16"/>
        </w:rPr>
        <w:t xml:space="preserve">Avots: CSP, </w:t>
      </w:r>
      <w:r w:rsidRPr="00D829F0">
        <w:rPr>
          <w:rFonts w:ascii="Source Sans Pro" w:hAnsi="Source Sans Pro"/>
          <w:i/>
          <w:sz w:val="16"/>
          <w:szCs w:val="16"/>
        </w:rPr>
        <w:t>Eurostat</w:t>
      </w:r>
    </w:p>
    <w:p w14:paraId="70661570" w14:textId="77777777" w:rsidR="003F161B" w:rsidRPr="00D829F0" w:rsidRDefault="003F161B" w:rsidP="003F161B">
      <w:pPr>
        <w:spacing w:after="120"/>
        <w:jc w:val="both"/>
        <w:rPr>
          <w:rFonts w:ascii="Source Sans Pro" w:hAnsi="Source Sans Pro"/>
          <w:szCs w:val="20"/>
        </w:rPr>
      </w:pPr>
    </w:p>
    <w:p w14:paraId="25F6E894" w14:textId="72FC4557" w:rsidR="003F161B" w:rsidRPr="00D829F0" w:rsidRDefault="00712355" w:rsidP="003F161B">
      <w:pPr>
        <w:spacing w:after="120"/>
        <w:jc w:val="both"/>
        <w:rPr>
          <w:rFonts w:ascii="Source Sans Pro" w:hAnsi="Source Sans Pro"/>
          <w:szCs w:val="20"/>
        </w:rPr>
      </w:pPr>
      <w:r w:rsidRPr="00D829F0">
        <w:rPr>
          <w:rFonts w:ascii="Source Sans Pro" w:hAnsi="Source Sans Pro"/>
          <w:szCs w:val="20"/>
        </w:rPr>
        <w:t>Iedzīvotāji ar augstāko izglītību aktīvāk izvēlas piedalīties pieaugušo izglītības pasākumos, kas ir pamatojams tostarp ar augsti kvalificētās vai reglamentētās profesijas prasībām regulāri pilnveidot zināšanas un prasmes. 2025.</w:t>
      </w:r>
      <w:r w:rsidR="00062F16">
        <w:rPr>
          <w:rFonts w:ascii="Source Sans Pro" w:hAnsi="Source Sans Pro"/>
          <w:szCs w:val="20"/>
        </w:rPr>
        <w:t> </w:t>
      </w:r>
      <w:r w:rsidRPr="00D829F0">
        <w:rPr>
          <w:rFonts w:ascii="Source Sans Pro" w:hAnsi="Source Sans Pro"/>
          <w:szCs w:val="20"/>
        </w:rPr>
        <w:t>gadā pieaugušo izglītības pasākumos iesaistījās 20,1% no iedzīvotājiem ar augstāko izglītību, t.i., par 8,9</w:t>
      </w:r>
      <w:r w:rsidR="00062F16">
        <w:rPr>
          <w:rFonts w:ascii="Source Sans Pro" w:hAnsi="Source Sans Pro"/>
          <w:szCs w:val="20"/>
        </w:rPr>
        <w:t> </w:t>
      </w:r>
      <w:r w:rsidRPr="00D829F0">
        <w:rPr>
          <w:rFonts w:ascii="Source Sans Pro" w:hAnsi="Source Sans Pro"/>
          <w:szCs w:val="20"/>
        </w:rPr>
        <w:t>procentpunktiem vairāk nekā 2020.</w:t>
      </w:r>
      <w:r w:rsidR="00062F16">
        <w:rPr>
          <w:rFonts w:ascii="Source Sans Pro" w:hAnsi="Source Sans Pro"/>
          <w:szCs w:val="20"/>
        </w:rPr>
        <w:t> </w:t>
      </w:r>
      <w:r w:rsidRPr="00D829F0">
        <w:rPr>
          <w:rFonts w:ascii="Source Sans Pro" w:hAnsi="Source Sans Pro"/>
          <w:szCs w:val="20"/>
        </w:rPr>
        <w:t>gadā (11,2%). Krietni zemāka iesaiste ir iedzīvotājiem ar vispārējo vidējo izglītību (2025.</w:t>
      </w:r>
      <w:r w:rsidR="00062F16">
        <w:rPr>
          <w:rFonts w:ascii="Source Sans Pro" w:hAnsi="Source Sans Pro"/>
          <w:szCs w:val="20"/>
        </w:rPr>
        <w:t> </w:t>
      </w:r>
      <w:r w:rsidRPr="00D829F0">
        <w:rPr>
          <w:rFonts w:ascii="Source Sans Pro" w:hAnsi="Source Sans Pro"/>
          <w:szCs w:val="20"/>
        </w:rPr>
        <w:t xml:space="preserve">gadā </w:t>
      </w:r>
      <w:r w:rsidR="007112F1" w:rsidRPr="00D829F0">
        <w:rPr>
          <w:rFonts w:ascii="Source Sans Pro" w:hAnsi="Source Sans Pro"/>
          <w:szCs w:val="20"/>
        </w:rPr>
        <w:t>-</w:t>
      </w:r>
      <w:r w:rsidRPr="00D829F0">
        <w:rPr>
          <w:rFonts w:ascii="Source Sans Pro" w:hAnsi="Source Sans Pro"/>
          <w:szCs w:val="20"/>
        </w:rPr>
        <w:t xml:space="preserve"> 6,5%) un arodizglītību vai profesionālo vidējo izglītību (2025.</w:t>
      </w:r>
      <w:r w:rsidR="00062F16">
        <w:rPr>
          <w:rFonts w:ascii="Source Sans Pro" w:hAnsi="Source Sans Pro"/>
          <w:szCs w:val="20"/>
        </w:rPr>
        <w:t> </w:t>
      </w:r>
      <w:r w:rsidRPr="00D829F0">
        <w:rPr>
          <w:rFonts w:ascii="Source Sans Pro" w:hAnsi="Source Sans Pro"/>
          <w:szCs w:val="20"/>
        </w:rPr>
        <w:t xml:space="preserve">gadā </w:t>
      </w:r>
      <w:r w:rsidR="007112F1" w:rsidRPr="00D829F0">
        <w:rPr>
          <w:rFonts w:ascii="Source Sans Pro" w:hAnsi="Source Sans Pro"/>
          <w:szCs w:val="20"/>
        </w:rPr>
        <w:t>-</w:t>
      </w:r>
      <w:r w:rsidRPr="00D829F0">
        <w:rPr>
          <w:rFonts w:ascii="Source Sans Pro" w:hAnsi="Source Sans Pro"/>
          <w:szCs w:val="20"/>
        </w:rPr>
        <w:t xml:space="preserve"> 5,8%). Sievietēm iesaistes rādītāji ir krietni augstāki nekā vīriešiem. Sieviešu iesaistes īpatsvars bija 14,4%, kas par 6,1 procentpunktiem pārsniedza vīriešu iesaistes īpatsvaru (8,3%).</w:t>
      </w:r>
    </w:p>
    <w:p w14:paraId="289C2AD6" w14:textId="12DBF354" w:rsidR="007778C2" w:rsidRPr="00D829F0" w:rsidRDefault="007778C2" w:rsidP="007778C2">
      <w:pPr>
        <w:spacing w:after="0"/>
        <w:rPr>
          <w:rFonts w:ascii="Source Sans Pro" w:hAnsi="Source Sans Pro"/>
        </w:rPr>
      </w:pPr>
    </w:p>
    <w:p w14:paraId="4F584005" w14:textId="6B814A20" w:rsidR="005E175A" w:rsidRPr="00D829F0" w:rsidRDefault="005E175A">
      <w:pPr>
        <w:spacing w:after="0"/>
        <w:rPr>
          <w:rFonts w:ascii="Source Sans Pro" w:hAnsi="Source Sans Pro"/>
        </w:rPr>
      </w:pPr>
      <w:r w:rsidRPr="00D829F0">
        <w:rPr>
          <w:rFonts w:ascii="Source Sans Pro" w:hAnsi="Source Sans Pro"/>
        </w:rPr>
        <w:br w:type="page"/>
      </w:r>
    </w:p>
    <w:p w14:paraId="77D9AC6C" w14:textId="5F64DDD1" w:rsidR="0077767D" w:rsidRPr="00D829F0" w:rsidRDefault="0077767D" w:rsidP="0077767D">
      <w:pPr>
        <w:pStyle w:val="BodyTextIndent2"/>
        <w:spacing w:line="240" w:lineRule="auto"/>
        <w:ind w:left="0"/>
        <w:jc w:val="both"/>
        <w:rPr>
          <w:rFonts w:ascii="Source Sans Pro" w:hAnsi="Source Sans Pro"/>
          <w:sz w:val="20"/>
          <w:szCs w:val="20"/>
        </w:rPr>
      </w:pPr>
      <w:bookmarkStart w:id="48" w:name="_Toc517876437"/>
      <w:r w:rsidRPr="00D829F0">
        <w:rPr>
          <w:rFonts w:ascii="Source Sans Pro" w:hAnsi="Source Sans Pro"/>
          <w:noProof/>
          <w:sz w:val="20"/>
          <w:szCs w:val="20"/>
        </w:rPr>
        <w:lastRenderedPageBreak/>
        <w:drawing>
          <wp:anchor distT="0" distB="0" distL="114300" distR="114300" simplePos="0" relativeHeight="251658411" behindDoc="1" locked="0" layoutInCell="1" allowOverlap="1" wp14:anchorId="3B9E77EA" wp14:editId="3ED6FF93">
            <wp:simplePos x="0" y="0"/>
            <wp:positionH relativeFrom="page">
              <wp:posOffset>0</wp:posOffset>
            </wp:positionH>
            <wp:positionV relativeFrom="page">
              <wp:posOffset>0</wp:posOffset>
            </wp:positionV>
            <wp:extent cx="7560000" cy="4536000"/>
            <wp:effectExtent l="0" t="0" r="3175" b="0"/>
            <wp:wrapNone/>
            <wp:docPr id="1399" name="Picture 1399" descr="Blue and orange gradient with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Picture 1399" descr="Blue and orange gradient with arrows"/>
                    <pic:cNvPicPr/>
                  </pic:nvPicPr>
                  <pic:blipFill>
                    <a:blip r:embed="rId112" cstate="print">
                      <a:alphaModFix amt="5000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60000" cy="4536000"/>
                    </a:xfrm>
                    <a:prstGeom prst="rect">
                      <a:avLst/>
                    </a:prstGeom>
                  </pic:spPr>
                </pic:pic>
              </a:graphicData>
            </a:graphic>
            <wp14:sizeRelH relativeFrom="page">
              <wp14:pctWidth>0</wp14:pctWidth>
            </wp14:sizeRelH>
            <wp14:sizeRelV relativeFrom="page">
              <wp14:pctHeight>0</wp14:pctHeight>
            </wp14:sizeRelV>
          </wp:anchor>
        </w:drawing>
      </w:r>
    </w:p>
    <w:p w14:paraId="74B8999A"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68E99836"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648145C7"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4E5ECE4A"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261CD569"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3B33DF88"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50133BB2"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0CE60CF6"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708BDF0E"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40F903F0"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2C18DEBD"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5125B640"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2ECD9AEE"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20BD6299"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1C7C3BA9"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65097F16"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385D4DC7"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6E7D9C83"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3BFC9D4E"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63EA49E5"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22E07C21" w14:textId="7C75399D" w:rsidR="00667A1F" w:rsidRPr="00EF7F3C" w:rsidRDefault="00667A1F" w:rsidP="00080A71">
      <w:pPr>
        <w:pStyle w:val="Heading1"/>
      </w:pPr>
      <w:bookmarkStart w:id="49" w:name="_Toc397084192"/>
      <w:r>
        <w:t xml:space="preserve">3. </w:t>
      </w:r>
      <w:r w:rsidR="00A42DA9">
        <w:t>DARBA TIRGUS VIDĒJ</w:t>
      </w:r>
      <w:r w:rsidR="2079E210">
        <w:t>A</w:t>
      </w:r>
      <w:r w:rsidR="00A42DA9">
        <w:t xml:space="preserve"> UN ILGTERMIŅA PROGNOZES</w:t>
      </w:r>
      <w:bookmarkEnd w:id="49"/>
    </w:p>
    <w:p w14:paraId="7E5AAE32" w14:textId="77777777" w:rsidR="0077767D" w:rsidRPr="00EF7F3C" w:rsidRDefault="0077767D">
      <w:pPr>
        <w:spacing w:after="0"/>
        <w:rPr>
          <w:rFonts w:ascii="Aptos Narrow" w:hAnsi="Aptos Narrow"/>
          <w:b/>
          <w:caps/>
          <w:color w:val="5F497A" w:themeColor="accent4" w:themeShade="BF"/>
          <w:sz w:val="28"/>
          <w:highlight w:val="yellow"/>
        </w:rPr>
      </w:pPr>
      <w:r w:rsidRPr="00D829F0">
        <w:rPr>
          <w:rFonts w:ascii="Source Sans Pro" w:hAnsi="Source Sans Pro"/>
        </w:rPr>
        <w:br w:type="page"/>
      </w:r>
    </w:p>
    <w:bookmarkEnd w:id="48"/>
    <w:p w14:paraId="533E1B8D" w14:textId="77777777" w:rsidR="00CC44F1" w:rsidRPr="00983AF9" w:rsidRDefault="00CC44F1" w:rsidP="00CC44F1">
      <w:pPr>
        <w:pStyle w:val="BodyTextIndent2"/>
        <w:spacing w:line="240" w:lineRule="auto"/>
        <w:ind w:left="0"/>
        <w:jc w:val="both"/>
        <w:rPr>
          <w:rFonts w:ascii="Source Sans Pro" w:hAnsi="Source Sans Pro"/>
          <w:sz w:val="20"/>
          <w:szCs w:val="20"/>
        </w:rPr>
      </w:pPr>
    </w:p>
    <w:p w14:paraId="10B3D6E1" w14:textId="77777777" w:rsidR="00CC44F1" w:rsidRPr="00983AF9" w:rsidRDefault="00CC44F1" w:rsidP="00CC44F1">
      <w:pPr>
        <w:pStyle w:val="BodyTextIndent2"/>
        <w:spacing w:line="240" w:lineRule="auto"/>
        <w:ind w:left="0"/>
        <w:jc w:val="both"/>
        <w:rPr>
          <w:rFonts w:ascii="Source Sans Pro" w:hAnsi="Source Sans Pro"/>
          <w:sz w:val="20"/>
          <w:szCs w:val="20"/>
        </w:rPr>
      </w:pPr>
    </w:p>
    <w:p w14:paraId="5E47235E" w14:textId="12A8F6F0" w:rsidR="00CC44F1" w:rsidRPr="005F6692" w:rsidRDefault="00B32506" w:rsidP="00062F16">
      <w:pPr>
        <w:pBdr>
          <w:left w:val="single" w:sz="24" w:space="10" w:color="0E5A69"/>
        </w:pBdr>
        <w:spacing w:after="120"/>
        <w:jc w:val="both"/>
        <w:rPr>
          <w:rFonts w:ascii="Aptos Narrow" w:hAnsi="Aptos Narrow" w:cs="Verdana"/>
          <w:i/>
          <w:iCs/>
          <w:color w:val="0E5A69"/>
          <w:sz w:val="40"/>
          <w:szCs w:val="40"/>
        </w:rPr>
      </w:pPr>
      <w:r w:rsidRPr="008B4743">
        <w:rPr>
          <w:rFonts w:ascii="Aptos Narrow" w:hAnsi="Aptos Narrow"/>
          <w:i/>
          <w:color w:val="0E5A69"/>
          <w:sz w:val="40"/>
          <w:szCs w:val="40"/>
        </w:rPr>
        <w:t xml:space="preserve">Mērķa scenārijs paredz </w:t>
      </w:r>
      <w:r w:rsidR="00B613DC">
        <w:rPr>
          <w:rFonts w:ascii="Aptos Narrow" w:hAnsi="Aptos Narrow" w:cs="Verdana"/>
          <w:i/>
          <w:color w:val="0E5A69"/>
          <w:sz w:val="40"/>
          <w:szCs w:val="40"/>
        </w:rPr>
        <w:t>IKP</w:t>
      </w:r>
      <w:r w:rsidRPr="008B4743">
        <w:rPr>
          <w:rFonts w:ascii="Aptos Narrow" w:hAnsi="Aptos Narrow" w:cs="Verdana"/>
          <w:i/>
          <w:color w:val="0E5A69"/>
          <w:sz w:val="40"/>
          <w:szCs w:val="40"/>
        </w:rPr>
        <w:t xml:space="preserve"> dubultošanos līdz 2035.</w:t>
      </w:r>
      <w:r w:rsidR="00B613DC" w:rsidRPr="008B4743">
        <w:rPr>
          <w:rFonts w:ascii="Aptos Narrow" w:hAnsi="Aptos Narrow" w:cs="Verdana"/>
          <w:i/>
          <w:caps/>
          <w:color w:val="0E5A69"/>
          <w:sz w:val="40"/>
          <w:szCs w:val="40"/>
        </w:rPr>
        <w:t> </w:t>
      </w:r>
      <w:r>
        <w:rPr>
          <w:rFonts w:ascii="Aptos Narrow" w:hAnsi="Aptos Narrow" w:cs="Verdana"/>
          <w:i/>
          <w:color w:val="0E5A69"/>
          <w:sz w:val="40"/>
          <w:szCs w:val="40"/>
        </w:rPr>
        <w:t>g</w:t>
      </w:r>
      <w:r w:rsidRPr="008B4743">
        <w:rPr>
          <w:rFonts w:ascii="Aptos Narrow" w:hAnsi="Aptos Narrow" w:cs="Verdana"/>
          <w:i/>
          <w:color w:val="0E5A69"/>
          <w:sz w:val="40"/>
          <w:szCs w:val="40"/>
        </w:rPr>
        <w:t>adam balstoties uz produktivitāti un eksportu</w:t>
      </w:r>
      <w:r w:rsidR="5D9FDF00" w:rsidRPr="290AAC91">
        <w:rPr>
          <w:rFonts w:ascii="Aptos Narrow" w:hAnsi="Aptos Narrow" w:cs="Verdana"/>
          <w:i/>
          <w:iCs/>
          <w:color w:val="0E5A69"/>
          <w:sz w:val="40"/>
          <w:szCs w:val="40"/>
        </w:rPr>
        <w:t>.</w:t>
      </w:r>
      <w:r w:rsidRPr="290AAC91">
        <w:rPr>
          <w:rFonts w:ascii="Aptos Narrow" w:hAnsi="Aptos Narrow" w:cs="Verdana"/>
          <w:i/>
          <w:iCs/>
          <w:color w:val="0E5A69"/>
          <w:sz w:val="40"/>
          <w:szCs w:val="40"/>
        </w:rPr>
        <w:t xml:space="preserve"> </w:t>
      </w:r>
      <w:r w:rsidR="47C6C14C" w:rsidRPr="290AAC91">
        <w:rPr>
          <w:rFonts w:ascii="Aptos Narrow" w:hAnsi="Aptos Narrow" w:cs="Verdana"/>
          <w:i/>
          <w:iCs/>
          <w:color w:val="0E5A69"/>
          <w:sz w:val="40"/>
          <w:szCs w:val="40"/>
        </w:rPr>
        <w:t>N</w:t>
      </w:r>
      <w:r w:rsidRPr="290AAC91">
        <w:rPr>
          <w:rFonts w:ascii="Aptos Narrow" w:hAnsi="Aptos Narrow" w:cs="Verdana"/>
          <w:i/>
          <w:iCs/>
          <w:color w:val="0E5A69"/>
          <w:sz w:val="40"/>
          <w:szCs w:val="40"/>
        </w:rPr>
        <w:t>odarbinātība</w:t>
      </w:r>
      <w:r w:rsidRPr="008B4743">
        <w:rPr>
          <w:rFonts w:ascii="Aptos Narrow" w:hAnsi="Aptos Narrow" w:cs="Verdana"/>
          <w:i/>
          <w:color w:val="0E5A69"/>
          <w:sz w:val="40"/>
          <w:szCs w:val="40"/>
        </w:rPr>
        <w:t xml:space="preserve"> pieaugs mēreni līdz 2030.</w:t>
      </w:r>
      <w:r w:rsidR="00062F16">
        <w:rPr>
          <w:rFonts w:ascii="Aptos Narrow" w:hAnsi="Aptos Narrow" w:cs="Verdana"/>
          <w:bCs/>
          <w:i/>
          <w:iCs/>
          <w:color w:val="0E5A69"/>
          <w:sz w:val="40"/>
          <w:szCs w:val="40"/>
        </w:rPr>
        <w:t> </w:t>
      </w:r>
      <w:r>
        <w:rPr>
          <w:rFonts w:ascii="Aptos Narrow" w:hAnsi="Aptos Narrow" w:cs="Verdana"/>
          <w:i/>
          <w:color w:val="0E5A69"/>
          <w:sz w:val="40"/>
          <w:szCs w:val="40"/>
        </w:rPr>
        <w:t>g</w:t>
      </w:r>
      <w:r w:rsidRPr="008B4743">
        <w:rPr>
          <w:rFonts w:ascii="Aptos Narrow" w:hAnsi="Aptos Narrow" w:cs="Verdana"/>
          <w:i/>
          <w:color w:val="0E5A69"/>
          <w:sz w:val="40"/>
          <w:szCs w:val="40"/>
        </w:rPr>
        <w:t>adam un pēc tam demogrāfijas ietekmē saruks, bet galvenās darba iespējas radīs aizvietojošais pieprasījums</w:t>
      </w:r>
    </w:p>
    <w:p w14:paraId="6A24BEBD" w14:textId="77777777" w:rsidR="00CC44F1" w:rsidRDefault="00CC44F1" w:rsidP="00CC44F1">
      <w:pPr>
        <w:pStyle w:val="BodyTextIndent2"/>
        <w:spacing w:line="240" w:lineRule="auto"/>
        <w:ind w:left="0"/>
        <w:jc w:val="both"/>
        <w:rPr>
          <w:rFonts w:ascii="Source Sans Pro" w:hAnsi="Source Sans Pro"/>
          <w:sz w:val="20"/>
          <w:szCs w:val="20"/>
        </w:rPr>
      </w:pPr>
    </w:p>
    <w:p w14:paraId="1EB64097" w14:textId="77777777" w:rsidR="00CC44F1" w:rsidRDefault="00CC44F1" w:rsidP="00CC44F1">
      <w:pPr>
        <w:pStyle w:val="BodyTextIndent2"/>
        <w:spacing w:line="240" w:lineRule="auto"/>
        <w:ind w:left="0"/>
        <w:jc w:val="both"/>
        <w:rPr>
          <w:rFonts w:ascii="Source Sans Pro" w:hAnsi="Source Sans Pro"/>
          <w:sz w:val="20"/>
          <w:szCs w:val="20"/>
        </w:rPr>
      </w:pPr>
    </w:p>
    <w:p w14:paraId="50D891DC" w14:textId="77777777" w:rsidR="00CC44F1" w:rsidRDefault="00CC44F1" w:rsidP="00CC44F1">
      <w:pPr>
        <w:pStyle w:val="BodyTextIndent2"/>
        <w:spacing w:line="240" w:lineRule="auto"/>
        <w:ind w:left="0"/>
        <w:jc w:val="both"/>
        <w:rPr>
          <w:rFonts w:ascii="Source Sans Pro" w:hAnsi="Source Sans Pro"/>
          <w:sz w:val="20"/>
          <w:szCs w:val="20"/>
        </w:rPr>
      </w:pPr>
    </w:p>
    <w:p w14:paraId="1F6076D2" w14:textId="77777777" w:rsidR="00CC44F1" w:rsidRPr="001644DC" w:rsidRDefault="00CC44F1" w:rsidP="00CC44F1">
      <w:pPr>
        <w:pStyle w:val="BodyTextIndent2"/>
        <w:spacing w:line="240" w:lineRule="auto"/>
        <w:ind w:left="0"/>
        <w:jc w:val="both"/>
        <w:rPr>
          <w:rFonts w:ascii="Source Sans Pro" w:hAnsi="Source Sans Pro"/>
          <w:sz w:val="20"/>
          <w:szCs w:val="20"/>
        </w:rPr>
      </w:pPr>
    </w:p>
    <w:p w14:paraId="6AE65677" w14:textId="77777777" w:rsidR="00667A1F" w:rsidRPr="00C6512D" w:rsidRDefault="00667A1F" w:rsidP="00080A71">
      <w:pPr>
        <w:pStyle w:val="Heading2"/>
      </w:pPr>
      <w:bookmarkStart w:id="50" w:name="_Toc1450269577"/>
      <w:r w:rsidRPr="00C6512D">
        <w:t>3.</w:t>
      </w:r>
      <w:r w:rsidR="005E42E4" w:rsidRPr="00C6512D">
        <w:t>1</w:t>
      </w:r>
      <w:r w:rsidRPr="00C6512D">
        <w:t xml:space="preserve">. Ekonomikas </w:t>
      </w:r>
      <w:r w:rsidR="003751AF" w:rsidRPr="00C6512D">
        <w:t>izaugsmes pieņēmumi un demogrāfijas prognozes</w:t>
      </w:r>
      <w:bookmarkEnd w:id="50"/>
    </w:p>
    <w:p w14:paraId="65A0C7E5" w14:textId="77777777" w:rsidR="00CC44F1" w:rsidRDefault="00CC44F1" w:rsidP="00CC44F1">
      <w:pPr>
        <w:spacing w:after="120"/>
        <w:jc w:val="both"/>
        <w:rPr>
          <w:rFonts w:ascii="Source Sans Pro" w:hAnsi="Source Sans Pro"/>
        </w:rPr>
      </w:pPr>
    </w:p>
    <w:p w14:paraId="1737D7EB" w14:textId="77777777" w:rsidR="00CC44F1" w:rsidRPr="004B39FD" w:rsidRDefault="00CC44F1" w:rsidP="00551660">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4C8ECB7D" w14:textId="1B8A265F" w:rsidR="00281E23" w:rsidRPr="00CC26DC" w:rsidRDefault="00CC44F1" w:rsidP="00281E23">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CC26DC" w:rsidRPr="00CC26DC">
        <w:rPr>
          <w:rFonts w:ascii="Aptos Narrow" w:hAnsi="Aptos Narrow" w:cs="Verdana"/>
          <w:color w:val="262626"/>
          <w:sz w:val="22"/>
        </w:rPr>
        <w:t>Mērķa scenārijs paredz līdz 2035.</w:t>
      </w:r>
      <w:r w:rsidR="00F832EC">
        <w:rPr>
          <w:rFonts w:ascii="Aptos Narrow" w:hAnsi="Aptos Narrow" w:cs="Verdana"/>
          <w:color w:val="262626"/>
          <w:sz w:val="22"/>
        </w:rPr>
        <w:t> </w:t>
      </w:r>
      <w:r w:rsidR="00CC26DC" w:rsidRPr="00CC26DC">
        <w:rPr>
          <w:rFonts w:ascii="Aptos Narrow" w:hAnsi="Aptos Narrow" w:cs="Verdana"/>
          <w:color w:val="262626"/>
          <w:sz w:val="22"/>
        </w:rPr>
        <w:t xml:space="preserve">gadam dubultot </w:t>
      </w:r>
      <w:r w:rsidR="006A3019">
        <w:rPr>
          <w:rFonts w:ascii="Aptos Narrow" w:hAnsi="Aptos Narrow" w:cs="Verdana"/>
          <w:color w:val="262626"/>
          <w:sz w:val="22"/>
        </w:rPr>
        <w:t>IKP</w:t>
      </w:r>
      <w:r w:rsidR="00CC26DC" w:rsidRPr="00CC26DC">
        <w:rPr>
          <w:rFonts w:ascii="Aptos Narrow" w:hAnsi="Aptos Narrow" w:cs="Verdana"/>
          <w:color w:val="262626"/>
          <w:sz w:val="22"/>
        </w:rPr>
        <w:t>, kam nepieciešama noturīga ekonomikas izaugsme, augošs eksporta īpatsvars un stabils privāto investīciju līmenis.</w:t>
      </w:r>
    </w:p>
    <w:p w14:paraId="7E29408C" w14:textId="7B7F05B7" w:rsidR="00CC26DC" w:rsidRPr="00CC26DC" w:rsidRDefault="00CC26DC" w:rsidP="00551660">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CC26DC">
        <w:rPr>
          <w:rFonts w:ascii="Aptos Narrow" w:hAnsi="Aptos Narrow" w:cs="Verdana"/>
          <w:color w:val="262626"/>
          <w:sz w:val="22"/>
        </w:rPr>
        <w:t>Ņemot vērā demogrāfijas tendences, izaugsmes galvenais priekšnoteikums ir produktivitātes kāpināšana, ko balstīs ieguldījumi cilvēkkapitālā, tehnoloģijās, inovācijās un digitalizācijā.</w:t>
      </w:r>
    </w:p>
    <w:p w14:paraId="0F9E26AF" w14:textId="70EB58A9" w:rsidR="00CC26DC" w:rsidRPr="00CC26DC" w:rsidRDefault="00CC26DC" w:rsidP="00551660">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CC26DC">
        <w:rPr>
          <w:rFonts w:ascii="Aptos Narrow" w:hAnsi="Aptos Narrow" w:cs="Verdana"/>
          <w:color w:val="262626"/>
          <w:sz w:val="22"/>
        </w:rPr>
        <w:t>Mākslīgais intelekts un automatizācija maina ekonomikas izaugsmes paradigmu, taču kopumā tiek prognozēts, ka tie drīzāk papildinās cilvēku darbu un veicinās produktivitāti, nevis samazinās kopējo darbvietu skaitu.</w:t>
      </w:r>
    </w:p>
    <w:p w14:paraId="48821CB2" w14:textId="3889A542" w:rsidR="00CC44F1" w:rsidRPr="004B39FD" w:rsidRDefault="00CC26DC" w:rsidP="00551660">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Pr="00CC26DC">
        <w:rPr>
          <w:rFonts w:ascii="Aptos Narrow" w:hAnsi="Aptos Narrow" w:cs="Verdana"/>
          <w:color w:val="262626"/>
          <w:sz w:val="22"/>
        </w:rPr>
        <w:t>Tautsaimniecības struktūra pakāpeniski virzās uz augstākas pievienotās vērtības un tehnoloģiski intensīvākām nozarēm.</w:t>
      </w:r>
    </w:p>
    <w:p w14:paraId="4293C709" w14:textId="77777777" w:rsidR="00CC44F1" w:rsidRDefault="00CC44F1" w:rsidP="00CC44F1">
      <w:pPr>
        <w:spacing w:after="120"/>
        <w:jc w:val="both"/>
        <w:rPr>
          <w:rFonts w:ascii="Source Sans Pro" w:hAnsi="Source Sans Pro"/>
        </w:rPr>
      </w:pPr>
    </w:p>
    <w:p w14:paraId="260BD099" w14:textId="099239C1" w:rsidR="00667A1F" w:rsidRPr="00C6512D" w:rsidRDefault="00667A1F" w:rsidP="00080A71">
      <w:pPr>
        <w:pStyle w:val="Heading3"/>
      </w:pPr>
      <w:bookmarkStart w:id="51" w:name="_Toc258373401"/>
      <w:bookmarkStart w:id="52" w:name="_Hlk168933164"/>
      <w:r w:rsidRPr="00C6512D">
        <w:t>3.</w:t>
      </w:r>
      <w:r w:rsidR="005E42E4" w:rsidRPr="00C6512D">
        <w:t>1</w:t>
      </w:r>
      <w:r w:rsidRPr="00C6512D">
        <w:t xml:space="preserve">.1. Ekonomikas izaugsmes </w:t>
      </w:r>
      <w:r w:rsidR="00D548B5">
        <w:t xml:space="preserve">pieņēmumi - </w:t>
      </w:r>
      <w:r w:rsidRPr="00C6512D">
        <w:t>mērķa scenārijs</w:t>
      </w:r>
      <w:bookmarkEnd w:id="51"/>
    </w:p>
    <w:p w14:paraId="642FC636" w14:textId="096AFD18" w:rsidR="003A668D" w:rsidRPr="00D829F0" w:rsidRDefault="003A668D" w:rsidP="003A668D">
      <w:pPr>
        <w:spacing w:after="120"/>
        <w:jc w:val="both"/>
        <w:rPr>
          <w:rFonts w:ascii="Source Sans Pro" w:hAnsi="Source Sans Pro"/>
        </w:rPr>
      </w:pPr>
      <w:bookmarkStart w:id="53" w:name="_Toc517876440"/>
      <w:bookmarkEnd w:id="52"/>
      <w:r w:rsidRPr="00D829F0">
        <w:rPr>
          <w:rFonts w:ascii="Source Sans Pro" w:hAnsi="Source Sans Pro"/>
        </w:rPr>
        <w:t>EM ir izstrādājusi tautsaimniecības attīstības mērķa scenāriju, kā arī ar to saskaņotu makroekonomisko prognozi. Lai gan ģeopolitiskie apstākļi reģionā rada negatīvu ietekmi uz ekonomikas attīstību, ilgtermiņa prioritātes, kas noteiktas politikas plānošanas dokumentos, nemainās. To vidū joprojām būtiska ir Latvijas eksporta apjoma un produktivitātes palielināšana. Vienlaikus aktuālas saglabājas arī E</w:t>
      </w:r>
      <w:r w:rsidR="00533EAC">
        <w:rPr>
          <w:rFonts w:ascii="Source Sans Pro" w:hAnsi="Source Sans Pro"/>
        </w:rPr>
        <w:t>S</w:t>
      </w:r>
      <w:r w:rsidRPr="00D829F0">
        <w:rPr>
          <w:rFonts w:ascii="Source Sans Pro" w:hAnsi="Source Sans Pro"/>
        </w:rPr>
        <w:t xml:space="preserve"> iniciatīvas, tostarp zaļais kurss un digitalizācijas veicināšana.</w:t>
      </w:r>
    </w:p>
    <w:p w14:paraId="3BBBE9E7" w14:textId="6DD8372A" w:rsidR="00AA19C1" w:rsidRDefault="00AA19C1" w:rsidP="003A668D">
      <w:pPr>
        <w:spacing w:after="120"/>
        <w:jc w:val="both"/>
        <w:rPr>
          <w:rFonts w:ascii="Source Sans Pro" w:hAnsi="Source Sans Pro"/>
        </w:rPr>
      </w:pPr>
      <w:r w:rsidRPr="00AA19C1">
        <w:rPr>
          <w:rFonts w:ascii="Source Sans Pro" w:hAnsi="Source Sans Pro"/>
        </w:rPr>
        <w:t>Mērķa scenārijs izstrādāts atbilstoši EM informatīvajā ziņojumā par Latvijas ekonomikas attīstību</w:t>
      </w:r>
      <w:r w:rsidRPr="00D829F0">
        <w:rPr>
          <w:rStyle w:val="FootnoteReference"/>
          <w:rFonts w:ascii="Source Sans Pro" w:hAnsi="Source Sans Pro"/>
        </w:rPr>
        <w:footnoteReference w:id="4"/>
      </w:r>
      <w:r w:rsidRPr="00AA19C1">
        <w:rPr>
          <w:rFonts w:ascii="Source Sans Pro" w:hAnsi="Source Sans Pro"/>
        </w:rPr>
        <w:t xml:space="preserve"> izvirzītajam mērķim – līdz 2035.</w:t>
      </w:r>
      <w:r w:rsidR="00C07031">
        <w:rPr>
          <w:rFonts w:ascii="Source Sans Pro" w:hAnsi="Source Sans Pro"/>
        </w:rPr>
        <w:t> </w:t>
      </w:r>
      <w:r w:rsidRPr="00AA19C1">
        <w:rPr>
          <w:rFonts w:ascii="Source Sans Pro" w:hAnsi="Source Sans Pro"/>
        </w:rPr>
        <w:t>gadam panākt, lai Latvijas IKP apjoms dubultotos (sasniedzot 83</w:t>
      </w:r>
      <w:r w:rsidR="00C07031">
        <w:rPr>
          <w:rFonts w:ascii="Source Sans Pro" w:hAnsi="Source Sans Pro"/>
        </w:rPr>
        <w:t> </w:t>
      </w:r>
      <w:r w:rsidRPr="00AA19C1">
        <w:rPr>
          <w:rFonts w:ascii="Source Sans Pro" w:hAnsi="Source Sans Pro"/>
        </w:rPr>
        <w:t>mljrd.</w:t>
      </w:r>
      <w:r w:rsidR="00C07031">
        <w:rPr>
          <w:rFonts w:ascii="Source Sans Pro" w:hAnsi="Source Sans Pro"/>
        </w:rPr>
        <w:t> </w:t>
      </w:r>
      <w:r w:rsidRPr="00AA19C1">
        <w:rPr>
          <w:rFonts w:ascii="Source Sans Pro" w:hAnsi="Source Sans Pro"/>
        </w:rPr>
        <w:t>e</w:t>
      </w:r>
      <w:r w:rsidR="00370E7C">
        <w:rPr>
          <w:rFonts w:ascii="Source Sans Pro" w:hAnsi="Source Sans Pro"/>
        </w:rPr>
        <w:t>i</w:t>
      </w:r>
      <w:r w:rsidRPr="00AA19C1">
        <w:rPr>
          <w:rFonts w:ascii="Source Sans Pro" w:hAnsi="Source Sans Pro"/>
        </w:rPr>
        <w:t xml:space="preserve">ro faktiskajās cenās), salīdzinājumā ar pašreizējo situāciju. Tāpat mērķa scenārijā ņemti vērā esošie struktūrpolitikas uzstādījumi, kas noteikti politikas dokumentos – Latvijas ilgtspējīgas attīstības stratēģijā </w:t>
      </w:r>
      <w:r w:rsidR="00900E43">
        <w:rPr>
          <w:rFonts w:ascii="Source Sans Pro" w:hAnsi="Source Sans Pro"/>
        </w:rPr>
        <w:t>“</w:t>
      </w:r>
      <w:r w:rsidRPr="00AA19C1">
        <w:rPr>
          <w:rFonts w:ascii="Source Sans Pro" w:hAnsi="Source Sans Pro"/>
        </w:rPr>
        <w:t>Latvija 2030”</w:t>
      </w:r>
      <w:r w:rsidRPr="00AA19C1">
        <w:rPr>
          <w:rFonts w:ascii="Source Sans Pro" w:hAnsi="Source Sans Pro"/>
          <w:vertAlign w:val="superscript"/>
        </w:rPr>
        <w:t xml:space="preserve"> </w:t>
      </w:r>
      <w:r w:rsidRPr="00D829F0">
        <w:rPr>
          <w:rFonts w:ascii="Source Sans Pro" w:hAnsi="Source Sans Pro"/>
          <w:vertAlign w:val="superscript"/>
        </w:rPr>
        <w:footnoteReference w:id="5"/>
      </w:r>
      <w:r w:rsidRPr="00AA19C1">
        <w:rPr>
          <w:rFonts w:ascii="Source Sans Pro" w:hAnsi="Source Sans Pro"/>
        </w:rPr>
        <w:t>, Latvijas Nacionālajā attīstības plānā 2021.–2027.</w:t>
      </w:r>
      <w:r w:rsidR="00C07031">
        <w:rPr>
          <w:rFonts w:ascii="Source Sans Pro" w:hAnsi="Source Sans Pro"/>
        </w:rPr>
        <w:t> </w:t>
      </w:r>
      <w:r w:rsidRPr="00AA19C1">
        <w:rPr>
          <w:rFonts w:ascii="Source Sans Pro" w:hAnsi="Source Sans Pro"/>
        </w:rPr>
        <w:t>gadam</w:t>
      </w:r>
      <w:r w:rsidRPr="00D829F0">
        <w:rPr>
          <w:rFonts w:ascii="Source Sans Pro" w:hAnsi="Source Sans Pro"/>
          <w:vertAlign w:val="superscript"/>
        </w:rPr>
        <w:footnoteReference w:id="6"/>
      </w:r>
      <w:r w:rsidRPr="00AA19C1">
        <w:rPr>
          <w:rFonts w:ascii="Source Sans Pro" w:hAnsi="Source Sans Pro"/>
        </w:rPr>
        <w:t xml:space="preserve"> un Nacionālās industriālās politikas pamatnostādnēs 2021.–2027.</w:t>
      </w:r>
      <w:r w:rsidR="00C07031">
        <w:rPr>
          <w:rFonts w:ascii="Source Sans Pro" w:hAnsi="Source Sans Pro"/>
        </w:rPr>
        <w:t> </w:t>
      </w:r>
      <w:r w:rsidRPr="00AA19C1">
        <w:rPr>
          <w:rFonts w:ascii="Source Sans Pro" w:hAnsi="Source Sans Pro"/>
        </w:rPr>
        <w:t>gadam</w:t>
      </w:r>
      <w:r w:rsidR="000B604E" w:rsidRPr="00D829F0">
        <w:rPr>
          <w:rFonts w:ascii="Source Sans Pro" w:hAnsi="Source Sans Pro"/>
          <w:vertAlign w:val="superscript"/>
        </w:rPr>
        <w:footnoteReference w:id="7"/>
      </w:r>
      <w:r w:rsidRPr="00AA19C1">
        <w:rPr>
          <w:rFonts w:ascii="Source Sans Pro" w:hAnsi="Source Sans Pro"/>
        </w:rPr>
        <w:t>.</w:t>
      </w:r>
    </w:p>
    <w:p w14:paraId="7AC488BD" w14:textId="6ABE3A9F" w:rsidR="000B604E" w:rsidRDefault="000B604E" w:rsidP="003A668D">
      <w:pPr>
        <w:spacing w:after="120"/>
        <w:jc w:val="both"/>
        <w:rPr>
          <w:rFonts w:ascii="Source Sans Pro" w:hAnsi="Source Sans Pro"/>
        </w:rPr>
      </w:pPr>
      <w:r w:rsidRPr="000B604E">
        <w:rPr>
          <w:rFonts w:ascii="Source Sans Pro" w:hAnsi="Source Sans Pro"/>
        </w:rPr>
        <w:lastRenderedPageBreak/>
        <w:t>Bāzes scenārijs paredz, ka vidējā termiņā kopējās ekonomikas izaugsmes tempi atgriežas 2010.–2019.</w:t>
      </w:r>
      <w:r w:rsidR="00C07031">
        <w:rPr>
          <w:rFonts w:ascii="Source Sans Pro" w:hAnsi="Source Sans Pro"/>
        </w:rPr>
        <w:t> </w:t>
      </w:r>
      <w:r w:rsidRPr="000B604E">
        <w:rPr>
          <w:rFonts w:ascii="Source Sans Pro" w:hAnsi="Source Sans Pro"/>
        </w:rPr>
        <w:t>gada perioda vidējā trenda līmenī. Sagaidāms, ka laika posmā no 2023. līdz 2030.</w:t>
      </w:r>
      <w:r w:rsidR="00C07031">
        <w:rPr>
          <w:rFonts w:ascii="Source Sans Pro" w:hAnsi="Source Sans Pro"/>
        </w:rPr>
        <w:t> </w:t>
      </w:r>
      <w:r w:rsidRPr="000B604E">
        <w:rPr>
          <w:rFonts w:ascii="Source Sans Pro" w:hAnsi="Source Sans Pro"/>
        </w:rPr>
        <w:t>gadam IKP izaugsme varētu sasniegt vidēji 3,2% gadā, bet turpmākajos gados ekonomikas ikgadējie izaugsmes tempi kļūs lēnāki.</w:t>
      </w:r>
    </w:p>
    <w:p w14:paraId="52F2C719" w14:textId="2269D780" w:rsidR="007C54CB" w:rsidRDefault="007C54CB" w:rsidP="003A668D">
      <w:pPr>
        <w:spacing w:after="120"/>
        <w:jc w:val="both"/>
        <w:rPr>
          <w:rFonts w:ascii="Source Sans Pro" w:hAnsi="Source Sans Pro"/>
        </w:rPr>
      </w:pPr>
      <w:r w:rsidRPr="007C54CB">
        <w:rPr>
          <w:rFonts w:ascii="Source Sans Pro" w:hAnsi="Source Sans Pro"/>
        </w:rPr>
        <w:t>Atvērta darba tirgus apstākļos vidējā termiņā turpināsies algu konverģence. Rezultātā tas negatīvi ietekmēs uzņēmumu konkurētspēju zemas pievienotās vērtības segmentos, savukārt pāreja uz augstākas pievienotās vērtības ekonomiku noritēs pakāpeniski. Iedzīvotāju skaita samazināšanās un lēnāki ienākumu pieauguma tempi ilgtermiņā ietekmēs privātā patēriņa pieaugumu.</w:t>
      </w:r>
    </w:p>
    <w:p w14:paraId="042A364A" w14:textId="6DB1F007" w:rsidR="00C607AD" w:rsidRPr="00D829F0" w:rsidRDefault="00C607AD" w:rsidP="00C607AD">
      <w:pPr>
        <w:spacing w:after="120"/>
        <w:jc w:val="right"/>
        <w:rPr>
          <w:rFonts w:ascii="Source Sans Pro" w:hAnsi="Source Sans Pro"/>
          <w:color w:val="000000"/>
          <w:szCs w:val="26"/>
        </w:rPr>
      </w:pPr>
      <w:r w:rsidRPr="00D829F0">
        <w:rPr>
          <w:rFonts w:ascii="Source Sans Pro" w:hAnsi="Source Sans Pro"/>
          <w:color w:val="000000"/>
          <w:szCs w:val="26"/>
        </w:rPr>
        <w:t>3.</w:t>
      </w:r>
      <w:r w:rsidR="001D738F">
        <w:rPr>
          <w:rFonts w:ascii="Source Sans Pro" w:hAnsi="Source Sans Pro"/>
          <w:color w:val="000000"/>
          <w:szCs w:val="26"/>
        </w:rPr>
        <w:t>1</w:t>
      </w:r>
      <w:r w:rsidRPr="00D829F0">
        <w:rPr>
          <w:rFonts w:ascii="Source Sans Pro" w:hAnsi="Source Sans Pro"/>
          <w:color w:val="000000"/>
          <w:szCs w:val="26"/>
        </w:rPr>
        <w:t>.</w:t>
      </w:r>
      <w:r w:rsidR="00C07031">
        <w:rPr>
          <w:rFonts w:ascii="Source Sans Pro" w:hAnsi="Source Sans Pro"/>
          <w:color w:val="000000"/>
          <w:szCs w:val="26"/>
        </w:rPr>
        <w:t> </w:t>
      </w:r>
      <w:r w:rsidRPr="00D829F0">
        <w:rPr>
          <w:rFonts w:ascii="Source Sans Pro" w:hAnsi="Source Sans Pro"/>
          <w:color w:val="000000"/>
          <w:szCs w:val="26"/>
        </w:rPr>
        <w:t>attēls</w:t>
      </w:r>
    </w:p>
    <w:p w14:paraId="62716117" w14:textId="77777777" w:rsidR="00C607AD" w:rsidRPr="009E69B5" w:rsidRDefault="00C607AD" w:rsidP="00C607AD">
      <w:pPr>
        <w:spacing w:after="120"/>
        <w:jc w:val="center"/>
        <w:rPr>
          <w:rFonts w:ascii="Segoe UI Light" w:hAnsi="Segoe UI Light"/>
          <w:b/>
          <w:sz w:val="18"/>
        </w:rPr>
      </w:pPr>
      <w:r w:rsidRPr="009E69B5">
        <w:rPr>
          <w:rFonts w:ascii="Segoe UI Light" w:hAnsi="Segoe UI Light"/>
          <w:b/>
          <w:sz w:val="18"/>
        </w:rPr>
        <w:t>Ekonomikas izaugsmes mērķis</w:t>
      </w:r>
    </w:p>
    <w:tbl>
      <w:tblPr>
        <w:tblStyle w:val="TableGrid"/>
        <w:tblW w:w="9077" w:type="dxa"/>
        <w:tblInd w:w="-5" w:type="dxa"/>
        <w:tblLayout w:type="fixed"/>
        <w:tblLook w:val="04A0" w:firstRow="1" w:lastRow="0" w:firstColumn="1" w:lastColumn="0" w:noHBand="0" w:noVBand="1"/>
      </w:tblPr>
      <w:tblGrid>
        <w:gridCol w:w="714"/>
        <w:gridCol w:w="992"/>
        <w:gridCol w:w="993"/>
        <w:gridCol w:w="1134"/>
        <w:gridCol w:w="992"/>
        <w:gridCol w:w="1417"/>
        <w:gridCol w:w="2835"/>
      </w:tblGrid>
      <w:tr w:rsidR="00065A73" w:rsidRPr="009E69B5" w14:paraId="698FD68B" w14:textId="77777777" w:rsidTr="00DB674A">
        <w:tc>
          <w:tcPr>
            <w:tcW w:w="9077" w:type="dxa"/>
            <w:gridSpan w:val="7"/>
            <w:tcBorders>
              <w:top w:val="nil"/>
              <w:left w:val="nil"/>
              <w:bottom w:val="nil"/>
              <w:right w:val="nil"/>
            </w:tcBorders>
            <w:shd w:val="clear" w:color="auto" w:fill="0E5A69"/>
          </w:tcPr>
          <w:p w14:paraId="537FD15E" w14:textId="77777777" w:rsidR="00065A73" w:rsidRPr="009E69B5" w:rsidRDefault="00065A73">
            <w:pPr>
              <w:spacing w:before="120" w:after="120"/>
              <w:jc w:val="center"/>
              <w:rPr>
                <w:rFonts w:ascii="Segoe UI Light" w:hAnsi="Segoe UI Light" w:cs="Segoe UI Light"/>
                <w:b/>
                <w:color w:val="FFFFFF" w:themeColor="background1"/>
                <w:sz w:val="24"/>
                <w:lang w:eastAsia="lv-LV"/>
              </w:rPr>
            </w:pPr>
            <w:r w:rsidRPr="009E69B5">
              <w:rPr>
                <w:rFonts w:ascii="Segoe UI Light" w:hAnsi="Segoe UI Light" w:cs="Segoe UI Light"/>
                <w:b/>
                <w:color w:val="FFFFFF" w:themeColor="background1"/>
                <w:sz w:val="24"/>
                <w:lang w:eastAsia="lv-LV"/>
              </w:rPr>
              <w:t>MĒRĶIS – LĪDZ 2035.GADAM DUBULTOT IKP APJOMU</w:t>
            </w:r>
          </w:p>
        </w:tc>
      </w:tr>
      <w:tr w:rsidR="00065A73" w:rsidRPr="009E69B5" w14:paraId="340B45EC" w14:textId="77777777" w:rsidTr="00DB674A">
        <w:tc>
          <w:tcPr>
            <w:tcW w:w="9077" w:type="dxa"/>
            <w:gridSpan w:val="7"/>
            <w:tcBorders>
              <w:top w:val="nil"/>
              <w:left w:val="nil"/>
              <w:bottom w:val="nil"/>
              <w:right w:val="nil"/>
            </w:tcBorders>
          </w:tcPr>
          <w:p w14:paraId="4E2672B4" w14:textId="77777777" w:rsidR="00065A73" w:rsidRPr="009E69B5" w:rsidRDefault="00065A73">
            <w:pPr>
              <w:spacing w:after="0"/>
              <w:ind w:firstLine="318"/>
              <w:rPr>
                <w:rFonts w:ascii="Segoe UI Light" w:hAnsi="Segoe UI Light" w:cs="Segoe UI Light"/>
                <w:sz w:val="14"/>
                <w:szCs w:val="14"/>
                <w:lang w:eastAsia="lv-LV"/>
              </w:rPr>
            </w:pPr>
          </w:p>
        </w:tc>
      </w:tr>
      <w:tr w:rsidR="00065A73" w:rsidRPr="009E69B5" w14:paraId="4CC92A84" w14:textId="77777777" w:rsidTr="005634D7">
        <w:tc>
          <w:tcPr>
            <w:tcW w:w="9077" w:type="dxa"/>
            <w:gridSpan w:val="7"/>
            <w:tcBorders>
              <w:top w:val="nil"/>
              <w:left w:val="nil"/>
              <w:bottom w:val="nil"/>
              <w:right w:val="nil"/>
            </w:tcBorders>
            <w:shd w:val="clear" w:color="auto" w:fill="DAEEF3" w:themeFill="accent5" w:themeFillTint="33"/>
          </w:tcPr>
          <w:p w14:paraId="2F86431B" w14:textId="27C1C7B9" w:rsidR="00065A73" w:rsidRPr="009E69B5" w:rsidRDefault="00667944">
            <w:pPr>
              <w:spacing w:before="60" w:after="60"/>
              <w:rPr>
                <w:rFonts w:ascii="Segoe UI Light" w:hAnsi="Segoe UI Light" w:cs="Segoe UI Light"/>
                <w:sz w:val="18"/>
                <w:szCs w:val="18"/>
                <w:lang w:eastAsia="lv-LV"/>
              </w:rPr>
            </w:pPr>
            <w:r>
              <w:rPr>
                <w:rFonts w:ascii="Segoe UI Light" w:hAnsi="Segoe UI Light" w:cs="Segoe UI Light"/>
                <w:noProof/>
                <w:sz w:val="18"/>
                <w:szCs w:val="18"/>
                <w:lang w:eastAsia="lv-LV"/>
              </w:rPr>
              <mc:AlternateContent>
                <mc:Choice Requires="wps">
                  <w:drawing>
                    <wp:anchor distT="0" distB="0" distL="114300" distR="114300" simplePos="0" relativeHeight="251658405" behindDoc="0" locked="0" layoutInCell="1" allowOverlap="1" wp14:anchorId="0BCCD456" wp14:editId="2A8923B0">
                      <wp:simplePos x="0" y="0"/>
                      <wp:positionH relativeFrom="column">
                        <wp:posOffset>3420110</wp:posOffset>
                      </wp:positionH>
                      <wp:positionV relativeFrom="paragraph">
                        <wp:posOffset>260350</wp:posOffset>
                      </wp:positionV>
                      <wp:extent cx="838200" cy="387350"/>
                      <wp:effectExtent l="0" t="0" r="0" b="0"/>
                      <wp:wrapNone/>
                      <wp:docPr id="28659064" name="Text Box 250"/>
                      <wp:cNvGraphicFramePr/>
                      <a:graphic xmlns:a="http://schemas.openxmlformats.org/drawingml/2006/main">
                        <a:graphicData uri="http://schemas.microsoft.com/office/word/2010/wordprocessingShape">
                          <wps:wsp>
                            <wps:cNvSpPr txBox="1"/>
                            <wps:spPr>
                              <a:xfrm>
                                <a:off x="0" y="0"/>
                                <a:ext cx="838200" cy="387350"/>
                              </a:xfrm>
                              <a:prstGeom prst="rect">
                                <a:avLst/>
                              </a:prstGeom>
                              <a:noFill/>
                              <a:ln w="6350">
                                <a:noFill/>
                              </a:ln>
                            </wps:spPr>
                            <wps:txbx>
                              <w:txbxContent>
                                <w:p w14:paraId="2228BF93" w14:textId="48578989" w:rsidR="00C63CEB" w:rsidRPr="00C63CEB" w:rsidRDefault="00C63CEB" w:rsidP="00C63CEB">
                                  <w:pPr>
                                    <w:jc w:val="center"/>
                                    <w:rPr>
                                      <w:b/>
                                      <w:bCs/>
                                      <w:sz w:val="24"/>
                                      <w:szCs w:val="28"/>
                                    </w:rPr>
                                  </w:pPr>
                                  <w:r w:rsidRPr="00C63CEB">
                                    <w:rPr>
                                      <w:b/>
                                      <w:bCs/>
                                      <w:sz w:val="24"/>
                                      <w:szCs w:val="28"/>
                                    </w:rPr>
                                    <w:t xml:space="preserve">IKP </w:t>
                                  </w:r>
                                  <w:r w:rsidRPr="00667944">
                                    <w:rPr>
                                      <w:b/>
                                      <w:bCs/>
                                      <w:sz w:val="32"/>
                                      <w:szCs w:val="36"/>
                                    </w:rPr>
                                    <w:t>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CCD456" id="Text Box 250" o:spid="_x0000_s1222" type="#_x0000_t202" style="position:absolute;margin-left:269.3pt;margin-top:20.5pt;width:66pt;height:30.5pt;z-index:2516584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51VGQIAADQEAAAOAAAAZHJzL2Uyb0RvYy54bWysU9tuGyEQfa/Uf0C81+tbHGfldeQmclXJ&#10;SiI5VZ4xC96VgKGAvet+fQfWt6R9qvoCAzPM5ZzD7L7ViuyF8zWYgg56fUqE4VDWZlvQH6/LL1NK&#10;fGCmZAqMKOhBeHo///xp1thcDKECVQpHMInxeWMLWoVg8yzzvBKa+R5YYdApwWkW8Oi2WelYg9m1&#10;yob9/iRrwJXWARfe4+1j56TzlF9KwcOzlF4EogqKvYW0urRu4prNZyzfOmarmh/bYP/QhWa1waLn&#10;VI8sMLJz9R+pdM0deJChx0FnIGXNRZoBpxn0P0yzrpgVaRYEx9szTP7/peVP+7V9cSS0X6FFAiMg&#10;jfW5x8s4Tyudjjt2StCPEB7OsIk2EI6X09EUqaCEo2s0vR3dJFizy2PrfPgmQJNoFNQhKwkstl/5&#10;gAUx9BQSaxlY1kolZpQhTUEnMeU7D75QBh9eWo1WaDctqUsc425yGmQD5QHnc9BR7y1f1tjFivnw&#10;whxyjY2jfsMzLlIBVoOjRUkF7tff7mM8UoBeShrUTkH9zx1zghL13SA5d4PxOIotHcY3t0M8uGvP&#10;5tpjdvoBUJ4D/CmWJzPGB3UypQP9hjJfxKroYoZj7YKGk/kQOkXjN+FisUhBKC/LwsqsLY+pI3oR&#10;49f2jTl7JCIgg09wUhnLP/DRxXa4L3YBZJ3Iikh3qB4JQGkmDo/fKGr/+pyiLp99/hsAAP//AwBQ&#10;SwMEFAAGAAgAAAAhAA+WLe/hAAAACgEAAA8AAABkcnMvZG93bnJldi54bWxMj8tOwzAQRfdI/IM1&#10;SOyo3UBDlMapqkgVEoJFSzfsnHiaRPUjxG4b+HqGVVnOzNGdc4vVZA074xh67yTMZwIYusbr3rUS&#10;9h+bhwxYiMppZbxDCd8YYFXe3hQq1/7itnjexZZRiAu5ktDFOOSch6ZDq8LMD+jodvCjVZHGseV6&#10;VBcKt4YnQqTcqt7Rh04NWHXYHHcnK+G12ryrbZ3Y7MdUL2+H9fC1/1xIeX83rZfAIk7xCsOfPqlD&#10;SU61PzkdmJGweMxSQiU8zakTAemzoEVNpEgE8LLg/yuUvwAAAP//AwBQSwECLQAUAAYACAAAACEA&#10;toM4kv4AAADhAQAAEwAAAAAAAAAAAAAAAAAAAAAAW0NvbnRlbnRfVHlwZXNdLnhtbFBLAQItABQA&#10;BgAIAAAAIQA4/SH/1gAAAJQBAAALAAAAAAAAAAAAAAAAAC8BAABfcmVscy8ucmVsc1BLAQItABQA&#10;BgAIAAAAIQBhP51VGQIAADQEAAAOAAAAAAAAAAAAAAAAAC4CAABkcnMvZTJvRG9jLnhtbFBLAQIt&#10;ABQABgAIAAAAIQAPli3v4QAAAAoBAAAPAAAAAAAAAAAAAAAAAHMEAABkcnMvZG93bnJldi54bWxQ&#10;SwUGAAAAAAQABADzAAAAgQUAAAAA&#10;" filled="f" stroked="f" strokeweight=".5pt">
                      <v:textbox>
                        <w:txbxContent>
                          <w:p w14:paraId="2228BF93" w14:textId="48578989" w:rsidR="00C63CEB" w:rsidRPr="00C63CEB" w:rsidRDefault="00C63CEB" w:rsidP="00C63CEB">
                            <w:pPr>
                              <w:jc w:val="center"/>
                              <w:rPr>
                                <w:b/>
                                <w:bCs/>
                                <w:sz w:val="24"/>
                                <w:szCs w:val="28"/>
                              </w:rPr>
                            </w:pPr>
                            <w:r w:rsidRPr="00C63CEB">
                              <w:rPr>
                                <w:b/>
                                <w:bCs/>
                                <w:sz w:val="24"/>
                                <w:szCs w:val="28"/>
                              </w:rPr>
                              <w:t xml:space="preserve">IKP </w:t>
                            </w:r>
                            <w:r w:rsidRPr="00667944">
                              <w:rPr>
                                <w:b/>
                                <w:bCs/>
                                <w:sz w:val="32"/>
                                <w:szCs w:val="36"/>
                              </w:rPr>
                              <w:t>x2</w:t>
                            </w:r>
                          </w:p>
                        </w:txbxContent>
                      </v:textbox>
                    </v:shape>
                  </w:pict>
                </mc:Fallback>
              </mc:AlternateContent>
            </w:r>
            <w:r w:rsidR="00831F35">
              <w:rPr>
                <w:rFonts w:ascii="Segoe UI Light" w:hAnsi="Segoe UI Light" w:cs="Segoe UI Light"/>
                <w:noProof/>
                <w:sz w:val="18"/>
                <w:szCs w:val="18"/>
                <w:lang w:eastAsia="lv-LV"/>
              </w:rPr>
              <mc:AlternateContent>
                <mc:Choice Requires="wps">
                  <w:drawing>
                    <wp:anchor distT="0" distB="0" distL="114300" distR="114300" simplePos="0" relativeHeight="251658406" behindDoc="0" locked="0" layoutInCell="1" allowOverlap="1" wp14:anchorId="431B3BBA" wp14:editId="2A0A89A8">
                      <wp:simplePos x="0" y="0"/>
                      <wp:positionH relativeFrom="column">
                        <wp:posOffset>4449388</wp:posOffset>
                      </wp:positionH>
                      <wp:positionV relativeFrom="paragraph">
                        <wp:posOffset>241414</wp:posOffset>
                      </wp:positionV>
                      <wp:extent cx="838200" cy="609600"/>
                      <wp:effectExtent l="0" t="0" r="0" b="0"/>
                      <wp:wrapNone/>
                      <wp:docPr id="1999397723" name="Text Box 250"/>
                      <wp:cNvGraphicFramePr/>
                      <a:graphic xmlns:a="http://schemas.openxmlformats.org/drawingml/2006/main">
                        <a:graphicData uri="http://schemas.microsoft.com/office/word/2010/wordprocessingShape">
                          <wps:wsp>
                            <wps:cNvSpPr txBox="1"/>
                            <wps:spPr>
                              <a:xfrm>
                                <a:off x="0" y="0"/>
                                <a:ext cx="838200" cy="609600"/>
                              </a:xfrm>
                              <a:prstGeom prst="rect">
                                <a:avLst/>
                              </a:prstGeom>
                              <a:noFill/>
                              <a:ln w="6350">
                                <a:noFill/>
                              </a:ln>
                            </wps:spPr>
                            <wps:txbx>
                              <w:txbxContent>
                                <w:p w14:paraId="1FD4A8F4" w14:textId="5B338B2F" w:rsidR="00831F35" w:rsidRPr="00667944" w:rsidRDefault="00831F35" w:rsidP="00831F35">
                                  <w:pPr>
                                    <w:spacing w:after="0"/>
                                    <w:jc w:val="center"/>
                                    <w:rPr>
                                      <w:b/>
                                      <w:bCs/>
                                      <w:sz w:val="28"/>
                                      <w:szCs w:val="32"/>
                                    </w:rPr>
                                  </w:pPr>
                                  <w:r w:rsidRPr="00667944">
                                    <w:rPr>
                                      <w:b/>
                                      <w:bCs/>
                                      <w:sz w:val="28"/>
                                      <w:szCs w:val="32"/>
                                    </w:rPr>
                                    <w:t xml:space="preserve">83,0 </w:t>
                                  </w:r>
                                </w:p>
                                <w:p w14:paraId="3C626AFD" w14:textId="50421566" w:rsidR="00831F35" w:rsidRPr="00831F35" w:rsidRDefault="00831F35" w:rsidP="00831F35">
                                  <w:pPr>
                                    <w:spacing w:after="0"/>
                                    <w:jc w:val="center"/>
                                    <w:rPr>
                                      <w:sz w:val="12"/>
                                      <w:szCs w:val="14"/>
                                    </w:rPr>
                                  </w:pPr>
                                  <w:r w:rsidRPr="00831F35">
                                    <w:rPr>
                                      <w:sz w:val="12"/>
                                      <w:szCs w:val="14"/>
                                    </w:rPr>
                                    <w:t xml:space="preserve">mljrd. </w:t>
                                  </w:r>
                                  <w:r w:rsidR="00B40928">
                                    <w:rPr>
                                      <w:sz w:val="12"/>
                                      <w:szCs w:val="14"/>
                                    </w:rPr>
                                    <w:t>eiro</w:t>
                                  </w:r>
                                </w:p>
                                <w:p w14:paraId="26AF374A" w14:textId="767B2012" w:rsidR="00831F35" w:rsidRPr="00831F35" w:rsidRDefault="00831F35" w:rsidP="00831F35">
                                  <w:pPr>
                                    <w:spacing w:after="0"/>
                                    <w:jc w:val="center"/>
                                    <w:rPr>
                                      <w:sz w:val="12"/>
                                      <w:szCs w:val="14"/>
                                    </w:rPr>
                                  </w:pPr>
                                  <w:r w:rsidRPr="00831F35">
                                    <w:rPr>
                                      <w:sz w:val="12"/>
                                      <w:szCs w:val="14"/>
                                    </w:rPr>
                                    <w:t>20</w:t>
                                  </w:r>
                                  <w:r w:rsidR="00FB0FE1">
                                    <w:rPr>
                                      <w:sz w:val="12"/>
                                      <w:szCs w:val="14"/>
                                    </w:rPr>
                                    <w:t>3</w:t>
                                  </w:r>
                                  <w:r w:rsidRPr="00831F35">
                                    <w:rPr>
                                      <w:sz w:val="12"/>
                                      <w:szCs w:val="1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1B3BBA" id="_x0000_s1223" type="#_x0000_t202" style="position:absolute;margin-left:350.35pt;margin-top:19pt;width:66pt;height:48pt;z-index:2516584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OQGwIAADQEAAAOAAAAZHJzL2Uyb0RvYy54bWysU01v2zAMvQ/YfxB0X+ykaZoYcYqsRYYB&#10;RVsgHXpWZCk2IImapMTOfv0oOV/odhp2kUmRfiTfo+b3nVZkL5xvwJR0OMgpEYZD1ZhtSX+8rb5M&#10;KfGBmYopMKKkB+Hp/eLzp3lrCzGCGlQlHEEQ44vWlrQOwRZZ5nktNPMDsMJgUILTLKDrtlnlWIvo&#10;WmWjPJ9kLbjKOuDCe7x97IN0kfClFDy8SOlFIKqk2FtIp0vnJp7ZYs6KrWO2bvixDfYPXWjWGCx6&#10;hnpkgZGda/6A0g134EGGAQedgZQNF2kGnGaYf5hmXTMr0ixIjrdnmvz/g+XP+7V9dSR0X6FDASMh&#10;rfWFx8s4Tyedjl/slGAcKTycaRNdIBwvpzdTlIISjqFJPpugjSjZ5WfrfPgmQJNolNShKokstn/y&#10;oU89pcRaBlaNUkkZZUiLoDe3efrhHEFwZbDGpdVohW7TkabCMWZ3p0E2UB1wPge99N7yVYNdPDEf&#10;XplDrbFx3N/wgodUgNXgaFFSg/v1t/uYjxJglJIWd6ek/ueOOUGJ+m5QnNlwPI7Llpzx7d0IHXcd&#10;2VxHzE4/AK7nEF+K5cmM+UGdTOlAv+OaL2NVDDHDsXZJw8l8CP1G4zPhYrlMSbheloUns7Y8Qkde&#10;I8dv3Ttz9ihEQAWf4bRlrPigR5/bK7LcBZBNEisy3bN6FABXM8l9fEZx96/9lHV57IvfAAAA//8D&#10;AFBLAwQUAAYACAAAACEACXGxVOAAAAAKAQAADwAAAGRycy9kb3ducmV2LnhtbEyPwU7DMAyG70i8&#10;Q2QkbiyhBVaVptNUaUJCcNjYhZvbZG1F45Qm2wpPjznB0fan399frGY3iJOdQu9Jw+1CgbDUeNNT&#10;q2H/trnJQISIZHDwZDV82QCr8vKiwNz4M23taRdbwSEUctTQxTjmUoamsw7Dwo+W+Hbwk8PI49RK&#10;M+GZw90gE6UepMOe+EOHo60623zsjk7Dc7V5xW2duOx7qJ5eDuvxc/9+r/X11bx+BBHtHP9g+NVn&#10;dSjZqfZHMkEMGpZKLRnVkGbciYEsTXhRM5neKZBlIf9XKH8AAAD//wMAUEsBAi0AFAAGAAgAAAAh&#10;ALaDOJL+AAAA4QEAABMAAAAAAAAAAAAAAAAAAAAAAFtDb250ZW50X1R5cGVzXS54bWxQSwECLQAU&#10;AAYACAAAACEAOP0h/9YAAACUAQAACwAAAAAAAAAAAAAAAAAvAQAAX3JlbHMvLnJlbHNQSwECLQAU&#10;AAYACAAAACEAYgADkBsCAAA0BAAADgAAAAAAAAAAAAAAAAAuAgAAZHJzL2Uyb0RvYy54bWxQSwEC&#10;LQAUAAYACAAAACEACXGxVOAAAAAKAQAADwAAAAAAAAAAAAAAAAB1BAAAZHJzL2Rvd25yZXYueG1s&#10;UEsFBgAAAAAEAAQA8wAAAIIFAAAAAA==&#10;" filled="f" stroked="f" strokeweight=".5pt">
                      <v:textbox>
                        <w:txbxContent>
                          <w:p w14:paraId="1FD4A8F4" w14:textId="5B338B2F" w:rsidR="00831F35" w:rsidRPr="00667944" w:rsidRDefault="00831F35" w:rsidP="00831F35">
                            <w:pPr>
                              <w:spacing w:after="0"/>
                              <w:jc w:val="center"/>
                              <w:rPr>
                                <w:b/>
                                <w:bCs/>
                                <w:sz w:val="28"/>
                                <w:szCs w:val="32"/>
                              </w:rPr>
                            </w:pPr>
                            <w:r w:rsidRPr="00667944">
                              <w:rPr>
                                <w:b/>
                                <w:bCs/>
                                <w:sz w:val="28"/>
                                <w:szCs w:val="32"/>
                              </w:rPr>
                              <w:t xml:space="preserve">83,0 </w:t>
                            </w:r>
                          </w:p>
                          <w:p w14:paraId="3C626AFD" w14:textId="50421566" w:rsidR="00831F35" w:rsidRPr="00831F35" w:rsidRDefault="00831F35" w:rsidP="00831F35">
                            <w:pPr>
                              <w:spacing w:after="0"/>
                              <w:jc w:val="center"/>
                              <w:rPr>
                                <w:sz w:val="12"/>
                                <w:szCs w:val="14"/>
                              </w:rPr>
                            </w:pPr>
                            <w:r w:rsidRPr="00831F35">
                              <w:rPr>
                                <w:sz w:val="12"/>
                                <w:szCs w:val="14"/>
                              </w:rPr>
                              <w:t xml:space="preserve">mljrd. </w:t>
                            </w:r>
                            <w:r w:rsidR="00B40928">
                              <w:rPr>
                                <w:sz w:val="12"/>
                                <w:szCs w:val="14"/>
                              </w:rPr>
                              <w:t>eiro</w:t>
                            </w:r>
                          </w:p>
                          <w:p w14:paraId="26AF374A" w14:textId="767B2012" w:rsidR="00831F35" w:rsidRPr="00831F35" w:rsidRDefault="00831F35" w:rsidP="00831F35">
                            <w:pPr>
                              <w:spacing w:after="0"/>
                              <w:jc w:val="center"/>
                              <w:rPr>
                                <w:sz w:val="12"/>
                                <w:szCs w:val="14"/>
                              </w:rPr>
                            </w:pPr>
                            <w:r w:rsidRPr="00831F35">
                              <w:rPr>
                                <w:sz w:val="12"/>
                                <w:szCs w:val="14"/>
                              </w:rPr>
                              <w:t>20</w:t>
                            </w:r>
                            <w:r w:rsidR="00FB0FE1">
                              <w:rPr>
                                <w:sz w:val="12"/>
                                <w:szCs w:val="14"/>
                              </w:rPr>
                              <w:t>3</w:t>
                            </w:r>
                            <w:r w:rsidRPr="00831F35">
                              <w:rPr>
                                <w:sz w:val="12"/>
                                <w:szCs w:val="14"/>
                              </w:rPr>
                              <w:t>5</w:t>
                            </w:r>
                          </w:p>
                        </w:txbxContent>
                      </v:textbox>
                    </v:shape>
                  </w:pict>
                </mc:Fallback>
              </mc:AlternateContent>
            </w:r>
            <w:r w:rsidR="00C63CEB">
              <w:rPr>
                <w:rFonts w:ascii="Segoe UI Light" w:hAnsi="Segoe UI Light" w:cs="Segoe UI Light"/>
                <w:noProof/>
                <w:sz w:val="18"/>
                <w:szCs w:val="18"/>
                <w:lang w:eastAsia="lv-LV"/>
              </w:rPr>
              <mc:AlternateContent>
                <mc:Choice Requires="wps">
                  <w:drawing>
                    <wp:anchor distT="0" distB="0" distL="114300" distR="114300" simplePos="0" relativeHeight="251658404" behindDoc="0" locked="0" layoutInCell="1" allowOverlap="1" wp14:anchorId="4189FD4B" wp14:editId="6070F229">
                      <wp:simplePos x="0" y="0"/>
                      <wp:positionH relativeFrom="column">
                        <wp:posOffset>4168775</wp:posOffset>
                      </wp:positionH>
                      <wp:positionV relativeFrom="paragraph">
                        <wp:posOffset>466090</wp:posOffset>
                      </wp:positionV>
                      <wp:extent cx="412750" cy="0"/>
                      <wp:effectExtent l="0" t="76200" r="25400" b="95250"/>
                      <wp:wrapNone/>
                      <wp:docPr id="1158108982" name="Straight Arrow Connector 251"/>
                      <wp:cNvGraphicFramePr/>
                      <a:graphic xmlns:a="http://schemas.openxmlformats.org/drawingml/2006/main">
                        <a:graphicData uri="http://schemas.microsoft.com/office/word/2010/wordprocessingShape">
                          <wps:wsp>
                            <wps:cNvCnPr/>
                            <wps:spPr>
                              <a:xfrm>
                                <a:off x="0" y="0"/>
                                <a:ext cx="412750" cy="0"/>
                              </a:xfrm>
                              <a:prstGeom prst="straightConnector1">
                                <a:avLst/>
                              </a:prstGeom>
                              <a:ln w="222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xmlns:w16cei="http://schemas.microsoft.com/office/word/2026/wordml/cei">
                  <w:pict w14:anchorId="77F1812F">
                    <v:shapetype id="_x0000_t32" coordsize="21600,21600" o:oned="t" filled="f" o:spt="32" path="m,l21600,21600e" w14:anchorId="789B3B1C">
                      <v:path fillok="f" arrowok="t" o:connecttype="none"/>
                      <o:lock v:ext="edit" shapetype="t"/>
                    </v:shapetype>
                    <v:shape id="Straight Arrow Connector 251" style="position:absolute;margin-left:328.25pt;margin-top:36.7pt;width:32.5pt;height:0;z-index:251658453;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strokeweight="1.7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8S3vgEAANQDAAAOAAAAZHJzL2Uyb0RvYy54bWysU9uO0zAQfUfiHyy/0zQVCyhqug9d4AXB&#10;CpYP8DrjxJJvsocm+XvGTpsiQEisNg++zjlz5niyv52sYSeISXvX8nqz5Qyc9J12fcu/P3x49Y6z&#10;hMJ1wngHLZ8h8dvDyxf7MTSw84M3HURGJC41Y2j5gBiaqkpyACvSxgdwdKl8tAJpG/uqi2Ikdmuq&#10;3Xb7php97EL0ElKi07vlkh8Kv1Ig8YtSCZCZlpM2LGMs42Meq8NeNH0UYdDyLEM8QYUV2lHSlepO&#10;oGA/ov6DymoZffIKN9LbyiulJZQaqJp6+1s13wYRoNRC5qSw2pSej1Z+Ph3dfSQbxpCaFO5jrmJS&#10;0eaZ9LGpmDWvZsGETNLh63r39oYslZer6ooLMeFH8JblRcsTRqH7AY/eOXoRH+vilTh9SkiZCXgB&#10;5KTGsbHlO/puShgKbd67juEcqIEwauF6A/nlCGgcTVfpZYWzgYXoKyimOxK7JCxdBUcT2UlQPwgp&#10;wWG9MlF0hiltzArcFgn/BJ7jMxRKx/0PeEWUzN7hCrba+fi37DhdJKsl/uLAUne24NF3c3nUYg21&#10;TvHq3Oa5N3/dF/j1Zzz8BAAA//8DAFBLAwQUAAYACAAAACEAPLyMh90AAAAJAQAADwAAAGRycy9k&#10;b3ducmV2LnhtbEyPTU+DQBCG7yb+h82YeLNLq1BDWRpj0pOJiZTE6xSmgLAfYbeA/94xHuxx3nny&#10;zjPZftGDmGj0nTUK1qsIBJnK1p1pFJTHw8MzCB/Q1DhYQwq+ycM+v73JMK3tbD5oKkIjuMT4FBW0&#10;IbhUSl+1pNGvrCPDu7MdNQYex0bWI85crge5iaJEauwMX2jR0WtLVV9ctIJCztH74at0XY/9dCze&#10;4nL6dErd3y0vOxCBlvAPw68+q0POTid7MbUXg4IkTmJGFWwfn0AwsN2sOTj9BTLP5PUH+Q8AAAD/&#10;/wMAUEsBAi0AFAAGAAgAAAAhALaDOJL+AAAA4QEAABMAAAAAAAAAAAAAAAAAAAAAAFtDb250ZW50&#10;X1R5cGVzXS54bWxQSwECLQAUAAYACAAAACEAOP0h/9YAAACUAQAACwAAAAAAAAAAAAAAAAAvAQAA&#10;X3JlbHMvLnJlbHNQSwECLQAUAAYACAAAACEAVavEt74BAADUAwAADgAAAAAAAAAAAAAAAAAuAgAA&#10;ZHJzL2Uyb0RvYy54bWxQSwECLQAUAAYACAAAACEAPLyMh90AAAAJAQAADwAAAAAAAAAAAAAAAAAY&#10;BAAAZHJzL2Rvd25yZXYueG1sUEsFBgAAAAAEAAQA8wAAACIFAAAAAA==&#10;">
                      <v:stroke endarrow="block"/>
                    </v:shape>
                  </w:pict>
                </mc:Fallback>
              </mc:AlternateContent>
            </w:r>
            <w:r w:rsidR="00C63CEB">
              <w:rPr>
                <w:rFonts w:ascii="Segoe UI Light" w:hAnsi="Segoe UI Light" w:cs="Segoe UI Light"/>
                <w:noProof/>
                <w:sz w:val="18"/>
                <w:szCs w:val="18"/>
                <w:lang w:eastAsia="lv-LV"/>
              </w:rPr>
              <mc:AlternateContent>
                <mc:Choice Requires="wps">
                  <w:drawing>
                    <wp:anchor distT="0" distB="0" distL="114300" distR="114300" simplePos="0" relativeHeight="251658403" behindDoc="0" locked="0" layoutInCell="1" allowOverlap="1" wp14:anchorId="1BB6E94A" wp14:editId="4FF6CF1F">
                      <wp:simplePos x="0" y="0"/>
                      <wp:positionH relativeFrom="column">
                        <wp:posOffset>3128010</wp:posOffset>
                      </wp:positionH>
                      <wp:positionV relativeFrom="paragraph">
                        <wp:posOffset>463550</wp:posOffset>
                      </wp:positionV>
                      <wp:extent cx="412750" cy="0"/>
                      <wp:effectExtent l="0" t="76200" r="25400" b="95250"/>
                      <wp:wrapNone/>
                      <wp:docPr id="874481241" name="Straight Arrow Connector 251"/>
                      <wp:cNvGraphicFramePr/>
                      <a:graphic xmlns:a="http://schemas.openxmlformats.org/drawingml/2006/main">
                        <a:graphicData uri="http://schemas.microsoft.com/office/word/2010/wordprocessingShape">
                          <wps:wsp>
                            <wps:cNvCnPr/>
                            <wps:spPr>
                              <a:xfrm>
                                <a:off x="0" y="0"/>
                                <a:ext cx="412750" cy="0"/>
                              </a:xfrm>
                              <a:prstGeom prst="straightConnector1">
                                <a:avLst/>
                              </a:prstGeom>
                              <a:ln w="222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xmlns:w16cei="http://schemas.microsoft.com/office/word/2026/wordml/cei">
                  <w:pict w14:anchorId="421C79C4">
                    <v:shape id="Straight Arrow Connector 251" style="position:absolute;margin-left:246.3pt;margin-top:36.5pt;width:32.5pt;height:0;z-index:25165845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strokeweight="1.7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8S3vgEAANQDAAAOAAAAZHJzL2Uyb0RvYy54bWysU9uO0zAQfUfiHyy/0zQVCyhqug9d4AXB&#10;CpYP8DrjxJJvsocm+XvGTpsiQEisNg++zjlz5niyv52sYSeISXvX8nqz5Qyc9J12fcu/P3x49Y6z&#10;hMJ1wngHLZ8h8dvDyxf7MTSw84M3HURGJC41Y2j5gBiaqkpyACvSxgdwdKl8tAJpG/uqi2Ikdmuq&#10;3Xb7php97EL0ElKi07vlkh8Kv1Ig8YtSCZCZlpM2LGMs42Meq8NeNH0UYdDyLEM8QYUV2lHSlepO&#10;oGA/ov6DymoZffIKN9LbyiulJZQaqJp6+1s13wYRoNRC5qSw2pSej1Z+Ph3dfSQbxpCaFO5jrmJS&#10;0eaZ9LGpmDWvZsGETNLh63r39oYslZer6ooLMeFH8JblRcsTRqH7AY/eOXoRH+vilTh9SkiZCXgB&#10;5KTGsbHlO/puShgKbd67juEcqIEwauF6A/nlCGgcTVfpZYWzgYXoKyimOxK7JCxdBUcT2UlQPwgp&#10;wWG9MlF0hiltzArcFgn/BJ7jMxRKx/0PeEWUzN7hCrba+fi37DhdJKsl/uLAUne24NF3c3nUYg21&#10;TvHq3Oa5N3/dF/j1Zzz8BAAA//8DAFBLAwQUAAYACAAAACEA4UiDSdwAAAAJAQAADwAAAGRycy9k&#10;b3ducmV2LnhtbEyPTUvEMBCG74L/IYzgzU1d7a7WposIexIEuwWv2WZsa5tJaLJt/feOeFiP887D&#10;+5HvFjuICcfQOVJwu0pAINXOdNQoqA77mwcQIWoyenCECr4xwK64vMh1ZtxM7ziVsRFsQiHTCtoY&#10;fSZlqFu0OqycR+LfpxutjnyOjTSjntncDnKdJBtpdUec0GqPLy3WfXmyCko5J2/7r8p3ve6nQ/ma&#10;VtOHV+r6anl+AhFxiWcYfutzdSi409GdyAQxKLh/XG8YVbC9400MpOmWheOfIItc/l9Q/AAAAP//&#10;AwBQSwECLQAUAAYACAAAACEAtoM4kv4AAADhAQAAEwAAAAAAAAAAAAAAAAAAAAAAW0NvbnRlbnRf&#10;VHlwZXNdLnhtbFBLAQItABQABgAIAAAAIQA4/SH/1gAAAJQBAAALAAAAAAAAAAAAAAAAAC8BAABf&#10;cmVscy8ucmVsc1BLAQItABQABgAIAAAAIQBVq8S3vgEAANQDAAAOAAAAAAAAAAAAAAAAAC4CAABk&#10;cnMvZTJvRG9jLnhtbFBLAQItABQABgAIAAAAIQDhSINJ3AAAAAkBAAAPAAAAAAAAAAAAAAAAABgE&#10;AABkcnMvZG93bnJldi54bWxQSwUGAAAAAAQABADzAAAAIQUAAAAA&#10;" w14:anchorId="5741A138">
                      <v:stroke endarrow="block"/>
                    </v:shape>
                  </w:pict>
                </mc:Fallback>
              </mc:AlternateContent>
            </w:r>
            <w:r w:rsidR="00DF7D37">
              <w:rPr>
                <w:rFonts w:ascii="Segoe UI Light" w:hAnsi="Segoe UI Light" w:cs="Segoe UI Light"/>
                <w:noProof/>
                <w:sz w:val="18"/>
                <w:szCs w:val="18"/>
                <w:lang w:eastAsia="lv-LV"/>
              </w:rPr>
              <mc:AlternateContent>
                <mc:Choice Requires="wps">
                  <w:drawing>
                    <wp:anchor distT="0" distB="0" distL="114300" distR="114300" simplePos="0" relativeHeight="251658402" behindDoc="0" locked="0" layoutInCell="1" allowOverlap="1" wp14:anchorId="4ED6C395" wp14:editId="57FE9CF0">
                      <wp:simplePos x="0" y="0"/>
                      <wp:positionH relativeFrom="column">
                        <wp:posOffset>2289810</wp:posOffset>
                      </wp:positionH>
                      <wp:positionV relativeFrom="paragraph">
                        <wp:posOffset>241300</wp:posOffset>
                      </wp:positionV>
                      <wp:extent cx="838200" cy="609600"/>
                      <wp:effectExtent l="0" t="0" r="0" b="0"/>
                      <wp:wrapNone/>
                      <wp:docPr id="890479549" name="Text Box 250"/>
                      <wp:cNvGraphicFramePr/>
                      <a:graphic xmlns:a="http://schemas.openxmlformats.org/drawingml/2006/main">
                        <a:graphicData uri="http://schemas.microsoft.com/office/word/2010/wordprocessingShape">
                          <wps:wsp>
                            <wps:cNvSpPr txBox="1"/>
                            <wps:spPr>
                              <a:xfrm>
                                <a:off x="0" y="0"/>
                                <a:ext cx="838200" cy="609600"/>
                              </a:xfrm>
                              <a:prstGeom prst="rect">
                                <a:avLst/>
                              </a:prstGeom>
                              <a:noFill/>
                              <a:ln w="6350">
                                <a:noFill/>
                              </a:ln>
                            </wps:spPr>
                            <wps:txbx>
                              <w:txbxContent>
                                <w:p w14:paraId="4FAAE664" w14:textId="77777777" w:rsidR="00831F35" w:rsidRPr="00667944" w:rsidRDefault="00FD3B75" w:rsidP="00831F35">
                                  <w:pPr>
                                    <w:spacing w:after="0"/>
                                    <w:jc w:val="center"/>
                                    <w:rPr>
                                      <w:b/>
                                      <w:bCs/>
                                      <w:sz w:val="28"/>
                                      <w:szCs w:val="32"/>
                                    </w:rPr>
                                  </w:pPr>
                                  <w:r w:rsidRPr="00667944">
                                    <w:rPr>
                                      <w:b/>
                                      <w:bCs/>
                                      <w:sz w:val="28"/>
                                      <w:szCs w:val="32"/>
                                    </w:rPr>
                                    <w:t>43</w:t>
                                  </w:r>
                                  <w:r w:rsidR="00476641" w:rsidRPr="00667944">
                                    <w:rPr>
                                      <w:b/>
                                      <w:bCs/>
                                      <w:sz w:val="28"/>
                                      <w:szCs w:val="32"/>
                                    </w:rPr>
                                    <w:t xml:space="preserve">,0 </w:t>
                                  </w:r>
                                </w:p>
                                <w:p w14:paraId="22A79F79" w14:textId="4E04CBEF" w:rsidR="00DF7D37" w:rsidRPr="00831F35" w:rsidRDefault="00FD3B75" w:rsidP="00831F35">
                                  <w:pPr>
                                    <w:spacing w:after="0"/>
                                    <w:jc w:val="center"/>
                                    <w:rPr>
                                      <w:sz w:val="12"/>
                                      <w:szCs w:val="14"/>
                                    </w:rPr>
                                  </w:pPr>
                                  <w:r w:rsidRPr="00831F35">
                                    <w:rPr>
                                      <w:sz w:val="12"/>
                                      <w:szCs w:val="14"/>
                                    </w:rPr>
                                    <w:t>ml</w:t>
                                  </w:r>
                                  <w:r w:rsidR="00831F35" w:rsidRPr="00831F35">
                                    <w:rPr>
                                      <w:sz w:val="12"/>
                                      <w:szCs w:val="14"/>
                                    </w:rPr>
                                    <w:t>j</w:t>
                                  </w:r>
                                  <w:r w:rsidRPr="00831F35">
                                    <w:rPr>
                                      <w:sz w:val="12"/>
                                      <w:szCs w:val="14"/>
                                    </w:rPr>
                                    <w:t xml:space="preserve">rd. </w:t>
                                  </w:r>
                                  <w:r w:rsidR="00B40928">
                                    <w:rPr>
                                      <w:sz w:val="12"/>
                                      <w:szCs w:val="14"/>
                                    </w:rPr>
                                    <w:t>eiro</w:t>
                                  </w:r>
                                </w:p>
                                <w:p w14:paraId="78324CDF" w14:textId="638BB378" w:rsidR="00476641" w:rsidRPr="00831F35" w:rsidRDefault="00476641" w:rsidP="00831F35">
                                  <w:pPr>
                                    <w:spacing w:after="0"/>
                                    <w:jc w:val="center"/>
                                    <w:rPr>
                                      <w:sz w:val="12"/>
                                      <w:szCs w:val="14"/>
                                    </w:rPr>
                                  </w:pPr>
                                  <w:r w:rsidRPr="00831F35">
                                    <w:rPr>
                                      <w:sz w:val="12"/>
                                      <w:szCs w:val="14"/>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D6C395" id="_x0000_s1224" type="#_x0000_t202" style="position:absolute;margin-left:180.3pt;margin-top:19pt;width:66pt;height:48pt;z-index:2516584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bLGwIAADQEAAAOAAAAZHJzL2Uyb0RvYy54bWysU01v2zAMvQ/YfxB0X+ykaZYYcYqsRYYB&#10;RVsgLXpWZCk2IImapMTOfv0oOV/odhp2kUmRfiTfo+Z3nVZkL5xvwJR0OMgpEYZD1ZhtSd9eV1+m&#10;lPjATMUUGFHSg/D0bvH507y1hRhBDaoSjiCI8UVrS1qHYIss87wWmvkBWGEwKMFpFtB126xyrEV0&#10;rbJRnk+yFlxlHXDhPd4+9EG6SPhSCh6epfQiEFVS7C2k06VzE89sMWfF1jFbN/zYBvuHLjRrDBY9&#10;Qz2wwMjONX9A6YY78CDDgIPOQMqGizQDTjPMP0yzrpkVaRYkx9szTf7/wfKn/dq+OBK6b9ChgJGQ&#10;1vrC42Wcp5NOxy92SjCOFB7OtIkuEI6X05spSkEJx9Akn03QRpTs8rN1PnwXoEk0SupQlUQW2z/6&#10;0KeeUmItA6tGqaSMMqRF0JvbPP1wjiC4Mljj0mq0QrfpSFPhGLPpaZANVAecz0Evvbd81WAXj8yH&#10;F+ZQa2wc9zc84yEVYDU4WpTU4H797T7mowQYpaTF3Smp/7ljTlCifhgUZzYcj+OyJWd8+3WEjruO&#10;bK4jZqfvAddziC/F8mTG/KBOpnSg33HNl7EqhpjhWLuk4WTeh36j8ZlwsVymJFwvy8KjWVseoSOv&#10;kePX7p05exQioIJPcNoyVnzQo8/tFVnuAsgmiRWZ7lk9CoCrmeQ+PqO4+9d+yro89sVvAAAA//8D&#10;AFBLAwQUAAYACAAAACEA6hcloOEAAAAKAQAADwAAAGRycy9kb3ducmV2LnhtbEyPzU7DMBCE70i8&#10;g7VI3KhNWqKQxqmqSBUSgkNLL9yceJtE9U+I3Tbw9Cynctvd+TQ7U6wma9gZx9B7J+FxJoCha7zu&#10;XSth/7F5yICFqJxWxjuU8I0BVuXtTaFy7S9ui+ddbBmZuJArCV2MQ855aDq0Ksz8gI60gx+tirSO&#10;LdejupC5NTwRIuVW9Y4+dGrAqsPmuDtZCa/V5l1t68RmP6Z6eTush6/955OU93fTegks4hSvMPzF&#10;p+hQUqban5wOzEiYpyIllIaMOhGweE7oUBM5XwjgZcH/Vyh/AQAA//8DAFBLAQItABQABgAIAAAA&#10;IQC2gziS/gAAAOEBAAATAAAAAAAAAAAAAAAAAAAAAABbQ29udGVudF9UeXBlc10ueG1sUEsBAi0A&#10;FAAGAAgAAAAhADj9If/WAAAAlAEAAAsAAAAAAAAAAAAAAAAALwEAAF9yZWxzLy5yZWxzUEsBAi0A&#10;FAAGAAgAAAAhAGGZtssbAgAANAQAAA4AAAAAAAAAAAAAAAAALgIAAGRycy9lMm9Eb2MueG1sUEsB&#10;Ai0AFAAGAAgAAAAhAOoXJaDhAAAACgEAAA8AAAAAAAAAAAAAAAAAdQQAAGRycy9kb3ducmV2Lnht&#10;bFBLBQYAAAAABAAEAPMAAACDBQAAAAA=&#10;" filled="f" stroked="f" strokeweight=".5pt">
                      <v:textbox>
                        <w:txbxContent>
                          <w:p w14:paraId="4FAAE664" w14:textId="77777777" w:rsidR="00831F35" w:rsidRPr="00667944" w:rsidRDefault="00FD3B75" w:rsidP="00831F35">
                            <w:pPr>
                              <w:spacing w:after="0"/>
                              <w:jc w:val="center"/>
                              <w:rPr>
                                <w:b/>
                                <w:bCs/>
                                <w:sz w:val="28"/>
                                <w:szCs w:val="32"/>
                              </w:rPr>
                            </w:pPr>
                            <w:r w:rsidRPr="00667944">
                              <w:rPr>
                                <w:b/>
                                <w:bCs/>
                                <w:sz w:val="28"/>
                                <w:szCs w:val="32"/>
                              </w:rPr>
                              <w:t>43</w:t>
                            </w:r>
                            <w:r w:rsidR="00476641" w:rsidRPr="00667944">
                              <w:rPr>
                                <w:b/>
                                <w:bCs/>
                                <w:sz w:val="28"/>
                                <w:szCs w:val="32"/>
                              </w:rPr>
                              <w:t xml:space="preserve">,0 </w:t>
                            </w:r>
                          </w:p>
                          <w:p w14:paraId="22A79F79" w14:textId="4E04CBEF" w:rsidR="00DF7D37" w:rsidRPr="00831F35" w:rsidRDefault="00FD3B75" w:rsidP="00831F35">
                            <w:pPr>
                              <w:spacing w:after="0"/>
                              <w:jc w:val="center"/>
                              <w:rPr>
                                <w:sz w:val="12"/>
                                <w:szCs w:val="14"/>
                              </w:rPr>
                            </w:pPr>
                            <w:r w:rsidRPr="00831F35">
                              <w:rPr>
                                <w:sz w:val="12"/>
                                <w:szCs w:val="14"/>
                              </w:rPr>
                              <w:t>ml</w:t>
                            </w:r>
                            <w:r w:rsidR="00831F35" w:rsidRPr="00831F35">
                              <w:rPr>
                                <w:sz w:val="12"/>
                                <w:szCs w:val="14"/>
                              </w:rPr>
                              <w:t>j</w:t>
                            </w:r>
                            <w:r w:rsidRPr="00831F35">
                              <w:rPr>
                                <w:sz w:val="12"/>
                                <w:szCs w:val="14"/>
                              </w:rPr>
                              <w:t xml:space="preserve">rd. </w:t>
                            </w:r>
                            <w:r w:rsidR="00B40928">
                              <w:rPr>
                                <w:sz w:val="12"/>
                                <w:szCs w:val="14"/>
                              </w:rPr>
                              <w:t>eiro</w:t>
                            </w:r>
                          </w:p>
                          <w:p w14:paraId="78324CDF" w14:textId="638BB378" w:rsidR="00476641" w:rsidRPr="00831F35" w:rsidRDefault="00476641" w:rsidP="00831F35">
                            <w:pPr>
                              <w:spacing w:after="0"/>
                              <w:jc w:val="center"/>
                              <w:rPr>
                                <w:sz w:val="12"/>
                                <w:szCs w:val="14"/>
                              </w:rPr>
                            </w:pPr>
                            <w:r w:rsidRPr="00831F35">
                              <w:rPr>
                                <w:sz w:val="12"/>
                                <w:szCs w:val="14"/>
                              </w:rPr>
                              <w:t>2025</w:t>
                            </w:r>
                          </w:p>
                        </w:txbxContent>
                      </v:textbox>
                    </v:shape>
                  </w:pict>
                </mc:Fallback>
              </mc:AlternateContent>
            </w:r>
            <w:r w:rsidR="00065A73" w:rsidRPr="009E69B5">
              <w:rPr>
                <w:rFonts w:ascii="Segoe UI Light" w:hAnsi="Segoe UI Light" w:cs="Segoe UI Light"/>
                <w:noProof/>
                <w:sz w:val="18"/>
                <w:szCs w:val="18"/>
                <w:lang w:eastAsia="lv-LV"/>
              </w:rPr>
              <w:drawing>
                <wp:inline distT="0" distB="0" distL="0" distR="0" wp14:anchorId="67A91CA4" wp14:editId="4BF27E6D">
                  <wp:extent cx="2209800" cy="982980"/>
                  <wp:effectExtent l="0" t="0" r="0" b="0"/>
                  <wp:docPr id="1087" name="Chart 10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c>
      </w:tr>
      <w:tr w:rsidR="00FD3F28" w:rsidRPr="00FD3F28" w14:paraId="193AC060" w14:textId="77777777" w:rsidTr="008B4743">
        <w:tc>
          <w:tcPr>
            <w:tcW w:w="9077" w:type="dxa"/>
            <w:gridSpan w:val="7"/>
            <w:tcBorders>
              <w:top w:val="nil"/>
              <w:left w:val="nil"/>
              <w:bottom w:val="nil"/>
              <w:right w:val="nil"/>
            </w:tcBorders>
          </w:tcPr>
          <w:p w14:paraId="488E6162" w14:textId="77777777" w:rsidR="00FD3F28" w:rsidRPr="00FD3F28" w:rsidRDefault="00FD3F28" w:rsidP="00FD3F28">
            <w:pPr>
              <w:spacing w:after="0"/>
              <w:ind w:firstLine="318"/>
              <w:rPr>
                <w:rFonts w:ascii="Segoe UI Light" w:hAnsi="Segoe UI Light" w:cs="Segoe UI Light"/>
                <w:sz w:val="14"/>
                <w:szCs w:val="14"/>
                <w:highlight w:val="yellow"/>
                <w:lang w:eastAsia="lv-LV"/>
              </w:rPr>
            </w:pPr>
          </w:p>
        </w:tc>
      </w:tr>
      <w:tr w:rsidR="00C607AD" w:rsidRPr="00D829F0" w14:paraId="4CAE6E6C" w14:textId="77777777" w:rsidTr="008B4743">
        <w:tc>
          <w:tcPr>
            <w:tcW w:w="9077" w:type="dxa"/>
            <w:gridSpan w:val="7"/>
            <w:tcBorders>
              <w:top w:val="nil"/>
              <w:left w:val="nil"/>
              <w:bottom w:val="nil"/>
              <w:right w:val="nil"/>
            </w:tcBorders>
            <w:shd w:val="clear" w:color="auto" w:fill="0E5A69"/>
          </w:tcPr>
          <w:p w14:paraId="2D12FE31" w14:textId="77777777" w:rsidR="00C607AD" w:rsidRPr="009E69B5" w:rsidRDefault="00C607AD">
            <w:pPr>
              <w:spacing w:before="120" w:after="120"/>
              <w:jc w:val="center"/>
              <w:rPr>
                <w:rFonts w:ascii="Segoe UI Light" w:hAnsi="Segoe UI Light" w:cs="Segoe UI Light"/>
                <w:b/>
                <w:color w:val="FFFFFF" w:themeColor="background1"/>
                <w:sz w:val="24"/>
                <w:lang w:eastAsia="lv-LV"/>
              </w:rPr>
            </w:pPr>
            <w:r w:rsidRPr="009E69B5">
              <w:rPr>
                <w:rFonts w:ascii="Segoe UI Light" w:hAnsi="Segoe UI Light" w:cs="Segoe UI Light"/>
                <w:b/>
                <w:color w:val="FFFFFF" w:themeColor="background1"/>
                <w:sz w:val="24"/>
                <w:lang w:eastAsia="lv-LV"/>
              </w:rPr>
              <w:t>SASNIEDZAMIE REZULTĀTI</w:t>
            </w:r>
          </w:p>
        </w:tc>
      </w:tr>
      <w:tr w:rsidR="00C47389" w:rsidRPr="00D829F0" w14:paraId="03C3E960" w14:textId="77777777" w:rsidTr="008B4743">
        <w:tc>
          <w:tcPr>
            <w:tcW w:w="714" w:type="dxa"/>
            <w:tcBorders>
              <w:top w:val="nil"/>
              <w:left w:val="nil"/>
              <w:bottom w:val="nil"/>
              <w:right w:val="nil"/>
            </w:tcBorders>
            <w:shd w:val="clear" w:color="auto" w:fill="B6DDE8" w:themeFill="accent5" w:themeFillTint="66"/>
            <w:vAlign w:val="center"/>
          </w:tcPr>
          <w:p w14:paraId="63621102" w14:textId="77777777" w:rsidR="00C47389" w:rsidRPr="008B4743" w:rsidRDefault="00C47389">
            <w:pPr>
              <w:spacing w:before="120" w:after="120"/>
              <w:jc w:val="center"/>
              <w:rPr>
                <w:rFonts w:ascii="Segoe UI Light" w:hAnsi="Segoe UI Light" w:cs="Segoe UI Light"/>
                <w:color w:val="FFFFFF" w:themeColor="background1"/>
                <w:sz w:val="24"/>
                <w:lang w:eastAsia="lv-LV"/>
              </w:rPr>
            </w:pPr>
          </w:p>
        </w:tc>
        <w:tc>
          <w:tcPr>
            <w:tcW w:w="992" w:type="dxa"/>
            <w:tcBorders>
              <w:top w:val="nil"/>
              <w:left w:val="nil"/>
              <w:bottom w:val="nil"/>
              <w:right w:val="nil"/>
            </w:tcBorders>
            <w:shd w:val="clear" w:color="auto" w:fill="B6DDE8" w:themeFill="accent5" w:themeFillTint="66"/>
            <w:vAlign w:val="center"/>
          </w:tcPr>
          <w:p w14:paraId="443355AA" w14:textId="2F34FFDE" w:rsidR="0049492E" w:rsidRPr="008B4743" w:rsidRDefault="00613DA1" w:rsidP="008D1161">
            <w:pPr>
              <w:spacing w:after="0"/>
              <w:jc w:val="center"/>
              <w:rPr>
                <w:rFonts w:ascii="Segoe UI Light" w:hAnsi="Segoe UI Light" w:cs="Segoe UI Light"/>
                <w:color w:val="000000" w:themeColor="text1"/>
                <w:sz w:val="16"/>
                <w:szCs w:val="16"/>
                <w:lang w:eastAsia="lv-LV"/>
              </w:rPr>
            </w:pPr>
            <w:r w:rsidRPr="008B4743">
              <w:rPr>
                <w:rFonts w:ascii="Segoe UI Light" w:hAnsi="Segoe UI Light" w:cs="Segoe UI Light"/>
                <w:color w:val="000000" w:themeColor="text1"/>
                <w:sz w:val="16"/>
                <w:szCs w:val="16"/>
                <w:lang w:eastAsia="lv-LV"/>
              </w:rPr>
              <w:t>Eksport</w:t>
            </w:r>
            <w:r w:rsidR="0049492E" w:rsidRPr="008B4743">
              <w:rPr>
                <w:rFonts w:ascii="Segoe UI Light" w:hAnsi="Segoe UI Light" w:cs="Segoe UI Light"/>
                <w:color w:val="000000" w:themeColor="text1"/>
                <w:sz w:val="16"/>
                <w:szCs w:val="16"/>
                <w:lang w:eastAsia="lv-LV"/>
              </w:rPr>
              <w:t>s</w:t>
            </w:r>
            <w:r w:rsidR="008B4743">
              <w:rPr>
                <w:rFonts w:ascii="Segoe UI Light" w:hAnsi="Segoe UI Light" w:cs="Segoe UI Light"/>
                <w:bCs/>
                <w:color w:val="000000" w:themeColor="text1"/>
                <w:sz w:val="16"/>
                <w:szCs w:val="16"/>
                <w:lang w:eastAsia="lv-LV"/>
              </w:rPr>
              <w:t xml:space="preserve">, </w:t>
            </w:r>
            <w:r w:rsidR="0049492E" w:rsidRPr="008B4743">
              <w:rPr>
                <w:rFonts w:ascii="Segoe UI Light" w:hAnsi="Segoe UI Light" w:cs="Segoe UI Light"/>
                <w:color w:val="000000" w:themeColor="text1"/>
                <w:sz w:val="16"/>
                <w:szCs w:val="16"/>
                <w:lang w:eastAsia="lv-LV"/>
              </w:rPr>
              <w:t>% no IKP</w:t>
            </w:r>
          </w:p>
        </w:tc>
        <w:tc>
          <w:tcPr>
            <w:tcW w:w="993" w:type="dxa"/>
            <w:tcBorders>
              <w:top w:val="nil"/>
              <w:left w:val="nil"/>
              <w:bottom w:val="nil"/>
              <w:right w:val="nil"/>
            </w:tcBorders>
            <w:shd w:val="clear" w:color="auto" w:fill="B6DDE8" w:themeFill="accent5" w:themeFillTint="66"/>
            <w:vAlign w:val="center"/>
          </w:tcPr>
          <w:p w14:paraId="006A2FBB" w14:textId="1C72D151" w:rsidR="001D527E" w:rsidRPr="008B4743" w:rsidRDefault="0049492E" w:rsidP="008D1161">
            <w:pPr>
              <w:spacing w:after="0"/>
              <w:jc w:val="center"/>
              <w:rPr>
                <w:rFonts w:ascii="Segoe UI Light" w:hAnsi="Segoe UI Light" w:cs="Segoe UI Light"/>
                <w:color w:val="000000" w:themeColor="text1"/>
                <w:sz w:val="16"/>
                <w:szCs w:val="16"/>
                <w:lang w:eastAsia="lv-LV"/>
              </w:rPr>
            </w:pPr>
            <w:r w:rsidRPr="008B4743">
              <w:rPr>
                <w:rFonts w:ascii="Segoe UI Light" w:hAnsi="Segoe UI Light" w:cs="Segoe UI Light"/>
                <w:color w:val="000000" w:themeColor="text1"/>
                <w:sz w:val="16"/>
                <w:szCs w:val="16"/>
                <w:lang w:eastAsia="lv-LV"/>
              </w:rPr>
              <w:t>Privātās investīcijas</w:t>
            </w:r>
            <w:r w:rsidR="008B4743">
              <w:rPr>
                <w:rFonts w:ascii="Segoe UI Light" w:hAnsi="Segoe UI Light" w:cs="Segoe UI Light"/>
                <w:bCs/>
                <w:color w:val="000000" w:themeColor="text1"/>
                <w:sz w:val="16"/>
                <w:szCs w:val="16"/>
                <w:lang w:eastAsia="lv-LV"/>
              </w:rPr>
              <w:t xml:space="preserve">, </w:t>
            </w:r>
            <w:r w:rsidR="001D527E" w:rsidRPr="008B4743">
              <w:rPr>
                <w:rFonts w:ascii="Segoe UI Light" w:hAnsi="Segoe UI Light" w:cs="Segoe UI Light"/>
                <w:color w:val="000000" w:themeColor="text1"/>
                <w:sz w:val="16"/>
                <w:szCs w:val="16"/>
                <w:lang w:eastAsia="lv-LV"/>
              </w:rPr>
              <w:t>% no IKP</w:t>
            </w:r>
          </w:p>
        </w:tc>
        <w:tc>
          <w:tcPr>
            <w:tcW w:w="1134" w:type="dxa"/>
            <w:tcBorders>
              <w:top w:val="nil"/>
              <w:left w:val="nil"/>
              <w:bottom w:val="nil"/>
              <w:right w:val="nil"/>
            </w:tcBorders>
            <w:shd w:val="clear" w:color="auto" w:fill="B6DDE8" w:themeFill="accent5" w:themeFillTint="66"/>
            <w:vAlign w:val="center"/>
          </w:tcPr>
          <w:p w14:paraId="04B5CBAA" w14:textId="5EDC7B38" w:rsidR="001D527E" w:rsidRPr="008B4743" w:rsidRDefault="001D527E" w:rsidP="008D1161">
            <w:pPr>
              <w:spacing w:after="0"/>
              <w:jc w:val="center"/>
              <w:rPr>
                <w:rFonts w:ascii="Segoe UI Light" w:hAnsi="Segoe UI Light" w:cs="Segoe UI Light"/>
                <w:color w:val="000000" w:themeColor="text1"/>
                <w:sz w:val="16"/>
                <w:szCs w:val="16"/>
                <w:lang w:eastAsia="lv-LV"/>
              </w:rPr>
            </w:pPr>
            <w:r w:rsidRPr="008B4743">
              <w:rPr>
                <w:rFonts w:ascii="Segoe UI Light" w:hAnsi="Segoe UI Light" w:cs="Segoe UI Light"/>
                <w:color w:val="000000" w:themeColor="text1"/>
                <w:sz w:val="16"/>
                <w:szCs w:val="16"/>
                <w:lang w:eastAsia="lv-LV"/>
              </w:rPr>
              <w:t>Izdevumi P&amp;A</w:t>
            </w:r>
            <w:r w:rsidR="008B4743">
              <w:rPr>
                <w:rFonts w:ascii="Segoe UI Light" w:hAnsi="Segoe UI Light" w:cs="Segoe UI Light"/>
                <w:bCs/>
                <w:color w:val="000000" w:themeColor="text1"/>
                <w:sz w:val="16"/>
                <w:szCs w:val="16"/>
                <w:lang w:eastAsia="lv-LV"/>
              </w:rPr>
              <w:t xml:space="preserve">, </w:t>
            </w:r>
            <w:r w:rsidRPr="008B4743">
              <w:rPr>
                <w:rFonts w:ascii="Segoe UI Light" w:hAnsi="Segoe UI Light" w:cs="Segoe UI Light"/>
                <w:color w:val="000000" w:themeColor="text1"/>
                <w:sz w:val="16"/>
                <w:szCs w:val="16"/>
                <w:lang w:eastAsia="lv-LV"/>
              </w:rPr>
              <w:t>% no IKP</w:t>
            </w:r>
          </w:p>
        </w:tc>
        <w:tc>
          <w:tcPr>
            <w:tcW w:w="992" w:type="dxa"/>
            <w:tcBorders>
              <w:top w:val="nil"/>
              <w:left w:val="nil"/>
              <w:bottom w:val="nil"/>
              <w:right w:val="nil"/>
            </w:tcBorders>
            <w:shd w:val="clear" w:color="auto" w:fill="B6DDE8" w:themeFill="accent5" w:themeFillTint="66"/>
            <w:vAlign w:val="center"/>
          </w:tcPr>
          <w:p w14:paraId="4D52EB1C" w14:textId="48D8E942" w:rsidR="00226C46" w:rsidRPr="008B4743" w:rsidRDefault="001D527E" w:rsidP="008D1161">
            <w:pPr>
              <w:spacing w:after="0"/>
              <w:jc w:val="center"/>
              <w:rPr>
                <w:rFonts w:ascii="Segoe UI Light" w:hAnsi="Segoe UI Light" w:cs="Segoe UI Light"/>
                <w:color w:val="000000" w:themeColor="text1"/>
                <w:sz w:val="16"/>
                <w:szCs w:val="16"/>
                <w:lang w:eastAsia="lv-LV"/>
              </w:rPr>
            </w:pPr>
            <w:r w:rsidRPr="008B4743">
              <w:rPr>
                <w:rFonts w:ascii="Segoe UI Light" w:hAnsi="Segoe UI Light" w:cs="Segoe UI Light"/>
                <w:color w:val="000000" w:themeColor="text1"/>
                <w:sz w:val="16"/>
                <w:szCs w:val="16"/>
                <w:lang w:eastAsia="lv-LV"/>
              </w:rPr>
              <w:t>Bruto algas</w:t>
            </w:r>
            <w:r w:rsidR="008B4743">
              <w:rPr>
                <w:rFonts w:ascii="Segoe UI Light" w:hAnsi="Segoe UI Light" w:cs="Segoe UI Light"/>
                <w:bCs/>
                <w:color w:val="000000" w:themeColor="text1"/>
                <w:sz w:val="16"/>
                <w:szCs w:val="16"/>
                <w:lang w:eastAsia="lv-LV"/>
              </w:rPr>
              <w:t xml:space="preserve">, </w:t>
            </w:r>
            <w:r w:rsidR="00B40928">
              <w:rPr>
                <w:rFonts w:ascii="Segoe UI Light" w:hAnsi="Segoe UI Light" w:cs="Segoe UI Light"/>
                <w:color w:val="000000" w:themeColor="text1"/>
                <w:sz w:val="16"/>
                <w:szCs w:val="16"/>
                <w:lang w:eastAsia="lv-LV"/>
              </w:rPr>
              <w:t>eiro</w:t>
            </w:r>
          </w:p>
        </w:tc>
        <w:tc>
          <w:tcPr>
            <w:tcW w:w="1417" w:type="dxa"/>
            <w:tcBorders>
              <w:top w:val="nil"/>
              <w:left w:val="nil"/>
              <w:bottom w:val="nil"/>
              <w:right w:val="nil"/>
            </w:tcBorders>
            <w:shd w:val="clear" w:color="auto" w:fill="B6DDE8" w:themeFill="accent5" w:themeFillTint="66"/>
            <w:vAlign w:val="center"/>
          </w:tcPr>
          <w:p w14:paraId="011278E9" w14:textId="03835688" w:rsidR="00226C46" w:rsidRPr="008B4743" w:rsidRDefault="00226C46" w:rsidP="008D1161">
            <w:pPr>
              <w:spacing w:after="0"/>
              <w:jc w:val="center"/>
              <w:rPr>
                <w:rFonts w:ascii="Segoe UI Light" w:hAnsi="Segoe UI Light" w:cs="Segoe UI Light"/>
                <w:color w:val="000000" w:themeColor="text1"/>
                <w:sz w:val="16"/>
                <w:szCs w:val="16"/>
                <w:lang w:eastAsia="lv-LV"/>
              </w:rPr>
            </w:pPr>
            <w:r w:rsidRPr="008B4743">
              <w:rPr>
                <w:rFonts w:ascii="Segoe UI Light" w:hAnsi="Segoe UI Light" w:cs="Segoe UI Light"/>
                <w:color w:val="000000" w:themeColor="text1"/>
                <w:sz w:val="16"/>
                <w:szCs w:val="16"/>
                <w:lang w:eastAsia="lv-LV"/>
              </w:rPr>
              <w:t xml:space="preserve">Produktivitāte </w:t>
            </w:r>
            <w:r w:rsidRPr="008B4743">
              <w:rPr>
                <w:rFonts w:ascii="Segoe UI Light" w:hAnsi="Segoe UI Light" w:cs="Segoe UI Light"/>
                <w:bCs/>
                <w:color w:val="000000" w:themeColor="text1"/>
                <w:sz w:val="16"/>
                <w:szCs w:val="16"/>
                <w:lang w:eastAsia="lv-LV"/>
              </w:rPr>
              <w:t>f</w:t>
            </w:r>
            <w:r w:rsidR="00B71C89">
              <w:rPr>
                <w:rFonts w:ascii="Segoe UI Light" w:hAnsi="Segoe UI Light" w:cs="Segoe UI Light"/>
                <w:bCs/>
                <w:color w:val="000000" w:themeColor="text1"/>
                <w:sz w:val="16"/>
                <w:szCs w:val="16"/>
                <w:lang w:eastAsia="lv-LV"/>
              </w:rPr>
              <w:t xml:space="preserve">aktiskajās cenās, </w:t>
            </w:r>
            <w:r w:rsidRPr="008B4743">
              <w:rPr>
                <w:rFonts w:ascii="Segoe UI Light" w:hAnsi="Segoe UI Light" w:cs="Segoe UI Light"/>
                <w:color w:val="000000" w:themeColor="text1"/>
                <w:sz w:val="16"/>
                <w:szCs w:val="16"/>
                <w:lang w:eastAsia="lv-LV"/>
              </w:rPr>
              <w:t>% no ES</w:t>
            </w:r>
          </w:p>
        </w:tc>
        <w:tc>
          <w:tcPr>
            <w:tcW w:w="2835" w:type="dxa"/>
            <w:tcBorders>
              <w:top w:val="nil"/>
              <w:left w:val="nil"/>
              <w:bottom w:val="nil"/>
              <w:right w:val="nil"/>
            </w:tcBorders>
            <w:shd w:val="clear" w:color="auto" w:fill="B6DDE8" w:themeFill="accent5" w:themeFillTint="66"/>
            <w:vAlign w:val="center"/>
          </w:tcPr>
          <w:p w14:paraId="6D52278B" w14:textId="5199CA85" w:rsidR="008D1161" w:rsidRPr="008B4743" w:rsidRDefault="00226C46" w:rsidP="008D1161">
            <w:pPr>
              <w:spacing w:after="0"/>
              <w:jc w:val="center"/>
              <w:rPr>
                <w:rFonts w:ascii="Segoe UI Light" w:hAnsi="Segoe UI Light" w:cs="Segoe UI Light"/>
                <w:color w:val="000000" w:themeColor="text1"/>
                <w:sz w:val="16"/>
                <w:szCs w:val="16"/>
                <w:lang w:eastAsia="lv-LV"/>
              </w:rPr>
            </w:pPr>
            <w:r w:rsidRPr="008B4743">
              <w:rPr>
                <w:rFonts w:ascii="Segoe UI Light" w:hAnsi="Segoe UI Light" w:cs="Segoe UI Light"/>
                <w:color w:val="000000" w:themeColor="text1"/>
                <w:sz w:val="16"/>
                <w:szCs w:val="16"/>
                <w:lang w:eastAsia="lv-LV"/>
              </w:rPr>
              <w:t>Konverģence ar ES</w:t>
            </w:r>
            <w:r w:rsidR="00B71C89">
              <w:rPr>
                <w:rFonts w:ascii="Segoe UI Light" w:hAnsi="Segoe UI Light" w:cs="Segoe UI Light"/>
                <w:bCs/>
                <w:color w:val="000000" w:themeColor="text1"/>
                <w:sz w:val="16"/>
                <w:szCs w:val="16"/>
                <w:lang w:eastAsia="lv-LV"/>
              </w:rPr>
              <w:t xml:space="preserve">, </w:t>
            </w:r>
            <w:r w:rsidR="008D1161" w:rsidRPr="008B4743">
              <w:rPr>
                <w:rFonts w:ascii="Segoe UI Light" w:hAnsi="Segoe UI Light" w:cs="Segoe UI Light"/>
                <w:color w:val="000000" w:themeColor="text1"/>
                <w:sz w:val="16"/>
                <w:szCs w:val="16"/>
                <w:lang w:eastAsia="lv-LV"/>
              </w:rPr>
              <w:t>IKP uz 1</w:t>
            </w:r>
            <w:r w:rsidR="00B71C89">
              <w:rPr>
                <w:rFonts w:ascii="Segoe UI Light" w:hAnsi="Segoe UI Light" w:cs="Segoe UI Light"/>
                <w:bCs/>
                <w:color w:val="000000" w:themeColor="text1"/>
                <w:sz w:val="16"/>
                <w:szCs w:val="16"/>
                <w:lang w:eastAsia="lv-LV"/>
              </w:rPr>
              <w:t xml:space="preserve"> </w:t>
            </w:r>
            <w:r w:rsidR="008D1161" w:rsidRPr="008B4743">
              <w:rPr>
                <w:rFonts w:ascii="Segoe UI Light" w:hAnsi="Segoe UI Light" w:cs="Segoe UI Light"/>
                <w:bCs/>
                <w:color w:val="000000" w:themeColor="text1"/>
                <w:sz w:val="16"/>
                <w:szCs w:val="16"/>
                <w:lang w:eastAsia="lv-LV"/>
              </w:rPr>
              <w:t>iedz</w:t>
            </w:r>
            <w:r w:rsidR="00B71C89">
              <w:rPr>
                <w:rFonts w:ascii="Segoe UI Light" w:hAnsi="Segoe UI Light" w:cs="Segoe UI Light"/>
                <w:bCs/>
                <w:color w:val="000000" w:themeColor="text1"/>
                <w:sz w:val="16"/>
                <w:szCs w:val="16"/>
                <w:lang w:eastAsia="lv-LV"/>
              </w:rPr>
              <w:t>īvotāju</w:t>
            </w:r>
            <w:r w:rsidR="002F1510">
              <w:rPr>
                <w:rFonts w:ascii="Segoe UI Light" w:hAnsi="Segoe UI Light" w:cs="Segoe UI Light"/>
                <w:bCs/>
                <w:color w:val="000000" w:themeColor="text1"/>
                <w:sz w:val="16"/>
                <w:szCs w:val="16"/>
                <w:lang w:eastAsia="lv-LV"/>
              </w:rPr>
              <w:t>,</w:t>
            </w:r>
            <w:r w:rsidR="008D1161" w:rsidRPr="008B4743">
              <w:rPr>
                <w:rFonts w:ascii="Segoe UI Light" w:hAnsi="Segoe UI Light" w:cs="Segoe UI Light"/>
                <w:color w:val="000000" w:themeColor="text1"/>
                <w:sz w:val="16"/>
                <w:szCs w:val="16"/>
                <w:lang w:eastAsia="lv-LV"/>
              </w:rPr>
              <w:t xml:space="preserve"> pēc PPS, ES=100</w:t>
            </w:r>
          </w:p>
        </w:tc>
      </w:tr>
      <w:tr w:rsidR="008D1161" w:rsidRPr="00B9265B" w14:paraId="6C13E578" w14:textId="77777777" w:rsidTr="008B4743">
        <w:tc>
          <w:tcPr>
            <w:tcW w:w="714" w:type="dxa"/>
            <w:tcBorders>
              <w:top w:val="nil"/>
              <w:left w:val="nil"/>
              <w:bottom w:val="nil"/>
              <w:right w:val="nil"/>
            </w:tcBorders>
            <w:shd w:val="clear" w:color="auto" w:fill="DAEEF3" w:themeFill="accent5" w:themeFillTint="33"/>
            <w:vAlign w:val="center"/>
          </w:tcPr>
          <w:p w14:paraId="41B52C25" w14:textId="6AB95032" w:rsidR="008D1161" w:rsidRPr="00DB674A" w:rsidRDefault="008D1161" w:rsidP="00DB674A">
            <w:pPr>
              <w:numPr>
                <w:ilvl w:val="12"/>
                <w:numId w:val="0"/>
              </w:numPr>
              <w:spacing w:before="40" w:after="40"/>
              <w:jc w:val="center"/>
              <w:rPr>
                <w:rFonts w:ascii="Segoe UI Light" w:hAnsi="Segoe UI Light" w:cs="Segoe UI Light"/>
                <w:b/>
                <w:bCs/>
                <w:sz w:val="16"/>
                <w:szCs w:val="16"/>
              </w:rPr>
            </w:pPr>
            <w:r w:rsidRPr="00DB674A">
              <w:rPr>
                <w:rFonts w:ascii="Segoe UI Light" w:hAnsi="Segoe UI Light" w:cs="Segoe UI Light"/>
                <w:b/>
                <w:bCs/>
                <w:sz w:val="16"/>
                <w:szCs w:val="16"/>
              </w:rPr>
              <w:t>2025</w:t>
            </w:r>
          </w:p>
        </w:tc>
        <w:tc>
          <w:tcPr>
            <w:tcW w:w="992" w:type="dxa"/>
            <w:tcBorders>
              <w:top w:val="nil"/>
              <w:left w:val="nil"/>
              <w:bottom w:val="nil"/>
              <w:right w:val="nil"/>
            </w:tcBorders>
            <w:shd w:val="clear" w:color="auto" w:fill="DAEEF3" w:themeFill="accent5" w:themeFillTint="33"/>
            <w:vAlign w:val="center"/>
          </w:tcPr>
          <w:p w14:paraId="5E6B6F71" w14:textId="2C8D7608" w:rsidR="008D1161" w:rsidRPr="00B9265B" w:rsidRDefault="0087659E"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63</w:t>
            </w:r>
          </w:p>
        </w:tc>
        <w:tc>
          <w:tcPr>
            <w:tcW w:w="993" w:type="dxa"/>
            <w:tcBorders>
              <w:top w:val="nil"/>
              <w:left w:val="nil"/>
              <w:bottom w:val="nil"/>
              <w:right w:val="nil"/>
            </w:tcBorders>
            <w:shd w:val="clear" w:color="auto" w:fill="DAEEF3" w:themeFill="accent5" w:themeFillTint="33"/>
            <w:vAlign w:val="center"/>
          </w:tcPr>
          <w:p w14:paraId="5A9F2062" w14:textId="2A65D7A6" w:rsidR="008D1161" w:rsidRPr="00B9265B" w:rsidRDefault="0087659E"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17,2</w:t>
            </w:r>
          </w:p>
        </w:tc>
        <w:tc>
          <w:tcPr>
            <w:tcW w:w="1134" w:type="dxa"/>
            <w:tcBorders>
              <w:top w:val="nil"/>
              <w:left w:val="nil"/>
              <w:bottom w:val="nil"/>
              <w:right w:val="nil"/>
            </w:tcBorders>
            <w:shd w:val="clear" w:color="auto" w:fill="DAEEF3" w:themeFill="accent5" w:themeFillTint="33"/>
            <w:vAlign w:val="center"/>
          </w:tcPr>
          <w:p w14:paraId="25AA43BE" w14:textId="1263AFC1" w:rsidR="008D1161" w:rsidRPr="00B9265B" w:rsidRDefault="0087659E"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0,92</w:t>
            </w:r>
          </w:p>
        </w:tc>
        <w:tc>
          <w:tcPr>
            <w:tcW w:w="992" w:type="dxa"/>
            <w:tcBorders>
              <w:top w:val="nil"/>
              <w:left w:val="nil"/>
              <w:bottom w:val="nil"/>
              <w:right w:val="nil"/>
            </w:tcBorders>
            <w:shd w:val="clear" w:color="auto" w:fill="DAEEF3" w:themeFill="accent5" w:themeFillTint="33"/>
            <w:vAlign w:val="center"/>
          </w:tcPr>
          <w:p w14:paraId="0FF59855" w14:textId="4905ECF0" w:rsidR="008D1161" w:rsidRPr="00B9265B" w:rsidRDefault="00C409F2"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1815</w:t>
            </w:r>
          </w:p>
        </w:tc>
        <w:tc>
          <w:tcPr>
            <w:tcW w:w="1417" w:type="dxa"/>
            <w:tcBorders>
              <w:top w:val="nil"/>
              <w:left w:val="nil"/>
              <w:bottom w:val="nil"/>
              <w:right w:val="nil"/>
            </w:tcBorders>
            <w:shd w:val="clear" w:color="auto" w:fill="DAEEF3" w:themeFill="accent5" w:themeFillTint="33"/>
            <w:vAlign w:val="center"/>
          </w:tcPr>
          <w:p w14:paraId="5BE1B338" w14:textId="5EF6D4A3" w:rsidR="008D1161" w:rsidRPr="00B9265B" w:rsidRDefault="00C409F2"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55,8</w:t>
            </w:r>
          </w:p>
        </w:tc>
        <w:tc>
          <w:tcPr>
            <w:tcW w:w="2835" w:type="dxa"/>
            <w:tcBorders>
              <w:top w:val="nil"/>
              <w:left w:val="nil"/>
              <w:bottom w:val="nil"/>
              <w:right w:val="nil"/>
            </w:tcBorders>
            <w:shd w:val="clear" w:color="auto" w:fill="DAEEF3" w:themeFill="accent5" w:themeFillTint="33"/>
            <w:vAlign w:val="center"/>
          </w:tcPr>
          <w:p w14:paraId="7CA549FA" w14:textId="681988FD" w:rsidR="008D1161" w:rsidRPr="00B9265B" w:rsidRDefault="00B9265B"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70,9</w:t>
            </w:r>
          </w:p>
        </w:tc>
      </w:tr>
      <w:tr w:rsidR="008D1161" w:rsidRPr="00B9265B" w14:paraId="565B78CB" w14:textId="77777777" w:rsidTr="008B4743">
        <w:tc>
          <w:tcPr>
            <w:tcW w:w="714" w:type="dxa"/>
            <w:tcBorders>
              <w:top w:val="nil"/>
              <w:left w:val="nil"/>
              <w:bottom w:val="nil"/>
              <w:right w:val="nil"/>
            </w:tcBorders>
            <w:shd w:val="clear" w:color="auto" w:fill="B6DDE8" w:themeFill="accent5" w:themeFillTint="66"/>
            <w:vAlign w:val="center"/>
          </w:tcPr>
          <w:p w14:paraId="7A1C146A" w14:textId="133D4A9D" w:rsidR="008D1161" w:rsidRPr="00DB674A" w:rsidRDefault="008D1161" w:rsidP="00DB674A">
            <w:pPr>
              <w:numPr>
                <w:ilvl w:val="12"/>
                <w:numId w:val="0"/>
              </w:numPr>
              <w:spacing w:before="40" w:after="40"/>
              <w:jc w:val="center"/>
              <w:rPr>
                <w:rFonts w:ascii="Segoe UI Light" w:hAnsi="Segoe UI Light" w:cs="Segoe UI Light"/>
                <w:b/>
                <w:bCs/>
                <w:sz w:val="16"/>
                <w:szCs w:val="16"/>
              </w:rPr>
            </w:pPr>
            <w:r w:rsidRPr="00DB674A">
              <w:rPr>
                <w:rFonts w:ascii="Segoe UI Light" w:hAnsi="Segoe UI Light" w:cs="Segoe UI Light"/>
                <w:b/>
                <w:bCs/>
                <w:sz w:val="16"/>
                <w:szCs w:val="16"/>
              </w:rPr>
              <w:t>2030</w:t>
            </w:r>
          </w:p>
        </w:tc>
        <w:tc>
          <w:tcPr>
            <w:tcW w:w="992" w:type="dxa"/>
            <w:tcBorders>
              <w:top w:val="nil"/>
              <w:left w:val="nil"/>
              <w:bottom w:val="nil"/>
              <w:right w:val="nil"/>
            </w:tcBorders>
            <w:shd w:val="clear" w:color="auto" w:fill="B6DDE8" w:themeFill="accent5" w:themeFillTint="66"/>
            <w:vAlign w:val="center"/>
          </w:tcPr>
          <w:p w14:paraId="2248298F" w14:textId="79471E0C" w:rsidR="008D1161" w:rsidRPr="00B9265B" w:rsidRDefault="0087659E"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72</w:t>
            </w:r>
          </w:p>
        </w:tc>
        <w:tc>
          <w:tcPr>
            <w:tcW w:w="993" w:type="dxa"/>
            <w:tcBorders>
              <w:top w:val="nil"/>
              <w:left w:val="nil"/>
              <w:bottom w:val="nil"/>
              <w:right w:val="nil"/>
            </w:tcBorders>
            <w:shd w:val="clear" w:color="auto" w:fill="B6DDE8" w:themeFill="accent5" w:themeFillTint="66"/>
            <w:vAlign w:val="center"/>
          </w:tcPr>
          <w:p w14:paraId="456F20F3" w14:textId="73E2E04F" w:rsidR="008D1161" w:rsidRPr="00B9265B" w:rsidRDefault="0087659E"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21</w:t>
            </w:r>
          </w:p>
        </w:tc>
        <w:tc>
          <w:tcPr>
            <w:tcW w:w="1134" w:type="dxa"/>
            <w:tcBorders>
              <w:top w:val="nil"/>
              <w:left w:val="nil"/>
              <w:bottom w:val="nil"/>
              <w:right w:val="nil"/>
            </w:tcBorders>
            <w:shd w:val="clear" w:color="auto" w:fill="B6DDE8" w:themeFill="accent5" w:themeFillTint="66"/>
            <w:vAlign w:val="center"/>
          </w:tcPr>
          <w:p w14:paraId="534FE77D" w14:textId="0804B097" w:rsidR="008D1161" w:rsidRPr="00B9265B" w:rsidRDefault="0087659E"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1,20</w:t>
            </w:r>
          </w:p>
        </w:tc>
        <w:tc>
          <w:tcPr>
            <w:tcW w:w="992" w:type="dxa"/>
            <w:tcBorders>
              <w:top w:val="nil"/>
              <w:left w:val="nil"/>
              <w:bottom w:val="nil"/>
              <w:right w:val="nil"/>
            </w:tcBorders>
            <w:shd w:val="clear" w:color="auto" w:fill="B6DDE8" w:themeFill="accent5" w:themeFillTint="66"/>
            <w:vAlign w:val="center"/>
          </w:tcPr>
          <w:p w14:paraId="3B707EC0" w14:textId="438556C8" w:rsidR="008D1161" w:rsidRPr="00B9265B" w:rsidRDefault="00C409F2"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2500</w:t>
            </w:r>
          </w:p>
        </w:tc>
        <w:tc>
          <w:tcPr>
            <w:tcW w:w="1417" w:type="dxa"/>
            <w:tcBorders>
              <w:top w:val="nil"/>
              <w:left w:val="nil"/>
              <w:bottom w:val="nil"/>
              <w:right w:val="nil"/>
            </w:tcBorders>
            <w:shd w:val="clear" w:color="auto" w:fill="B6DDE8" w:themeFill="accent5" w:themeFillTint="66"/>
            <w:vAlign w:val="center"/>
          </w:tcPr>
          <w:p w14:paraId="65BB6B82" w14:textId="4BB75D62" w:rsidR="008D1161" w:rsidRPr="00B9265B" w:rsidRDefault="00C409F2"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62,0</w:t>
            </w:r>
          </w:p>
        </w:tc>
        <w:tc>
          <w:tcPr>
            <w:tcW w:w="2835" w:type="dxa"/>
            <w:tcBorders>
              <w:top w:val="nil"/>
              <w:left w:val="nil"/>
              <w:bottom w:val="nil"/>
              <w:right w:val="nil"/>
            </w:tcBorders>
            <w:shd w:val="clear" w:color="auto" w:fill="B6DDE8" w:themeFill="accent5" w:themeFillTint="66"/>
            <w:vAlign w:val="center"/>
          </w:tcPr>
          <w:p w14:paraId="6218394F" w14:textId="482B10E3" w:rsidR="008D1161" w:rsidRPr="00B9265B" w:rsidRDefault="00B9265B"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81</w:t>
            </w:r>
          </w:p>
        </w:tc>
      </w:tr>
      <w:tr w:rsidR="008D1161" w:rsidRPr="00B9265B" w14:paraId="659DFDBC" w14:textId="77777777" w:rsidTr="008B4743">
        <w:tc>
          <w:tcPr>
            <w:tcW w:w="714" w:type="dxa"/>
            <w:tcBorders>
              <w:top w:val="nil"/>
              <w:left w:val="nil"/>
              <w:bottom w:val="nil"/>
              <w:right w:val="nil"/>
            </w:tcBorders>
            <w:shd w:val="clear" w:color="auto" w:fill="DAEEF3" w:themeFill="accent5" w:themeFillTint="33"/>
            <w:vAlign w:val="center"/>
          </w:tcPr>
          <w:p w14:paraId="3EC39D54" w14:textId="10BFF010" w:rsidR="008D1161" w:rsidRPr="00DB674A" w:rsidRDefault="008D1161" w:rsidP="00DB674A">
            <w:pPr>
              <w:numPr>
                <w:ilvl w:val="12"/>
                <w:numId w:val="0"/>
              </w:numPr>
              <w:spacing w:before="40" w:after="40"/>
              <w:jc w:val="center"/>
              <w:rPr>
                <w:rFonts w:ascii="Segoe UI Light" w:hAnsi="Segoe UI Light" w:cs="Segoe UI Light"/>
                <w:b/>
                <w:bCs/>
                <w:sz w:val="16"/>
                <w:szCs w:val="16"/>
              </w:rPr>
            </w:pPr>
            <w:r w:rsidRPr="00DB674A">
              <w:rPr>
                <w:rFonts w:ascii="Segoe UI Light" w:hAnsi="Segoe UI Light" w:cs="Segoe UI Light"/>
                <w:b/>
                <w:bCs/>
                <w:sz w:val="16"/>
                <w:szCs w:val="16"/>
              </w:rPr>
              <w:t>2035</w:t>
            </w:r>
          </w:p>
        </w:tc>
        <w:tc>
          <w:tcPr>
            <w:tcW w:w="992" w:type="dxa"/>
            <w:tcBorders>
              <w:top w:val="nil"/>
              <w:left w:val="nil"/>
              <w:bottom w:val="nil"/>
              <w:right w:val="nil"/>
            </w:tcBorders>
            <w:shd w:val="clear" w:color="auto" w:fill="DAEEF3" w:themeFill="accent5" w:themeFillTint="33"/>
            <w:vAlign w:val="center"/>
          </w:tcPr>
          <w:p w14:paraId="7177832B" w14:textId="3BDE3027" w:rsidR="008D1161" w:rsidRPr="00B9265B" w:rsidRDefault="0087659E"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80</w:t>
            </w:r>
          </w:p>
        </w:tc>
        <w:tc>
          <w:tcPr>
            <w:tcW w:w="993" w:type="dxa"/>
            <w:tcBorders>
              <w:top w:val="nil"/>
              <w:left w:val="nil"/>
              <w:bottom w:val="nil"/>
              <w:right w:val="nil"/>
            </w:tcBorders>
            <w:shd w:val="clear" w:color="auto" w:fill="DAEEF3" w:themeFill="accent5" w:themeFillTint="33"/>
            <w:vAlign w:val="center"/>
          </w:tcPr>
          <w:p w14:paraId="10EFF8CB" w14:textId="3E69F9E0" w:rsidR="008D1161" w:rsidRPr="00B9265B" w:rsidRDefault="0087659E"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25</w:t>
            </w:r>
          </w:p>
        </w:tc>
        <w:tc>
          <w:tcPr>
            <w:tcW w:w="1134" w:type="dxa"/>
            <w:tcBorders>
              <w:top w:val="nil"/>
              <w:left w:val="nil"/>
              <w:bottom w:val="nil"/>
              <w:right w:val="nil"/>
            </w:tcBorders>
            <w:shd w:val="clear" w:color="auto" w:fill="DAEEF3" w:themeFill="accent5" w:themeFillTint="33"/>
            <w:vAlign w:val="center"/>
          </w:tcPr>
          <w:p w14:paraId="61283413" w14:textId="44B8470C" w:rsidR="008D1161" w:rsidRPr="00B9265B" w:rsidRDefault="0087659E"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1,50</w:t>
            </w:r>
          </w:p>
        </w:tc>
        <w:tc>
          <w:tcPr>
            <w:tcW w:w="992" w:type="dxa"/>
            <w:tcBorders>
              <w:top w:val="nil"/>
              <w:left w:val="nil"/>
              <w:bottom w:val="nil"/>
              <w:right w:val="nil"/>
            </w:tcBorders>
            <w:shd w:val="clear" w:color="auto" w:fill="DAEEF3" w:themeFill="accent5" w:themeFillTint="33"/>
            <w:vAlign w:val="center"/>
          </w:tcPr>
          <w:p w14:paraId="5E629CCF" w14:textId="5C0C297F" w:rsidR="008D1161" w:rsidRPr="00B9265B" w:rsidRDefault="00C409F2"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3200</w:t>
            </w:r>
          </w:p>
        </w:tc>
        <w:tc>
          <w:tcPr>
            <w:tcW w:w="1417" w:type="dxa"/>
            <w:tcBorders>
              <w:top w:val="nil"/>
              <w:left w:val="nil"/>
              <w:bottom w:val="nil"/>
              <w:right w:val="nil"/>
            </w:tcBorders>
            <w:shd w:val="clear" w:color="auto" w:fill="DAEEF3" w:themeFill="accent5" w:themeFillTint="33"/>
            <w:vAlign w:val="center"/>
          </w:tcPr>
          <w:p w14:paraId="08269E39" w14:textId="0AC72DA3" w:rsidR="008D1161" w:rsidRPr="00B9265B" w:rsidRDefault="00C409F2"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68,0</w:t>
            </w:r>
          </w:p>
        </w:tc>
        <w:tc>
          <w:tcPr>
            <w:tcW w:w="2835" w:type="dxa"/>
            <w:tcBorders>
              <w:top w:val="nil"/>
              <w:left w:val="nil"/>
              <w:bottom w:val="nil"/>
              <w:right w:val="nil"/>
            </w:tcBorders>
            <w:shd w:val="clear" w:color="auto" w:fill="DAEEF3" w:themeFill="accent5" w:themeFillTint="33"/>
            <w:vAlign w:val="center"/>
          </w:tcPr>
          <w:p w14:paraId="4C90AF32" w14:textId="03D6ECBB" w:rsidR="008D1161" w:rsidRPr="00B9265B" w:rsidRDefault="00B9265B" w:rsidP="00DB674A">
            <w:pPr>
              <w:numPr>
                <w:ilvl w:val="12"/>
                <w:numId w:val="0"/>
              </w:numPr>
              <w:spacing w:before="40" w:after="40"/>
              <w:jc w:val="center"/>
              <w:rPr>
                <w:rFonts w:ascii="Segoe UI Light" w:hAnsi="Segoe UI Light" w:cs="Segoe UI Light"/>
                <w:sz w:val="16"/>
                <w:szCs w:val="16"/>
              </w:rPr>
            </w:pPr>
            <w:r w:rsidRPr="00B9265B">
              <w:rPr>
                <w:rFonts w:ascii="Segoe UI Light" w:hAnsi="Segoe UI Light" w:cs="Segoe UI Light"/>
                <w:sz w:val="16"/>
                <w:szCs w:val="16"/>
              </w:rPr>
              <w:t>95</w:t>
            </w:r>
          </w:p>
        </w:tc>
      </w:tr>
      <w:tr w:rsidR="00C607AD" w:rsidRPr="00D829F0" w14:paraId="54ABB016" w14:textId="77777777" w:rsidTr="008B4743">
        <w:tc>
          <w:tcPr>
            <w:tcW w:w="9077" w:type="dxa"/>
            <w:gridSpan w:val="7"/>
            <w:tcBorders>
              <w:top w:val="nil"/>
              <w:left w:val="nil"/>
              <w:bottom w:val="nil"/>
              <w:right w:val="nil"/>
            </w:tcBorders>
          </w:tcPr>
          <w:p w14:paraId="5ACF1028" w14:textId="77777777" w:rsidR="00C607AD" w:rsidRPr="00EF7F3C" w:rsidRDefault="00C607AD">
            <w:pPr>
              <w:spacing w:after="0"/>
              <w:ind w:firstLine="318"/>
              <w:rPr>
                <w:rFonts w:ascii="Segoe UI Light" w:hAnsi="Segoe UI Light" w:cs="Segoe UI Light"/>
                <w:sz w:val="14"/>
                <w:szCs w:val="14"/>
                <w:highlight w:val="yellow"/>
                <w:lang w:eastAsia="lv-LV"/>
              </w:rPr>
            </w:pPr>
          </w:p>
        </w:tc>
      </w:tr>
    </w:tbl>
    <w:p w14:paraId="31FF8776" w14:textId="77777777" w:rsidR="00EE120B" w:rsidRPr="00EF7F3C" w:rsidRDefault="00EE120B" w:rsidP="00761764">
      <w:pPr>
        <w:spacing w:after="0"/>
        <w:ind w:firstLine="318"/>
        <w:rPr>
          <w:rFonts w:ascii="Segoe UI Light" w:hAnsi="Segoe UI Light" w:cs="Segoe UI Light"/>
          <w:sz w:val="14"/>
          <w:szCs w:val="14"/>
          <w:highlight w:val="yellow"/>
          <w:lang w:eastAsia="lv-LV"/>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4"/>
        <w:gridCol w:w="222"/>
        <w:gridCol w:w="7567"/>
      </w:tblGrid>
      <w:tr w:rsidR="00C607AD" w:rsidRPr="00D829F0" w14:paraId="1B3D60A6" w14:textId="77777777" w:rsidTr="00FD3F28">
        <w:tc>
          <w:tcPr>
            <w:tcW w:w="4999" w:type="pct"/>
            <w:gridSpan w:val="3"/>
            <w:shd w:val="clear" w:color="auto" w:fill="0E5A69"/>
          </w:tcPr>
          <w:p w14:paraId="32FC7C68" w14:textId="77777777" w:rsidR="00C607AD" w:rsidRPr="0081382A" w:rsidRDefault="00C607AD">
            <w:pPr>
              <w:spacing w:before="120" w:after="120"/>
              <w:jc w:val="center"/>
              <w:rPr>
                <w:rFonts w:ascii="Segoe UI Light" w:hAnsi="Segoe UI Light" w:cs="Segoe UI Light"/>
                <w:b/>
                <w:color w:val="FFFFFF" w:themeColor="background1"/>
                <w:sz w:val="24"/>
                <w:lang w:eastAsia="lv-LV"/>
              </w:rPr>
            </w:pPr>
            <w:r w:rsidRPr="0081382A">
              <w:rPr>
                <w:rFonts w:ascii="Segoe UI Light" w:hAnsi="Segoe UI Light" w:cs="Segoe UI Light"/>
                <w:b/>
                <w:color w:val="FFFFFF" w:themeColor="background1"/>
                <w:sz w:val="24"/>
                <w:lang w:eastAsia="lv-LV"/>
              </w:rPr>
              <w:t>IZAUGSMES MODELIS – EKSPORTĀ BALSTĪTA ATTĪSTĪBA</w:t>
            </w:r>
          </w:p>
        </w:tc>
      </w:tr>
      <w:tr w:rsidR="00C607AD" w:rsidRPr="00D829F0" w14:paraId="60FB1713" w14:textId="77777777">
        <w:tc>
          <w:tcPr>
            <w:tcW w:w="4999" w:type="pct"/>
            <w:gridSpan w:val="3"/>
          </w:tcPr>
          <w:p w14:paraId="1CB182FE" w14:textId="77777777" w:rsidR="00C607AD" w:rsidRPr="0081382A" w:rsidRDefault="00C607AD">
            <w:pPr>
              <w:spacing w:after="0"/>
              <w:ind w:firstLine="318"/>
              <w:rPr>
                <w:rFonts w:ascii="Aptos Narrow" w:hAnsi="Aptos Narrow" w:cs="Calibri"/>
                <w:sz w:val="14"/>
                <w:szCs w:val="14"/>
                <w:lang w:eastAsia="lv-LV"/>
              </w:rPr>
            </w:pPr>
          </w:p>
        </w:tc>
      </w:tr>
      <w:tr w:rsidR="00C607AD" w:rsidRPr="00D829F0" w14:paraId="6E39BE17" w14:textId="77777777" w:rsidTr="00FD3F28">
        <w:trPr>
          <w:trHeight w:val="1814"/>
        </w:trPr>
        <w:tc>
          <w:tcPr>
            <w:tcW w:w="708" w:type="pct"/>
            <w:shd w:val="clear" w:color="auto" w:fill="DCE7EB"/>
          </w:tcPr>
          <w:p w14:paraId="1BB114B6" w14:textId="77777777" w:rsidR="00C607AD" w:rsidRPr="0081382A" w:rsidRDefault="00C607AD">
            <w:pPr>
              <w:spacing w:before="60"/>
              <w:jc w:val="center"/>
              <w:rPr>
                <w:rFonts w:ascii="Aptos Narrow" w:hAnsi="Aptos Narrow" w:cs="Calibri"/>
                <w:b/>
                <w:sz w:val="18"/>
                <w:szCs w:val="18"/>
                <w:u w:val="single"/>
                <w:lang w:eastAsia="lv-LV"/>
              </w:rPr>
            </w:pPr>
            <w:r w:rsidRPr="0081382A">
              <w:rPr>
                <w:rFonts w:ascii="Aptos Narrow" w:hAnsi="Aptos Narrow" w:cs="Calibri"/>
                <w:b/>
                <w:sz w:val="18"/>
                <w:szCs w:val="18"/>
                <w:u w:val="single"/>
                <w:lang w:eastAsia="lv-LV"/>
              </w:rPr>
              <w:t>Ārējie faktori</w:t>
            </w:r>
          </w:p>
          <w:p w14:paraId="737457AA" w14:textId="77777777" w:rsidR="00C607AD" w:rsidRPr="0081382A" w:rsidRDefault="00C607AD">
            <w:pPr>
              <w:spacing w:before="60" w:after="60"/>
              <w:jc w:val="center"/>
              <w:rPr>
                <w:rFonts w:ascii="Aptos Narrow" w:hAnsi="Aptos Narrow" w:cs="Calibri Light"/>
                <w:sz w:val="18"/>
                <w:szCs w:val="18"/>
                <w:lang w:eastAsia="lv-LV"/>
              </w:rPr>
            </w:pPr>
            <w:r w:rsidRPr="0081382A">
              <w:rPr>
                <w:rFonts w:ascii="Aptos Narrow" w:hAnsi="Aptos Narrow" w:cs="Calibri"/>
                <w:noProof/>
                <w:sz w:val="22"/>
                <w:lang w:eastAsia="lv-LV"/>
              </w:rPr>
              <w:drawing>
                <wp:inline distT="0" distB="0" distL="0" distR="0" wp14:anchorId="09163BE8" wp14:editId="3504F1B3">
                  <wp:extent cx="360000" cy="360000"/>
                  <wp:effectExtent l="0" t="0" r="2540" b="2540"/>
                  <wp:docPr id="505026640" name="Picture 505026640" descr="Globe Icon | Business &amp; Finance Outline Iconpack | Iconk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lobe Icon | Business &amp; Finance Outline Iconpack | Iconka.com"/>
                          <pic:cNvPicPr>
                            <a:picLocks noChangeAspect="1" noChangeArrowheads="1"/>
                          </pic:cNvPicPr>
                        </pic:nvPicPr>
                        <pic:blipFill>
                          <a:blip r:embed="rId114"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p w14:paraId="515414E2" w14:textId="77777777" w:rsidR="00C607AD" w:rsidRPr="0081382A" w:rsidRDefault="00C607AD">
            <w:pPr>
              <w:spacing w:before="60" w:after="60"/>
              <w:jc w:val="center"/>
              <w:rPr>
                <w:rFonts w:ascii="Aptos Narrow" w:hAnsi="Aptos Narrow" w:cs="Calibri Light"/>
                <w:sz w:val="18"/>
                <w:szCs w:val="18"/>
                <w:lang w:eastAsia="lv-LV"/>
              </w:rPr>
            </w:pPr>
            <w:r w:rsidRPr="0081382A">
              <w:rPr>
                <w:rFonts w:ascii="Aptos Narrow" w:hAnsi="Aptos Narrow" w:cs="Calibri Light"/>
                <w:sz w:val="18"/>
                <w:szCs w:val="18"/>
                <w:lang w:eastAsia="lv-LV"/>
              </w:rPr>
              <w:t>Ģeopolitiskā situācija</w:t>
            </w:r>
          </w:p>
          <w:p w14:paraId="21B21352" w14:textId="77777777" w:rsidR="00C607AD" w:rsidRPr="0081382A" w:rsidRDefault="00C607AD">
            <w:pPr>
              <w:spacing w:before="60" w:after="120"/>
              <w:jc w:val="center"/>
              <w:rPr>
                <w:rFonts w:ascii="Aptos Narrow" w:hAnsi="Aptos Narrow" w:cs="Calibri Light"/>
                <w:sz w:val="4"/>
                <w:szCs w:val="4"/>
                <w:lang w:eastAsia="lv-LV"/>
              </w:rPr>
            </w:pPr>
          </w:p>
          <w:p w14:paraId="479BF5DF" w14:textId="77777777" w:rsidR="00C607AD" w:rsidRPr="0081382A" w:rsidRDefault="00C607AD">
            <w:pPr>
              <w:spacing w:before="60" w:after="60"/>
              <w:jc w:val="center"/>
              <w:rPr>
                <w:rFonts w:ascii="Aptos Narrow" w:hAnsi="Aptos Narrow" w:cs="Calibri Light"/>
                <w:sz w:val="18"/>
                <w:szCs w:val="18"/>
                <w:lang w:eastAsia="lv-LV"/>
              </w:rPr>
            </w:pPr>
            <w:r w:rsidRPr="0081382A">
              <w:rPr>
                <w:rFonts w:ascii="Aptos Narrow" w:hAnsi="Aptos Narrow" w:cs="Calibri"/>
                <w:noProof/>
                <w:sz w:val="22"/>
                <w:lang w:eastAsia="lv-LV"/>
              </w:rPr>
              <w:drawing>
                <wp:inline distT="0" distB="0" distL="0" distR="0" wp14:anchorId="19B91F45" wp14:editId="6DF1593A">
                  <wp:extent cx="408128" cy="396000"/>
                  <wp:effectExtent l="0" t="0" r="0" b="4445"/>
                  <wp:docPr id="505026641" name="Picture 505026641" descr="Best European Green Deal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st European Green Deal Royalty-Free Images, Stock Photos &amp; Pictures |  Shutterstock"/>
                          <pic:cNvPicPr>
                            <a:picLocks noChangeAspect="1" noChangeArrowheads="1"/>
                          </pic:cNvPicPr>
                        </pic:nvPicPr>
                        <pic:blipFill rotWithShape="1">
                          <a:blip r:embed="rId115" cstate="print">
                            <a:clrChange>
                              <a:clrFrom>
                                <a:srgbClr val="FFFFFF"/>
                              </a:clrFrom>
                              <a:clrTo>
                                <a:srgbClr val="FFFFFF">
                                  <a:alpha val="0"/>
                                </a:srgbClr>
                              </a:clrTo>
                            </a:clrChange>
                            <a:extLst>
                              <a:ext uri="{28A0092B-C50C-407E-A947-70E740481C1C}">
                                <a14:useLocalDpi xmlns:a14="http://schemas.microsoft.com/office/drawing/2010/main" val="0"/>
                              </a:ext>
                            </a:extLst>
                          </a:blip>
                          <a:srcRect l="23432" t="10442" r="22805" b="16753"/>
                          <a:stretch/>
                        </pic:blipFill>
                        <pic:spPr bwMode="auto">
                          <a:xfrm>
                            <a:off x="0" y="0"/>
                            <a:ext cx="408128" cy="396000"/>
                          </a:xfrm>
                          <a:prstGeom prst="rect">
                            <a:avLst/>
                          </a:prstGeom>
                          <a:noFill/>
                          <a:ln>
                            <a:noFill/>
                          </a:ln>
                          <a:extLst>
                            <a:ext uri="{53640926-AAD7-44D8-BBD7-CCE9431645EC}">
                              <a14:shadowObscured xmlns:a14="http://schemas.microsoft.com/office/drawing/2010/main"/>
                            </a:ext>
                          </a:extLst>
                        </pic:spPr>
                      </pic:pic>
                    </a:graphicData>
                  </a:graphic>
                </wp:inline>
              </w:drawing>
            </w:r>
          </w:p>
          <w:p w14:paraId="453457FC" w14:textId="77777777" w:rsidR="00C607AD" w:rsidRPr="0081382A" w:rsidRDefault="00C607AD">
            <w:pPr>
              <w:spacing w:before="60" w:after="60"/>
              <w:jc w:val="center"/>
              <w:rPr>
                <w:rFonts w:ascii="Aptos Narrow" w:hAnsi="Aptos Narrow" w:cs="Calibri Light"/>
                <w:sz w:val="18"/>
                <w:szCs w:val="18"/>
                <w:lang w:eastAsia="lv-LV"/>
              </w:rPr>
            </w:pPr>
            <w:r w:rsidRPr="0081382A">
              <w:rPr>
                <w:rFonts w:ascii="Aptos Narrow" w:hAnsi="Aptos Narrow" w:cs="Calibri Light"/>
                <w:sz w:val="18"/>
                <w:szCs w:val="18"/>
                <w:lang w:eastAsia="lv-LV"/>
              </w:rPr>
              <w:t>ES zaļais kurss</w:t>
            </w:r>
          </w:p>
          <w:p w14:paraId="04202E93" w14:textId="77777777" w:rsidR="00C607AD" w:rsidRPr="0081382A" w:rsidRDefault="00C607AD">
            <w:pPr>
              <w:spacing w:before="60" w:after="120"/>
              <w:jc w:val="center"/>
              <w:rPr>
                <w:rFonts w:ascii="Aptos Narrow" w:hAnsi="Aptos Narrow" w:cs="Calibri Light"/>
                <w:sz w:val="4"/>
                <w:szCs w:val="4"/>
                <w:lang w:eastAsia="lv-LV"/>
              </w:rPr>
            </w:pPr>
          </w:p>
          <w:p w14:paraId="61A77094" w14:textId="77777777" w:rsidR="00C607AD" w:rsidRPr="0081382A" w:rsidRDefault="00C607AD">
            <w:pPr>
              <w:spacing w:before="60" w:after="60"/>
              <w:jc w:val="center"/>
              <w:rPr>
                <w:rFonts w:ascii="Aptos Narrow" w:hAnsi="Aptos Narrow" w:cs="Calibri Light"/>
                <w:sz w:val="18"/>
                <w:szCs w:val="18"/>
                <w:lang w:eastAsia="lv-LV"/>
              </w:rPr>
            </w:pPr>
            <w:r w:rsidRPr="0081382A">
              <w:rPr>
                <w:rFonts w:ascii="Aptos Narrow" w:hAnsi="Aptos Narrow" w:cs="Calibri"/>
                <w:noProof/>
                <w:sz w:val="22"/>
                <w:lang w:eastAsia="lv-LV"/>
              </w:rPr>
              <w:drawing>
                <wp:inline distT="0" distB="0" distL="0" distR="0" wp14:anchorId="5EF90AFE" wp14:editId="1327951B">
                  <wp:extent cx="432000" cy="432000"/>
                  <wp:effectExtent l="0" t="0" r="6350" b="6350"/>
                  <wp:docPr id="505026697" name="Picture 505026697" descr="Tech Icons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ch Icons Vector Art, Icons, and Graphics for Free Download"/>
                          <pic:cNvPicPr>
                            <a:picLocks noChangeAspect="1" noChangeArrowheads="1"/>
                          </pic:cNvPicPr>
                        </pic:nvPicPr>
                        <pic:blipFill>
                          <a:blip r:embed="rId1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p w14:paraId="6F96B9ED" w14:textId="77777777" w:rsidR="00C607AD" w:rsidRPr="0081382A" w:rsidRDefault="00C607AD">
            <w:pPr>
              <w:spacing w:before="60" w:after="60"/>
              <w:jc w:val="center"/>
              <w:rPr>
                <w:rFonts w:ascii="Aptos Narrow" w:hAnsi="Aptos Narrow" w:cs="Calibri Light"/>
                <w:sz w:val="18"/>
                <w:szCs w:val="18"/>
                <w:lang w:eastAsia="lv-LV"/>
              </w:rPr>
            </w:pPr>
            <w:r w:rsidRPr="0081382A">
              <w:rPr>
                <w:rFonts w:ascii="Aptos Narrow" w:hAnsi="Aptos Narrow" w:cs="Calibri Light"/>
                <w:sz w:val="18"/>
                <w:szCs w:val="18"/>
                <w:lang w:eastAsia="lv-LV"/>
              </w:rPr>
              <w:t>Tehnoloģiskais progress, inovācijas</w:t>
            </w:r>
          </w:p>
          <w:p w14:paraId="0467A2FA" w14:textId="77777777" w:rsidR="00C607AD" w:rsidRPr="0081382A" w:rsidRDefault="00C607AD">
            <w:pPr>
              <w:spacing w:before="60" w:after="120"/>
              <w:jc w:val="center"/>
              <w:rPr>
                <w:rFonts w:ascii="Aptos Narrow" w:hAnsi="Aptos Narrow" w:cs="Calibri Light"/>
                <w:sz w:val="4"/>
                <w:szCs w:val="4"/>
                <w:lang w:eastAsia="lv-LV"/>
              </w:rPr>
            </w:pPr>
          </w:p>
          <w:p w14:paraId="16E3F743" w14:textId="77777777" w:rsidR="00C607AD" w:rsidRPr="0081382A" w:rsidRDefault="00C607AD">
            <w:pPr>
              <w:spacing w:before="60" w:after="60"/>
              <w:jc w:val="center"/>
              <w:rPr>
                <w:rFonts w:ascii="Aptos Narrow" w:hAnsi="Aptos Narrow" w:cs="Calibri Light"/>
                <w:sz w:val="18"/>
                <w:szCs w:val="18"/>
                <w:lang w:eastAsia="lv-LV"/>
              </w:rPr>
            </w:pPr>
            <w:r w:rsidRPr="0081382A">
              <w:rPr>
                <w:rFonts w:ascii="Aptos Narrow" w:hAnsi="Aptos Narrow" w:cs="Calibri"/>
                <w:noProof/>
                <w:sz w:val="22"/>
                <w:lang w:eastAsia="lv-LV"/>
              </w:rPr>
              <w:drawing>
                <wp:inline distT="0" distB="0" distL="0" distR="0" wp14:anchorId="708FF6AF" wp14:editId="5DF79B85">
                  <wp:extent cx="360000" cy="360000"/>
                  <wp:effectExtent l="0" t="0" r="2540" b="2540"/>
                  <wp:docPr id="505026643" name="Picture 505026643" descr="Ai Icons - Free SVG &amp; PNG Ai Image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i Icons - Free SVG &amp; PNG Ai Images - Noun Project"/>
                          <pic:cNvPicPr>
                            <a:picLocks noChangeAspect="1" noChangeArrowheads="1"/>
                          </pic:cNvPicPr>
                        </pic:nvPicPr>
                        <pic:blipFill>
                          <a:blip r:embed="rId117"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p w14:paraId="42917FC9" w14:textId="77777777" w:rsidR="00C607AD" w:rsidRPr="0081382A" w:rsidRDefault="00C607AD">
            <w:pPr>
              <w:spacing w:before="60" w:after="120"/>
              <w:jc w:val="center"/>
              <w:rPr>
                <w:rFonts w:ascii="Aptos Narrow" w:hAnsi="Aptos Narrow" w:cs="Calibri Light"/>
                <w:sz w:val="18"/>
                <w:szCs w:val="18"/>
                <w:lang w:eastAsia="lv-LV"/>
              </w:rPr>
            </w:pPr>
            <w:r w:rsidRPr="0081382A">
              <w:rPr>
                <w:rFonts w:ascii="Aptos Narrow" w:hAnsi="Aptos Narrow" w:cs="Calibri Light"/>
                <w:sz w:val="18"/>
                <w:szCs w:val="18"/>
                <w:lang w:eastAsia="lv-LV"/>
              </w:rPr>
              <w:t>Digitalizācija un mākslīgais intelekts (MI)</w:t>
            </w:r>
          </w:p>
        </w:tc>
        <w:tc>
          <w:tcPr>
            <w:tcW w:w="122" w:type="pct"/>
            <w:shd w:val="clear" w:color="auto" w:fill="DCE7EB"/>
          </w:tcPr>
          <w:p w14:paraId="62E00F92" w14:textId="77777777" w:rsidR="00C607AD" w:rsidRPr="0081382A" w:rsidRDefault="00C607AD">
            <w:pPr>
              <w:spacing w:after="0"/>
              <w:rPr>
                <w:rFonts w:ascii="Calibri" w:hAnsi="Calibri" w:cs="Calibri"/>
                <w:sz w:val="22"/>
                <w:lang w:eastAsia="lv-LV"/>
              </w:rPr>
            </w:pPr>
            <w:r w:rsidRPr="0081382A">
              <w:rPr>
                <w:noProof/>
              </w:rPr>
              <mc:AlternateContent>
                <mc:Choice Requires="wps">
                  <w:drawing>
                    <wp:anchor distT="0" distB="0" distL="114300" distR="114300" simplePos="0" relativeHeight="251658399" behindDoc="0" locked="0" layoutInCell="1" allowOverlap="1" wp14:anchorId="7F163892" wp14:editId="12853187">
                      <wp:simplePos x="0" y="0"/>
                      <wp:positionH relativeFrom="column">
                        <wp:posOffset>90170</wp:posOffset>
                      </wp:positionH>
                      <wp:positionV relativeFrom="paragraph">
                        <wp:posOffset>19685</wp:posOffset>
                      </wp:positionV>
                      <wp:extent cx="4582160" cy="893445"/>
                      <wp:effectExtent l="0" t="0" r="0" b="0"/>
                      <wp:wrapNone/>
                      <wp:docPr id="1047" name="Text 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2160" cy="893445"/>
                              </a:xfrm>
                              <a:prstGeom prst="rect">
                                <a:avLst/>
                              </a:prstGeom>
                              <a:noFill/>
                            </wps:spPr>
                            <wps:txbx>
                              <w:txbxContent>
                                <w:p w14:paraId="657F5D50" w14:textId="77777777" w:rsidR="00C607AD" w:rsidRPr="00C37E6D" w:rsidRDefault="00C607AD" w:rsidP="00FD3F28">
                                  <w:pPr>
                                    <w:shd w:val="clear" w:color="auto" w:fill="DCE7EB"/>
                                    <w:kinsoku w:val="0"/>
                                    <w:overflowPunct w:val="0"/>
                                    <w:spacing w:after="12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①</w:t>
                                  </w:r>
                                  <w:r w:rsidRPr="00C37E6D">
                                    <w:rPr>
                                      <w:rFonts w:ascii="Aptos Narrow" w:hAnsi="Aptos Narrow" w:cs="Calibri Light"/>
                                      <w:kern w:val="24"/>
                                      <w:sz w:val="18"/>
                                      <w:szCs w:val="18"/>
                                    </w:rPr>
                                    <w:t xml:space="preserve"> </w:t>
                                  </w:r>
                                  <w:r w:rsidRPr="00C37E6D">
                                    <w:rPr>
                                      <w:rFonts w:ascii="Aptos Narrow" w:hAnsi="Aptos Narrow" w:cs="Arial"/>
                                      <w:kern w:val="24"/>
                                      <w:sz w:val="18"/>
                                      <w:szCs w:val="18"/>
                                    </w:rPr>
                                    <w:t xml:space="preserve">VISU IEDZĪVOTĀJU DZĪVES KVALITĀTE, IENĀKUMI, LABKLĀJĪBA </w:t>
                                  </w:r>
                                  <w:r w:rsidRPr="00C37E6D">
                                    <w:rPr>
                                      <w:rFonts w:ascii="Symbol" w:eastAsia="Symbol" w:hAnsi="Symbol" w:cs="Symbol"/>
                                      <w:kern w:val="24"/>
                                      <w:sz w:val="18"/>
                                      <w:szCs w:val="18"/>
                                    </w:rPr>
                                    <w:t>®</w:t>
                                  </w:r>
                                  <w:r w:rsidRPr="00C37E6D">
                                    <w:rPr>
                                      <w:rFonts w:ascii="Aptos Narrow" w:hAnsi="Aptos Narrow" w:cs="Arial"/>
                                      <w:kern w:val="24"/>
                                      <w:sz w:val="18"/>
                                      <w:szCs w:val="18"/>
                                    </w:rPr>
                                    <w:t xml:space="preserve"> PIEPRASĪJUMA </w:t>
                                  </w:r>
                                  <w:r>
                                    <w:rPr>
                                      <w:rFonts w:ascii="Aptos Narrow" w:hAnsi="Aptos Narrow" w:cs="Arial"/>
                                      <w:kern w:val="24"/>
                                      <w:sz w:val="18"/>
                                      <w:szCs w:val="18"/>
                                    </w:rPr>
                                    <w:br/>
                                  </w:r>
                                  <w:r w:rsidRPr="00C37E6D">
                                    <w:rPr>
                                      <w:rFonts w:ascii="Aptos Narrow" w:hAnsi="Aptos Narrow" w:cs="Arial"/>
                                      <w:kern w:val="24"/>
                                      <w:sz w:val="18"/>
                                      <w:szCs w:val="18"/>
                                    </w:rPr>
                                    <w:t>PIEAUGUMS – IEKŠĒJĀ TIRGUS ATTĪSTĪBA</w:t>
                                  </w:r>
                                </w:p>
                                <w:p w14:paraId="622BB4E1" w14:textId="77777777" w:rsidR="00C607AD" w:rsidRPr="00C37E6D" w:rsidRDefault="00C607AD" w:rsidP="00FD3F28">
                                  <w:pPr>
                                    <w:shd w:val="clear" w:color="auto" w:fill="DCE7EB"/>
                                    <w:kinsoku w:val="0"/>
                                    <w:overflowPunct w:val="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②</w:t>
                                  </w:r>
                                  <w:r w:rsidRPr="00C37E6D">
                                    <w:rPr>
                                      <w:rFonts w:ascii="Aptos Narrow" w:hAnsi="Aptos Narrow" w:cs="Calibri Light"/>
                                      <w:kern w:val="24"/>
                                      <w:sz w:val="18"/>
                                      <w:szCs w:val="18"/>
                                    </w:rPr>
                                    <w:t xml:space="preserve"> LIEL</w:t>
                                  </w:r>
                                  <w:r w:rsidRPr="00C37E6D">
                                    <w:rPr>
                                      <w:rFonts w:ascii="Aptos Narrow" w:hAnsi="Aptos Narrow" w:cs="Arial Nova Cond"/>
                                      <w:kern w:val="24"/>
                                      <w:sz w:val="18"/>
                                      <w:szCs w:val="18"/>
                                    </w:rPr>
                                    <w:t>Ā</w:t>
                                  </w:r>
                                  <w:r w:rsidRPr="00C37E6D">
                                    <w:rPr>
                                      <w:rFonts w:ascii="Aptos Narrow" w:hAnsi="Aptos Narrow" w:cs="Calibri Light"/>
                                      <w:kern w:val="24"/>
                                      <w:sz w:val="18"/>
                                      <w:szCs w:val="18"/>
                                    </w:rPr>
                                    <w:t xml:space="preserve">KA EKONOMIKA </w:t>
                                  </w:r>
                                  <w:r w:rsidRPr="00C37E6D">
                                    <w:rPr>
                                      <w:rFonts w:ascii="Symbol" w:eastAsia="Symbol" w:hAnsi="Symbol" w:cs="Symbol"/>
                                      <w:kern w:val="24"/>
                                      <w:sz w:val="18"/>
                                      <w:szCs w:val="18"/>
                                    </w:rPr>
                                    <w:t></w:t>
                                  </w:r>
                                  <w:r w:rsidRPr="00C37E6D">
                                    <w:rPr>
                                      <w:rFonts w:ascii="Aptos Narrow" w:hAnsi="Aptos Narrow" w:cs="Calibri Light"/>
                                      <w:kern w:val="24"/>
                                      <w:sz w:val="18"/>
                                      <w:szCs w:val="18"/>
                                    </w:rPr>
                                    <w:t xml:space="preserve"> LIELĀKI IEŅĒMUMI VALSTS BUDŽETĀ = KVALITATĪVĀKI </w:t>
                                  </w:r>
                                  <w:r>
                                    <w:rPr>
                                      <w:rFonts w:ascii="Aptos Narrow" w:hAnsi="Aptos Narrow" w:cs="Calibri Light"/>
                                      <w:kern w:val="24"/>
                                      <w:sz w:val="18"/>
                                      <w:szCs w:val="18"/>
                                    </w:rPr>
                                    <w:br/>
                                  </w:r>
                                  <w:r w:rsidRPr="00C37E6D">
                                    <w:rPr>
                                      <w:rFonts w:ascii="Aptos Narrow" w:hAnsi="Aptos Narrow" w:cs="Calibri Light"/>
                                      <w:kern w:val="24"/>
                                      <w:sz w:val="18"/>
                                      <w:szCs w:val="18"/>
                                    </w:rPr>
                                    <w:t>PUBILISKIE PAKALPOJUMI, INFRASTRUKTŪRAS ATTĪSTĪBA</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7F163892" id="Text Box 1047" o:spid="_x0000_s1225" type="#_x0000_t202" style="position:absolute;margin-left:7.1pt;margin-top:1.55pt;width:360.8pt;height:70.3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zCkwEAAAsDAAAOAAAAZHJzL2Uyb0RvYy54bWysUsFOGzEQvVfiHyzfiZM0oGSVDaIgekFQ&#10;CfgAx2tnLdYe1+NkN3/fsRMSVG5VL7Nrz/jNe29meTO4ju10RAu+5pPRmDPtFTTWb2r+9vpwOecM&#10;k/SN7MDrmu818pvVxbdlHyo9hRa6RkdGIB6rPtS8TSlUQqBqtZM4gqA9JQ1EJxMd40Y0UfaE7jox&#10;HY+vRQ+xCRGURqTb+0OSrwq+MVqlZ2NQJ9bVnLilEmOJ6xzFaimrTZShtepIQ/4DCyetp6YnqHuZ&#10;JNtG+wXKWRUBwaSRAifAGKt00UBqJuO/1Ly0MuiihczBcLIJ/x+setq9hF+RpeEHDDTAIgLDI6h3&#10;JG9EH7A61mRPsUKqzkIHE13+kgRGD8nb/clPPSSm6HJ2NZ9OrimlKDdffJ/NrrLh4vw6REw/NTiW&#10;f2oeaV6Fgdw9YjqUfpTkZh4ebNd98DpQyaTSsB6YbYj/YpE75Ls1NHsS1tNsa46/tzJqzmLq7qCs&#10;QobDcLtNBFk6nd8cZZPjhetxO/JIP59L1XmHV38AAAD//wMAUEsDBBQABgAIAAAAIQAyAZ5a2wAA&#10;AAgBAAAPAAAAZHJzL2Rvd25yZXYueG1sTI/NTsMwEITvSLyDtUjcqJOGQhXiVBU/EgcuLeG+jZck&#10;Il5Hsdukb8/2BMfZGc1+U2xm16sTjaHzbCBdJKCIa287bgxUn293a1AhIlvsPZOBMwXYlNdXBebW&#10;T7yj0z42Sko45GigjXHItQ51Sw7Dwg/E4n370WEUOTbajjhJuev1MkketMOO5UOLAz23VP/sj85A&#10;jHabnqtXF96/5o+XqU3qFVbG3N7M2ydQkeb4F4YLvqBDKUwHf2QbVC/6filJA1kKSuzHbCVLDpd7&#10;tgZdFvr/gPIXAAD//wMAUEsBAi0AFAAGAAgAAAAhALaDOJL+AAAA4QEAABMAAAAAAAAAAAAAAAAA&#10;AAAAAFtDb250ZW50X1R5cGVzXS54bWxQSwECLQAUAAYACAAAACEAOP0h/9YAAACUAQAACwAAAAAA&#10;AAAAAAAAAAAvAQAAX3JlbHMvLnJlbHNQSwECLQAUAAYACAAAACEAzqccwpMBAAALAwAADgAAAAAA&#10;AAAAAAAAAAAuAgAAZHJzL2Uyb0RvYy54bWxQSwECLQAUAAYACAAAACEAMgGeWtsAAAAIAQAADwAA&#10;AAAAAAAAAAAAAADtAwAAZHJzL2Rvd25yZXYueG1sUEsFBgAAAAAEAAQA8wAAAPUEAAAAAA==&#10;" filled="f" stroked="f">
                      <v:textbox style="mso-fit-shape-to-text:t">
                        <w:txbxContent>
                          <w:p w14:paraId="657F5D50" w14:textId="77777777" w:rsidR="00C607AD" w:rsidRPr="00C37E6D" w:rsidRDefault="00C607AD" w:rsidP="00FD3F28">
                            <w:pPr>
                              <w:shd w:val="clear" w:color="auto" w:fill="DCE7EB"/>
                              <w:kinsoku w:val="0"/>
                              <w:overflowPunct w:val="0"/>
                              <w:spacing w:after="12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①</w:t>
                            </w:r>
                            <w:r w:rsidRPr="00C37E6D">
                              <w:rPr>
                                <w:rFonts w:ascii="Aptos Narrow" w:hAnsi="Aptos Narrow" w:cs="Calibri Light"/>
                                <w:kern w:val="24"/>
                                <w:sz w:val="18"/>
                                <w:szCs w:val="18"/>
                              </w:rPr>
                              <w:t xml:space="preserve"> </w:t>
                            </w:r>
                            <w:r w:rsidRPr="00C37E6D">
                              <w:rPr>
                                <w:rFonts w:ascii="Aptos Narrow" w:hAnsi="Aptos Narrow" w:cs="Arial"/>
                                <w:kern w:val="24"/>
                                <w:sz w:val="18"/>
                                <w:szCs w:val="18"/>
                              </w:rPr>
                              <w:t xml:space="preserve">VISU IEDZĪVOTĀJU DZĪVES KVALITĀTE, IENĀKUMI, LABKLĀJĪBA </w:t>
                            </w:r>
                            <w:r w:rsidRPr="00C37E6D">
                              <w:rPr>
                                <w:rFonts w:ascii="Symbol" w:eastAsia="Symbol" w:hAnsi="Symbol" w:cs="Symbol"/>
                                <w:kern w:val="24"/>
                                <w:sz w:val="18"/>
                                <w:szCs w:val="18"/>
                              </w:rPr>
                              <w:t>®</w:t>
                            </w:r>
                            <w:r w:rsidRPr="00C37E6D">
                              <w:rPr>
                                <w:rFonts w:ascii="Aptos Narrow" w:hAnsi="Aptos Narrow" w:cs="Arial"/>
                                <w:kern w:val="24"/>
                                <w:sz w:val="18"/>
                                <w:szCs w:val="18"/>
                              </w:rPr>
                              <w:t xml:space="preserve"> PIEPRASĪJUMA </w:t>
                            </w:r>
                            <w:r>
                              <w:rPr>
                                <w:rFonts w:ascii="Aptos Narrow" w:hAnsi="Aptos Narrow" w:cs="Arial"/>
                                <w:kern w:val="24"/>
                                <w:sz w:val="18"/>
                                <w:szCs w:val="18"/>
                              </w:rPr>
                              <w:br/>
                            </w:r>
                            <w:r w:rsidRPr="00C37E6D">
                              <w:rPr>
                                <w:rFonts w:ascii="Aptos Narrow" w:hAnsi="Aptos Narrow" w:cs="Arial"/>
                                <w:kern w:val="24"/>
                                <w:sz w:val="18"/>
                                <w:szCs w:val="18"/>
                              </w:rPr>
                              <w:t>PIEAUGUMS – IEKŠĒJĀ TIRGUS ATTĪSTĪBA</w:t>
                            </w:r>
                          </w:p>
                          <w:p w14:paraId="622BB4E1" w14:textId="77777777" w:rsidR="00C607AD" w:rsidRPr="00C37E6D" w:rsidRDefault="00C607AD" w:rsidP="00FD3F28">
                            <w:pPr>
                              <w:shd w:val="clear" w:color="auto" w:fill="DCE7EB"/>
                              <w:kinsoku w:val="0"/>
                              <w:overflowPunct w:val="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②</w:t>
                            </w:r>
                            <w:r w:rsidRPr="00C37E6D">
                              <w:rPr>
                                <w:rFonts w:ascii="Aptos Narrow" w:hAnsi="Aptos Narrow" w:cs="Calibri Light"/>
                                <w:kern w:val="24"/>
                                <w:sz w:val="18"/>
                                <w:szCs w:val="18"/>
                              </w:rPr>
                              <w:t xml:space="preserve"> LIEL</w:t>
                            </w:r>
                            <w:r w:rsidRPr="00C37E6D">
                              <w:rPr>
                                <w:rFonts w:ascii="Aptos Narrow" w:hAnsi="Aptos Narrow" w:cs="Arial Nova Cond"/>
                                <w:kern w:val="24"/>
                                <w:sz w:val="18"/>
                                <w:szCs w:val="18"/>
                              </w:rPr>
                              <w:t>Ā</w:t>
                            </w:r>
                            <w:r w:rsidRPr="00C37E6D">
                              <w:rPr>
                                <w:rFonts w:ascii="Aptos Narrow" w:hAnsi="Aptos Narrow" w:cs="Calibri Light"/>
                                <w:kern w:val="24"/>
                                <w:sz w:val="18"/>
                                <w:szCs w:val="18"/>
                              </w:rPr>
                              <w:t xml:space="preserve">KA EKONOMIKA </w:t>
                            </w:r>
                            <w:r w:rsidRPr="00C37E6D">
                              <w:rPr>
                                <w:rFonts w:ascii="Symbol" w:eastAsia="Symbol" w:hAnsi="Symbol" w:cs="Symbol"/>
                                <w:kern w:val="24"/>
                                <w:sz w:val="18"/>
                                <w:szCs w:val="18"/>
                              </w:rPr>
                              <w:t></w:t>
                            </w:r>
                            <w:r w:rsidRPr="00C37E6D">
                              <w:rPr>
                                <w:rFonts w:ascii="Aptos Narrow" w:hAnsi="Aptos Narrow" w:cs="Calibri Light"/>
                                <w:kern w:val="24"/>
                                <w:sz w:val="18"/>
                                <w:szCs w:val="18"/>
                              </w:rPr>
                              <w:t xml:space="preserve"> LIELĀKI IEŅĒMUMI VALSTS BUDŽETĀ = KVALITATĪVĀKI </w:t>
                            </w:r>
                            <w:r>
                              <w:rPr>
                                <w:rFonts w:ascii="Aptos Narrow" w:hAnsi="Aptos Narrow" w:cs="Calibri Light"/>
                                <w:kern w:val="24"/>
                                <w:sz w:val="18"/>
                                <w:szCs w:val="18"/>
                              </w:rPr>
                              <w:br/>
                            </w:r>
                            <w:r w:rsidRPr="00C37E6D">
                              <w:rPr>
                                <w:rFonts w:ascii="Aptos Narrow" w:hAnsi="Aptos Narrow" w:cs="Calibri Light"/>
                                <w:kern w:val="24"/>
                                <w:sz w:val="18"/>
                                <w:szCs w:val="18"/>
                              </w:rPr>
                              <w:t>PUBILISKIE PAKALPOJUMI, INFRASTRUKTŪRAS ATTĪSTĪBA</w:t>
                            </w:r>
                          </w:p>
                        </w:txbxContent>
                      </v:textbox>
                    </v:shape>
                  </w:pict>
                </mc:Fallback>
              </mc:AlternateContent>
            </w:r>
          </w:p>
          <w:p w14:paraId="48C22DCE" w14:textId="77777777" w:rsidR="00C607AD" w:rsidRPr="0081382A" w:rsidRDefault="00C607AD">
            <w:pPr>
              <w:spacing w:after="0"/>
              <w:rPr>
                <w:rFonts w:ascii="Calibri" w:hAnsi="Calibri" w:cs="Calibri"/>
                <w:sz w:val="22"/>
                <w:lang w:eastAsia="lv-LV"/>
              </w:rPr>
            </w:pPr>
          </w:p>
          <w:p w14:paraId="5C64028A" w14:textId="77777777" w:rsidR="00C607AD" w:rsidRPr="0081382A" w:rsidRDefault="00C607AD">
            <w:pPr>
              <w:spacing w:after="0"/>
              <w:rPr>
                <w:rFonts w:ascii="Calibri" w:hAnsi="Calibri" w:cs="Calibri"/>
                <w:sz w:val="22"/>
                <w:lang w:eastAsia="lv-LV"/>
              </w:rPr>
            </w:pPr>
          </w:p>
          <w:p w14:paraId="03C245A6" w14:textId="77777777" w:rsidR="00C607AD" w:rsidRPr="0081382A" w:rsidRDefault="00C607AD">
            <w:pPr>
              <w:spacing w:after="0"/>
              <w:rPr>
                <w:rFonts w:ascii="Calibri" w:hAnsi="Calibri" w:cs="Calibri"/>
                <w:sz w:val="22"/>
                <w:lang w:eastAsia="lv-LV"/>
              </w:rPr>
            </w:pPr>
            <w:r w:rsidRPr="0081382A">
              <w:rPr>
                <w:noProof/>
              </w:rPr>
              <mc:AlternateContent>
                <mc:Choice Requires="wps">
                  <w:drawing>
                    <wp:anchor distT="0" distB="0" distL="114300" distR="114300" simplePos="0" relativeHeight="251658397" behindDoc="0" locked="0" layoutInCell="1" allowOverlap="1" wp14:anchorId="1AC9BE85" wp14:editId="489EA9D1">
                      <wp:simplePos x="0" y="0"/>
                      <wp:positionH relativeFrom="column">
                        <wp:posOffset>2070735</wp:posOffset>
                      </wp:positionH>
                      <wp:positionV relativeFrom="paragraph">
                        <wp:posOffset>171450</wp:posOffset>
                      </wp:positionV>
                      <wp:extent cx="549910" cy="374015"/>
                      <wp:effectExtent l="0" t="0" r="0" b="0"/>
                      <wp:wrapNone/>
                      <wp:docPr id="1046" name="Text Box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374015"/>
                              </a:xfrm>
                              <a:prstGeom prst="rect">
                                <a:avLst/>
                              </a:prstGeom>
                              <a:noFill/>
                            </wps:spPr>
                            <wps:txbx>
                              <w:txbxContent>
                                <w:p w14:paraId="41C70E61"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AC9BE85" id="Text Box 1046" o:spid="_x0000_s1226" type="#_x0000_t202" style="position:absolute;margin-left:163.05pt;margin-top:13.5pt;width:43.3pt;height:29.45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IkgEAAAoDAAAOAAAAZHJzL2Uyb0RvYy54bWysUsGO0zAQvSPxD5bv1OmyC2zUdAWslssK&#10;kBY+wHXsxiL2mBm3Sf+esdttEdwQFyf2zLx5782s7uYwir1F8hA7uVw0UthooPdx28nv3x5evZOC&#10;so69HiHaTh4sybv1yxerKbX2CgYYe4uCQSK1U+rkkHNqlSIz2KBpAclGDjrAoDNfcat61BOjh1Fd&#10;Nc0bNQH2CcFYIn69PwbluuI7Z03+4hzZLMZOMrdcT6znppxqvdLtFnUavDnR0P/AImgfuekZ6l5n&#10;LXbo/4IK3iAQuLwwEBQ4542tGljNsvlDzdOgk61a2BxKZ5vo/8Gaz/un9BVFnj/AzAOsIig9gvlB&#10;7I2aErWnnOIptcTZRejsMJQvSxBcyN4ezn7aOQvDjzfXt7dLjhgOvX573Sxvit/qUpyQ8icLQZSf&#10;TiKPqxLQ+0fKx9TnlNIrwoMfx2daRyaFU543s/B9J3kjSofytoH+wLomHm0n6edOo5UC8/gR6iYU&#10;OErvd5kha6dLzUk1G165npajTPT3e826rPD6FwAAAP//AwBQSwMEFAAGAAgAAAAhAAg8hVjeAAAA&#10;CQEAAA8AAABkcnMvZG93bnJldi54bWxMj8tOwzAQRfdI/IM1SOyok0AfhEyqiofEgg0l7KfxkETE&#10;dhS7Tfr3DCtYjubo3nOL7Wx7deIxdN4hpIsEFLvam841CNXHy80GVIjkDPXeMcKZA2zLy4uCcuMn&#10;986nfWyUhLiQE0Ib45BrHeqWLYWFH9jJ78uPlqKcY6PNSJOE215nSbLSljonDS0N/Nhy/b0/WoQY&#10;zS49V882vH7Ob09Tm9RLqhCvr+bdA6jIc/yD4Vdf1KEUp4M/OhNUj3CbrVJBEbK1bBLgLs3WoA4I&#10;m+U96LLQ/xeUPwAAAP//AwBQSwECLQAUAAYACAAAACEAtoM4kv4AAADhAQAAEwAAAAAAAAAAAAAA&#10;AAAAAAAAW0NvbnRlbnRfVHlwZXNdLnhtbFBLAQItABQABgAIAAAAIQA4/SH/1gAAAJQBAAALAAAA&#10;AAAAAAAAAAAAAC8BAABfcmVscy8ucmVsc1BLAQItABQABgAIAAAAIQCEP+ZIkgEAAAoDAAAOAAAA&#10;AAAAAAAAAAAAAC4CAABkcnMvZTJvRG9jLnhtbFBLAQItABQABgAIAAAAIQAIPIVY3gAAAAkBAAAP&#10;AAAAAAAAAAAAAAAAAOwDAABkcnMvZG93bnJldi54bWxQSwUGAAAAAAQABADzAAAA9wQAAAAA&#10;" filled="f" stroked="f">
                      <v:textbox style="mso-fit-shape-to-text:t">
                        <w:txbxContent>
                          <w:p w14:paraId="41C70E61"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w:pict>
                </mc:Fallback>
              </mc:AlternateContent>
            </w:r>
          </w:p>
          <w:p w14:paraId="4EF698CB" w14:textId="77777777" w:rsidR="00C607AD" w:rsidRPr="0081382A" w:rsidRDefault="00C607AD">
            <w:pPr>
              <w:spacing w:after="0"/>
              <w:rPr>
                <w:rFonts w:ascii="Calibri" w:hAnsi="Calibri" w:cs="Calibri"/>
                <w:sz w:val="22"/>
                <w:lang w:eastAsia="lv-LV"/>
              </w:rPr>
            </w:pPr>
          </w:p>
          <w:p w14:paraId="65507305" w14:textId="77777777" w:rsidR="00C607AD" w:rsidRPr="0081382A" w:rsidRDefault="00C607AD">
            <w:pPr>
              <w:spacing w:after="0"/>
              <w:rPr>
                <w:rFonts w:ascii="Calibri" w:hAnsi="Calibri" w:cs="Calibri"/>
                <w:sz w:val="22"/>
                <w:lang w:eastAsia="lv-LV"/>
              </w:rPr>
            </w:pPr>
          </w:p>
          <w:p w14:paraId="5A596766" w14:textId="77777777" w:rsidR="00C607AD" w:rsidRPr="0081382A" w:rsidRDefault="00C607AD">
            <w:pPr>
              <w:spacing w:after="0"/>
              <w:rPr>
                <w:rFonts w:ascii="Calibri" w:hAnsi="Calibri" w:cs="Calibri"/>
                <w:sz w:val="22"/>
                <w:lang w:eastAsia="lv-LV"/>
              </w:rPr>
            </w:pPr>
            <w:r w:rsidRPr="0081382A">
              <w:rPr>
                <w:noProof/>
              </w:rPr>
              <mc:AlternateContent>
                <mc:Choice Requires="wps">
                  <w:drawing>
                    <wp:anchor distT="0" distB="0" distL="114300" distR="114300" simplePos="0" relativeHeight="251658394" behindDoc="0" locked="0" layoutInCell="1" allowOverlap="1" wp14:anchorId="09E584EE" wp14:editId="4529554F">
                      <wp:simplePos x="0" y="0"/>
                      <wp:positionH relativeFrom="column">
                        <wp:posOffset>2071370</wp:posOffset>
                      </wp:positionH>
                      <wp:positionV relativeFrom="paragraph">
                        <wp:posOffset>127000</wp:posOffset>
                      </wp:positionV>
                      <wp:extent cx="549910" cy="374015"/>
                      <wp:effectExtent l="0" t="0" r="0" b="0"/>
                      <wp:wrapNone/>
                      <wp:docPr id="1045" name="Text 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374015"/>
                              </a:xfrm>
                              <a:prstGeom prst="rect">
                                <a:avLst/>
                              </a:prstGeom>
                              <a:noFill/>
                            </wps:spPr>
                            <wps:txbx>
                              <w:txbxContent>
                                <w:p w14:paraId="0C7F75A2"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9E584EE" id="Text Box 1045" o:spid="_x0000_s1227" type="#_x0000_t202" style="position:absolute;margin-left:163.1pt;margin-top:10pt;width:43.3pt;height:29.45pt;z-index:251658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SkkQEAAAoDAAAOAAAAZHJzL2Uyb0RvYy54bWysUsGO0zAQvSPxD5bv1OmyC2zUdAWslssK&#10;kBY+wHXsxiL2mBm3Sf+esdttEdwQl0nsGb95782s7uYwir1F8hA7uVw0UthooPdx28nv3x5evZOC&#10;so69HiHaTh4sybv1yxerKbX2CgYYe4uCQSK1U+rkkHNqlSIz2KBpAclGTjrAoDMfcat61BOjh1Fd&#10;Nc0bNQH2CcFYIr69PybluuI7Z03+4hzZLMZOMrdcI9a4KVGtV7rdok6DNyca+h9YBO0jNz1D3eus&#10;xQ79X1DBGwQClxcGggLnvLFVA6tZNn+oeRp0slULm0PpbBP9P1jzef+UvqLI8weYeYBVBKVHMD+I&#10;vVFTovZUUzyllri6CJ0dhvJlCYIfsreHs592zsLw5c317e2SM4ZTr99eN8ub4re6PE5I+ZOFIMpP&#10;J5HHVQno/SPlY+lzSekV4cGP4zOtI5PCKc+bWfi+k+xh6VDuNtAfWNfEo+0k/dxptFJgHj9C3YQC&#10;R+n9LjNk7XR5c1LNhleup+UoE/39XKsuK7z+BQAA//8DAFBLAwQUAAYACAAAACEA/gTc+N0AAAAJ&#10;AQAADwAAAGRycy9kb3ducmV2LnhtbEyPy07DMBBF90j8gzVI7KiTAKUNmVQVD4kFG0q6n8ZDEhHb&#10;Uew26d8zrGA5mqN7zy02s+3VicfQeYeQLhJQ7GpvOtcgVJ+vNytQIZIz1HvHCGcOsCkvLwrKjZ/c&#10;B592sVES4kJOCG2MQ651qFu2FBZ+YCe/Lz9ainKOjTYjTRJue50lyVJb6pw0tDTwU8v19+5oEWI0&#10;2/Rcvdjwtp/fn6c2qe+pQry+mrePoCLP8Q+GX31Rh1KcDv7oTFA9wm22zARFkBpQAtylmWw5IDys&#10;1qDLQv9fUP4AAAD//wMAUEsBAi0AFAAGAAgAAAAhALaDOJL+AAAA4QEAABMAAAAAAAAAAAAAAAAA&#10;AAAAAFtDb250ZW50X1R5cGVzXS54bWxQSwECLQAUAAYACAAAACEAOP0h/9YAAACUAQAACwAAAAAA&#10;AAAAAAAAAAAvAQAAX3JlbHMvLnJlbHNQSwECLQAUAAYACAAAACEATMMUpJEBAAAKAwAADgAAAAAA&#10;AAAAAAAAAAAuAgAAZHJzL2Uyb0RvYy54bWxQSwECLQAUAAYACAAAACEA/gTc+N0AAAAJAQAADwAA&#10;AAAAAAAAAAAAAADrAwAAZHJzL2Rvd25yZXYueG1sUEsFBgAAAAAEAAQA8wAAAPUEAAAAAA==&#10;" filled="f" stroked="f">
                      <v:textbox style="mso-fit-shape-to-text:t">
                        <w:txbxContent>
                          <w:p w14:paraId="0C7F75A2"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w:pict>
                </mc:Fallback>
              </mc:AlternateContent>
            </w:r>
          </w:p>
          <w:p w14:paraId="32E09311" w14:textId="77777777" w:rsidR="00C607AD" w:rsidRPr="0081382A" w:rsidRDefault="00C607AD">
            <w:pPr>
              <w:spacing w:after="0"/>
              <w:rPr>
                <w:rFonts w:ascii="Calibri" w:hAnsi="Calibri" w:cs="Calibri"/>
                <w:sz w:val="22"/>
                <w:lang w:eastAsia="lv-LV"/>
              </w:rPr>
            </w:pPr>
          </w:p>
          <w:p w14:paraId="6C76B2F0" w14:textId="77777777" w:rsidR="00C607AD" w:rsidRPr="0081382A" w:rsidRDefault="00C607AD">
            <w:pPr>
              <w:spacing w:after="0"/>
              <w:rPr>
                <w:rFonts w:ascii="Calibri" w:hAnsi="Calibri" w:cs="Calibri"/>
                <w:sz w:val="22"/>
                <w:lang w:eastAsia="lv-LV"/>
              </w:rPr>
            </w:pPr>
            <w:r w:rsidRPr="0081382A">
              <w:rPr>
                <w:noProof/>
              </w:rPr>
              <mc:AlternateContent>
                <mc:Choice Requires="wps">
                  <w:drawing>
                    <wp:anchor distT="0" distB="0" distL="114300" distR="114300" simplePos="0" relativeHeight="251658389" behindDoc="0" locked="0" layoutInCell="1" allowOverlap="1" wp14:anchorId="5DBA900A" wp14:editId="5934AF64">
                      <wp:simplePos x="0" y="0"/>
                      <wp:positionH relativeFrom="column">
                        <wp:posOffset>91440</wp:posOffset>
                      </wp:positionH>
                      <wp:positionV relativeFrom="paragraph">
                        <wp:posOffset>5715</wp:posOffset>
                      </wp:positionV>
                      <wp:extent cx="4572000" cy="360045"/>
                      <wp:effectExtent l="0" t="0" r="0" b="1905"/>
                      <wp:wrapNone/>
                      <wp:docPr id="1044" name="Text 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360045"/>
                              </a:xfrm>
                              <a:prstGeom prst="rect">
                                <a:avLst/>
                              </a:prstGeom>
                              <a:solidFill>
                                <a:sysClr val="window" lastClr="FFFFFF">
                                  <a:lumMod val="95000"/>
                                </a:sysClr>
                              </a:solidFill>
                              <a:ln w="28575">
                                <a:noFill/>
                              </a:ln>
                            </wps:spPr>
                            <wps:txbx>
                              <w:txbxContent>
                                <w:p w14:paraId="10D08BE4" w14:textId="77777777" w:rsidR="00C607AD" w:rsidRPr="00E77D15" w:rsidRDefault="00C607AD" w:rsidP="00C607AD">
                                  <w:pPr>
                                    <w:kinsoku w:val="0"/>
                                    <w:overflowPunct w:val="0"/>
                                    <w:spacing w:after="0"/>
                                    <w:jc w:val="center"/>
                                    <w:textAlignment w:val="baseline"/>
                                    <w:rPr>
                                      <w:rFonts w:ascii="Aptos Narrow" w:hAnsi="Aptos Narrow" w:cs="Arial"/>
                                      <w:color w:val="000000"/>
                                      <w:kern w:val="24"/>
                                      <w:szCs w:val="20"/>
                                    </w:rPr>
                                  </w:pPr>
                                  <w:r w:rsidRPr="00E77D15">
                                    <w:rPr>
                                      <w:rFonts w:ascii="Aptos Narrow" w:hAnsi="Aptos Narrow" w:cs="Arial"/>
                                      <w:color w:val="000000"/>
                                      <w:kern w:val="24"/>
                                      <w:szCs w:val="20"/>
                                    </w:rPr>
                                    <w:t xml:space="preserve">Jauni produkti un pakalpojumi globālā tirgū – </w:t>
                                  </w:r>
                                </w:p>
                                <w:p w14:paraId="2B935A9C" w14:textId="77777777" w:rsidR="00C607AD" w:rsidRPr="00E77D15" w:rsidRDefault="00C607AD" w:rsidP="00C607AD">
                                  <w:pPr>
                                    <w:kinsoku w:val="0"/>
                                    <w:overflowPunct w:val="0"/>
                                    <w:spacing w:after="0"/>
                                    <w:jc w:val="center"/>
                                    <w:textAlignment w:val="baseline"/>
                                    <w:rPr>
                                      <w:rFonts w:ascii="Aptos Narrow" w:hAnsi="Aptos Narrow" w:cs="Arial"/>
                                      <w:b/>
                                      <w:bCs/>
                                      <w:color w:val="008080"/>
                                      <w:kern w:val="24"/>
                                      <w:szCs w:val="20"/>
                                    </w:rPr>
                                  </w:pPr>
                                  <w:r w:rsidRPr="00E77D15">
                                    <w:rPr>
                                      <w:rFonts w:ascii="Aptos Narrow" w:hAnsi="Aptos Narrow" w:cs="Arial"/>
                                      <w:b/>
                                      <w:bCs/>
                                      <w:color w:val="008080"/>
                                      <w:kern w:val="24"/>
                                      <w:szCs w:val="20"/>
                                    </w:rPr>
                                    <w:t>IENĀKUMU PIEAUGUMS NO EKSPORTA</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DBA900A" id="Text Box 1044" o:spid="_x0000_s1228" type="#_x0000_t202" style="position:absolute;margin-left:7.2pt;margin-top:.45pt;width:5in;height:28.35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kV5AEAALgDAAAOAAAAZHJzL2Uyb0RvYy54bWysU9uO2yAQfa/Uf0C8N/am692tFWfV7ipV&#10;pe1F2vYDCOAYFTOUIbHz9x2wk/TyVjUPZICZwzlnxqv7sbfsoAMacA2/WpScaSdBGbdr+Levm1d3&#10;nGEUTgkLTjf8qJHfr1++WA2+1kvowCodGIE4rAff8C5GXxcFyk73AhfgtaPLFkIvIm3DrlBBDITe&#10;22JZljfFAEH5AFIj0unjdMnXGb9ttYyf2xZ1ZLbhxC3mNeR1m9ZivRL1LgjfGTnTEP/AohfG0aNn&#10;qEcRBdsH8xdUb2QAhDYuJPQFtK2ROmsgNVflH2qeO+F11kLmoD/bhP8PVn46PPsvgcXxHYzUwCwC&#10;/RPI70jeFIPHes5JnmKNlJ2Ejm3o0z9JYFRI3h7PfuoxMkmH19Ut9YiuJN29vinL6yoZXlyqfcD4&#10;XkPPUtDwQP3KDMThCeOUekpJjyFYozbG2rw54oMN7CCotTQRCgbOrMBIhw3f5F/Gsvv+I6gp702V&#10;+EzAmOsznd9wrWNDw5d31W2V6x2kF6ca62ZPJhuSIXHcjswoqiiXCTmdbUEdydSB5qrh+GMvgiZu&#10;Hxw1Lg3hKQinYHsKQrQPMI2qcLIDUiJjmGm83UdoTbbl8sjMh8YjK5lHOc3fr/ucdfng1j8BAAD/&#10;/wMAUEsDBBQABgAIAAAAIQC4Yr9A2wAAAAYBAAAPAAAAZHJzL2Rvd25yZXYueG1sTI5BT4NAEIXv&#10;Jv6HzZh4MXZRERRZGmNsogcPtjVepzAClp2l7NLiv3d60uOX9/Lel88n26k9Db51bOBqFoEiLl3V&#10;cm1gvVpc3oHyAbnCzjEZ+CEP8+L0JMescgd+p/0y1EpG2GdooAmhz7T2ZUMW/cz1xJJ9ucFiEBxq&#10;XQ14kHHb6esoSrTFluWhwZ6eGiq3y9EaSF+2z2O6+/hMvumip7fF7jUmNOb8bHp8ABVoCn9lOOqL&#10;OhTitHEjV151wnEsTQP3oCRNb464MXCbJqCLXP/XL34BAAD//wMAUEsBAi0AFAAGAAgAAAAhALaD&#10;OJL+AAAA4QEAABMAAAAAAAAAAAAAAAAAAAAAAFtDb250ZW50X1R5cGVzXS54bWxQSwECLQAUAAYA&#10;CAAAACEAOP0h/9YAAACUAQAACwAAAAAAAAAAAAAAAAAvAQAAX3JlbHMvLnJlbHNQSwECLQAUAAYA&#10;CAAAACEAsXApFeQBAAC4AwAADgAAAAAAAAAAAAAAAAAuAgAAZHJzL2Uyb0RvYy54bWxQSwECLQAU&#10;AAYACAAAACEAuGK/QNsAAAAGAQAADwAAAAAAAAAAAAAAAAA+BAAAZHJzL2Rvd25yZXYueG1sUEsF&#10;BgAAAAAEAAQA8wAAAEYFAAAAAA==&#10;" fillcolor="#f2f2f2" stroked="f" strokeweight="2.25pt">
                      <v:textbox inset="0,0,0,0">
                        <w:txbxContent>
                          <w:p w14:paraId="10D08BE4" w14:textId="77777777" w:rsidR="00C607AD" w:rsidRPr="00E77D15" w:rsidRDefault="00C607AD" w:rsidP="00C607AD">
                            <w:pPr>
                              <w:kinsoku w:val="0"/>
                              <w:overflowPunct w:val="0"/>
                              <w:spacing w:after="0"/>
                              <w:jc w:val="center"/>
                              <w:textAlignment w:val="baseline"/>
                              <w:rPr>
                                <w:rFonts w:ascii="Aptos Narrow" w:hAnsi="Aptos Narrow" w:cs="Arial"/>
                                <w:color w:val="000000"/>
                                <w:kern w:val="24"/>
                                <w:szCs w:val="20"/>
                              </w:rPr>
                            </w:pPr>
                            <w:r w:rsidRPr="00E77D15">
                              <w:rPr>
                                <w:rFonts w:ascii="Aptos Narrow" w:hAnsi="Aptos Narrow" w:cs="Arial"/>
                                <w:color w:val="000000"/>
                                <w:kern w:val="24"/>
                                <w:szCs w:val="20"/>
                              </w:rPr>
                              <w:t xml:space="preserve">Jauni produkti un pakalpojumi globālā tirgū – </w:t>
                            </w:r>
                          </w:p>
                          <w:p w14:paraId="2B935A9C" w14:textId="77777777" w:rsidR="00C607AD" w:rsidRPr="00E77D15" w:rsidRDefault="00C607AD" w:rsidP="00C607AD">
                            <w:pPr>
                              <w:kinsoku w:val="0"/>
                              <w:overflowPunct w:val="0"/>
                              <w:spacing w:after="0"/>
                              <w:jc w:val="center"/>
                              <w:textAlignment w:val="baseline"/>
                              <w:rPr>
                                <w:rFonts w:ascii="Aptos Narrow" w:hAnsi="Aptos Narrow" w:cs="Arial"/>
                                <w:b/>
                                <w:bCs/>
                                <w:color w:val="008080"/>
                                <w:kern w:val="24"/>
                                <w:szCs w:val="20"/>
                              </w:rPr>
                            </w:pPr>
                            <w:r w:rsidRPr="00E77D15">
                              <w:rPr>
                                <w:rFonts w:ascii="Aptos Narrow" w:hAnsi="Aptos Narrow" w:cs="Arial"/>
                                <w:b/>
                                <w:bCs/>
                                <w:color w:val="008080"/>
                                <w:kern w:val="24"/>
                                <w:szCs w:val="20"/>
                              </w:rPr>
                              <w:t>IENĀKUMU PIEAUGUMS NO EKSPORTA</w:t>
                            </w:r>
                          </w:p>
                        </w:txbxContent>
                      </v:textbox>
                    </v:shape>
                  </w:pict>
                </mc:Fallback>
              </mc:AlternateContent>
            </w:r>
          </w:p>
          <w:p w14:paraId="20BB9122" w14:textId="77777777" w:rsidR="00C607AD" w:rsidRPr="0081382A" w:rsidRDefault="00C607AD">
            <w:pPr>
              <w:spacing w:after="0"/>
              <w:rPr>
                <w:rFonts w:ascii="Calibri" w:hAnsi="Calibri" w:cs="Calibri"/>
                <w:sz w:val="22"/>
                <w:lang w:eastAsia="lv-LV"/>
              </w:rPr>
            </w:pPr>
          </w:p>
          <w:p w14:paraId="56BB8736" w14:textId="77777777" w:rsidR="00C607AD" w:rsidRPr="0081382A" w:rsidRDefault="00C607AD">
            <w:pPr>
              <w:spacing w:after="0"/>
              <w:rPr>
                <w:rFonts w:ascii="Calibri" w:hAnsi="Calibri" w:cs="Calibri"/>
                <w:sz w:val="22"/>
                <w:lang w:eastAsia="lv-LV"/>
              </w:rPr>
            </w:pPr>
            <w:r w:rsidRPr="0081382A">
              <w:rPr>
                <w:noProof/>
              </w:rPr>
              <mc:AlternateContent>
                <mc:Choice Requires="wps">
                  <w:drawing>
                    <wp:anchor distT="0" distB="0" distL="114300" distR="114300" simplePos="0" relativeHeight="251658395" behindDoc="0" locked="0" layoutInCell="1" allowOverlap="1" wp14:anchorId="55396E69" wp14:editId="174D9F3E">
                      <wp:simplePos x="0" y="0"/>
                      <wp:positionH relativeFrom="column">
                        <wp:posOffset>2071370</wp:posOffset>
                      </wp:positionH>
                      <wp:positionV relativeFrom="paragraph">
                        <wp:posOffset>24765</wp:posOffset>
                      </wp:positionV>
                      <wp:extent cx="549910" cy="374015"/>
                      <wp:effectExtent l="0" t="0" r="0" b="0"/>
                      <wp:wrapNone/>
                      <wp:docPr id="1043" name="Text 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374015"/>
                              </a:xfrm>
                              <a:prstGeom prst="rect">
                                <a:avLst/>
                              </a:prstGeom>
                              <a:noFill/>
                            </wps:spPr>
                            <wps:txbx>
                              <w:txbxContent>
                                <w:p w14:paraId="4F07CFAA"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5396E69" id="Text Box 1043" o:spid="_x0000_s1229" type="#_x0000_t202" style="position:absolute;margin-left:163.1pt;margin-top:1.95pt;width:43.3pt;height:29.45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CmkwEAAAoDAAAOAAAAZHJzL2Uyb0RvYy54bWysUsFOGzEQvSPxD5bvjTcBCqyyQaWIXhAg&#10;hX6A47WzVtce43Gym7/v2AkJam9VL7Nrz/jNe29mfje6nm11RAu+4dNJxZn2Clrr1w3/+fb45YYz&#10;TNK3sgevG77TyO8W52fzIdR6Bh30rY6MQDzWQ2h4l1KohUDVaSdxAkF7ShqITiY6xrVooxwI3fVi&#10;VlVfxQCxDRGURqTbh32SLwq+MVqlF2NQJ9Y3nLilEmOJqxzFYi7rdZShs+pAQ/4DCyetp6ZHqAeZ&#10;JNtE+xeUsyoCgkkTBU6AMVbpooHUTKs/1Cw7GXTRQuZgONqE/w9WPW+X4TWyNN7DSAMsIjA8gfqF&#10;5I0YAtaHmuwp1kjVWehoostfksDoIXm7O/qpx8QUXV5d3t5OKaModXF9WU2vst/i9DhETD80OJZ/&#10;Gh5pXIWA3D5h2pd+lOReHh5t33/Q2jPJnNK4GpltGz6rLnKHfLeCdke6Bhptw/F9I6PmLKb+O5RN&#10;yHAYvm0SQZZOpzcH1WR44XpYjjzRz+dSdVrhxW8AAAD//wMAUEsDBBQABgAIAAAAIQB4/AxT3AAA&#10;AAgBAAAPAAAAZHJzL2Rvd25yZXYueG1sTI/NTsNADITvSLzDykjc6CYBIhqyqSp+JA5cKOndzZok&#10;IuuNstsmfXvMCU62NaPxN+VmcYM60RR6zwbSVQKKuPG259ZA/fl68wAqRGSLg2cycKYAm+ryosTC&#10;+pk/6LSLrZIQDgUa6GIcC61D05HDsPIjsWhffnIY5ZxabSecJdwNOkuSXDvsWT50ONJTR8337ugM&#10;xGi36bl+ceFtv7w/z13S3GNtzPXVsn0EFWmJf2b4xRd0qITp4I9sgxoM3GZ5JlZZ1qBEv0szqXIw&#10;kMvUVan/F6h+AAAA//8DAFBLAQItABQABgAIAAAAIQC2gziS/gAAAOEBAAATAAAAAAAAAAAAAAAA&#10;AAAAAABbQ29udGVudF9UeXBlc10ueG1sUEsBAi0AFAAGAAgAAAAhADj9If/WAAAAlAEAAAsAAAAA&#10;AAAAAAAAAAAALwEAAF9yZWxzLy5yZWxzUEsBAi0AFAAGAAgAAAAhAJ08gKaTAQAACgMAAA4AAAAA&#10;AAAAAAAAAAAALgIAAGRycy9lMm9Eb2MueG1sUEsBAi0AFAAGAAgAAAAhAHj8DFPcAAAACAEAAA8A&#10;AAAAAAAAAAAAAAAA7QMAAGRycy9kb3ducmV2LnhtbFBLBQYAAAAABAAEAPMAAAD2BAAAAAA=&#10;" filled="f" stroked="f">
                      <v:textbox style="mso-fit-shape-to-text:t">
                        <w:txbxContent>
                          <w:p w14:paraId="4F07CFAA"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w:pict>
                </mc:Fallback>
              </mc:AlternateContent>
            </w:r>
          </w:p>
          <w:p w14:paraId="733F15DB" w14:textId="77777777" w:rsidR="00C607AD" w:rsidRPr="0081382A" w:rsidRDefault="00C607AD">
            <w:pPr>
              <w:spacing w:after="0"/>
              <w:rPr>
                <w:rFonts w:ascii="Calibri" w:hAnsi="Calibri" w:cs="Calibri"/>
                <w:sz w:val="22"/>
                <w:lang w:eastAsia="lv-LV"/>
              </w:rPr>
            </w:pPr>
            <w:r w:rsidRPr="0081382A">
              <w:rPr>
                <w:noProof/>
              </w:rPr>
              <mc:AlternateContent>
                <mc:Choice Requires="wps">
                  <w:drawing>
                    <wp:anchor distT="0" distB="0" distL="114300" distR="114300" simplePos="0" relativeHeight="251658390" behindDoc="0" locked="0" layoutInCell="1" allowOverlap="1" wp14:anchorId="17E2D2FC" wp14:editId="73C4CFA1">
                      <wp:simplePos x="0" y="0"/>
                      <wp:positionH relativeFrom="column">
                        <wp:posOffset>83820</wp:posOffset>
                      </wp:positionH>
                      <wp:positionV relativeFrom="paragraph">
                        <wp:posOffset>59690</wp:posOffset>
                      </wp:positionV>
                      <wp:extent cx="4572000" cy="360045"/>
                      <wp:effectExtent l="0" t="0" r="0" b="1905"/>
                      <wp:wrapNone/>
                      <wp:docPr id="1042" name="Text 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360045"/>
                              </a:xfrm>
                              <a:prstGeom prst="rect">
                                <a:avLst/>
                              </a:prstGeom>
                              <a:solidFill>
                                <a:sysClr val="window" lastClr="FFFFFF">
                                  <a:lumMod val="95000"/>
                                </a:sysClr>
                              </a:solidFill>
                              <a:ln w="28575">
                                <a:noFill/>
                              </a:ln>
                            </wps:spPr>
                            <wps:txbx>
                              <w:txbxContent>
                                <w:p w14:paraId="79B6810D" w14:textId="77777777" w:rsidR="00C607AD" w:rsidRPr="00E77D15" w:rsidRDefault="00C607AD" w:rsidP="00C607AD">
                                  <w:pPr>
                                    <w:kinsoku w:val="0"/>
                                    <w:overflowPunct w:val="0"/>
                                    <w:spacing w:after="0"/>
                                    <w:jc w:val="center"/>
                                    <w:textAlignment w:val="baseline"/>
                                    <w:rPr>
                                      <w:rFonts w:ascii="Aptos Narrow" w:hAnsi="Aptos Narrow" w:cs="Arial"/>
                                      <w:color w:val="000000"/>
                                      <w:kern w:val="24"/>
                                      <w:szCs w:val="20"/>
                                    </w:rPr>
                                  </w:pPr>
                                  <w:r w:rsidRPr="00E77D15">
                                    <w:rPr>
                                      <w:rFonts w:ascii="Aptos Narrow" w:hAnsi="Aptos Narrow" w:cs="Arial"/>
                                      <w:color w:val="000000"/>
                                      <w:kern w:val="24"/>
                                      <w:szCs w:val="20"/>
                                    </w:rPr>
                                    <w:t xml:space="preserve">jaunas biznesa idejas – </w:t>
                                  </w:r>
                                  <w:r w:rsidRPr="00E77D15">
                                    <w:rPr>
                                      <w:rFonts w:ascii="Aptos Narrow" w:hAnsi="Aptos Narrow" w:cs="Arial"/>
                                      <w:b/>
                                      <w:bCs/>
                                      <w:color w:val="008080"/>
                                      <w:kern w:val="24"/>
                                      <w:szCs w:val="20"/>
                                    </w:rPr>
                                    <w:t>UZŅĒMUMU KONKURĒTSPĒJA</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17E2D2FC" id="Text Box 1042" o:spid="_x0000_s1230" type="#_x0000_t202" style="position:absolute;margin-left:6.6pt;margin-top:4.7pt;width:5in;height:28.35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Td5AEAALgDAAAOAAAAZHJzL2Uyb0RvYy54bWysU9uO2yAQfa/Uf0C8N/amyV6sOKt2V6kq&#10;bS/Sbj+AYIhRMUMZEjt/3wE7SS9vVfNABpg5nHNmvLofOssOKqABV/OrWcmZchIa43Y1//ayeXPL&#10;GUbhGmHBqZofFfL79etXq95Xag4t2EYFRiAOq97XvI3RV0WBslWdwBl45ehSQ+hEpG3YFU0QPaF3&#10;tpiX5XXRQ2h8AKkQ6fRxvOTrjK+1kvGL1qgiszUnbjGvIa/btBbrlah2QfjWyImG+AcWnTCOHj1D&#10;PYoo2D6Yv6A6IwMg6DiT0BWgtZEqayA1V+Ufap5b4VXWQuagP9uE/w9Wfj48+6+BxeE9DNTALAL9&#10;E8jvSN4UvcdqykmeYoWUnYQOOnTpnyQwKiRvj2c/1RCZpMPF8oZ6RFeS7t5el+VimQwvLtU+YPyg&#10;oGMpqHmgfmUG4vCEcUw9paTHEKxpNsbavDnigw3sIKi1NBEN9JxZgZEOa77Jv4xl990naMa8u2Xi&#10;MwJjrs90fsO1jvU1n98ub5a53kF6cayxbvJktCEZEoftwExDFeUiIaezLTRHMrWnuao5/tiLoIjb&#10;R0eNS0N4CsIp2J6CEO0DjKMqnGyBlMgYJhrv9hG0ybZcHpn40HhkJdMop/n7dZ+zLh/c+icAAAD/&#10;/wMAUEsDBBQABgAIAAAAIQDs/rVa3QAAAAcBAAAPAAAAZHJzL2Rvd25yZXYueG1sTI49T8NAEER7&#10;JP7DaZFoEDnnQzYYnyOEiAQFBSER7cZebBPfnuM7J+bfs6mgfJrRzMuWo23VkXrfODYwnUSgiAtX&#10;NlwZ2Hysbu9A+YBcYuuYDPyQh2V+eZFhWroTv9NxHSolI+xTNFCH0KVa+6Imi37iOmLJvlxvMQj2&#10;lS57PMm4bfUsimJtsWF5qLGjp5qK/XqwBpKX/fOQHLaf8TfddPS2OrwuCI25vhofH0AFGsNfGc76&#10;og65OO3cwKVXrfB8Jk0D9wtQEifzM+8MxPEUdJ7p//75LwAAAP//AwBQSwECLQAUAAYACAAAACEA&#10;toM4kv4AAADhAQAAEwAAAAAAAAAAAAAAAAAAAAAAW0NvbnRlbnRfVHlwZXNdLnhtbFBLAQItABQA&#10;BgAIAAAAIQA4/SH/1gAAAJQBAAALAAAAAAAAAAAAAAAAAC8BAABfcmVscy8ucmVsc1BLAQItABQA&#10;BgAIAAAAIQBAGJTd5AEAALgDAAAOAAAAAAAAAAAAAAAAAC4CAABkcnMvZTJvRG9jLnhtbFBLAQIt&#10;ABQABgAIAAAAIQDs/rVa3QAAAAcBAAAPAAAAAAAAAAAAAAAAAD4EAABkcnMvZG93bnJldi54bWxQ&#10;SwUGAAAAAAQABADzAAAASAUAAAAA&#10;" fillcolor="#f2f2f2" stroked="f" strokeweight="2.25pt">
                      <v:textbox inset="0,0,0,0">
                        <w:txbxContent>
                          <w:p w14:paraId="79B6810D" w14:textId="77777777" w:rsidR="00C607AD" w:rsidRPr="00E77D15" w:rsidRDefault="00C607AD" w:rsidP="00C607AD">
                            <w:pPr>
                              <w:kinsoku w:val="0"/>
                              <w:overflowPunct w:val="0"/>
                              <w:spacing w:after="0"/>
                              <w:jc w:val="center"/>
                              <w:textAlignment w:val="baseline"/>
                              <w:rPr>
                                <w:rFonts w:ascii="Aptos Narrow" w:hAnsi="Aptos Narrow" w:cs="Arial"/>
                                <w:color w:val="000000"/>
                                <w:kern w:val="24"/>
                                <w:szCs w:val="20"/>
                              </w:rPr>
                            </w:pPr>
                            <w:r w:rsidRPr="00E77D15">
                              <w:rPr>
                                <w:rFonts w:ascii="Aptos Narrow" w:hAnsi="Aptos Narrow" w:cs="Arial"/>
                                <w:color w:val="000000"/>
                                <w:kern w:val="24"/>
                                <w:szCs w:val="20"/>
                              </w:rPr>
                              <w:t xml:space="preserve">jaunas biznesa idejas – </w:t>
                            </w:r>
                            <w:r w:rsidRPr="00E77D15">
                              <w:rPr>
                                <w:rFonts w:ascii="Aptos Narrow" w:hAnsi="Aptos Narrow" w:cs="Arial"/>
                                <w:b/>
                                <w:bCs/>
                                <w:color w:val="008080"/>
                                <w:kern w:val="24"/>
                                <w:szCs w:val="20"/>
                              </w:rPr>
                              <w:t>UZŅĒMUMU KONKURĒTSPĒJA</w:t>
                            </w:r>
                          </w:p>
                        </w:txbxContent>
                      </v:textbox>
                    </v:shape>
                  </w:pict>
                </mc:Fallback>
              </mc:AlternateContent>
            </w:r>
          </w:p>
          <w:p w14:paraId="56365A55" w14:textId="77777777" w:rsidR="00C607AD" w:rsidRPr="0081382A" w:rsidRDefault="00C607AD">
            <w:pPr>
              <w:spacing w:after="0"/>
              <w:rPr>
                <w:rFonts w:ascii="Calibri" w:hAnsi="Calibri" w:cs="Calibri"/>
                <w:sz w:val="22"/>
                <w:lang w:eastAsia="lv-LV"/>
              </w:rPr>
            </w:pPr>
          </w:p>
          <w:p w14:paraId="7E345EBE" w14:textId="77777777" w:rsidR="00C607AD" w:rsidRPr="0081382A" w:rsidRDefault="00C607AD">
            <w:pPr>
              <w:spacing w:after="0"/>
              <w:rPr>
                <w:rFonts w:ascii="Calibri" w:hAnsi="Calibri" w:cs="Calibri"/>
                <w:sz w:val="22"/>
                <w:lang w:eastAsia="lv-LV"/>
              </w:rPr>
            </w:pPr>
            <w:r w:rsidRPr="0081382A">
              <w:rPr>
                <w:noProof/>
              </w:rPr>
              <mc:AlternateContent>
                <mc:Choice Requires="wpg">
                  <w:drawing>
                    <wp:anchor distT="0" distB="0" distL="114300" distR="114300" simplePos="0" relativeHeight="251658464" behindDoc="0" locked="0" layoutInCell="1" allowOverlap="1" wp14:anchorId="605E5BA2" wp14:editId="1EEE3157">
                      <wp:simplePos x="0" y="0"/>
                      <wp:positionH relativeFrom="column">
                        <wp:posOffset>471170</wp:posOffset>
                      </wp:positionH>
                      <wp:positionV relativeFrom="paragraph">
                        <wp:posOffset>78105</wp:posOffset>
                      </wp:positionV>
                      <wp:extent cx="3759835" cy="374015"/>
                      <wp:effectExtent l="4445" t="1905" r="0" b="0"/>
                      <wp:wrapNone/>
                      <wp:docPr id="1038"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835" cy="374015"/>
                                <a:chOff x="0" y="0"/>
                                <a:chExt cx="37599" cy="3740"/>
                              </a:xfrm>
                            </wpg:grpSpPr>
                            <wps:wsp>
                              <wps:cNvPr id="1039" name="Text Box 71"/>
                              <wps:cNvSpPr txBox="1">
                                <a:spLocks noChangeArrowheads="1"/>
                              </wps:cNvSpPr>
                              <wps:spPr bwMode="auto">
                                <a:xfrm>
                                  <a:off x="15976" y="0"/>
                                  <a:ext cx="5500"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1B6D2"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s:wsp>
                              <wps:cNvPr id="1040" name="Text Box 76"/>
                              <wps:cNvSpPr txBox="1">
                                <a:spLocks noChangeArrowheads="1"/>
                              </wps:cNvSpPr>
                              <wps:spPr bwMode="auto">
                                <a:xfrm>
                                  <a:off x="32099" y="0"/>
                                  <a:ext cx="5500"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F9418"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s:wsp>
                              <wps:cNvPr id="1041" name="Text Box 77"/>
                              <wps:cNvSpPr txBox="1">
                                <a:spLocks noChangeArrowheads="1"/>
                              </wps:cNvSpPr>
                              <wps:spPr bwMode="auto">
                                <a:xfrm>
                                  <a:off x="0" y="0"/>
                                  <a:ext cx="5499"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13595"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05E5BA2" id="Group 1038" o:spid="_x0000_s1231" style="position:absolute;margin-left:37.1pt;margin-top:6.15pt;width:296.05pt;height:29.45pt;z-index:251658464;mso-position-horizontal-relative:text;mso-position-vertical-relative:text" coordsize="37599,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xvjgIAAIcJAAAOAAAAZHJzL2Uyb0RvYy54bWzsVmtv0zAU/Y7Ef7D8nSZpm3aNmk5joxPS&#10;gEkbP8B1nIdIfI3tLim/ftdO13YrEtKQKEh8sfy8Pufc48f8vGtq8iC0qUCmNBqElAjJIatkkdKv&#10;98t3Z5QYy2TGapAipRth6Pni7Zt5qxIxhBLqTGiCQaRJWpXS0lqVBIHhpWiYGYASEgdz0A2z2NRF&#10;kGnWYvSmDoZhOAla0JnSwIUx2HvVD9KFj5/ngtsveW6EJXVKEZv1pfblypXBYs6SQjNVVnwLg70C&#10;RcMqiZvuQl0xy8haV0ehmoprMJDbAYcmgDyvuPAckE0UvmBzrWGtPJciaQu1kwmlfaHTq8Pyzw/X&#10;Wt2pW92jx+oN8G8GdQlaVSSH465d9JPJqv0EGeaTrS144l2uGxcCKZHO67vZ6Ss6Szh2jqbx7GwU&#10;U8JxbDQdh1HcJ4CXmKWjZbz8cLBwtl/mFgUs6bf0MLewXNrRR2Yvlfk9qe5KpoTPgHFS3GpSZWjz&#10;cIRoJGtQgHtH7j10ZBo5WG5/nOgEJbbDfpzt9TG9rkTCZclkIS60hrYULEOEfiXy2C3t4xgX5FdC&#10;R/FsOqHkWOw4DtHwT0o/k4wlSht7LaAhrpJSjefEo2QPN8b26j5NcUmVsKzqGvtZUstnHZgG1+PB&#10;O7w9ctutOq/UMPQZdtRWkG2Qj4b+DOKdgZUS9A9KWjx/KTXf10wLSuqPEjWZReOxO7C+MY6nQ2zo&#10;w5HV4QiTHEOl1FLSVy9tf8jXSldFiTs9ZeECDbusPMc9qi0BNM4fc5Aj99JBk5M4aDQMZ2jnv9ZB&#10;O1X+O+jZHTSOjh00PYmD0Mo/cc/Yuerk989OkX/FPf49w9feP3Hbn4n7Thy2/X21/z8tHgEAAP//&#10;AwBQSwMEFAAGAAgAAAAhAHG0SvPeAAAACAEAAA8AAABkcnMvZG93bnJldi54bWxMj0FLw0AQhe+C&#10;/2EZwZvdJNUoMZtSinoqgq0g3qbJNAnNzobsNkn/veNJbzPzHm++l69m26mRBt86NhAvIlDEpata&#10;rg187l/vnkD5gFxh55gMXMjDqri+yjGr3MQfNO5CrSSEfYYGmhD6TGtfNmTRL1xPLNrRDRaDrEOt&#10;qwEnCbedTqIo1RZblg8N9rRpqDztztbA24TTehm/jNvTcXP53j+8f21jMub2Zl4/gwo0hz8z/OIL&#10;OhTCdHBnrrzqDDzeJ+KUe7IEJXqapjIcRIgT0EWu/xcofgAAAP//AwBQSwECLQAUAAYACAAAACEA&#10;toM4kv4AAADhAQAAEwAAAAAAAAAAAAAAAAAAAAAAW0NvbnRlbnRfVHlwZXNdLnhtbFBLAQItABQA&#10;BgAIAAAAIQA4/SH/1gAAAJQBAAALAAAAAAAAAAAAAAAAAC8BAABfcmVscy8ucmVsc1BLAQItABQA&#10;BgAIAAAAIQAevlxvjgIAAIcJAAAOAAAAAAAAAAAAAAAAAC4CAABkcnMvZTJvRG9jLnhtbFBLAQIt&#10;ABQABgAIAAAAIQBxtErz3gAAAAgBAAAPAAAAAAAAAAAAAAAAAOgEAABkcnMvZG93bnJldi54bWxQ&#10;SwUGAAAAAAQABADzAAAA8wUAAAAA&#10;">
                      <v:shape id="_x0000_s1232" type="#_x0000_t202" style="position:absolute;left:15976;width:550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ha1wQAAAN0AAAAPAAAAZHJzL2Rvd25yZXYueG1sRE9NawIx&#10;EL0X+h/CFHqriS0tdTWK1BY8eKlu78Nm3CxuJstmdNd/3xQK3ubxPmexGkOrLtSnJrKF6cSAIq6i&#10;a7i2UB6+nt5BJUF22EYmC1dKsFre3y2wcHHgb7rspVY5hFOBFrxIV2idKk8B0yR2xJk7xj6gZNjX&#10;2vU45PDQ6mdj3nTAhnODx44+PFWn/TlYEHHr6bX8DGn7M+42gzfVK5bWPj6M6zkooVFu4n/31uX5&#10;5mUGf9/kE/TyFwAA//8DAFBLAQItABQABgAIAAAAIQDb4fbL7gAAAIUBAAATAAAAAAAAAAAAAAAA&#10;AAAAAABbQ29udGVudF9UeXBlc10ueG1sUEsBAi0AFAAGAAgAAAAhAFr0LFu/AAAAFQEAAAsAAAAA&#10;AAAAAAAAAAAAHwEAAF9yZWxzLy5yZWxzUEsBAi0AFAAGAAgAAAAhAHvCFrXBAAAA3QAAAA8AAAAA&#10;AAAAAAAAAAAABwIAAGRycy9kb3ducmV2LnhtbFBLBQYAAAAAAwADALcAAAD1AgAAAAA=&#10;" filled="f" stroked="f">
                        <v:textbox style="mso-fit-shape-to-text:t">
                          <w:txbxContent>
                            <w:p w14:paraId="6981B6D2"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shape id="_x0000_s1233" type="#_x0000_t202" style="position:absolute;left:32099;width:550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VxAAAAN0AAAAPAAAAZHJzL2Rvd25yZXYueG1sRI9PT8Mw&#10;DMXvSHyHyJO4sWQIECrLpok/0g5c2MrdakxTrXGqxqzdt8cHJG623vN7P6+3c+rNmcbSZfawWjow&#10;xE0OHbce6uP77ROYIsgB+8zk4UIFtpvrqzVWIU/8SeeDtEZDuFToIYoMlbWliZSwLPNArNp3HhOK&#10;rmNrw4iThqfe3jn3aBN2rA0RB3qJ1JwOP8mDSNitLvVbKvuv+eN1iq55wNr7m8W8ewYjNMu/+e96&#10;HxTf3Su/fqMj2M0vAAAA//8DAFBLAQItABQABgAIAAAAIQDb4fbL7gAAAIUBAAATAAAAAAAAAAAA&#10;AAAAAAAAAABbQ29udGVudF9UeXBlc10ueG1sUEsBAi0AFAAGAAgAAAAhAFr0LFu/AAAAFQEAAAsA&#10;AAAAAAAAAAAAAAAAHwEAAF9yZWxzLy5yZWxzUEsBAi0AFAAGAAgAAAAhALL+zFXEAAAA3QAAAA8A&#10;AAAAAAAAAAAAAAAABwIAAGRycy9kb3ducmV2LnhtbFBLBQYAAAAAAwADALcAAAD4AgAAAAA=&#10;" filled="f" stroked="f">
                        <v:textbox style="mso-fit-shape-to-text:t">
                          <w:txbxContent>
                            <w:p w14:paraId="304F9418"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shape id="_x0000_s1234" type="#_x0000_t202" style="position:absolute;width:5499;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nOwQAAAN0AAAAPAAAAZHJzL2Rvd25yZXYueG1sRE9La8Mw&#10;DL4P+h+MCrutdspWRla3lD2gh13aZXcRq3FoLIdYbdJ/Pw8Gu+nje2q9nUKnrjSkNrKFYmFAEdfR&#10;tdxYqL4+Hp5BJUF22EUmCzdKsN3M7tZYujjyga5HaVQO4VSiBS/Sl1qn2lPAtIg9ceZOcQgoGQ6N&#10;dgOOOTx0emnMSgdsOTd47OnVU30+XoIFEbcrbtV7SPvv6fNt9KZ+wsra+/m0ewElNMm/+M+9d3m+&#10;eSzg95t8gt78AAAA//8DAFBLAQItABQABgAIAAAAIQDb4fbL7gAAAIUBAAATAAAAAAAAAAAAAAAA&#10;AAAAAABbQ29udGVudF9UeXBlc10ueG1sUEsBAi0AFAAGAAgAAAAhAFr0LFu/AAAAFQEAAAsAAAAA&#10;AAAAAAAAAAAAHwEAAF9yZWxzLy5yZWxzUEsBAi0AFAAGAAgAAAAhAN2yac7BAAAA3QAAAA8AAAAA&#10;AAAAAAAAAAAABwIAAGRycy9kb3ducmV2LnhtbFBLBQYAAAAAAwADALcAAAD1AgAAAAA=&#10;" filled="f" stroked="f">
                        <v:textbox style="mso-fit-shape-to-text:t">
                          <w:txbxContent>
                            <w:p w14:paraId="77F13595"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group>
                  </w:pict>
                </mc:Fallback>
              </mc:AlternateContent>
            </w:r>
          </w:p>
          <w:p w14:paraId="3A23A67F" w14:textId="77777777" w:rsidR="00C607AD" w:rsidRPr="0081382A" w:rsidRDefault="00C607AD">
            <w:pPr>
              <w:spacing w:after="0"/>
              <w:rPr>
                <w:rFonts w:ascii="Calibri" w:hAnsi="Calibri" w:cs="Calibri"/>
                <w:sz w:val="22"/>
                <w:lang w:eastAsia="lv-LV"/>
              </w:rPr>
            </w:pPr>
            <w:r w:rsidRPr="0081382A">
              <w:rPr>
                <w:noProof/>
              </w:rPr>
              <mc:AlternateContent>
                <mc:Choice Requires="wps">
                  <w:drawing>
                    <wp:anchor distT="0" distB="0" distL="114300" distR="114300" simplePos="0" relativeHeight="251658391" behindDoc="0" locked="0" layoutInCell="1" allowOverlap="1" wp14:anchorId="32E7A821" wp14:editId="4D9962CE">
                      <wp:simplePos x="0" y="0"/>
                      <wp:positionH relativeFrom="column">
                        <wp:posOffset>1706245</wp:posOffset>
                      </wp:positionH>
                      <wp:positionV relativeFrom="paragraph">
                        <wp:posOffset>120650</wp:posOffset>
                      </wp:positionV>
                      <wp:extent cx="1367790" cy="287655"/>
                      <wp:effectExtent l="0" t="0" r="3810" b="0"/>
                      <wp:wrapNone/>
                      <wp:docPr id="1037"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287655"/>
                              </a:xfrm>
                              <a:prstGeom prst="rect">
                                <a:avLst/>
                              </a:prstGeom>
                              <a:solidFill>
                                <a:srgbClr val="006666"/>
                              </a:solidFill>
                              <a:ln w="22225">
                                <a:noFill/>
                              </a:ln>
                            </wps:spPr>
                            <wps:txbx>
                              <w:txbxContent>
                                <w:p w14:paraId="7BA17F4D" w14:textId="77777777" w:rsidR="00C607AD" w:rsidRPr="00E77D15" w:rsidRDefault="00C607AD" w:rsidP="00C607AD">
                                  <w:pPr>
                                    <w:kinsoku w:val="0"/>
                                    <w:overflowPunct w:val="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INVESTĪCIJAS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2E7A821" id="Text Box 1037" o:spid="_x0000_s1235" type="#_x0000_t202" style="position:absolute;margin-left:134.35pt;margin-top:9.5pt;width:107.7pt;height:22.65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fCruwEAAGMDAAAOAAAAZHJzL2Uyb0RvYy54bWysU01v2zAMvQ/YfxB0X+xmyMeMOMXWorsU&#10;24BuP0CR5ViYLGqkEjv/fpTiJtt6K6YDbYnUI98jtbkdeyeOBsmCr+XNrJTCeA2N9fta/vj+8G4t&#10;BUXlG+XAm1qeDMnb7ds3myFUZg4duMagYBBP1RBq2cUYqqIg3Zle0QyC8exsAXsVeYv7okE1MHrv&#10;inlZLosBsAkI2hDx6f3ZKbcZv22Njl/blkwUrpZcW8wWs90lW2w3qtqjCp3VUxnqFVX0ynpOeoG6&#10;V1GJA9oXUL3VCARtnGnoC2hbq03mwGxuyn/YPHUqmMyFxaFwkYn+H6z+cnwK31DE8ROM3MBMgsIj&#10;6J/E2hRDoGqKSZpSRRydiI4t9unLFARfZG1PFz3NGIVOaO+Xq9UHdmn2zder5WKRBC+utwNS/Gyg&#10;F+mnlsj9yhWo4yPFc+hzSEpG4GzzYJ3LG9zv7hyKo0q9LZe8JvS/wpwXA2fntcjQHhLAGdv5ieKZ&#10;VeIXx90obMM3ynWCS2c7aE6s0cBjUkv6dVBopMDo7uA8VcrrDniodMQpxcdDhNZmBleAKRd3Mmsw&#10;TV0alT/3Oer6Nra/AQAA//8DAFBLAwQUAAYACAAAACEA8MlyX90AAAAJAQAADwAAAGRycy9kb3du&#10;cmV2LnhtbEyPTUvDQBCG74L/YRnBm920DUmM2ZQiSD0JraLXbXbMBvcjZLZt/PeOJz0O78M7z9ts&#10;Zu/EGScaYlCwXGQgMHTRDKFX8Pb6dFeBoKSD0S4GVPCNBJv2+qrRtYmXsMfzIfWCSwLVWoFNaayl&#10;pM6i17SIIwbOPuPkdeJz6qWZ9IXLvZOrLCuk10PgD1aP+Gix+zqcvIJ9+W7XzpIjWz77j92WXvod&#10;KXV7M28fQCSc0x8Mv/qsDi07HeMpGBJOwaqoSkY5uOdNDORVvgRxVFDka5BtI/8vaH8AAAD//wMA&#10;UEsBAi0AFAAGAAgAAAAhALaDOJL+AAAA4QEAABMAAAAAAAAAAAAAAAAAAAAAAFtDb250ZW50X1R5&#10;cGVzXS54bWxQSwECLQAUAAYACAAAACEAOP0h/9YAAACUAQAACwAAAAAAAAAAAAAAAAAvAQAAX3Jl&#10;bHMvLnJlbHNQSwECLQAUAAYACAAAACEAmtXwq7sBAABjAwAADgAAAAAAAAAAAAAAAAAuAgAAZHJz&#10;L2Uyb0RvYy54bWxQSwECLQAUAAYACAAAACEA8MlyX90AAAAJAQAADwAAAAAAAAAAAAAAAAAVBAAA&#10;ZHJzL2Rvd25yZXYueG1sUEsFBgAAAAAEAAQA8wAAAB8FAAAAAA==&#10;" fillcolor="#066" stroked="f" strokeweight="1.75pt">
                      <v:textbox>
                        <w:txbxContent>
                          <w:p w14:paraId="7BA17F4D" w14:textId="77777777" w:rsidR="00C607AD" w:rsidRPr="00E77D15" w:rsidRDefault="00C607AD" w:rsidP="00C607AD">
                            <w:pPr>
                              <w:kinsoku w:val="0"/>
                              <w:overflowPunct w:val="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INVESTĪCIJAS</w:t>
                            </w:r>
                          </w:p>
                        </w:txbxContent>
                      </v:textbox>
                    </v:shape>
                  </w:pict>
                </mc:Fallback>
              </mc:AlternateContent>
            </w:r>
            <w:r w:rsidRPr="0081382A">
              <w:rPr>
                <w:noProof/>
              </w:rPr>
              <mc:AlternateContent>
                <mc:Choice Requires="wps">
                  <w:drawing>
                    <wp:anchor distT="0" distB="0" distL="114300" distR="114300" simplePos="0" relativeHeight="251658392" behindDoc="0" locked="0" layoutInCell="1" allowOverlap="1" wp14:anchorId="69885684" wp14:editId="54EBEAC6">
                      <wp:simplePos x="0" y="0"/>
                      <wp:positionH relativeFrom="column">
                        <wp:posOffset>85090</wp:posOffset>
                      </wp:positionH>
                      <wp:positionV relativeFrom="paragraph">
                        <wp:posOffset>120015</wp:posOffset>
                      </wp:positionV>
                      <wp:extent cx="1367790" cy="287655"/>
                      <wp:effectExtent l="0" t="0" r="3810" b="0"/>
                      <wp:wrapNone/>
                      <wp:docPr id="1036"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287655"/>
                              </a:xfrm>
                              <a:prstGeom prst="rect">
                                <a:avLst/>
                              </a:prstGeom>
                              <a:solidFill>
                                <a:srgbClr val="006666"/>
                              </a:solidFill>
                              <a:ln w="22225">
                                <a:noFill/>
                              </a:ln>
                            </wps:spPr>
                            <wps:txbx>
                              <w:txbxContent>
                                <w:p w14:paraId="7D9D95A5" w14:textId="77777777" w:rsidR="00C607AD" w:rsidRPr="00E77D15" w:rsidRDefault="00C607AD" w:rsidP="00C607AD">
                                  <w:pPr>
                                    <w:kinsoku w:val="0"/>
                                    <w:overflowPunct w:val="0"/>
                                    <w:spacing w:after="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CILVĒKKAPITĀLS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9885684" id="Text Box 1036" o:spid="_x0000_s1236" type="#_x0000_t202" style="position:absolute;margin-left:6.7pt;margin-top:9.45pt;width:107.7pt;height:22.65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WPtQEAAFYDAAAOAAAAZHJzL2Uyb0RvYy54bWysU01v2zAMvQ/YfxB0X+xmSNIacYqtRXcp&#10;tgHdfoAiS4kwWdRIJXb+/SjFS/ZxG6YDbYnkE98jtb4fey+OBslBaOXNrJbCBA2dC7tWfv3y9OZW&#10;CkoqdMpDMK08GZL3m9ev1kNszBz24DuDgkECNUNs5T6l2FQV6b3pFc0gmsBOC9irxFvcVR2qgdF7&#10;X83relkNgF1E0IaITx/PTrkp+NYanT5ZSyYJ30quLRWLxW6zrTZr1exQxb3TUxnqH6rolQt86QXq&#10;USUlDuj+guqdRiCwaaahr8Bap03hwGxu6j/YvOxVNIULi0PxIhP9P1j98fgSP6NI43sYuYGFBMVn&#10;0N+ItamGSM0UkzWlhjg6Ex0t9vnLFAQnsrani55mTEJntLfL1eqOXZp989vVcrHIglfX7IiUPhjo&#10;Rf5pJXK/SgXq+EzpHPozJF9G4F335LwvG9xtHzyKo8q9rZe8JvTfwnwQA9/Oa1GgA2SAM7YPE8Uz&#10;q8wvjdtRuI4z6rsMl8+20J1Yo4HHpJX0/aDQSIHJP0CZqlxMgHeHBNaVoq85Ezw3r9CeBi1Px6/7&#10;EnV9DpsfAAAA//8DAFBLAwQUAAYACAAAACEAfRUy8dwAAAAIAQAADwAAAGRycy9kb3ducmV2Lnht&#10;bEyPS2vDMBCE74X+B7GF3hq5SgiOYzmU0kBPhaaPs2JtLBM9jCQ7zr/v9tSelmGG2W/q3ewsmzCm&#10;PngJj4sCGPo26N53Ej4/9g8lsJSV18oGjxKumGDX3N7UqtLh4t9xOuSOUYlPlZJgch4qzlNr0Km0&#10;CAN68k4hOpVJxo7rqC5U7iwXRbHmTvWePhg14LPB9nwYnYSzuE7f5eu+nS0m08WXt83XcpTy/m5+&#10;2gLLOOe/MPziEzo0xHQMo9eJWdLLFSXplhtg5AtR0pSjhPVKAG9q/n9A8wMAAP//AwBQSwECLQAU&#10;AAYACAAAACEAtoM4kv4AAADhAQAAEwAAAAAAAAAAAAAAAAAAAAAAW0NvbnRlbnRfVHlwZXNdLnht&#10;bFBLAQItABQABgAIAAAAIQA4/SH/1gAAAJQBAAALAAAAAAAAAAAAAAAAAC8BAABfcmVscy8ucmVs&#10;c1BLAQItABQABgAIAAAAIQDOdSWPtQEAAFYDAAAOAAAAAAAAAAAAAAAAAC4CAABkcnMvZTJvRG9j&#10;LnhtbFBLAQItABQABgAIAAAAIQB9FTLx3AAAAAgBAAAPAAAAAAAAAAAAAAAAAA8EAABkcnMvZG93&#10;bnJldi54bWxQSwUGAAAAAAQABADzAAAAGAUAAAAA&#10;" fillcolor="#066" stroked="f" strokeweight="1.75pt">
                      <v:textbox>
                        <w:txbxContent>
                          <w:p w14:paraId="7D9D95A5" w14:textId="77777777" w:rsidR="00C607AD" w:rsidRPr="00E77D15" w:rsidRDefault="00C607AD" w:rsidP="00C607AD">
                            <w:pPr>
                              <w:kinsoku w:val="0"/>
                              <w:overflowPunct w:val="0"/>
                              <w:spacing w:after="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CILVĒKKAPITĀLS</w:t>
                            </w:r>
                          </w:p>
                        </w:txbxContent>
                      </v:textbox>
                    </v:shape>
                  </w:pict>
                </mc:Fallback>
              </mc:AlternateContent>
            </w:r>
          </w:p>
          <w:p w14:paraId="04B71934" w14:textId="77777777" w:rsidR="00C607AD" w:rsidRPr="0081382A" w:rsidRDefault="00C607AD">
            <w:pPr>
              <w:spacing w:after="0"/>
              <w:rPr>
                <w:rFonts w:ascii="Calibri" w:hAnsi="Calibri" w:cs="Calibri"/>
                <w:sz w:val="22"/>
                <w:lang w:eastAsia="lv-LV"/>
              </w:rPr>
            </w:pPr>
          </w:p>
          <w:p w14:paraId="7F4E82CE" w14:textId="77777777" w:rsidR="00C607AD" w:rsidRPr="0081382A" w:rsidRDefault="00C607AD">
            <w:pPr>
              <w:spacing w:after="0"/>
              <w:rPr>
                <w:rFonts w:ascii="Calibri" w:hAnsi="Calibri" w:cs="Calibri"/>
                <w:sz w:val="22"/>
                <w:lang w:eastAsia="lv-LV"/>
              </w:rPr>
            </w:pPr>
            <w:r w:rsidRPr="0081382A">
              <w:rPr>
                <w:noProof/>
              </w:rPr>
              <mc:AlternateContent>
                <mc:Choice Requires="wpg">
                  <w:drawing>
                    <wp:anchor distT="0" distB="0" distL="114300" distR="114300" simplePos="0" relativeHeight="251658465" behindDoc="0" locked="0" layoutInCell="1" allowOverlap="1" wp14:anchorId="7F01978C" wp14:editId="7B1FD7B5">
                      <wp:simplePos x="0" y="0"/>
                      <wp:positionH relativeFrom="column">
                        <wp:posOffset>471805</wp:posOffset>
                      </wp:positionH>
                      <wp:positionV relativeFrom="paragraph">
                        <wp:posOffset>49530</wp:posOffset>
                      </wp:positionV>
                      <wp:extent cx="3759835" cy="374015"/>
                      <wp:effectExtent l="0" t="1905" r="0" b="0"/>
                      <wp:wrapNone/>
                      <wp:docPr id="1032"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835" cy="374015"/>
                                <a:chOff x="0" y="0"/>
                                <a:chExt cx="37599" cy="3740"/>
                              </a:xfrm>
                            </wpg:grpSpPr>
                            <wps:wsp>
                              <wps:cNvPr id="1033" name="Text Box 44"/>
                              <wps:cNvSpPr txBox="1">
                                <a:spLocks noChangeArrowheads="1"/>
                              </wps:cNvSpPr>
                              <wps:spPr bwMode="auto">
                                <a:xfrm>
                                  <a:off x="15976" y="0"/>
                                  <a:ext cx="5500"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2D1B4"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s:wsp>
                              <wps:cNvPr id="1034" name="Text Box 64"/>
                              <wps:cNvSpPr txBox="1">
                                <a:spLocks noChangeArrowheads="1"/>
                              </wps:cNvSpPr>
                              <wps:spPr bwMode="auto">
                                <a:xfrm>
                                  <a:off x="32099" y="0"/>
                                  <a:ext cx="5500"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3BC7C"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s:wsp>
                              <wps:cNvPr id="1035" name="Text Box 68"/>
                              <wps:cNvSpPr txBox="1">
                                <a:spLocks noChangeArrowheads="1"/>
                              </wps:cNvSpPr>
                              <wps:spPr bwMode="auto">
                                <a:xfrm>
                                  <a:off x="0" y="0"/>
                                  <a:ext cx="5499"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AF93"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F01978C" id="Group 1032" o:spid="_x0000_s1237" style="position:absolute;margin-left:37.15pt;margin-top:3.9pt;width:296.05pt;height:29.45pt;z-index:251658465;mso-position-horizontal-relative:text;mso-position-vertical-relative:text" coordsize="37599,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1YVlAIAAIcJAAAOAAAAZHJzL2Uyb0RvYy54bWzsVm1r2zAQ/j7YfxD6vtpO7LyYOKVr1zLo&#10;tkK7H6DI8guzJe2k1O5+fU9y0qTNYNDBssG+COlOOj333Iu0OO3bhtwLMLWSGY1OQkqE5CqvZZnR&#10;r3eX72aUGMtkzholRUYfhKGny7dvFp1OxUhVqskFEDQiTdrpjFbW6jQIDK9Ey8yJ0kKislDQMotL&#10;KIMcWIfW2yYYheEk6BTkGhQXxqD0YlDSpbdfFILbL0VhhCVNRhGb9SP4ceXGYLlgaQlMVzXfwGCv&#10;QNGyWuKlT6YumGVkDfWBqbbmoIwq7AlXbaCKoubC+4DeROELb65ArbX3pUy7Uj/RhNS+4OnVZvnn&#10;+yvQt/oGBvQ4vVb8m0Fegk6X6b7ercthM1l1n1SO8WRrq7zjfQGtM4Eukd7z+/DEr+gt4SgcT5P5&#10;bJxQwlE3nsZhlAwB4BVG6eAYrz7sHZzvjrlDAUuHKz3MDSwXdswjs6PK/B5VtxXTwkfAOCpugNQ5&#10;pnk4HlMiWYsE3Dnn3quexLGD5e7HjY5QYnuU427Pjxl4JVKdV0yW4gxAdZVgOSKMvEN7Rwc7xhn5&#10;FdFRMp9OKDkkO0lCTPgt088oY6kGY6+EaombZBSwTjxKdn9t7MDudosLqlSXddOgnKWNfCbAMDgJ&#10;BsGkDu+A3Par3jM1inyJOe1K5Q/oD6ihBrFn4KRS8IOSDusvo+b7moGgpPkokZN5FMeuYP0iTqYj&#10;XMC+ZrWvYZKjqYxaSobpuR2KfK2hLiu8aRuFM0zYy9r7uEO1cQAT589lUHyQQZPjZNB4FM6xuP7a&#10;DPLVsYvV/wza9iBspC960GR2lB6EpfmT7IldVh29/4y2jPwr/ce/Z/ja+ydu8zNx34n9te9Xu//T&#10;8hEAAP//AwBQSwMEFAAGAAgAAAAhAFx3HYfdAAAABwEAAA8AAABkcnMvZG93bnJldi54bWxMj0FL&#10;w0AQhe+C/2EZwZvdxNZUYjalFPVUBFtBvE2TaRKanQ3ZbZL+e6cnPc0M7/Hme9lqsq0aqPeNYwPx&#10;LAJFXLiy4crA1/7t4RmUD8glto7JwIU8rPLbmwzT0o38ScMuVEpC2KdooA6hS7X2RU0W/cx1xKId&#10;XW8xyNlXuuxxlHDb6scoSrTFhuVDjR1taipOu7M18D7iuJ7Hr8P2dNxcfvZPH9/bmIy5v5vWL6AC&#10;TeHPDFd8QYdcmA7uzKVXrYHlYi5OmVJA5CRJFqAO12UJOs/0f/78FwAA//8DAFBLAQItABQABgAI&#10;AAAAIQC2gziS/gAAAOEBAAATAAAAAAAAAAAAAAAAAAAAAABbQ29udGVudF9UeXBlc10ueG1sUEsB&#10;Ai0AFAAGAAgAAAAhADj9If/WAAAAlAEAAAsAAAAAAAAAAAAAAAAALwEAAF9yZWxzLy5yZWxzUEsB&#10;Ai0AFAAGAAgAAAAhAN73VhWUAgAAhwkAAA4AAAAAAAAAAAAAAAAALgIAAGRycy9lMm9Eb2MueG1s&#10;UEsBAi0AFAAGAAgAAAAhAFx3HYfdAAAABwEAAA8AAAAAAAAAAAAAAAAA7gQAAGRycy9kb3ducmV2&#10;LnhtbFBLBQYAAAAABAAEAPMAAAD4BQAAAAA=&#10;">
                      <v:shape id="Text Box 44" o:spid="_x0000_s1238" type="#_x0000_t202" style="position:absolute;left:15976;width:550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iFfwQAAAN0AAAAPAAAAZHJzL2Rvd25yZXYueG1sRE9NawIx&#10;EL0X+h/CFHqriUqlbI0i1YKHXtTtfdhMN0s3k2Uzuuu/N0Kht3m8z1mux9CqC/WpiWxhOjGgiKvo&#10;Gq4tlKfPlzdQSZAdtpHJwpUSrFePD0ssXBz4QJej1CqHcCrQghfpCq1T5SlgmsSOOHM/sQ8oGfa1&#10;dj0OOTy0embMQgdsODd47OjDU/V7PAcLIm4zvZa7kPbf49d28KZ6xdLa56dx8w5KaJR/8Z977/J8&#10;M5/D/Zt8gl7dAAAA//8DAFBLAQItABQABgAIAAAAIQDb4fbL7gAAAIUBAAATAAAAAAAAAAAAAAAA&#10;AAAAAABbQ29udGVudF9UeXBlc10ueG1sUEsBAi0AFAAGAAgAAAAhAFr0LFu/AAAAFQEAAAsAAAAA&#10;AAAAAAAAAAAAHwEAAF9yZWxzLy5yZWxzUEsBAi0AFAAGAAgAAAAhABoqIV/BAAAA3QAAAA8AAAAA&#10;AAAAAAAAAAAABwIAAGRycy9kb3ducmV2LnhtbFBLBQYAAAAAAwADALcAAAD1AgAAAAA=&#10;" filled="f" stroked="f">
                        <v:textbox style="mso-fit-shape-to-text:t">
                          <w:txbxContent>
                            <w:p w14:paraId="2182D1B4"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shape id="Text Box 64" o:spid="_x0000_s1239" type="#_x0000_t202" style="position:absolute;left:32099;width:550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krwQAAAN0AAAAPAAAAZHJzL2Rvd25yZXYueG1sRE9LawIx&#10;EL4X+h/CFHqriX0hq1GktuDBS3V7HzbjZnEzWTaju/77plDwNh/fcxarMbTqQn1qIluYTgwo4iq6&#10;hmsL5eHraQYqCbLDNjJZuFKC1fL+boGFiwN/02UvtcohnAq04EW6QutUeQqYJrEjztwx9gElw77W&#10;rschh4dWPxvzrgM2nBs8dvThqTrtz8GCiFtPr+VnSNufcbcZvKnesLT28WFcz0EJjXIT/7u3Ls83&#10;L6/w900+QS9/AQAA//8DAFBLAQItABQABgAIAAAAIQDb4fbL7gAAAIUBAAATAAAAAAAAAAAAAAAA&#10;AAAAAABbQ29udGVudF9UeXBlc10ueG1sUEsBAi0AFAAGAAgAAAAhAFr0LFu/AAAAFQEAAAsAAAAA&#10;AAAAAAAAAAAAHwEAAF9yZWxzLy5yZWxzUEsBAi0AFAAGAAgAAAAhAJXDuSvBAAAA3QAAAA8AAAAA&#10;AAAAAAAAAAAABwIAAGRycy9kb3ducmV2LnhtbFBLBQYAAAAAAwADALcAAAD1AgAAAAA=&#10;" filled="f" stroked="f">
                        <v:textbox style="mso-fit-shape-to-text:t">
                          <w:txbxContent>
                            <w:p w14:paraId="32B3BC7C"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shape id="Text Box 68" o:spid="_x0000_s1240" type="#_x0000_t202" style="position:absolute;width:5499;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xywwQAAAN0AAAAPAAAAZHJzL2Rvd25yZXYueG1sRE9LawIx&#10;EL4L/Q9hhN40scVSVqNIH+Chl+r2PmzGzeJmsmym7vrvm4LgbT6+56y3Y2jVhfrURLawmBtQxFV0&#10;DdcWyuPn7BVUEmSHbWSycKUE283DZI2FiwN/0+UgtcohnAq04EW6QutUeQqY5rEjztwp9gElw77W&#10;rschh4dWPxnzogM2nBs8dvTmqToffoMFEbdbXMuPkPY/49f74E21xNLax+m4W4ESGuUuvrn3Ls83&#10;z0v4/yafoDd/AAAA//8DAFBLAQItABQABgAIAAAAIQDb4fbL7gAAAIUBAAATAAAAAAAAAAAAAAAA&#10;AAAAAABbQ29udGVudF9UeXBlc10ueG1sUEsBAi0AFAAGAAgAAAAhAFr0LFu/AAAAFQEAAAsAAAAA&#10;AAAAAAAAAAAAHwEAAF9yZWxzLy5yZWxzUEsBAi0AFAAGAAgAAAAhAPqPHLDBAAAA3QAAAA8AAAAA&#10;AAAAAAAAAAAABwIAAGRycy9kb3ducmV2LnhtbFBLBQYAAAAAAwADALcAAAD1AgAAAAA=&#10;" filled="f" stroked="f">
                        <v:textbox style="mso-fit-shape-to-text:t">
                          <w:txbxContent>
                            <w:p w14:paraId="3452AF93" w14:textId="77777777" w:rsidR="00C607AD" w:rsidRPr="00E87855" w:rsidRDefault="00C607AD" w:rsidP="00C607AD">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group>
                  </w:pict>
                </mc:Fallback>
              </mc:AlternateContent>
            </w:r>
          </w:p>
          <w:p w14:paraId="01FD0B68" w14:textId="77777777" w:rsidR="00C607AD" w:rsidRPr="0081382A" w:rsidRDefault="00C607AD">
            <w:pPr>
              <w:spacing w:after="0"/>
              <w:rPr>
                <w:rFonts w:ascii="Calibri" w:hAnsi="Calibri" w:cs="Calibri"/>
                <w:sz w:val="22"/>
                <w:lang w:eastAsia="lv-LV"/>
              </w:rPr>
            </w:pPr>
            <w:r w:rsidRPr="0081382A">
              <w:rPr>
                <w:noProof/>
              </w:rPr>
              <mc:AlternateContent>
                <mc:Choice Requires="wps">
                  <w:drawing>
                    <wp:anchor distT="0" distB="0" distL="114300" distR="114300" simplePos="0" relativeHeight="251658393" behindDoc="0" locked="0" layoutInCell="1" allowOverlap="1" wp14:anchorId="0FA332B8" wp14:editId="41F4B6E4">
                      <wp:simplePos x="0" y="0"/>
                      <wp:positionH relativeFrom="column">
                        <wp:posOffset>67945</wp:posOffset>
                      </wp:positionH>
                      <wp:positionV relativeFrom="paragraph">
                        <wp:posOffset>103505</wp:posOffset>
                      </wp:positionV>
                      <wp:extent cx="4610100" cy="678180"/>
                      <wp:effectExtent l="0" t="0" r="0" b="5080"/>
                      <wp:wrapNone/>
                      <wp:docPr id="1031"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100" cy="678180"/>
                              </a:xfrm>
                              <a:prstGeom prst="rect">
                                <a:avLst/>
                              </a:prstGeom>
                              <a:solidFill>
                                <a:srgbClr val="006666"/>
                              </a:solidFill>
                              <a:ln w="22225">
                                <a:noFill/>
                              </a:ln>
                            </wps:spPr>
                            <wps:txbx>
                              <w:txbxContent>
                                <w:p w14:paraId="63265BAA" w14:textId="77777777" w:rsidR="00C607AD" w:rsidRPr="00E77D15" w:rsidRDefault="00C607AD" w:rsidP="00C607AD">
                                  <w:pPr>
                                    <w:kinsoku w:val="0"/>
                                    <w:overflowPunct w:val="0"/>
                                    <w:spacing w:after="0"/>
                                    <w:ind w:left="418" w:hanging="274"/>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EFEKTĪVA VALSTS PĀRVALDE</w:t>
                                  </w:r>
                                </w:p>
                                <w:p w14:paraId="51976A9D" w14:textId="77777777" w:rsidR="00C607AD" w:rsidRPr="00E77D15" w:rsidRDefault="00C607AD" w:rsidP="00285BB2">
                                  <w:pPr>
                                    <w:kinsoku w:val="0"/>
                                    <w:overflowPunct w:val="0"/>
                                    <w:spacing w:before="120" w:after="120"/>
                                    <w:jc w:val="center"/>
                                    <w:textAlignment w:val="baseline"/>
                                    <w:rPr>
                                      <w:rFonts w:ascii="Aptos Narrow" w:hAnsi="Aptos Narrow" w:cs="Arial"/>
                                      <w:color w:val="FFFFFF"/>
                                      <w:kern w:val="24"/>
                                      <w:sz w:val="18"/>
                                      <w:szCs w:val="18"/>
                                    </w:rPr>
                                  </w:pPr>
                                  <w:r w:rsidRPr="00E77D15">
                                    <w:rPr>
                                      <w:rFonts w:ascii="Aptos Narrow" w:hAnsi="Aptos Narrow" w:cs="Arial"/>
                                      <w:color w:val="FFFFFF"/>
                                      <w:kern w:val="24"/>
                                      <w:sz w:val="18"/>
                                      <w:szCs w:val="18"/>
                                    </w:rPr>
                                    <w:t>Birokrātijas mazināšana, uz rezultātu un efektivitāti orientēts publiskais sektors, modernu digitālo risinājumu ieviešana publiskajā pārvaldē</w:t>
                                  </w:r>
                                </w:p>
                              </w:txbxContent>
                            </wps:txbx>
                            <wps:bodyPr wrap="square" rtlCol="0" anchor="ctr">
                              <a:spAutoFit/>
                            </wps:bodyPr>
                          </wps:wsp>
                        </a:graphicData>
                      </a:graphic>
                      <wp14:sizeRelH relativeFrom="margin">
                        <wp14:pctWidth>0</wp14:pctWidth>
                      </wp14:sizeRelH>
                      <wp14:sizeRelV relativeFrom="page">
                        <wp14:pctHeight>0</wp14:pctHeight>
                      </wp14:sizeRelV>
                    </wp:anchor>
                  </w:drawing>
                </mc:Choice>
                <mc:Fallback>
                  <w:pict>
                    <v:shape w14:anchorId="0FA332B8" id="Text Box 1031" o:spid="_x0000_s1241" type="#_x0000_t202" style="position:absolute;margin-left:5.35pt;margin-top:8.15pt;width:363pt;height:53.4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iG2vQEAAGMDAAAOAAAAZHJzL2Uyb0RvYy54bWysU01v2zAMvQ/YfxB0X2xnWxYYcYqtRXcp&#10;tgHdfoAiy7EwWdRIJXb+/SjFTfZxK6qDbInkI98jtbmZBieOBsmCb2S1KKUwXkNr/b6RP77fv1lL&#10;QVH5VjnwppEnQ/Jm+/rVZgy1WUIPrjUoGMRTPYZG9jGGuihI92ZQtIBgPBs7wEFFPuK+aFGNjD64&#10;YlmWq2IEbAOCNkR8e3c2ym3G7zqj49euIxOFayTXFvOOed+lvdhuVL1HFXqr5zLUM6oYlPWc9AJ1&#10;p6ISB7T/QQ1WIxB0caFhKKDrrDaZA7Opyn/YPPYqmMyFxaFwkYleDlZ/OT6Gbyji9AkmbmAmQeEB&#10;9E9ibYoxUD37JE2pJvZORKcOh/RlCoIDWdvTRU8zRaH58t2qYlJs0mxbfVhX6yx4cY0OSPGzgUGk&#10;n0Yi9ytXoI4PFFN+VT+5pGQEzrb31rl8wP3u1qE4qtTbcsUrtZND/nJzXoyNXPJ6n6E9JICzo/Mz&#10;xTOrxC9Ou0nYliOqtwku3e2gPbFGI49JI+nXQaGRAqO7hfNUKa974KHSEWf9Ph4ip8kMrgBzLu5k&#10;rnKeujQqf56z1/VtbH8DAAD//wMAUEsDBBQABgAIAAAAIQDecOOZ3AAAAAkBAAAPAAAAZHJzL2Rv&#10;d25yZXYueG1sTE/LTsMwELwj8Q/WInGjThuUlBCnQggOHNsiIW5OvE1C43Ww3TT8PcuJnlbz0OxM&#10;uZntICb0oXekYLlIQCA1zvTUKnjfv96tQYSoyejBESr4wQCb6vqq1IVxZ9ritIut4BAKhVbQxTgW&#10;UoamQ6vDwo1IrB2ctzoy9K00Xp853A5ylSSZtLon/tDpEZ87bI67k1XgX9a53k4PtTx+3H/Nb4fx&#10;e99/KnV7Mz89gog4x38z/NXn6lBxp9qdyAQxME5ydvLNUhCs52nGRM3EKl2CrEp5uaD6BQAA//8D&#10;AFBLAQItABQABgAIAAAAIQC2gziS/gAAAOEBAAATAAAAAAAAAAAAAAAAAAAAAABbQ29udGVudF9U&#10;eXBlc10ueG1sUEsBAi0AFAAGAAgAAAAhADj9If/WAAAAlAEAAAsAAAAAAAAAAAAAAAAALwEAAF9y&#10;ZWxzLy5yZWxzUEsBAi0AFAAGAAgAAAAhAHveIba9AQAAYwMAAA4AAAAAAAAAAAAAAAAALgIAAGRy&#10;cy9lMm9Eb2MueG1sUEsBAi0AFAAGAAgAAAAhAN5w45ncAAAACQEAAA8AAAAAAAAAAAAAAAAAFwQA&#10;AGRycy9kb3ducmV2LnhtbFBLBQYAAAAABAAEAPMAAAAgBQAAAAA=&#10;" fillcolor="#066" stroked="f" strokeweight="1.75pt">
                      <v:textbox style="mso-fit-shape-to-text:t">
                        <w:txbxContent>
                          <w:p w14:paraId="63265BAA" w14:textId="77777777" w:rsidR="00C607AD" w:rsidRPr="00E77D15" w:rsidRDefault="00C607AD" w:rsidP="00C607AD">
                            <w:pPr>
                              <w:kinsoku w:val="0"/>
                              <w:overflowPunct w:val="0"/>
                              <w:spacing w:after="0"/>
                              <w:ind w:left="418" w:hanging="274"/>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EFEKTĪVA VALSTS PĀRVALDE</w:t>
                            </w:r>
                          </w:p>
                          <w:p w14:paraId="51976A9D" w14:textId="77777777" w:rsidR="00C607AD" w:rsidRPr="00E77D15" w:rsidRDefault="00C607AD" w:rsidP="00285BB2">
                            <w:pPr>
                              <w:kinsoku w:val="0"/>
                              <w:overflowPunct w:val="0"/>
                              <w:spacing w:before="120" w:after="120"/>
                              <w:jc w:val="center"/>
                              <w:textAlignment w:val="baseline"/>
                              <w:rPr>
                                <w:rFonts w:ascii="Aptos Narrow" w:hAnsi="Aptos Narrow" w:cs="Arial"/>
                                <w:color w:val="FFFFFF"/>
                                <w:kern w:val="24"/>
                                <w:sz w:val="18"/>
                                <w:szCs w:val="18"/>
                              </w:rPr>
                            </w:pPr>
                            <w:r w:rsidRPr="00E77D15">
                              <w:rPr>
                                <w:rFonts w:ascii="Aptos Narrow" w:hAnsi="Aptos Narrow" w:cs="Arial"/>
                                <w:color w:val="FFFFFF"/>
                                <w:kern w:val="24"/>
                                <w:sz w:val="18"/>
                                <w:szCs w:val="18"/>
                              </w:rPr>
                              <w:t>Birokrātijas mazināšana, uz rezultātu un efektivitāti orientēts publiskais sektors, modernu digitālo risinājumu ieviešana publiskajā pārvaldē</w:t>
                            </w:r>
                          </w:p>
                        </w:txbxContent>
                      </v:textbox>
                    </v:shape>
                  </w:pict>
                </mc:Fallback>
              </mc:AlternateContent>
            </w:r>
          </w:p>
          <w:p w14:paraId="63AB3DEA" w14:textId="77777777" w:rsidR="00C607AD" w:rsidRPr="0081382A" w:rsidRDefault="00C607AD">
            <w:pPr>
              <w:spacing w:after="0"/>
              <w:rPr>
                <w:rFonts w:ascii="Calibri" w:hAnsi="Calibri" w:cs="Calibri"/>
                <w:sz w:val="22"/>
                <w:lang w:eastAsia="lv-LV"/>
              </w:rPr>
            </w:pPr>
          </w:p>
          <w:p w14:paraId="3B732F80" w14:textId="77777777" w:rsidR="00C607AD" w:rsidRPr="0081382A" w:rsidRDefault="00C607AD">
            <w:pPr>
              <w:spacing w:after="0"/>
              <w:rPr>
                <w:rFonts w:ascii="Calibri" w:hAnsi="Calibri" w:cs="Calibri"/>
                <w:sz w:val="22"/>
                <w:lang w:eastAsia="lv-LV"/>
              </w:rPr>
            </w:pPr>
          </w:p>
          <w:p w14:paraId="4CF204C9" w14:textId="77777777" w:rsidR="00C607AD" w:rsidRPr="0081382A" w:rsidRDefault="00C607AD">
            <w:pPr>
              <w:tabs>
                <w:tab w:val="left" w:pos="265"/>
              </w:tabs>
              <w:spacing w:after="0"/>
              <w:jc w:val="center"/>
              <w:rPr>
                <w:rFonts w:ascii="Aptos Narrow" w:hAnsi="Aptos Narrow" w:cs="Calibri"/>
                <w:sz w:val="18"/>
                <w:szCs w:val="18"/>
                <w:lang w:eastAsia="lv-LV"/>
              </w:rPr>
            </w:pPr>
          </w:p>
        </w:tc>
        <w:tc>
          <w:tcPr>
            <w:tcW w:w="4170" w:type="pct"/>
            <w:shd w:val="clear" w:color="auto" w:fill="DCE7EB"/>
          </w:tcPr>
          <w:p w14:paraId="7BAE7133" w14:textId="77777777" w:rsidR="00C607AD" w:rsidRPr="0081382A" w:rsidRDefault="00C607AD">
            <w:pPr>
              <w:spacing w:before="60" w:after="60"/>
              <w:jc w:val="center"/>
              <w:rPr>
                <w:rFonts w:ascii="Aptos Narrow" w:hAnsi="Aptos Narrow" w:cs="Calibri"/>
                <w:sz w:val="18"/>
                <w:szCs w:val="18"/>
                <w:lang w:eastAsia="lv-LV"/>
              </w:rPr>
            </w:pPr>
            <w:r w:rsidRPr="0081382A">
              <w:rPr>
                <w:noProof/>
              </w:rPr>
              <mc:AlternateContent>
                <mc:Choice Requires="wps">
                  <w:drawing>
                    <wp:anchor distT="0" distB="0" distL="114300" distR="114300" simplePos="0" relativeHeight="251658398" behindDoc="0" locked="0" layoutInCell="1" allowOverlap="1" wp14:anchorId="03111824" wp14:editId="10705AC5">
                      <wp:simplePos x="0" y="0"/>
                      <wp:positionH relativeFrom="column">
                        <wp:posOffset>3116580</wp:posOffset>
                      </wp:positionH>
                      <wp:positionV relativeFrom="paragraph">
                        <wp:posOffset>2498090</wp:posOffset>
                      </wp:positionV>
                      <wp:extent cx="1367790" cy="287655"/>
                      <wp:effectExtent l="0" t="0" r="3810" b="0"/>
                      <wp:wrapNone/>
                      <wp:docPr id="103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287655"/>
                              </a:xfrm>
                              <a:prstGeom prst="rect">
                                <a:avLst/>
                              </a:prstGeom>
                              <a:solidFill>
                                <a:srgbClr val="006666"/>
                              </a:solidFill>
                              <a:ln w="22225">
                                <a:noFill/>
                              </a:ln>
                            </wps:spPr>
                            <wps:txbx>
                              <w:txbxContent>
                                <w:p w14:paraId="38E1EB6B" w14:textId="77777777" w:rsidR="00C607AD" w:rsidRPr="00E77D15" w:rsidRDefault="00C607AD" w:rsidP="00C607AD">
                                  <w:pPr>
                                    <w:kinsoku w:val="0"/>
                                    <w:overflowPunct w:val="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PRODUKTIVITĀTE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3111824" id="Text Box 1030" o:spid="_x0000_s1242" type="#_x0000_t202" style="position:absolute;left:0;text-align:left;margin-left:245.4pt;margin-top:196.7pt;width:107.7pt;height:22.65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S8uwEAAGMDAAAOAAAAZHJzL2Uyb0RvYy54bWysU01v2zAMvQ/YfxB0X5xkS9IacYqtRXcp&#10;tgFdf4Aiy7EwWdRIJXb+/SjZS/ZxG6YDbYnUI98jtb0bOidOBsmCr+RiNpfCeA219YdKvnx9fHMj&#10;BUXla+XAm0qeDcm73etX2z6UZgktuNqgYBBPZR8q2cYYyqIg3ZpO0QyC8exsADsVeYuHokbVM3rn&#10;iuV8vi56wDogaEPEpw+jU+4yftMYHT83DZkoXCW5tpgtZrtPtthtVXlAFVqrpzLUP1TRKes56QXq&#10;QUUljmj/guqsRiBo4kxDV0DTWG0yB2azmP/B5rlVwWQuLA6Fi0z0/2D1p9Nz+IIiDh9g4AZmEhSe&#10;QH8j1qboA5VTTNKUSuLoRHRosEtfpiD4Imt7vuhphih0Qnu73mxu2aXZt7zZrFerJHhxvR2Q4kcD&#10;nUg/lUTuV65AnZ4ojqE/Q1IyAmfrR+tc3uBhf+9QnFTq7XzNa0L/Lcx50XN2XqsM7SEBjNjOTxRH&#10;VolfHPaDsDXfWLxLcOlsD/WZNep5TCpJ348KjRQY3T2MU6W8boGHSkecUrw/RmhsZnAFmHJxJ7MG&#10;09SlUfl1n6Oub2P3AwAA//8DAFBLAwQUAAYACAAAACEARg1LGN8AAAALAQAADwAAAGRycy9kb3du&#10;cmV2LnhtbEyPwU7DMBBE70j8g7VI3KhNUzVtiFNVSKickFoQXN3YxBH2Osq6bfh7lhMcRzOaeVNv&#10;phjE2Y3UJ9RwP1MgHLbJ9thpeHt9uluBoGzQmpDQafh2BJvm+qo2lU0X3LvzIXeCS5Aqo8HnPFRS&#10;UutdNDRLg0P2PtMYTWY5dtKO5sLlMci5UksZTY+84M3gHr1rvw6nqGFfvvsieArky+f4sdvSS7cj&#10;rW9vpu0DiOym/BeGX3xGh4aZjumElkTQsFgrRs8ainWxAMGJUi3nII5sFasSZFPL/x+aHwAAAP//&#10;AwBQSwECLQAUAAYACAAAACEAtoM4kv4AAADhAQAAEwAAAAAAAAAAAAAAAAAAAAAAW0NvbnRlbnRf&#10;VHlwZXNdLnhtbFBLAQItABQABgAIAAAAIQA4/SH/1gAAAJQBAAALAAAAAAAAAAAAAAAAAC8BAABf&#10;cmVscy8ucmVsc1BLAQItABQABgAIAAAAIQBSAyS8uwEAAGMDAAAOAAAAAAAAAAAAAAAAAC4CAABk&#10;cnMvZTJvRG9jLnhtbFBLAQItABQABgAIAAAAIQBGDUsY3wAAAAsBAAAPAAAAAAAAAAAAAAAAABUE&#10;AABkcnMvZG93bnJldi54bWxQSwUGAAAAAAQABADzAAAAIQUAAAAA&#10;" fillcolor="#066" stroked="f" strokeweight="1.75pt">
                      <v:textbox>
                        <w:txbxContent>
                          <w:p w14:paraId="38E1EB6B" w14:textId="77777777" w:rsidR="00C607AD" w:rsidRPr="00E77D15" w:rsidRDefault="00C607AD" w:rsidP="00C607AD">
                            <w:pPr>
                              <w:kinsoku w:val="0"/>
                              <w:overflowPunct w:val="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PRODUKTIVITĀTE</w:t>
                            </w:r>
                          </w:p>
                        </w:txbxContent>
                      </v:textbox>
                    </v:shape>
                  </w:pict>
                </mc:Fallback>
              </mc:AlternateContent>
            </w:r>
            <w:r w:rsidRPr="0081382A">
              <w:rPr>
                <w:noProof/>
              </w:rPr>
              <mc:AlternateContent>
                <mc:Choice Requires="wps">
                  <w:drawing>
                    <wp:anchor distT="0" distB="0" distL="114300" distR="114300" simplePos="0" relativeHeight="251658396" behindDoc="0" locked="0" layoutInCell="1" allowOverlap="1" wp14:anchorId="0C9FE055" wp14:editId="6C6DD7C5">
                      <wp:simplePos x="0" y="0"/>
                      <wp:positionH relativeFrom="column">
                        <wp:posOffset>-69215</wp:posOffset>
                      </wp:positionH>
                      <wp:positionV relativeFrom="paragraph">
                        <wp:posOffset>891540</wp:posOffset>
                      </wp:positionV>
                      <wp:extent cx="4572000" cy="252095"/>
                      <wp:effectExtent l="0" t="0" r="0" b="0"/>
                      <wp:wrapNone/>
                      <wp:docPr id="102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252095"/>
                              </a:xfrm>
                              <a:prstGeom prst="rect">
                                <a:avLst/>
                              </a:prstGeom>
                              <a:solidFill>
                                <a:sysClr val="window" lastClr="FFFFFF">
                                  <a:lumMod val="95000"/>
                                </a:sysClr>
                              </a:solidFill>
                              <a:ln w="28575">
                                <a:noFill/>
                              </a:ln>
                            </wps:spPr>
                            <wps:txbx>
                              <w:txbxContent>
                                <w:p w14:paraId="4E112E4E" w14:textId="77777777" w:rsidR="00C607AD" w:rsidRPr="00E77D15" w:rsidRDefault="00C607AD" w:rsidP="00C607AD">
                                  <w:pPr>
                                    <w:kinsoku w:val="0"/>
                                    <w:overflowPunct w:val="0"/>
                                    <w:spacing w:after="0"/>
                                    <w:jc w:val="center"/>
                                    <w:textAlignment w:val="baseline"/>
                                    <w:rPr>
                                      <w:rFonts w:ascii="Aptos Narrow" w:hAnsi="Aptos Narrow" w:cs="Arial"/>
                                      <w:b/>
                                      <w:bCs/>
                                      <w:color w:val="008080"/>
                                      <w:kern w:val="24"/>
                                      <w:szCs w:val="20"/>
                                    </w:rPr>
                                  </w:pPr>
                                  <w:r w:rsidRPr="00E77D15">
                                    <w:rPr>
                                      <w:rFonts w:ascii="Aptos Narrow" w:hAnsi="Aptos Narrow" w:cs="Arial"/>
                                      <w:b/>
                                      <w:bCs/>
                                      <w:color w:val="008080"/>
                                      <w:kern w:val="24"/>
                                      <w:szCs w:val="20"/>
                                    </w:rPr>
                                    <w:t>EKONOMIKAS IZAUGSME</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C9FE055" id="Text Box 1029" o:spid="_x0000_s1243" type="#_x0000_t202" style="position:absolute;left:0;text-align:left;margin-left:-5.45pt;margin-top:70.2pt;width:5in;height:19.85pt;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lIw4gEAALgDAAAOAAAAZHJzL2Uyb0RvYy54bWysU9uO2yAQfa/Uf0C8N3aiurtrxVm1u0pV&#10;aXuRtv0AAjhGxQxlSOz8fQfsJL28Vc0DGWDmcM6Z8fp+7C076oAGXMOXi5Iz7SQo4/YN//Z1++qW&#10;M4zCKWHB6YafNPL7zcsX68HXegUdWKUDIxCH9eAb3sXo66JA2ele4AK8dnTZQuhFpG3YFyqIgdB7&#10;W6zK8k0xQFA+gNSIdPo4XfJNxm9bLePntkUdmW04cYt5DXndpbXYrEW9D8J3Rs40xD+w6IVx9OgF&#10;6lFEwQ7B/AXVGxkAoY0LCX0BbWukzhpIzbL8Q81zJ7zOWsgc9Beb8P/Byk/HZ/8lsDi+g5EamEWg&#10;fwL5HcmbYvBYzznJU6yRspPQsQ19+icJjArJ29PFTz1GJunwdXVDPaIrSXeralXeVcnw4lrtA8b3&#10;GnqWgoYH6ldmII5PGKfUc0p6DMEatTXW5s0JH2xgR0GtpYlQMHBmBUY6bPg2/zKWPfQfQU15d1Xi&#10;MwFjrs90fsO1jg1E97a6qXK9g/TiVGPd7MlkQzIkjruRGUUVy6wune1AncjUgeaq4fjjIIImbh8c&#10;NS4N4TkI52B3DkK0DzCNqnCyA1IiY5hpvD1EaE225frIzIfGIyuZRznN36/7nHX94DY/AQAA//8D&#10;AFBLAwQUAAYACAAAACEAx3Pbi+EAAAALAQAADwAAAGRycy9kb3ducmV2LnhtbEyPwU7DMAyG70i8&#10;Q2QkLmhLiqp1K00nhJgEBw4bIK5eY9qyJumadCtvjznB0f4//f5crCfbiRMNofVOQzJXIMhV3rSu&#10;1vD2upktQYSIzmDnHWn4pgDr8vKiwNz4s9vSaRdrwSUu5KihibHPpQxVQxbD3PfkOPv0g8XI41BL&#10;M+CZy20nb5VaSIut4wsN9vTQUHXYjVZD9nR4HLPj+8fii256etkcn1NCra+vpvs7EJGm+AfDrz6r&#10;Q8lOez86E0SnYZaoFaMcpCoFwUSmVgmIPW+WKgFZFvL/D+UPAAAA//8DAFBLAQItABQABgAIAAAA&#10;IQC2gziS/gAAAOEBAAATAAAAAAAAAAAAAAAAAAAAAABbQ29udGVudF9UeXBlc10ueG1sUEsBAi0A&#10;FAAGAAgAAAAhADj9If/WAAAAlAEAAAsAAAAAAAAAAAAAAAAALwEAAF9yZWxzLy5yZWxzUEsBAi0A&#10;FAAGAAgAAAAhAFcqUjDiAQAAuAMAAA4AAAAAAAAAAAAAAAAALgIAAGRycy9lMm9Eb2MueG1sUEsB&#10;Ai0AFAAGAAgAAAAhAMdz24vhAAAACwEAAA8AAAAAAAAAAAAAAAAAPAQAAGRycy9kb3ducmV2Lnht&#10;bFBLBQYAAAAABAAEAPMAAABKBQAAAAA=&#10;" fillcolor="#f2f2f2" stroked="f" strokeweight="2.25pt">
                      <v:textbox inset="0,0,0,0">
                        <w:txbxContent>
                          <w:p w14:paraId="4E112E4E" w14:textId="77777777" w:rsidR="00C607AD" w:rsidRPr="00E77D15" w:rsidRDefault="00C607AD" w:rsidP="00C607AD">
                            <w:pPr>
                              <w:kinsoku w:val="0"/>
                              <w:overflowPunct w:val="0"/>
                              <w:spacing w:after="0"/>
                              <w:jc w:val="center"/>
                              <w:textAlignment w:val="baseline"/>
                              <w:rPr>
                                <w:rFonts w:ascii="Aptos Narrow" w:hAnsi="Aptos Narrow" w:cs="Arial"/>
                                <w:b/>
                                <w:bCs/>
                                <w:color w:val="008080"/>
                                <w:kern w:val="24"/>
                                <w:szCs w:val="20"/>
                              </w:rPr>
                            </w:pPr>
                            <w:r w:rsidRPr="00E77D15">
                              <w:rPr>
                                <w:rFonts w:ascii="Aptos Narrow" w:hAnsi="Aptos Narrow" w:cs="Arial"/>
                                <w:b/>
                                <w:bCs/>
                                <w:color w:val="008080"/>
                                <w:kern w:val="24"/>
                                <w:szCs w:val="20"/>
                              </w:rPr>
                              <w:t>EKONOMIKAS IZAUGSME</w:t>
                            </w:r>
                          </w:p>
                        </w:txbxContent>
                      </v:textbox>
                    </v:shape>
                  </w:pict>
                </mc:Fallback>
              </mc:AlternateContent>
            </w:r>
          </w:p>
        </w:tc>
      </w:tr>
    </w:tbl>
    <w:p w14:paraId="5CC0821F" w14:textId="2BD174AB" w:rsidR="00FB33BC" w:rsidRDefault="00FB33BC" w:rsidP="00FB33BC">
      <w:pPr>
        <w:spacing w:after="0"/>
        <w:jc w:val="both"/>
        <w:rPr>
          <w:rFonts w:ascii="Source Sans Pro" w:hAnsi="Source Sans Pro"/>
        </w:rPr>
      </w:pPr>
      <w:r w:rsidRPr="00D829F0">
        <w:rPr>
          <w:rFonts w:ascii="Source Sans Pro" w:hAnsi="Source Sans Pro"/>
        </w:rPr>
        <w:lastRenderedPageBreak/>
        <w:t>Lai sasniegtu izvirzītos mērķus, tuvākajos gados nepieciešams nodrošināt vidējo ekonomikas izaugsmi 4</w:t>
      </w:r>
      <w:r w:rsidRPr="007C54CB">
        <w:rPr>
          <w:rFonts w:ascii="Source Sans Pro" w:hAnsi="Source Sans Pro"/>
        </w:rPr>
        <w:t>–</w:t>
      </w:r>
      <w:r w:rsidRPr="00D829F0">
        <w:rPr>
          <w:rFonts w:ascii="Source Sans Pro" w:hAnsi="Source Sans Pro"/>
        </w:rPr>
        <w:t xml:space="preserve">5% gadā, pie nosacījuma, ka inflācija saglabājas ap 2%. Vienlaikus jāgarantē pietiekami darbaspēka resursi </w:t>
      </w:r>
      <w:r w:rsidRPr="007C54CB">
        <w:rPr>
          <w:rFonts w:ascii="Source Sans Pro" w:hAnsi="Source Sans Pro"/>
        </w:rPr>
        <w:t>–</w:t>
      </w:r>
      <w:r w:rsidRPr="00D829F0">
        <w:rPr>
          <w:rFonts w:ascii="Source Sans Pro" w:hAnsi="Source Sans Pro"/>
        </w:rPr>
        <w:t xml:space="preserve"> vismaz 900</w:t>
      </w:r>
      <w:r w:rsidR="009167A3">
        <w:rPr>
          <w:rFonts w:ascii="Source Sans Pro" w:hAnsi="Source Sans Pro"/>
        </w:rPr>
        <w:t> </w:t>
      </w:r>
      <w:r w:rsidRPr="00D829F0">
        <w:rPr>
          <w:rFonts w:ascii="Source Sans Pro" w:hAnsi="Source Sans Pro"/>
        </w:rPr>
        <w:t>tūks</w:t>
      </w:r>
      <w:r w:rsidR="009167A3">
        <w:rPr>
          <w:rFonts w:ascii="Source Sans Pro" w:hAnsi="Source Sans Pro"/>
        </w:rPr>
        <w:t>t.</w:t>
      </w:r>
      <w:r w:rsidRPr="00D829F0">
        <w:rPr>
          <w:rFonts w:ascii="Source Sans Pro" w:hAnsi="Source Sans Pro"/>
        </w:rPr>
        <w:t xml:space="preserve"> nodarbināto gadā. Tāpat būtiski ir palielināt eksporta īpatsvaru līdz vismaz 80% no IKP un uzturēt privāto investīciju apjomu ne mazāku par 25% no IKP gadā. Produktivitātes kāpums nākamajā desmitgadē varētu veicināt arī vidējās mēneša bruto darba algas pieaugumu līdz vismaz 3200</w:t>
      </w:r>
      <w:r w:rsidR="009167A3">
        <w:rPr>
          <w:rFonts w:ascii="Source Sans Pro" w:hAnsi="Source Sans Pro"/>
        </w:rPr>
        <w:t> </w:t>
      </w:r>
      <w:r w:rsidRPr="007C54CB">
        <w:rPr>
          <w:rFonts w:ascii="Source Sans Pro" w:hAnsi="Source Sans Pro"/>
        </w:rPr>
        <w:t>e</w:t>
      </w:r>
      <w:r w:rsidR="00EF7487">
        <w:rPr>
          <w:rFonts w:ascii="Source Sans Pro" w:hAnsi="Source Sans Pro"/>
        </w:rPr>
        <w:t>i</w:t>
      </w:r>
      <w:r w:rsidRPr="007C54CB">
        <w:rPr>
          <w:rFonts w:ascii="Source Sans Pro" w:hAnsi="Source Sans Pro"/>
        </w:rPr>
        <w:t>ro.</w:t>
      </w:r>
    </w:p>
    <w:p w14:paraId="1E819416" w14:textId="77777777" w:rsidR="00FB33BC" w:rsidRPr="00D829F0" w:rsidRDefault="00FB33BC" w:rsidP="00EE120B">
      <w:pPr>
        <w:jc w:val="both"/>
        <w:rPr>
          <w:rFonts w:ascii="Source Sans Pro" w:hAnsi="Source Sans Pro"/>
        </w:rPr>
      </w:pPr>
    </w:p>
    <w:p w14:paraId="089B11DC" w14:textId="77777777" w:rsidR="00761764" w:rsidRPr="00CC26DC" w:rsidRDefault="00761764" w:rsidP="00834E74">
      <w:pPr>
        <w:spacing w:after="120"/>
        <w:jc w:val="both"/>
        <w:rPr>
          <w:rFonts w:ascii="Aptos Narrow" w:hAnsi="Aptos Narrow"/>
          <w:b/>
          <w:color w:val="003E4C"/>
          <w:sz w:val="28"/>
          <w:szCs w:val="28"/>
        </w:rPr>
      </w:pPr>
      <w:r w:rsidRPr="00CC26DC">
        <w:rPr>
          <w:rFonts w:ascii="Aptos Narrow" w:hAnsi="Aptos Narrow"/>
          <w:b/>
          <w:color w:val="003E4C"/>
          <w:sz w:val="28"/>
          <w:szCs w:val="28"/>
        </w:rPr>
        <w:t>Vidēja un ilgtermiņa makroekonomiskais ietvars</w:t>
      </w:r>
    </w:p>
    <w:p w14:paraId="754A59A7" w14:textId="77777777" w:rsidR="0077611B" w:rsidRPr="00D829F0" w:rsidRDefault="0077611B" w:rsidP="0077611B">
      <w:pPr>
        <w:spacing w:before="120" w:after="120"/>
        <w:jc w:val="both"/>
        <w:rPr>
          <w:rFonts w:ascii="Source Sans Pro" w:hAnsi="Source Sans Pro" w:cs="Calibri Light"/>
          <w:szCs w:val="20"/>
        </w:rPr>
      </w:pPr>
      <w:r w:rsidRPr="00D829F0">
        <w:rPr>
          <w:rFonts w:ascii="Source Sans Pro" w:hAnsi="Source Sans Pro" w:cs="Calibri Light"/>
          <w:szCs w:val="20"/>
        </w:rPr>
        <w:t>Ņemot vērā prognozētās demogrāfiskās izmaiņas, produktivitātes kāpināšana kļūst par galveno priekšnoteikumu ekonomikas izaugsmei. Viens no būtiskākajiem izaicinājumiem ir jaunu konkurētspējas priekšrocību attīstīšana, kas cieši saistīta ar ieguldījumiem cilvēkkapitālā, tehnoloģijās, inovācijās, pētniecībā un digitalizācijā. Šādu priekšrocību veidošana ir būtiska, lai paplašinātu eksporta tirgus un palielinātu eksporta apjomus, kam jākļūst par galveno ekonomikas izaugsmes virzītājspēku. Latvijas konkurētspēja gan vietējā, gan starptautiskajā tirgū būs atkarīga no spējas samazināt produktivitātes atšķirības ar tehnoloģiski attīstītajām valstīm. Produktivitātes pieaugumu nodrošina ne tikai jaunu tehnoloģiju ieviešana un efektīvāka ražošanas organizācija, bet arī resursu pārorientēšana uz augstākas pievienotās vērtības produktu radīšanu.</w:t>
      </w:r>
    </w:p>
    <w:p w14:paraId="37E10BBB" w14:textId="434842E7" w:rsidR="004573BD" w:rsidRPr="00D829F0" w:rsidRDefault="004573BD" w:rsidP="004573BD">
      <w:pPr>
        <w:spacing w:before="120" w:after="120"/>
        <w:jc w:val="right"/>
        <w:rPr>
          <w:rFonts w:ascii="Source Sans Pro" w:hAnsi="Source Sans Pro"/>
          <w:szCs w:val="20"/>
        </w:rPr>
      </w:pPr>
      <w:r w:rsidRPr="00D829F0">
        <w:rPr>
          <w:rFonts w:ascii="Source Sans Pro" w:hAnsi="Source Sans Pro"/>
          <w:szCs w:val="20"/>
        </w:rPr>
        <w:t>3.1.</w:t>
      </w:r>
      <w:r w:rsidR="009167A3">
        <w:rPr>
          <w:rFonts w:ascii="Source Sans Pro" w:hAnsi="Source Sans Pro"/>
          <w:szCs w:val="20"/>
        </w:rPr>
        <w:t> </w:t>
      </w:r>
      <w:r w:rsidRPr="00D829F0">
        <w:rPr>
          <w:rFonts w:ascii="Source Sans Pro" w:hAnsi="Source Sans Pro"/>
          <w:szCs w:val="20"/>
        </w:rPr>
        <w:t>tabula</w:t>
      </w:r>
    </w:p>
    <w:p w14:paraId="4F8BDDB9" w14:textId="77777777" w:rsidR="004573BD" w:rsidRPr="00A81F26" w:rsidRDefault="004573BD" w:rsidP="004573BD">
      <w:pPr>
        <w:spacing w:after="120"/>
        <w:jc w:val="center"/>
        <w:rPr>
          <w:rFonts w:ascii="Segoe UI Light" w:hAnsi="Segoe UI Light" w:cs="Segoe UI Light"/>
          <w:i/>
          <w:sz w:val="16"/>
          <w:szCs w:val="20"/>
        </w:rPr>
      </w:pPr>
      <w:r w:rsidRPr="00A81F26">
        <w:rPr>
          <w:rFonts w:ascii="Segoe UI Light" w:hAnsi="Segoe UI Light" w:cs="Segoe UI Light"/>
          <w:b/>
          <w:sz w:val="18"/>
          <w:szCs w:val="20"/>
        </w:rPr>
        <w:t>Mērķa scenārija ietvars</w:t>
      </w:r>
      <w:r w:rsidRPr="00A81F26">
        <w:rPr>
          <w:rFonts w:ascii="Segoe UI Light" w:hAnsi="Segoe UI Light" w:cs="Segoe UI Light"/>
          <w:b/>
          <w:sz w:val="18"/>
          <w:szCs w:val="20"/>
        </w:rPr>
        <w:br/>
      </w:r>
      <w:r w:rsidRPr="00A81F26">
        <w:rPr>
          <w:rFonts w:ascii="Segoe UI Light" w:hAnsi="Segoe UI Light" w:cs="Segoe UI Light"/>
          <w:i/>
          <w:sz w:val="16"/>
          <w:szCs w:val="20"/>
        </w:rPr>
        <w:t>izmaiņas procentos, vidēji gadā</w:t>
      </w:r>
    </w:p>
    <w:tbl>
      <w:tblPr>
        <w:tblStyle w:val="GridTable5Dark-Accent31"/>
        <w:tblW w:w="75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127"/>
        <w:gridCol w:w="1347"/>
        <w:gridCol w:w="1347"/>
        <w:gridCol w:w="1347"/>
        <w:gridCol w:w="1348"/>
      </w:tblGrid>
      <w:tr w:rsidR="004573BD" w:rsidRPr="00D829F0" w14:paraId="5F38276B" w14:textId="77777777">
        <w:trPr>
          <w:cnfStyle w:val="100000000000" w:firstRow="1" w:lastRow="0" w:firstColumn="0" w:lastColumn="0" w:oddVBand="0" w:evenVBand="0" w:oddHBand="0" w:evenHBand="0" w:firstRowFirstColumn="0" w:firstRowLastColumn="0" w:lastRowFirstColumn="0" w:lastRowLastColumn="0"/>
          <w:trHeight w:val="454"/>
          <w:jc w:val="center"/>
        </w:trPr>
        <w:tc>
          <w:tcPr>
            <w:tcW w:w="2127" w:type="dxa"/>
            <w:shd w:val="clear" w:color="auto" w:fill="006666"/>
          </w:tcPr>
          <w:p w14:paraId="43C5E56A" w14:textId="77777777" w:rsidR="004573BD" w:rsidRPr="009E69B5" w:rsidRDefault="004573BD">
            <w:pPr>
              <w:numPr>
                <w:ilvl w:val="12"/>
                <w:numId w:val="0"/>
              </w:numPr>
              <w:spacing w:before="40" w:after="40"/>
              <w:jc w:val="center"/>
              <w:rPr>
                <w:rFonts w:ascii="Segoe UI Light" w:hAnsi="Segoe UI Light" w:cs="Segoe UI Light"/>
                <w:b w:val="0"/>
                <w:sz w:val="16"/>
                <w:szCs w:val="16"/>
              </w:rPr>
            </w:pPr>
          </w:p>
        </w:tc>
        <w:tc>
          <w:tcPr>
            <w:tcW w:w="1347" w:type="dxa"/>
            <w:shd w:val="clear" w:color="auto" w:fill="006666"/>
            <w:vAlign w:val="center"/>
          </w:tcPr>
          <w:p w14:paraId="19FED9DE" w14:textId="77777777" w:rsidR="004573BD" w:rsidRPr="009E69B5" w:rsidRDefault="004573BD">
            <w:pPr>
              <w:spacing w:before="40" w:after="40"/>
              <w:jc w:val="center"/>
              <w:rPr>
                <w:rFonts w:ascii="Segoe UI Light" w:hAnsi="Segoe UI Light" w:cs="Segoe UI Light"/>
                <w:sz w:val="16"/>
                <w:szCs w:val="16"/>
              </w:rPr>
            </w:pPr>
            <w:r w:rsidRPr="009E69B5">
              <w:rPr>
                <w:rFonts w:ascii="Segoe UI Light" w:eastAsia="Times New Roman" w:hAnsi="Segoe UI Light" w:cs="Segoe UI Light"/>
                <w:sz w:val="16"/>
                <w:szCs w:val="16"/>
                <w:lang w:eastAsia="lv-LV"/>
              </w:rPr>
              <w:t>2011-2019</w:t>
            </w:r>
          </w:p>
        </w:tc>
        <w:tc>
          <w:tcPr>
            <w:tcW w:w="1347" w:type="dxa"/>
            <w:shd w:val="clear" w:color="auto" w:fill="006666"/>
            <w:vAlign w:val="center"/>
          </w:tcPr>
          <w:p w14:paraId="60F8E2A0" w14:textId="77777777" w:rsidR="004573BD" w:rsidRPr="009E69B5" w:rsidRDefault="004573BD">
            <w:pPr>
              <w:spacing w:before="40" w:after="40"/>
              <w:jc w:val="center"/>
              <w:rPr>
                <w:rFonts w:ascii="Segoe UI Light" w:hAnsi="Segoe UI Light" w:cs="Segoe UI Light"/>
                <w:sz w:val="16"/>
                <w:szCs w:val="16"/>
              </w:rPr>
            </w:pPr>
            <w:r w:rsidRPr="009E69B5">
              <w:rPr>
                <w:rFonts w:ascii="Segoe UI Light" w:eastAsia="Times New Roman" w:hAnsi="Segoe UI Light" w:cs="Segoe UI Light"/>
                <w:sz w:val="16"/>
                <w:szCs w:val="16"/>
                <w:lang w:eastAsia="lv-LV"/>
              </w:rPr>
              <w:t>2020-2025</w:t>
            </w:r>
          </w:p>
        </w:tc>
        <w:tc>
          <w:tcPr>
            <w:tcW w:w="1347" w:type="dxa"/>
            <w:shd w:val="clear" w:color="auto" w:fill="006666"/>
            <w:vAlign w:val="center"/>
          </w:tcPr>
          <w:p w14:paraId="471B112E" w14:textId="77777777" w:rsidR="004573BD" w:rsidRPr="009E69B5" w:rsidRDefault="004573BD">
            <w:pPr>
              <w:spacing w:before="40" w:after="40"/>
              <w:jc w:val="center"/>
              <w:rPr>
                <w:rFonts w:ascii="Segoe UI Light" w:hAnsi="Segoe UI Light" w:cs="Segoe UI Light"/>
                <w:sz w:val="16"/>
                <w:szCs w:val="16"/>
              </w:rPr>
            </w:pPr>
            <w:r w:rsidRPr="009E69B5">
              <w:rPr>
                <w:rFonts w:ascii="Segoe UI Light" w:eastAsia="Times New Roman" w:hAnsi="Segoe UI Light" w:cs="Segoe UI Light"/>
                <w:sz w:val="16"/>
                <w:szCs w:val="16"/>
                <w:lang w:eastAsia="lv-LV"/>
              </w:rPr>
              <w:t>2026-2030</w:t>
            </w:r>
          </w:p>
        </w:tc>
        <w:tc>
          <w:tcPr>
            <w:tcW w:w="1348" w:type="dxa"/>
            <w:shd w:val="clear" w:color="auto" w:fill="006666"/>
            <w:vAlign w:val="center"/>
          </w:tcPr>
          <w:p w14:paraId="746EF19E" w14:textId="77777777" w:rsidR="004573BD" w:rsidRPr="009E69B5" w:rsidRDefault="004573BD">
            <w:pPr>
              <w:spacing w:before="40" w:after="40"/>
              <w:jc w:val="center"/>
              <w:rPr>
                <w:rFonts w:ascii="Segoe UI Light" w:hAnsi="Segoe UI Light" w:cs="Segoe UI Light"/>
                <w:sz w:val="16"/>
                <w:szCs w:val="16"/>
              </w:rPr>
            </w:pPr>
            <w:r w:rsidRPr="009E69B5">
              <w:rPr>
                <w:rFonts w:ascii="Segoe UI Light" w:eastAsia="Times New Roman" w:hAnsi="Segoe UI Light" w:cs="Segoe UI Light"/>
                <w:sz w:val="16"/>
                <w:szCs w:val="16"/>
                <w:lang w:eastAsia="lv-LV"/>
              </w:rPr>
              <w:t>2031-2040</w:t>
            </w:r>
          </w:p>
        </w:tc>
      </w:tr>
      <w:tr w:rsidR="004573BD" w:rsidRPr="00D829F0" w14:paraId="6F850E29"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tcW w:w="2127" w:type="dxa"/>
            <w:shd w:val="clear" w:color="auto" w:fill="DCE7EB"/>
          </w:tcPr>
          <w:p w14:paraId="084D18CE" w14:textId="77777777" w:rsidR="004573BD" w:rsidRPr="009E69B5" w:rsidRDefault="004573BD">
            <w:pPr>
              <w:numPr>
                <w:ilvl w:val="12"/>
                <w:numId w:val="0"/>
              </w:numPr>
              <w:spacing w:before="40" w:after="40"/>
              <w:rPr>
                <w:rFonts w:ascii="Segoe UI Light" w:hAnsi="Segoe UI Light" w:cs="Segoe UI Light"/>
                <w:sz w:val="16"/>
                <w:szCs w:val="16"/>
                <w:highlight w:val="yellow"/>
              </w:rPr>
            </w:pPr>
          </w:p>
        </w:tc>
        <w:tc>
          <w:tcPr>
            <w:tcW w:w="2694" w:type="dxa"/>
            <w:gridSpan w:val="2"/>
            <w:shd w:val="clear" w:color="auto" w:fill="DCE7EB"/>
          </w:tcPr>
          <w:p w14:paraId="10BD3DA7" w14:textId="77777777" w:rsidR="004573BD" w:rsidRPr="009E69B5" w:rsidRDefault="004573BD">
            <w:pPr>
              <w:spacing w:before="40" w:after="40"/>
              <w:jc w:val="center"/>
              <w:rPr>
                <w:rFonts w:ascii="Segoe UI Light" w:hAnsi="Segoe UI Light" w:cs="Segoe UI Light"/>
                <w:sz w:val="16"/>
                <w:szCs w:val="16"/>
                <w:highlight w:val="yellow"/>
              </w:rPr>
            </w:pPr>
            <w:r w:rsidRPr="00A81F26">
              <w:rPr>
                <w:rFonts w:ascii="Segoe UI Light" w:eastAsia="Times New Roman" w:hAnsi="Segoe UI Light" w:cs="Segoe UI Light"/>
                <w:color w:val="000000"/>
                <w:sz w:val="16"/>
                <w:szCs w:val="16"/>
                <w:lang w:eastAsia="lv-LV"/>
              </w:rPr>
              <w:t>Fakts</w:t>
            </w:r>
          </w:p>
        </w:tc>
        <w:tc>
          <w:tcPr>
            <w:tcW w:w="2695" w:type="dxa"/>
            <w:gridSpan w:val="2"/>
            <w:shd w:val="clear" w:color="auto" w:fill="DCE7EB"/>
          </w:tcPr>
          <w:p w14:paraId="46F2E697" w14:textId="77777777" w:rsidR="004573BD" w:rsidRPr="00A81F26" w:rsidRDefault="004573BD">
            <w:pPr>
              <w:spacing w:before="40" w:after="40"/>
              <w:jc w:val="center"/>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Prognoze</w:t>
            </w:r>
          </w:p>
        </w:tc>
      </w:tr>
      <w:tr w:rsidR="004573BD" w:rsidRPr="00D829F0" w14:paraId="22E72446" w14:textId="77777777">
        <w:trPr>
          <w:jc w:val="center"/>
        </w:trPr>
        <w:tc>
          <w:tcPr>
            <w:tcW w:w="2127" w:type="dxa"/>
            <w:shd w:val="clear" w:color="auto" w:fill="auto"/>
          </w:tcPr>
          <w:p w14:paraId="5E7D3CE5" w14:textId="77777777" w:rsidR="004573BD" w:rsidRPr="00A81F26" w:rsidRDefault="004573BD">
            <w:pPr>
              <w:numPr>
                <w:ilvl w:val="12"/>
                <w:numId w:val="0"/>
              </w:numPr>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Iedzīvotāju skaits</w:t>
            </w:r>
          </w:p>
        </w:tc>
        <w:tc>
          <w:tcPr>
            <w:tcW w:w="1347" w:type="dxa"/>
            <w:shd w:val="clear" w:color="auto" w:fill="auto"/>
            <w:vAlign w:val="bottom"/>
          </w:tcPr>
          <w:p w14:paraId="0595FCBB"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-1,1</w:t>
            </w:r>
          </w:p>
        </w:tc>
        <w:tc>
          <w:tcPr>
            <w:tcW w:w="1347" w:type="dxa"/>
            <w:shd w:val="clear" w:color="auto" w:fill="auto"/>
            <w:vAlign w:val="bottom"/>
          </w:tcPr>
          <w:p w14:paraId="660D35BF"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-0</w:t>
            </w:r>
            <w:r>
              <w:rPr>
                <w:rFonts w:ascii="Segoe UI Light" w:eastAsia="Times New Roman" w:hAnsi="Segoe UI Light" w:cs="Segoe UI Light"/>
                <w:color w:val="000000"/>
                <w:sz w:val="16"/>
                <w:szCs w:val="16"/>
                <w:lang w:eastAsia="lv-LV"/>
              </w:rPr>
              <w:t>,</w:t>
            </w:r>
            <w:r w:rsidRPr="00A81F26">
              <w:rPr>
                <w:rFonts w:ascii="Segoe UI Light" w:eastAsia="Times New Roman" w:hAnsi="Segoe UI Light" w:cs="Segoe UI Light"/>
                <w:color w:val="000000"/>
                <w:sz w:val="16"/>
                <w:szCs w:val="16"/>
                <w:lang w:eastAsia="lv-LV"/>
              </w:rPr>
              <w:t>6</w:t>
            </w:r>
          </w:p>
        </w:tc>
        <w:tc>
          <w:tcPr>
            <w:tcW w:w="1347" w:type="dxa"/>
            <w:shd w:val="clear" w:color="auto" w:fill="auto"/>
            <w:vAlign w:val="bottom"/>
          </w:tcPr>
          <w:p w14:paraId="23D3D9D9"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-0,7</w:t>
            </w:r>
          </w:p>
        </w:tc>
        <w:tc>
          <w:tcPr>
            <w:tcW w:w="1348" w:type="dxa"/>
            <w:shd w:val="clear" w:color="auto" w:fill="auto"/>
            <w:vAlign w:val="bottom"/>
          </w:tcPr>
          <w:p w14:paraId="11591E2B"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-0,2</w:t>
            </w:r>
          </w:p>
        </w:tc>
      </w:tr>
      <w:tr w:rsidR="004573BD" w:rsidRPr="00D829F0" w14:paraId="08A0A197" w14:textId="77777777">
        <w:trPr>
          <w:cnfStyle w:val="000000100000" w:firstRow="0" w:lastRow="0" w:firstColumn="0" w:lastColumn="0" w:oddVBand="0" w:evenVBand="0" w:oddHBand="1" w:evenHBand="0" w:firstRowFirstColumn="0" w:firstRowLastColumn="0" w:lastRowFirstColumn="0" w:lastRowLastColumn="0"/>
          <w:jc w:val="center"/>
        </w:trPr>
        <w:tc>
          <w:tcPr>
            <w:tcW w:w="2127" w:type="dxa"/>
            <w:shd w:val="clear" w:color="auto" w:fill="DCE7EB"/>
          </w:tcPr>
          <w:p w14:paraId="1867644E" w14:textId="77777777" w:rsidR="004573BD" w:rsidRPr="00A81F26" w:rsidRDefault="004573BD">
            <w:pPr>
              <w:numPr>
                <w:ilvl w:val="12"/>
                <w:numId w:val="0"/>
              </w:numPr>
              <w:spacing w:before="40" w:after="40"/>
              <w:rPr>
                <w:rFonts w:ascii="Segoe UI Light" w:eastAsia="Times New Roman" w:hAnsi="Segoe UI Light" w:cs="Segoe UI Light"/>
                <w:color w:val="000000"/>
                <w:sz w:val="16"/>
                <w:szCs w:val="16"/>
                <w:lang w:eastAsia="lv-LV"/>
              </w:rPr>
            </w:pPr>
            <w:r w:rsidRPr="00A81F26">
              <w:rPr>
                <w:rFonts w:ascii="Segoe UI Light" w:eastAsia="Times New Roman" w:hAnsi="Segoe UI Light" w:cs="Segoe UI Light"/>
                <w:color w:val="000000"/>
                <w:sz w:val="16"/>
                <w:szCs w:val="16"/>
                <w:lang w:eastAsia="lv-LV"/>
              </w:rPr>
              <w:t>IKP faktiskajās cenās</w:t>
            </w:r>
          </w:p>
        </w:tc>
        <w:tc>
          <w:tcPr>
            <w:tcW w:w="1347" w:type="dxa"/>
            <w:shd w:val="clear" w:color="auto" w:fill="DCE7EB"/>
          </w:tcPr>
          <w:p w14:paraId="517FB3C4"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5</w:t>
            </w:r>
            <w:r>
              <w:rPr>
                <w:rFonts w:ascii="Segoe UI Light" w:eastAsia="Times New Roman" w:hAnsi="Segoe UI Light" w:cs="Segoe UI Light"/>
                <w:color w:val="000000"/>
                <w:sz w:val="16"/>
                <w:szCs w:val="16"/>
                <w:lang w:eastAsia="lv-LV"/>
              </w:rPr>
              <w:t>,</w:t>
            </w:r>
            <w:r w:rsidRPr="00A81F26">
              <w:rPr>
                <w:rFonts w:ascii="Segoe UI Light" w:eastAsia="Times New Roman" w:hAnsi="Segoe UI Light" w:cs="Segoe UI Light"/>
                <w:color w:val="000000"/>
                <w:sz w:val="16"/>
                <w:szCs w:val="16"/>
                <w:lang w:eastAsia="lv-LV"/>
              </w:rPr>
              <w:t>9</w:t>
            </w:r>
          </w:p>
        </w:tc>
        <w:tc>
          <w:tcPr>
            <w:tcW w:w="1347" w:type="dxa"/>
            <w:shd w:val="clear" w:color="auto" w:fill="DCE7EB"/>
          </w:tcPr>
          <w:p w14:paraId="2B203F38"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6</w:t>
            </w:r>
            <w:r>
              <w:rPr>
                <w:rFonts w:ascii="Segoe UI Light" w:eastAsia="Times New Roman" w:hAnsi="Segoe UI Light" w:cs="Segoe UI Light"/>
                <w:color w:val="000000"/>
                <w:sz w:val="16"/>
                <w:szCs w:val="16"/>
                <w:lang w:eastAsia="lv-LV"/>
              </w:rPr>
              <w:t>,</w:t>
            </w:r>
            <w:r w:rsidRPr="00A81F26">
              <w:rPr>
                <w:rFonts w:ascii="Segoe UI Light" w:eastAsia="Times New Roman" w:hAnsi="Segoe UI Light" w:cs="Segoe UI Light"/>
                <w:color w:val="000000"/>
                <w:sz w:val="16"/>
                <w:szCs w:val="16"/>
                <w:lang w:eastAsia="lv-LV"/>
              </w:rPr>
              <w:t>5</w:t>
            </w:r>
          </w:p>
        </w:tc>
        <w:tc>
          <w:tcPr>
            <w:tcW w:w="1347" w:type="dxa"/>
            <w:shd w:val="clear" w:color="auto" w:fill="DCE7EB"/>
          </w:tcPr>
          <w:p w14:paraId="0F261918"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6,8</w:t>
            </w:r>
          </w:p>
        </w:tc>
        <w:tc>
          <w:tcPr>
            <w:tcW w:w="1348" w:type="dxa"/>
            <w:shd w:val="clear" w:color="auto" w:fill="DCE7EB"/>
          </w:tcPr>
          <w:p w14:paraId="439D67B7"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6,4</w:t>
            </w:r>
          </w:p>
        </w:tc>
      </w:tr>
      <w:tr w:rsidR="004573BD" w:rsidRPr="00D829F0" w14:paraId="142B58D2" w14:textId="77777777">
        <w:trPr>
          <w:jc w:val="center"/>
        </w:trPr>
        <w:tc>
          <w:tcPr>
            <w:tcW w:w="2127" w:type="dxa"/>
            <w:shd w:val="clear" w:color="auto" w:fill="auto"/>
          </w:tcPr>
          <w:p w14:paraId="1563C39F" w14:textId="77777777" w:rsidR="004573BD" w:rsidRPr="00A81F26" w:rsidRDefault="004573BD">
            <w:pPr>
              <w:numPr>
                <w:ilvl w:val="12"/>
                <w:numId w:val="0"/>
              </w:numPr>
              <w:spacing w:before="40" w:after="40"/>
              <w:rPr>
                <w:rFonts w:ascii="Segoe UI Light" w:eastAsia="Times New Roman" w:hAnsi="Segoe UI Light" w:cs="Segoe UI Light"/>
                <w:color w:val="000000"/>
                <w:sz w:val="16"/>
                <w:szCs w:val="16"/>
                <w:lang w:eastAsia="lv-LV"/>
              </w:rPr>
            </w:pPr>
            <w:r w:rsidRPr="00A81F26">
              <w:rPr>
                <w:rFonts w:ascii="Segoe UI Light" w:eastAsia="Times New Roman" w:hAnsi="Segoe UI Light" w:cs="Segoe UI Light"/>
                <w:color w:val="000000"/>
                <w:sz w:val="16"/>
                <w:szCs w:val="16"/>
                <w:lang w:eastAsia="lv-LV"/>
              </w:rPr>
              <w:t>IKP salīdzināmās cenās</w:t>
            </w:r>
          </w:p>
        </w:tc>
        <w:tc>
          <w:tcPr>
            <w:tcW w:w="1347" w:type="dxa"/>
            <w:shd w:val="clear" w:color="auto" w:fill="auto"/>
          </w:tcPr>
          <w:p w14:paraId="2F547338"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3,2</w:t>
            </w:r>
          </w:p>
        </w:tc>
        <w:tc>
          <w:tcPr>
            <w:tcW w:w="1347" w:type="dxa"/>
            <w:shd w:val="clear" w:color="auto" w:fill="auto"/>
          </w:tcPr>
          <w:p w14:paraId="55D4F79F"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1,0</w:t>
            </w:r>
          </w:p>
        </w:tc>
        <w:tc>
          <w:tcPr>
            <w:tcW w:w="1347" w:type="dxa"/>
            <w:shd w:val="clear" w:color="auto" w:fill="auto"/>
          </w:tcPr>
          <w:p w14:paraId="662C6527"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3,8</w:t>
            </w:r>
          </w:p>
        </w:tc>
        <w:tc>
          <w:tcPr>
            <w:tcW w:w="1348" w:type="dxa"/>
            <w:shd w:val="clear" w:color="auto" w:fill="auto"/>
          </w:tcPr>
          <w:p w14:paraId="50317391" w14:textId="77777777" w:rsidR="004573BD" w:rsidRPr="00A81F26" w:rsidRDefault="004573BD">
            <w:pPr>
              <w:tabs>
                <w:tab w:val="decimal" w:pos="560"/>
              </w:tabs>
              <w:spacing w:before="40" w:after="40"/>
              <w:rPr>
                <w:rFonts w:ascii="Segoe UI Light" w:hAnsi="Segoe UI Light" w:cs="Segoe UI Light"/>
                <w:sz w:val="16"/>
                <w:szCs w:val="16"/>
              </w:rPr>
            </w:pPr>
            <w:r w:rsidRPr="00A81F26">
              <w:rPr>
                <w:rFonts w:ascii="Segoe UI Light" w:eastAsia="Times New Roman" w:hAnsi="Segoe UI Light" w:cs="Segoe UI Light"/>
                <w:color w:val="000000"/>
                <w:sz w:val="16"/>
                <w:szCs w:val="16"/>
                <w:lang w:eastAsia="lv-LV"/>
              </w:rPr>
              <w:t>4,2</w:t>
            </w:r>
          </w:p>
        </w:tc>
      </w:tr>
    </w:tbl>
    <w:p w14:paraId="5DFB2D47" w14:textId="52028DA4" w:rsidR="004573BD" w:rsidRPr="002D6950" w:rsidRDefault="004573BD" w:rsidP="004573BD">
      <w:pPr>
        <w:spacing w:before="120" w:after="60"/>
        <w:ind w:firstLine="851"/>
        <w:jc w:val="both"/>
        <w:rPr>
          <w:rFonts w:ascii="Source Sans Pro" w:hAnsi="Source Sans Pro" w:cs="Calibri Light"/>
          <w:sz w:val="16"/>
          <w:szCs w:val="16"/>
        </w:rPr>
      </w:pPr>
      <w:r w:rsidRPr="00D829F0">
        <w:rPr>
          <w:rFonts w:ascii="Source Sans Pro" w:hAnsi="Source Sans Pro" w:cs="Calibri Light"/>
          <w:sz w:val="16"/>
          <w:szCs w:val="16"/>
        </w:rPr>
        <w:t>Avots: CSP dati periodā no 2011.-2025.</w:t>
      </w:r>
      <w:r w:rsidR="009167A3">
        <w:rPr>
          <w:rFonts w:ascii="Source Sans Pro" w:hAnsi="Source Sans Pro" w:cs="Calibri Light"/>
          <w:sz w:val="16"/>
          <w:szCs w:val="16"/>
        </w:rPr>
        <w:t> </w:t>
      </w:r>
      <w:r w:rsidRPr="00D829F0">
        <w:rPr>
          <w:rFonts w:ascii="Source Sans Pro" w:hAnsi="Source Sans Pro" w:cs="Calibri Light"/>
          <w:sz w:val="16"/>
          <w:szCs w:val="16"/>
        </w:rPr>
        <w:t>gadam, EM prognozes sākot ar 2026.</w:t>
      </w:r>
      <w:r w:rsidR="009D235D">
        <w:rPr>
          <w:rFonts w:ascii="Source Sans Pro" w:hAnsi="Source Sans Pro" w:cs="Calibri Light"/>
          <w:sz w:val="16"/>
          <w:szCs w:val="16"/>
        </w:rPr>
        <w:t> </w:t>
      </w:r>
      <w:r w:rsidRPr="00D829F0">
        <w:rPr>
          <w:rFonts w:ascii="Source Sans Pro" w:hAnsi="Source Sans Pro" w:cs="Calibri Light"/>
          <w:sz w:val="16"/>
          <w:szCs w:val="16"/>
        </w:rPr>
        <w:t>gadu</w:t>
      </w:r>
    </w:p>
    <w:p w14:paraId="0804F774" w14:textId="77777777" w:rsidR="004573BD" w:rsidRDefault="004573BD" w:rsidP="004573BD">
      <w:pPr>
        <w:spacing w:after="60"/>
        <w:jc w:val="both"/>
        <w:rPr>
          <w:rFonts w:ascii="Source Sans Pro" w:hAnsi="Source Sans Pro" w:cs="Calibri Light"/>
          <w:szCs w:val="20"/>
        </w:rPr>
      </w:pPr>
    </w:p>
    <w:p w14:paraId="405E4F0F" w14:textId="7BC2BF69" w:rsidR="0077611B" w:rsidRPr="00D829F0" w:rsidRDefault="0077611B" w:rsidP="0077611B">
      <w:pPr>
        <w:spacing w:before="120" w:after="120"/>
        <w:jc w:val="both"/>
        <w:rPr>
          <w:rFonts w:ascii="Source Sans Pro" w:hAnsi="Source Sans Pro" w:cs="Calibri Light"/>
          <w:szCs w:val="20"/>
        </w:rPr>
      </w:pPr>
      <w:r w:rsidRPr="00D829F0">
        <w:rPr>
          <w:rFonts w:ascii="Source Sans Pro" w:hAnsi="Source Sans Pro" w:cs="Calibri Light"/>
          <w:szCs w:val="20"/>
        </w:rPr>
        <w:t xml:space="preserve">Mērķa scenārijā vidējā termiņā paredzēts, ka IKP pieaugs vidēji par </w:t>
      </w:r>
      <w:r w:rsidR="008A0B87" w:rsidRPr="00D829F0">
        <w:rPr>
          <w:rFonts w:ascii="Source Sans Pro" w:hAnsi="Source Sans Pro" w:cs="Calibri Light"/>
          <w:szCs w:val="20"/>
        </w:rPr>
        <w:t>3,8</w:t>
      </w:r>
      <w:r w:rsidRPr="00D829F0">
        <w:rPr>
          <w:rFonts w:ascii="Source Sans Pro" w:hAnsi="Source Sans Pro" w:cs="Calibri Light"/>
          <w:szCs w:val="20"/>
        </w:rPr>
        <w:t>% gadā, balstoties uz konkurētspējas priekšrocībām, kas izriet no tehnoloģiju attīstības, ražošanas efektivitātes un inovācijām, kā arī uz spēju pielāgoties globālajām pārmaiņām un izmantot to sniegtās iespējas. Savukārt ilgākā laika posmā, no 2031. līdz 2040.</w:t>
      </w:r>
      <w:r w:rsidR="009D235D">
        <w:rPr>
          <w:rFonts w:ascii="Source Sans Pro" w:hAnsi="Source Sans Pro" w:cs="Calibri Light"/>
          <w:szCs w:val="20"/>
        </w:rPr>
        <w:t> </w:t>
      </w:r>
      <w:r w:rsidRPr="00D829F0">
        <w:rPr>
          <w:rFonts w:ascii="Source Sans Pro" w:hAnsi="Source Sans Pro" w:cs="Calibri Light"/>
          <w:szCs w:val="20"/>
        </w:rPr>
        <w:t xml:space="preserve">gadam, ekonomikas izaugsmes temps pakāpeniski varētu </w:t>
      </w:r>
      <w:r w:rsidR="004C0A3E">
        <w:rPr>
          <w:rFonts w:ascii="Source Sans Pro" w:hAnsi="Source Sans Pro" w:cs="Calibri Light"/>
          <w:szCs w:val="20"/>
        </w:rPr>
        <w:t>sasniegt</w:t>
      </w:r>
      <w:r w:rsidRPr="00D829F0">
        <w:rPr>
          <w:rFonts w:ascii="Source Sans Pro" w:hAnsi="Source Sans Pro" w:cs="Calibri Light"/>
          <w:szCs w:val="20"/>
        </w:rPr>
        <w:t xml:space="preserve"> </w:t>
      </w:r>
      <w:r w:rsidR="008A0B87" w:rsidRPr="00D829F0">
        <w:rPr>
          <w:rFonts w:ascii="Source Sans Pro" w:hAnsi="Source Sans Pro" w:cs="Calibri Light"/>
          <w:szCs w:val="20"/>
        </w:rPr>
        <w:t>4,2</w:t>
      </w:r>
      <w:r w:rsidRPr="00D829F0">
        <w:rPr>
          <w:rFonts w:ascii="Source Sans Pro" w:hAnsi="Source Sans Pro" w:cs="Calibri Light"/>
          <w:szCs w:val="20"/>
        </w:rPr>
        <w:t xml:space="preserve">% </w:t>
      </w:r>
      <w:r w:rsidR="004C0A3E">
        <w:rPr>
          <w:rFonts w:ascii="Source Sans Pro" w:hAnsi="Source Sans Pro" w:cs="Calibri Light"/>
          <w:szCs w:val="20"/>
        </w:rPr>
        <w:t xml:space="preserve">vidēji </w:t>
      </w:r>
      <w:r w:rsidRPr="00D829F0">
        <w:rPr>
          <w:rFonts w:ascii="Source Sans Pro" w:hAnsi="Source Sans Pro" w:cs="Calibri Light"/>
          <w:szCs w:val="20"/>
        </w:rPr>
        <w:t>gadā.</w:t>
      </w:r>
    </w:p>
    <w:p w14:paraId="5DC782E3" w14:textId="0929CD5B" w:rsidR="00A70DBF" w:rsidRPr="00D829F0" w:rsidRDefault="00A70DBF" w:rsidP="005372F2">
      <w:pPr>
        <w:spacing w:after="120"/>
        <w:jc w:val="right"/>
        <w:rPr>
          <w:rFonts w:ascii="Source Sans Pro" w:hAnsi="Source Sans Pro"/>
          <w:color w:val="000000"/>
          <w:szCs w:val="26"/>
        </w:rPr>
      </w:pPr>
      <w:r w:rsidRPr="00D829F0">
        <w:rPr>
          <w:rFonts w:ascii="Source Sans Pro" w:hAnsi="Source Sans Pro"/>
          <w:color w:val="000000"/>
          <w:szCs w:val="26"/>
        </w:rPr>
        <w:t>3.</w:t>
      </w:r>
      <w:r w:rsidR="005851C9">
        <w:rPr>
          <w:rFonts w:ascii="Source Sans Pro" w:hAnsi="Source Sans Pro"/>
          <w:color w:val="000000"/>
          <w:szCs w:val="26"/>
        </w:rPr>
        <w:t>2</w:t>
      </w:r>
      <w:r w:rsidRPr="00D829F0">
        <w:rPr>
          <w:rFonts w:ascii="Source Sans Pro" w:hAnsi="Source Sans Pro"/>
          <w:color w:val="000000"/>
          <w:szCs w:val="26"/>
        </w:rPr>
        <w:t>.</w:t>
      </w:r>
      <w:r w:rsidR="009D235D">
        <w:rPr>
          <w:rFonts w:ascii="Source Sans Pro" w:hAnsi="Source Sans Pro"/>
          <w:color w:val="000000"/>
          <w:szCs w:val="26"/>
        </w:rPr>
        <w:t> </w:t>
      </w:r>
      <w:r w:rsidRPr="00D829F0">
        <w:rPr>
          <w:rFonts w:ascii="Source Sans Pro" w:hAnsi="Source Sans Pro"/>
          <w:color w:val="000000"/>
          <w:szCs w:val="26"/>
        </w:rPr>
        <w:t>attēls</w:t>
      </w:r>
    </w:p>
    <w:p w14:paraId="49F531B5" w14:textId="77777777" w:rsidR="00A70DBF" w:rsidRPr="003B7DFC" w:rsidRDefault="00A70DBF" w:rsidP="00A70DBF">
      <w:pPr>
        <w:spacing w:after="120"/>
        <w:jc w:val="center"/>
        <w:rPr>
          <w:rFonts w:ascii="Segoe UI Light" w:hAnsi="Segoe UI Light"/>
          <w:b/>
          <w:sz w:val="18"/>
        </w:rPr>
      </w:pPr>
      <w:r w:rsidRPr="003B7DFC">
        <w:rPr>
          <w:rFonts w:ascii="Segoe UI Light" w:hAnsi="Segoe UI Light"/>
          <w:b/>
          <w:sz w:val="18"/>
        </w:rPr>
        <w:t>Latvijas tautsaimniecības izaugsme</w:t>
      </w:r>
      <w:r w:rsidRPr="003B7DFC">
        <w:rPr>
          <w:rFonts w:ascii="Segoe UI Light" w:hAnsi="Segoe UI Light"/>
          <w:b/>
          <w:sz w:val="18"/>
        </w:rPr>
        <w:br/>
      </w:r>
      <w:r w:rsidRPr="00D829F0">
        <w:rPr>
          <w:rFonts w:ascii="Source Sans Pro" w:hAnsi="Source Sans Pro" w:cs="Calibri Light"/>
          <w:i/>
          <w:sz w:val="16"/>
          <w:szCs w:val="20"/>
        </w:rPr>
        <w:t>IKP dinamika, 2004.gads = 100</w:t>
      </w:r>
    </w:p>
    <w:p w14:paraId="41824D07" w14:textId="22079958" w:rsidR="0077611B" w:rsidRPr="005D22A8" w:rsidRDefault="001015C3" w:rsidP="005D22A8">
      <w:pPr>
        <w:spacing w:after="120"/>
        <w:ind w:left="-34"/>
        <w:jc w:val="both"/>
        <w:rPr>
          <w:rFonts w:ascii="Source Sans Pro" w:hAnsi="Source Sans Pro" w:cs="Calibri Light"/>
        </w:rPr>
      </w:pPr>
      <w:r>
        <w:rPr>
          <w:rFonts w:ascii="Source Sans Pro" w:hAnsi="Source Sans Pro"/>
          <w:noProof/>
          <w:color w:val="000000"/>
          <w:szCs w:val="26"/>
        </w:rPr>
        <mc:AlternateContent>
          <mc:Choice Requires="wps">
            <w:drawing>
              <wp:anchor distT="0" distB="0" distL="114300" distR="114300" simplePos="0" relativeHeight="251658407" behindDoc="0" locked="0" layoutInCell="1" allowOverlap="1" wp14:anchorId="3BD3251B" wp14:editId="318FE785">
                <wp:simplePos x="0" y="0"/>
                <wp:positionH relativeFrom="column">
                  <wp:posOffset>368071</wp:posOffset>
                </wp:positionH>
                <wp:positionV relativeFrom="paragraph">
                  <wp:posOffset>1271702</wp:posOffset>
                </wp:positionV>
                <wp:extent cx="863600" cy="359410"/>
                <wp:effectExtent l="0" t="0" r="12700" b="478790"/>
                <wp:wrapNone/>
                <wp:docPr id="760507492" name="Speech Bubble: Rectangle with Corners Rounded 253"/>
                <wp:cNvGraphicFramePr/>
                <a:graphic xmlns:a="http://schemas.openxmlformats.org/drawingml/2006/main">
                  <a:graphicData uri="http://schemas.microsoft.com/office/word/2010/wordprocessingShape">
                    <wps:wsp>
                      <wps:cNvSpPr/>
                      <wps:spPr>
                        <a:xfrm>
                          <a:off x="0" y="0"/>
                          <a:ext cx="863600" cy="359410"/>
                        </a:xfrm>
                        <a:prstGeom prst="wedgeRoundRectCallout">
                          <a:avLst>
                            <a:gd name="adj1" fmla="val -37158"/>
                            <a:gd name="adj2" fmla="val 176073"/>
                            <a:gd name="adj3" fmla="val 16667"/>
                          </a:avLst>
                        </a:prstGeom>
                        <a:solidFill>
                          <a:schemeClr val="accent1">
                            <a:alpha val="20000"/>
                          </a:schemeClr>
                        </a:solidFill>
                        <a:ln w="6350">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0371462F" w14:textId="26A17747" w:rsidR="00150E9D" w:rsidRPr="00065527" w:rsidRDefault="003D3B51" w:rsidP="00065527">
                            <w:pPr>
                              <w:spacing w:after="0"/>
                              <w:jc w:val="center"/>
                              <w:rPr>
                                <w:color w:val="000000" w:themeColor="text1"/>
                                <w:sz w:val="14"/>
                                <w:szCs w:val="16"/>
                              </w:rPr>
                            </w:pPr>
                            <w:r w:rsidRPr="00065527">
                              <w:rPr>
                                <w:b/>
                                <w:bCs/>
                                <w:color w:val="000000" w:themeColor="text1"/>
                              </w:rPr>
                              <w:t>2</w:t>
                            </w:r>
                            <w:r w:rsidR="00150E9D" w:rsidRPr="00065527">
                              <w:rPr>
                                <w:b/>
                                <w:bCs/>
                                <w:color w:val="000000" w:themeColor="text1"/>
                              </w:rPr>
                              <w:t xml:space="preserve">0,9 </w:t>
                            </w:r>
                            <w:r w:rsidR="00150E9D" w:rsidRPr="00065527">
                              <w:rPr>
                                <w:color w:val="000000" w:themeColor="text1"/>
                                <w:sz w:val="14"/>
                                <w:szCs w:val="16"/>
                              </w:rPr>
                              <w:t>mljrd.</w:t>
                            </w:r>
                            <w:r w:rsidR="0051088B">
                              <w:rPr>
                                <w:color w:val="000000" w:themeColor="text1"/>
                                <w:sz w:val="14"/>
                                <w:szCs w:val="16"/>
                              </w:rPr>
                              <w:t xml:space="preserve"> </w:t>
                            </w:r>
                            <w:r w:rsidR="00F65018">
                              <w:rPr>
                                <w:color w:val="000000" w:themeColor="text1"/>
                                <w:sz w:val="14"/>
                                <w:szCs w:val="16"/>
                              </w:rPr>
                              <w:t>eiro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3251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53" o:spid="_x0000_s1244" type="#_x0000_t62" style="position:absolute;left:0;text-align:left;margin-left:29pt;margin-top:100.15pt;width:68pt;height:28.3pt;z-index:251658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8L0gIAADcGAAAOAAAAZHJzL2Uyb0RvYy54bWysVE1v2zAMvQ/YfxB0bx3nw2mDOkWQosOA&#10;oivaDj0rshR7kEVNUuJkv36U7Djp2u4w7GJTIvlIPpG8ut7VimyFdRXonKbnA0qE5lBUep3T78+3&#10;ZxeUOM90wRRokdO9cPR6/vnTVWNmYgglqEJYgiDazRqT09J7M0sSx0tRM3cORmhUSrA183i066Sw&#10;rEH0WiXDwSBLGrCFscCFc3h70yrpPOJLKbj/JqUTnqicYm4+fm38rsI3mV+x2doyU1a8S4P9QxY1&#10;qzQG7aFumGdkY6s3UHXFLTiQ/pxDnYCUFRexBqwmHfxRzVPJjIi1IDnO9DS5/wfL77dP5sEiDY1x&#10;M4diqGInbR3+mB/ZRbL2PVli5wnHy4tslA2QUo6q0eRynEYyk6Ozsc5/EVCTIOS0EcVaPMJGF4/4&#10;KkumFGx85Ixt75yP5BVEsxq7hBU/UkpkrfAttkyRs9E0nVx0j3ViNDw1SqfZYDp6azR6ZZRl2TTY&#10;YKJdXJQOqYYkHKiquK2UiofQh2KpLME0MC/OhfZpm7UyJWuvsRGRiRY0dm7wiCFegSlNmpxmo8kg&#10;AoSgN8yVLUa07DCURufje0TJ75UIGSn9KCSpCnyBYYTpA75N0ZWsEO11OvkoxQgYkCXW3GO3NX6A&#10;3Vba2QdXESetd27r+6tz7xEjg/a9c11psO9VppD4LnJrfyCppSaw5HerHXKD1KRZsA13Kyj2D5ZY&#10;aGffGX5bIfN3zPkHZrHBsIdxgflv+JEK8IWgkygpwf567z7Y4wyilpIGl0dO3c8Ns4IS9VXjdF6m&#10;43HYNvEwnkyHeLCnmtWpRm/qJWB3YctjdlEM9l4dRGmhfsE9twhRUcU0x9g55d4eDkvfLjXclFws&#10;FtEMN4xh/k4/GR7AA9Oh5553L8yabio9jvM9HBZNNxMty0fb4KlhsfEgKx+UR167A24nlF6tv9Nz&#10;tDru+/lvAAAA//8DAFBLAwQUAAYACAAAACEALt0G6t8AAAAKAQAADwAAAGRycy9kb3ducmV2Lnht&#10;bEyPwW7CMBBE75X4B2uRekHFgUIU0jgIVeqhtAeg+QATb5Oo8TqKTUj/vsupHHd2NPMm2462FQP2&#10;vnGkYDGPQCCVzjRUKSi+3p4SED5oMrp1hAp+0cM2nzxkOjXuSkccTqESHEI+1QrqELpUSl/WaLWf&#10;uw6Jf9+utzrw2VfS9PrK4baVyyiKpdUNcUOtO3ytsfw5XayCYTY0+338MVtGdPx8L/BQrJKDUo/T&#10;cfcCIuAY/s1ww2d0yJnp7C5kvGgVrBOeEhRwyzOIm2GzYuXMyjregMwzeT8h/wMAAP//AwBQSwEC&#10;LQAUAAYACAAAACEAtoM4kv4AAADhAQAAEwAAAAAAAAAAAAAAAAAAAAAAW0NvbnRlbnRfVHlwZXNd&#10;LnhtbFBLAQItABQABgAIAAAAIQA4/SH/1gAAAJQBAAALAAAAAAAAAAAAAAAAAC8BAABfcmVscy8u&#10;cmVsc1BLAQItABQABgAIAAAAIQBGoB8L0gIAADcGAAAOAAAAAAAAAAAAAAAAAC4CAABkcnMvZTJv&#10;RG9jLnhtbFBLAQItABQABgAIAAAAIQAu3Qbq3wAAAAoBAAAPAAAAAAAAAAAAAAAAACwFAABkcnMv&#10;ZG93bnJldi54bWxQSwUGAAAAAAQABADzAAAAOAYAAAAA&#10;" adj="2774,48832" fillcolor="#4f81bd [3204]" strokecolor="#0a121c [484]" strokeweight=".5pt">
                <v:fill opacity="13107f"/>
                <v:textbox>
                  <w:txbxContent>
                    <w:p w14:paraId="0371462F" w14:textId="26A17747" w:rsidR="00150E9D" w:rsidRPr="00065527" w:rsidRDefault="003D3B51" w:rsidP="00065527">
                      <w:pPr>
                        <w:spacing w:after="0"/>
                        <w:jc w:val="center"/>
                        <w:rPr>
                          <w:color w:val="000000" w:themeColor="text1"/>
                          <w:sz w:val="14"/>
                          <w:szCs w:val="16"/>
                        </w:rPr>
                      </w:pPr>
                      <w:r w:rsidRPr="00065527">
                        <w:rPr>
                          <w:b/>
                          <w:bCs/>
                          <w:color w:val="000000" w:themeColor="text1"/>
                        </w:rPr>
                        <w:t>2</w:t>
                      </w:r>
                      <w:r w:rsidR="00150E9D" w:rsidRPr="00065527">
                        <w:rPr>
                          <w:b/>
                          <w:bCs/>
                          <w:color w:val="000000" w:themeColor="text1"/>
                        </w:rPr>
                        <w:t xml:space="preserve">0,9 </w:t>
                      </w:r>
                      <w:r w:rsidR="00150E9D" w:rsidRPr="00065527">
                        <w:rPr>
                          <w:color w:val="000000" w:themeColor="text1"/>
                          <w:sz w:val="14"/>
                          <w:szCs w:val="16"/>
                        </w:rPr>
                        <w:t>mljrd.</w:t>
                      </w:r>
                      <w:r w:rsidR="0051088B">
                        <w:rPr>
                          <w:color w:val="000000" w:themeColor="text1"/>
                          <w:sz w:val="14"/>
                          <w:szCs w:val="16"/>
                        </w:rPr>
                        <w:t xml:space="preserve"> </w:t>
                      </w:r>
                      <w:r w:rsidR="00F65018">
                        <w:rPr>
                          <w:color w:val="000000" w:themeColor="text1"/>
                          <w:sz w:val="14"/>
                          <w:szCs w:val="16"/>
                        </w:rPr>
                        <w:t>eiro</w:t>
                      </w:r>
                    </w:p>
                  </w:txbxContent>
                </v:textbox>
              </v:shape>
            </w:pict>
          </mc:Fallback>
        </mc:AlternateContent>
      </w:r>
      <w:r w:rsidRPr="00D829F0">
        <w:rPr>
          <w:rFonts w:ascii="Source Sans Pro" w:hAnsi="Source Sans Pro"/>
          <w:noProof/>
        </w:rPr>
        <mc:AlternateContent>
          <mc:Choice Requires="wpg">
            <w:drawing>
              <wp:anchor distT="0" distB="0" distL="114300" distR="114300" simplePos="0" relativeHeight="251658463" behindDoc="0" locked="0" layoutInCell="1" allowOverlap="1" wp14:anchorId="12A038EA" wp14:editId="1219CAEE">
                <wp:simplePos x="0" y="0"/>
                <wp:positionH relativeFrom="margin">
                  <wp:posOffset>392430</wp:posOffset>
                </wp:positionH>
                <wp:positionV relativeFrom="paragraph">
                  <wp:posOffset>2433295</wp:posOffset>
                </wp:positionV>
                <wp:extent cx="5252720" cy="106680"/>
                <wp:effectExtent l="0" t="0" r="43180" b="26670"/>
                <wp:wrapNone/>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2720" cy="106680"/>
                          <a:chOff x="1994" y="7075"/>
                          <a:chExt cx="8617" cy="175"/>
                        </a:xfrm>
                      </wpg:grpSpPr>
                      <wps:wsp>
                        <wps:cNvPr id="1056" name="Straight Connector 1"/>
                        <wps:cNvCnPr>
                          <a:cxnSpLocks/>
                        </wps:cNvCnPr>
                        <wps:spPr bwMode="auto">
                          <a:xfrm>
                            <a:off x="1994" y="7167"/>
                            <a:ext cx="8617" cy="0"/>
                          </a:xfrm>
                          <a:prstGeom prst="line">
                            <a:avLst/>
                          </a:prstGeom>
                          <a:noFill/>
                          <a:ln w="47625">
                            <a:solidFill>
                              <a:srgbClr val="4CA9B9"/>
                            </a:solidFill>
                            <a:miter lim="800000"/>
                            <a:headEnd/>
                            <a:tailEnd/>
                          </a:ln>
                          <a:extLst>
                            <a:ext uri="{909E8E84-426E-40DD-AFC4-6F175D3DCCD1}">
                              <a14:hiddenFill xmlns:a14="http://schemas.microsoft.com/office/drawing/2010/main">
                                <a:noFill/>
                              </a14:hiddenFill>
                            </a:ext>
                          </a:extLst>
                        </wps:spPr>
                        <wps:bodyPr/>
                      </wps:wsp>
                      <wps:wsp>
                        <wps:cNvPr id="1057" name="Oval 2"/>
                        <wps:cNvSpPr>
                          <a:spLocks noChangeArrowheads="1"/>
                        </wps:cNvSpPr>
                        <wps:spPr bwMode="auto">
                          <a:xfrm>
                            <a:off x="2091" y="7083"/>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58" name="Oval 3"/>
                        <wps:cNvSpPr>
                          <a:spLocks noChangeArrowheads="1"/>
                        </wps:cNvSpPr>
                        <wps:spPr bwMode="auto">
                          <a:xfrm>
                            <a:off x="4427"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59" name="Oval 4"/>
                        <wps:cNvSpPr>
                          <a:spLocks noChangeArrowheads="1"/>
                        </wps:cNvSpPr>
                        <wps:spPr bwMode="auto">
                          <a:xfrm>
                            <a:off x="5603" y="7083"/>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0" name="Oval 5"/>
                        <wps:cNvSpPr>
                          <a:spLocks noChangeArrowheads="1"/>
                        </wps:cNvSpPr>
                        <wps:spPr bwMode="auto">
                          <a:xfrm>
                            <a:off x="6774" y="7083"/>
                            <a:ext cx="167"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1" name="Oval 6"/>
                        <wps:cNvSpPr>
                          <a:spLocks noChangeArrowheads="1"/>
                        </wps:cNvSpPr>
                        <wps:spPr bwMode="auto">
                          <a:xfrm>
                            <a:off x="7954"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2" name="Oval 7"/>
                        <wps:cNvSpPr>
                          <a:spLocks noChangeArrowheads="1"/>
                        </wps:cNvSpPr>
                        <wps:spPr bwMode="auto">
                          <a:xfrm>
                            <a:off x="9141"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3" name="Oval 8"/>
                        <wps:cNvSpPr>
                          <a:spLocks noChangeArrowheads="1"/>
                        </wps:cNvSpPr>
                        <wps:spPr bwMode="auto">
                          <a:xfrm>
                            <a:off x="10279"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4" name="Oval 9"/>
                        <wps:cNvSpPr>
                          <a:spLocks noChangeArrowheads="1"/>
                        </wps:cNvSpPr>
                        <wps:spPr bwMode="auto">
                          <a:xfrm>
                            <a:off x="3229"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B2381" id="Group 1055" o:spid="_x0000_s1026" style="position:absolute;margin-left:30.9pt;margin-top:191.6pt;width:413.6pt;height:8.4pt;z-index:251658463;mso-position-horizontal-relative:margin" coordorigin="1994,7075" coordsize="861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6xGtgMAACcaAAAOAAAAZHJzL2Uyb0RvYy54bWzsWV1vpDYUfa/U/2D5fcNH+JhBIavs7Caq&#10;tN2NlO0P8IABq2BT2xMm/fW9tmGGyTbbaFtNtRI8IMD4cn3OudfX5urtvmvRI5WKCZ7j4MLHiPJC&#10;lIzXOf7ty+2bFUZKE16SVnCa4yeq8Nvrn3+6GvqMhqIRbUklAiNcZUOf40brPvM8VTS0I+pC9JRD&#10;YyVkRzTcytorJRnAetd6oe8n3iBk2UtRUKXg6XvXiK+t/aqihf5cVYpq1OYYfNP2LO15a87e9RXJ&#10;akn6hhWjG+Q7vOgI4/DRg6n3RBO0k+wrUx0rpFCi0heF6DxRVaygdgwwmsB/Npo7KXa9HUudDXV/&#10;gAmgfYbTd5stPj3eyf6hv5fOe7j8KIrfFeDiDX2dzdvNfe1eRtvhV1ECn2SnhR34vpKdMQFDQnuL&#10;79MBX7rXqICHcRiHaQg0FNAW+EmyGgkoGmDJdAvW6wgjaE39NHbkFM2HsfsqCdKxr2v0SOY+a10d&#10;XTPUg5bUES717+B6aEhPLQvKwHEvESuN+3GCEScdgPCgJWF1o9FGcA6SExIFxnnjCPTYcIdusecn&#10;6M4azZsKSPhHXI8ABUnqAJrQPcJjUT2AQ7JeKn1HRYfMRY5bxs14SEYePyptmD6+Yh5zccva1kZG&#10;y9GQ4yhNwtj2UKJlpWk17ylZbzetRI8Egiva3KzfrY1HYO3ktY5pCPGWdTle+eZwbjeUlB94aT+j&#10;CWvdNXRuudWeA8SBuBXl0700tkduz0cyKM6R/BmGiULj+0jrFDTKRQziYtMQXtMbKcVgRge6szKw&#10;ToMOXIdXUx3662CMhdWlw2yiOkhAezaInAhe5pq2LevVN+k+IeuE01t7mE8/59TpIghTYNNK4UVd&#10;BO+iONr8nY3/TBdICpfXYR6Ci0bIPzEaIKfnWP2xI5Ji1P7CgY11EEVmErA3UWxTkZy3bOcthBdg&#10;KseFlhi5m412U8eulybeDb8uYG4gDVbMxpLh1+n1/5ArTLczuVrZnEmuURRCrJyk7kWuU7DP09gi&#10;1+MUuj6Ra3TG7Bon/uWSXV8x6y5yPcg1gcljll1tgXqm7Jqk6VQYf10MTFXxUgwAVUsxMC1QEigf&#10;Z3JNzphd03U8yXVaxy3FwFIM2D2al9bTSXgiV7u6PVN2hYXBtNRa5PqtJfiSXY/FAJSPs+y6OmN2&#10;Dfwwhcp5WWvZ7aNFrydb4C+mV5iQZ3q1W3VnSq+XYbjI9TU7nD9CerV77fA3wm4Kjn9OzO+O+b3d&#10;+Tr+37n+CwAA//8DAFBLAwQUAAYACAAAACEApqMk+uEAAAAKAQAADwAAAGRycy9kb3ducmV2Lnht&#10;bEyPQUvDQBSE74L/YXmCN7ubRkua5qWUop6KYCuIt9fkNQnN7obsNkn/vevJHocZZr7J1pNuxcC9&#10;a6xBiGYKBJvClo2pEL4Ob08JCOfJlNRawwhXdrDO7+8ySks7mk8e9r4SocS4lBBq77tUSlfUrMnN&#10;bMcmeCfba/JB9pUsexpDuW7lXKmF1NSYsFBTx9uai/P+ohHeRxo3cfQ67M6n7fXn8PLxvYsY8fFh&#10;2qxAeJ78fxj+8AM65IHpaC+mdKJFWESB3CPESTwHEQJJsgznjgjPSimQeSZvL+S/AAAA//8DAFBL&#10;AQItABQABgAIAAAAIQC2gziS/gAAAOEBAAATAAAAAAAAAAAAAAAAAAAAAABbQ29udGVudF9UeXBl&#10;c10ueG1sUEsBAi0AFAAGAAgAAAAhADj9If/WAAAAlAEAAAsAAAAAAAAAAAAAAAAALwEAAF9yZWxz&#10;Ly5yZWxzUEsBAi0AFAAGAAgAAAAhAMjbrEa2AwAAJxoAAA4AAAAAAAAAAAAAAAAALgIAAGRycy9l&#10;Mm9Eb2MueG1sUEsBAi0AFAAGAAgAAAAhAKajJPrhAAAACgEAAA8AAAAAAAAAAAAAAAAAEAYAAGRy&#10;cy9kb3ducmV2LnhtbFBLBQYAAAAABAAEAPMAAAAeBwAAAAA=&#10;">
                <v:line id="Straight Connector 1" o:spid="_x0000_s1027" style="position:absolute;visibility:visible;mso-wrap-style:square" from="1994,7167" to="10611,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XBfxQAAAN0AAAAPAAAAZHJzL2Rvd25yZXYueG1sRE9La8JA&#10;EL4X/A/LCL3VjaUGia4hKJXWQ8HXwduQHZNgdjbsbk3aX98tFHqbj+85y3wwrbiT841lBdNJAoK4&#10;tLrhSsHp+Po0B+EDssbWMin4Ig/5avSwxEzbnvd0P4RKxBD2GSqoQ+gyKX1Zk0E/sR1x5K7WGQwR&#10;ukpqh30MN618TpJUGmw4NtTY0bqm8nb4NArWm8t3etbb2fu2sPYl7XcufOyUehwPxQJEoCH8i//c&#10;bzrOT2Yp/H4TT5CrHwAAAP//AwBQSwECLQAUAAYACAAAACEA2+H2y+4AAACFAQAAEwAAAAAAAAAA&#10;AAAAAAAAAAAAW0NvbnRlbnRfVHlwZXNdLnhtbFBLAQItABQABgAIAAAAIQBa9CxbvwAAABUBAAAL&#10;AAAAAAAAAAAAAAAAAB8BAABfcmVscy8ucmVsc1BLAQItABQABgAIAAAAIQD0tXBfxQAAAN0AAAAP&#10;AAAAAAAAAAAAAAAAAAcCAABkcnMvZG93bnJldi54bWxQSwUGAAAAAAMAAwC3AAAA+QIAAAAA&#10;" strokecolor="#4ca9b9" strokeweight="3.75pt">
                  <v:stroke joinstyle="miter"/>
                  <o:lock v:ext="edit" shapetype="f"/>
                </v:line>
                <v:oval id="Oval 2" o:spid="_x0000_s1028" style="position:absolute;left:2091;top:7083;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4gxgAAAN0AAAAPAAAAZHJzL2Rvd25yZXYueG1sRE9La8JA&#10;EL4L/Q/LFLyI2ViojzQbaZXWggcxeultmp0modnZkN1q/PeuIPQ2H99z0mVvGnGiztWWFUyiGARx&#10;YXXNpYLj4X08B+E8ssbGMim4kINl9jBIMdH2zHs65b4UIYRdggoq79tESldUZNBFtiUO3I/tDPoA&#10;u1LqDs8h3DTyKY6n0mDNoaHCllYVFb/5n1GwGH2sRtivN7vtW0Ff7Xe+zScXpYaP/esLCE+9/xff&#10;3Z86zI+fZ3D7JpwgsysAAAD//wMAUEsBAi0AFAAGAAgAAAAhANvh9svuAAAAhQEAABMAAAAAAAAA&#10;AAAAAAAAAAAAAFtDb250ZW50X1R5cGVzXS54bWxQSwECLQAUAAYACAAAACEAWvQsW78AAAAVAQAA&#10;CwAAAAAAAAAAAAAAAAAfAQAAX3JlbHMvLnJlbHNQSwECLQAUAAYACAAAACEA/uxeIMYAAADdAAAA&#10;DwAAAAAAAAAAAAAAAAAHAgAAZHJzL2Rvd25yZXYueG1sUEsFBgAAAAADAAMAtwAAAPoCAAAAAA==&#10;" strokecolor="#1b454c" strokeweight="1pt">
                  <v:stroke joinstyle="miter"/>
                </v:oval>
                <v:oval id="Oval 3" o:spid="_x0000_s1029" style="position:absolute;left:4427;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8pSxwAAAN0AAAAPAAAAZHJzL2Rvd25yZXYueG1sRI9Ba8JA&#10;EIXvgv9hGaEX0Y2FikZXaS2tBQ/F6MXbmB2T0OxsyG41/nvnUOhthvfmvW+W687V6kptqDwbmIwT&#10;UMS5txUXBo6Hj9EMVIjIFmvPZOBOAdarfm+JqfU33tM1i4WSEA4pGihjbFKtQ16SwzD2DbFoF986&#10;jLK2hbYt3iTc1fo5SabaYcXSUGJDm5Lyn+zXGZgPPzdD7N6337u3nE7NOdtlk7sxT4PudQEqUhf/&#10;zX/XX1bwkxfBlW9kBL16AAAA//8DAFBLAQItABQABgAIAAAAIQDb4fbL7gAAAIUBAAATAAAAAAAA&#10;AAAAAAAAAAAAAABbQ29udGVudF9UeXBlc10ueG1sUEsBAi0AFAAGAAgAAAAhAFr0LFu/AAAAFQEA&#10;AAsAAAAAAAAAAAAAAAAAHwEAAF9yZWxzLy5yZWxzUEsBAi0AFAAGAAgAAAAhAI9zylLHAAAA3QAA&#10;AA8AAAAAAAAAAAAAAAAABwIAAGRycy9kb3ducmV2LnhtbFBLBQYAAAAAAwADALcAAAD7AgAAAAA=&#10;" strokecolor="#1b454c" strokeweight="1pt">
                  <v:stroke joinstyle="miter"/>
                </v:oval>
                <v:oval id="Oval 4" o:spid="_x0000_s1030" style="position:absolute;left:5603;top:7083;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2/JxAAAAN0AAAAPAAAAZHJzL2Rvd25yZXYueG1sRE9Ni8Iw&#10;EL0v+B/CCF5EUwVFq1F2lV0FD4vVi7exGdtiMylN1PrvjbCwt3m8z5kvG1OKO9WusKxg0I9AEKdW&#10;F5wpOB6+exMQziNrLC2Tgic5WC5aH3OMtX3wnu6Jz0QIYRejgtz7KpbSpTkZdH1bEQfuYmuDPsA6&#10;k7rGRwg3pRxG0VgaLDg05FjRKqf0mtyMgmn3Z9XFZr353X2ldKrOyS4ZPJXqtJvPGQhPjf8X/7m3&#10;OsyPRlN4fxNOkIsXAAAA//8DAFBLAQItABQABgAIAAAAIQDb4fbL7gAAAIUBAAATAAAAAAAAAAAA&#10;AAAAAAAAAABbQ29udGVudF9UeXBlc10ueG1sUEsBAi0AFAAGAAgAAAAhAFr0LFu/AAAAFQEAAAsA&#10;AAAAAAAAAAAAAAAAHwEAAF9yZWxzLy5yZWxzUEsBAi0AFAAGAAgAAAAhAOA/b8nEAAAA3QAAAA8A&#10;AAAAAAAAAAAAAAAABwIAAGRycy9kb3ducmV2LnhtbFBLBQYAAAAAAwADALcAAAD4AgAAAAA=&#10;" strokecolor="#1b454c" strokeweight="1pt">
                  <v:stroke joinstyle="miter"/>
                </v:oval>
                <v:oval id="Oval 5" o:spid="_x0000_s1031" style="position:absolute;left:6774;top:7083;width:167;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pxwAAAN0AAAAPAAAAZHJzL2Rvd25yZXYueG1sRI/NbsJA&#10;DITvSH2HlStxQWUDB0RTFlRA/EgcEGkvvblZN4ma9UbZBcLb4wMSN1sznvk8W3SuVhdqQ+XZwGiY&#10;gCLOva24MPD9tXmbggoR2WLtmQzcKMBi/tKbYWr9lU90yWKhJIRDigbKGJtU65CX5DAMfUMs2p9v&#10;HUZZ20LbFq8S7mo9TpKJdlixNJTY0Kqk/D87OwPvg+1qgN16dzwsc/ppfrNDNroZ03/tPj9AReri&#10;0/y43lvBTybCL9/ICHp+BwAA//8DAFBLAQItABQABgAIAAAAIQDb4fbL7gAAAIUBAAATAAAAAAAA&#10;AAAAAAAAAAAAAABbQ29udGVudF9UeXBlc10ueG1sUEsBAi0AFAAGAAgAAAAhAFr0LFu/AAAAFQEA&#10;AAsAAAAAAAAAAAAAAAAAHwEAAF9yZWxzLy5yZWxzUEsBAi0AFAAGAAgAAAAhAL9pDOnHAAAA3QAA&#10;AA8AAAAAAAAAAAAAAAAABwIAAGRycy9kb3ducmV2LnhtbFBLBQYAAAAAAwADALcAAAD7AgAAAAA=&#10;" strokecolor="#1b454c" strokeweight="1pt">
                  <v:stroke joinstyle="miter"/>
                </v:oval>
                <v:oval id="Oval 6" o:spid="_x0000_s1032" style="position:absolute;left:7954;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lyxAAAAN0AAAAPAAAAZHJzL2Rvd25yZXYueG1sRE9Li8Iw&#10;EL4v+B/CCF5E03oQ7RrFB66CB7HuZW+zzdgWm0lpslr/vRGEvc3H95zZojWVuFHjSssK4mEEgjiz&#10;uuRcwfd5O5iAcB5ZY2WZFDzIwWLe+Zhhou2dT3RLfS5CCLsEFRTe14mULivIoBvamjhwF9sY9AE2&#10;udQN3kO4qeQoisbSYMmhocCa1gVl1/TPKJj2v9Z9bDe742GV0U/9mx7S+KFUr9suP0F4av2/+O3e&#10;6zA/Gsfw+iacIOdPAAAA//8DAFBLAQItABQABgAIAAAAIQDb4fbL7gAAAIUBAAATAAAAAAAAAAAA&#10;AAAAAAAAAABbQ29udGVudF9UeXBlc10ueG1sUEsBAi0AFAAGAAgAAAAhAFr0LFu/AAAAFQEAAAsA&#10;AAAAAAAAAAAAAAAAHwEAAF9yZWxzLy5yZWxzUEsBAi0AFAAGAAgAAAAhANAlqXLEAAAA3QAAAA8A&#10;AAAAAAAAAAAAAAAABwIAAGRycy9kb3ducmV2LnhtbFBLBQYAAAAAAwADALcAAAD4AgAAAAA=&#10;" strokecolor="#1b454c" strokeweight="1pt">
                  <v:stroke joinstyle="miter"/>
                </v:oval>
                <v:oval id="Oval 7" o:spid="_x0000_s1033" style="position:absolute;left:9141;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zcFxQAAAN0AAAAPAAAAZHJzL2Rvd25yZXYueG1sRE9Na8JA&#10;EL0X/A/LCF6kbswh1JhV2hRrwYMYe/E2zU6T0OxsyG41+fduodDbPN7nZNvBtOJKvWssK1guIhDE&#10;pdUNVwo+zrvHJxDOI2tsLZOCkRxsN5OHDFNtb3yia+ErEULYpaig9r5LpXRlTQbdwnbEgfuyvUEf&#10;YF9J3eMthJtWxlGUSIMNh4YaO8prKr+LH6NgNX/L5zi87o+Hl5Iu3WdxKJajUrPp8LwG4Wnw/+I/&#10;97sO86Mkht9vwglycwcAAP//AwBQSwECLQAUAAYACAAAACEA2+H2y+4AAACFAQAAEwAAAAAAAAAA&#10;AAAAAAAAAAAAW0NvbnRlbnRfVHlwZXNdLnhtbFBLAQItABQABgAIAAAAIQBa9CxbvwAAABUBAAAL&#10;AAAAAAAAAAAAAAAAAB8BAABfcmVscy8ucmVsc1BLAQItABQABgAIAAAAIQAg9zcFxQAAAN0AAAAP&#10;AAAAAAAAAAAAAAAAAAcCAABkcnMvZG93bnJldi54bWxQSwUGAAAAAAMAAwC3AAAA+QIAAAAA&#10;" strokecolor="#1b454c" strokeweight="1pt">
                  <v:stroke joinstyle="miter"/>
                </v:oval>
                <v:oval id="Oval 8" o:spid="_x0000_s1034" style="position:absolute;left:10279;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5KexQAAAN0AAAAPAAAAZHJzL2Rvd25yZXYueG1sRE9Na8JA&#10;EL0L/odlhF5C3Vgh2NRVWou2kIMYvfQ2zU6T0OxsyK6a/PtuQfA2j/c5y3VvGnGhztWWFcymMQji&#10;wuqaSwWn4/ZxAcJ5ZI2NZVIwkIP1ajxaYqrtlQ90yX0pQgi7FBVU3replK6oyKCb2pY4cD+2M+gD&#10;7EqpO7yGcNPIpzhOpMGaQ0OFLW0qKn7zs1HwHO02EfbvH/vsraCv9jvP8tmg1MOkf30B4an3d/HN&#10;/anD/DiZw/834QS5+gMAAP//AwBQSwECLQAUAAYACAAAACEA2+H2y+4AAACFAQAAEwAAAAAAAAAA&#10;AAAAAAAAAAAAW0NvbnRlbnRfVHlwZXNdLnhtbFBLAQItABQABgAIAAAAIQBa9CxbvwAAABUBAAAL&#10;AAAAAAAAAAAAAAAAAB8BAABfcmVscy8ucmVsc1BLAQItABQABgAIAAAAIQBPu5KexQAAAN0AAAAP&#10;AAAAAAAAAAAAAAAAAAcCAABkcnMvZG93bnJldi54bWxQSwUGAAAAAAMAAwC3AAAA+QIAAAAA&#10;" strokecolor="#1b454c" strokeweight="1pt">
                  <v:stroke joinstyle="miter"/>
                </v:oval>
                <v:oval id="Oval 9" o:spid="_x0000_s1035" style="position:absolute;left:3229;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grqxQAAAN0AAAAPAAAAZHJzL2Rvd25yZXYueG1sRE9Na8JA&#10;EL0L/odlhF5C3Vgk2NRVWou2kIMYvfQ2zU6T0OxsyK6a/PtuQfA2j/c5y3VvGnGhztWWFcymMQji&#10;wuqaSwWn4/ZxAcJ5ZI2NZVIwkIP1ajxaYqrtlQ90yX0pQgi7FBVU3replK6oyKCb2pY4cD+2M+gD&#10;7EqpO7yGcNPIpzhOpMGaQ0OFLW0qKn7zs1HwHO02EfbvH/vsraCv9jvP8tmg1MOkf30B4an3d/HN&#10;/anD/DiZw/834QS5+gMAAP//AwBQSwECLQAUAAYACAAAACEA2+H2y+4AAACFAQAAEwAAAAAAAAAA&#10;AAAAAAAAAAAAW0NvbnRlbnRfVHlwZXNdLnhtbFBLAQItABQABgAIAAAAIQBa9CxbvwAAABUBAAAL&#10;AAAAAAAAAAAAAAAAAB8BAABfcmVscy8ucmVsc1BLAQItABQABgAIAAAAIQDAUgrqxQAAAN0AAAAP&#10;AAAAAAAAAAAAAAAAAAcCAABkcnMvZG93bnJldi54bWxQSwUGAAAAAAMAAwC3AAAA+QIAAAAA&#10;" strokecolor="#1b454c" strokeweight="1pt">
                  <v:stroke joinstyle="miter"/>
                </v:oval>
                <w10:wrap anchorx="margin"/>
              </v:group>
            </w:pict>
          </mc:Fallback>
        </mc:AlternateContent>
      </w:r>
      <w:r w:rsidR="0077611B" w:rsidRPr="00D829F0">
        <w:rPr>
          <w:rFonts w:ascii="Source Sans Pro" w:hAnsi="Source Sans Pro"/>
          <w:noProof/>
        </w:rPr>
        <mc:AlternateContent>
          <mc:Choice Requires="wps">
            <w:drawing>
              <wp:anchor distT="0" distB="0" distL="114300" distR="114300" simplePos="0" relativeHeight="251658400" behindDoc="0" locked="0" layoutInCell="1" allowOverlap="1" wp14:anchorId="56CC1E14" wp14:editId="6FAACF96">
                <wp:simplePos x="0" y="0"/>
                <wp:positionH relativeFrom="column">
                  <wp:posOffset>0</wp:posOffset>
                </wp:positionH>
                <wp:positionV relativeFrom="paragraph">
                  <wp:posOffset>5905500</wp:posOffset>
                </wp:positionV>
                <wp:extent cx="5120005" cy="438150"/>
                <wp:effectExtent l="0" t="0" r="0" b="0"/>
                <wp:wrapNone/>
                <wp:docPr id="105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005" cy="438150"/>
                        </a:xfrm>
                        <a:prstGeom prst="rect">
                          <a:avLst/>
                        </a:prstGeom>
                        <a:noFill/>
                      </wps:spPr>
                      <wps:txbx>
                        <w:txbxContent>
                          <w:p w14:paraId="09BB6625" w14:textId="77777777" w:rsidR="0077611B" w:rsidRDefault="0077611B" w:rsidP="0077611B">
                            <w:pPr>
                              <w:textAlignment w:val="baseline"/>
                              <w:rPr>
                                <w:rFonts w:ascii="Segoe UI Light" w:eastAsia="Verdana" w:hAnsi="Segoe UI Light" w:cs="Segoe UI Light"/>
                                <w:color w:val="000000"/>
                                <w:kern w:val="24"/>
                                <w:sz w:val="23"/>
                                <w:szCs w:val="23"/>
                              </w:rPr>
                            </w:pPr>
                            <w:r>
                              <w:rPr>
                                <w:rFonts w:ascii="Segoe UI Light" w:eastAsia="Verdana" w:hAnsi="Segoe UI Light" w:cs="Segoe UI Light"/>
                                <w:color w:val="000000"/>
                                <w:kern w:val="24"/>
                                <w:sz w:val="23"/>
                                <w:szCs w:val="23"/>
                              </w:rPr>
                              <w:t>Avots</w:t>
                            </w:r>
                            <w:r>
                              <w:rPr>
                                <w:rFonts w:ascii="Segoe UI Light" w:eastAsia="Verdana" w:hAnsi="Segoe UI Light" w:cs="Segoe UI Light"/>
                                <w:color w:val="000000"/>
                                <w:kern w:val="24"/>
                                <w:sz w:val="23"/>
                                <w:szCs w:val="23"/>
                                <w:lang w:val="en-US"/>
                              </w:rPr>
                              <w:t xml:space="preserve">: </w:t>
                            </w:r>
                            <w:r>
                              <w:rPr>
                                <w:rFonts w:ascii="Segoe UI Light" w:eastAsia="Verdana" w:hAnsi="Segoe UI Light" w:cs="Segoe UI Light"/>
                                <w:color w:val="000000"/>
                                <w:kern w:val="24"/>
                                <w:sz w:val="23"/>
                                <w:szCs w:val="23"/>
                              </w:rPr>
                              <w:t>EM prognozes (2024)</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6CC1E14" id="Text Box 1051" o:spid="_x0000_s1245" type="#_x0000_t202" style="position:absolute;left:0;text-align:left;margin-left:0;margin-top:465pt;width:403.15pt;height:34.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bskwEAAAsDAAAOAAAAZHJzL2Uyb0RvYy54bWysUstu2zAQvAfIPxC8x5ScugkEy0EeSC9B&#10;EyDtB9AUaREVuSyXtuS/z5Jx7CK9Fb1Q4j5mZ2a5vJncwHY6ogXf8npWcaa9gs76Tct//ni8uOYM&#10;k/SdHMDrlu818pvV+dlyDI2eQw9DpyMjEI/NGFrepxQaIVD12kmcQdCekgaik4mucSO6KEdCd4OY&#10;V9VXMULsQgSlESn68J7kq4JvjFbp2RjUiQ0tJ26pnLGc63yK1VI2myhDb9WBhvwHFk5aT0OPUA8y&#10;SbaN9i8oZ1UEBJNmCpwAY6zSRQOpqatPal57GXTRQuZgONqE/w9Wfd+9hpfI0nQHEy2wiMDwBOoX&#10;kjdiDNgcarKn2CBVZ6GTiS5/SQKjRvJ2f/RTT4kpCi5qWlG14ExR7svldb0ohotTd4iYvmlwLP+0&#10;PNK+CgO5e8KU58vmoyQP8/Boh+GD1zuVTCpN64nZruXz+iqvNMfW0O1J2Ei7bTn+3sqoOYtpuIfy&#10;FDIchtttIsgy6dRzkE2OFwKH15FX+ue9VJ3e8OoNAAD//wMAUEsDBBQABgAIAAAAIQAQfyzl3AAA&#10;AAgBAAAPAAAAZHJzL2Rvd25yZXYueG1sTI9PT8MwDMXvSHyHyEjcWDImprU0nSb+SBy4sJW714S2&#10;onGqxlu7b485wc32e3r+vWI7h16d/Zi6SBaWCwPKUx1dR42F6vB6twGVGMlhH8lbuPgE2/L6qsDc&#10;xYk+/HnPjZIQSjlaaJmHXOtUtz5gWsTBk2hfcQzIso6NdiNOEh56fW/MWgfsSD60OPin1tff+1Ow&#10;wOx2y0v1EtLb5/z+PLWmfsDK2tubefcIiv3Mf2b4xRd0KIXpGE/kkuotSBG2kK2MDCJvzHoF6iiX&#10;LDOgy0L/L1D+AAAA//8DAFBLAQItABQABgAIAAAAIQC2gziS/gAAAOEBAAATAAAAAAAAAAAAAAAA&#10;AAAAAABbQ29udGVudF9UeXBlc10ueG1sUEsBAi0AFAAGAAgAAAAhADj9If/WAAAAlAEAAAsAAAAA&#10;AAAAAAAAAAAALwEAAF9yZWxzLy5yZWxzUEsBAi0AFAAGAAgAAAAhAO951uyTAQAACwMAAA4AAAAA&#10;AAAAAAAAAAAALgIAAGRycy9lMm9Eb2MueG1sUEsBAi0AFAAGAAgAAAAhABB/LOXcAAAACAEAAA8A&#10;AAAAAAAAAAAAAAAA7QMAAGRycy9kb3ducmV2LnhtbFBLBQYAAAAABAAEAPMAAAD2BAAAAAA=&#10;" filled="f" stroked="f">
                <v:textbox style="mso-fit-shape-to-text:t">
                  <w:txbxContent>
                    <w:p w14:paraId="09BB6625" w14:textId="77777777" w:rsidR="0077611B" w:rsidRDefault="0077611B" w:rsidP="0077611B">
                      <w:pPr>
                        <w:textAlignment w:val="baseline"/>
                        <w:rPr>
                          <w:rFonts w:ascii="Segoe UI Light" w:eastAsia="Verdana" w:hAnsi="Segoe UI Light" w:cs="Segoe UI Light"/>
                          <w:color w:val="000000"/>
                          <w:kern w:val="24"/>
                          <w:sz w:val="23"/>
                          <w:szCs w:val="23"/>
                        </w:rPr>
                      </w:pPr>
                      <w:r>
                        <w:rPr>
                          <w:rFonts w:ascii="Segoe UI Light" w:eastAsia="Verdana" w:hAnsi="Segoe UI Light" w:cs="Segoe UI Light"/>
                          <w:color w:val="000000"/>
                          <w:kern w:val="24"/>
                          <w:sz w:val="23"/>
                          <w:szCs w:val="23"/>
                        </w:rPr>
                        <w:t>Avots</w:t>
                      </w:r>
                      <w:r>
                        <w:rPr>
                          <w:rFonts w:ascii="Segoe UI Light" w:eastAsia="Verdana" w:hAnsi="Segoe UI Light" w:cs="Segoe UI Light"/>
                          <w:color w:val="000000"/>
                          <w:kern w:val="24"/>
                          <w:sz w:val="23"/>
                          <w:szCs w:val="23"/>
                          <w:lang w:val="en-US"/>
                        </w:rPr>
                        <w:t xml:space="preserve">: </w:t>
                      </w:r>
                      <w:r>
                        <w:rPr>
                          <w:rFonts w:ascii="Segoe UI Light" w:eastAsia="Verdana" w:hAnsi="Segoe UI Light" w:cs="Segoe UI Light"/>
                          <w:color w:val="000000"/>
                          <w:kern w:val="24"/>
                          <w:sz w:val="23"/>
                          <w:szCs w:val="23"/>
                        </w:rPr>
                        <w:t>EM prognozes (2024)</w:t>
                      </w:r>
                    </w:p>
                  </w:txbxContent>
                </v:textbox>
              </v:shape>
            </w:pict>
          </mc:Fallback>
        </mc:AlternateContent>
      </w:r>
      <w:r w:rsidR="0023039F" w:rsidRPr="00F75736">
        <w:rPr>
          <w:rFonts w:ascii="Source Sans Pro" w:hAnsi="Source Sans Pro" w:cs="Calibri Light"/>
          <w:noProof/>
          <w:sz w:val="32"/>
          <w:szCs w:val="34"/>
        </w:rPr>
        <w:drawing>
          <wp:inline distT="0" distB="0" distL="0" distR="0" wp14:anchorId="410EEB38" wp14:editId="3B1DD727">
            <wp:extent cx="5760000" cy="2880000"/>
            <wp:effectExtent l="0" t="0" r="0" b="0"/>
            <wp:docPr id="771159083"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3A881A01" w14:textId="221E42A0" w:rsidR="004573BD" w:rsidRPr="00D829F0" w:rsidRDefault="004573BD" w:rsidP="004573BD">
      <w:pPr>
        <w:spacing w:after="60"/>
        <w:jc w:val="both"/>
        <w:rPr>
          <w:rFonts w:ascii="Source Sans Pro" w:hAnsi="Source Sans Pro" w:cs="Calibri Light"/>
          <w:szCs w:val="20"/>
        </w:rPr>
      </w:pPr>
      <w:r w:rsidRPr="00D829F0">
        <w:rPr>
          <w:rFonts w:ascii="Source Sans Pro" w:hAnsi="Source Sans Pro" w:cs="Calibri Light"/>
          <w:szCs w:val="20"/>
        </w:rPr>
        <w:lastRenderedPageBreak/>
        <w:t>Atvērta darba tirgus apstākļos turpināsies algu līmeņa izlīdzināšanās, kas var mazināt uzņēmumu konkurētspēju nozarēs ar zemu pievienoto vērtību. Vienlaikus iedzīvotāju skaita samazināšanās un augstāka ienākumu bāze nozīmēs, ka ilgtermiņā ienākumu pieauguma tempi kļūs mērenāki, kas savukārt ietekmēs arī privātā patēriņa izaugsmi.</w:t>
      </w:r>
      <w:r>
        <w:rPr>
          <w:rFonts w:ascii="Source Sans Pro" w:hAnsi="Source Sans Pro" w:cs="Calibri Light"/>
          <w:szCs w:val="20"/>
        </w:rPr>
        <w:t xml:space="preserve"> </w:t>
      </w:r>
      <w:r w:rsidRPr="0053305C">
        <w:rPr>
          <w:rFonts w:ascii="Source Sans Pro" w:hAnsi="Source Sans Pro" w:cs="Calibri Light"/>
          <w:szCs w:val="20"/>
        </w:rPr>
        <w:t>Salīdzinājumā ar bāzes scenāriju izaugsmes galvenie virzītāji ir apstrādes rūpniecība, informācijas un komunikācijas pakalpojumi, būvniecība, komercpakalpojumi un veselības aprūpe. Rezultātā līdz 2040.</w:t>
      </w:r>
      <w:r w:rsidR="009D235D">
        <w:rPr>
          <w:rFonts w:ascii="Source Sans Pro" w:hAnsi="Source Sans Pro" w:cs="Calibri Light"/>
          <w:szCs w:val="20"/>
        </w:rPr>
        <w:t> </w:t>
      </w:r>
      <w:r w:rsidRPr="0053305C">
        <w:rPr>
          <w:rFonts w:ascii="Source Sans Pro" w:hAnsi="Source Sans Pro" w:cs="Calibri Light"/>
          <w:szCs w:val="20"/>
        </w:rPr>
        <w:t>gadam Latvijas ekonomikas apjoms būtu par 32 % lielāks</w:t>
      </w:r>
      <w:r>
        <w:rPr>
          <w:rFonts w:ascii="Source Sans Pro" w:hAnsi="Source Sans Pro" w:cs="Calibri Light"/>
          <w:szCs w:val="20"/>
        </w:rPr>
        <w:t xml:space="preserve"> un </w:t>
      </w:r>
      <w:r w:rsidRPr="0053305C">
        <w:rPr>
          <w:rFonts w:ascii="Source Sans Pro" w:hAnsi="Source Sans Pro" w:cs="Calibri Light"/>
          <w:szCs w:val="20"/>
        </w:rPr>
        <w:t>tautsaimniecības struktūrā dominētu augstākas pievienotās vērtības nozares.</w:t>
      </w:r>
    </w:p>
    <w:p w14:paraId="0A7ED169" w14:textId="41F33795" w:rsidR="00A70DBF" w:rsidRPr="00D829F0" w:rsidRDefault="00A70DBF" w:rsidP="005372F2">
      <w:pPr>
        <w:spacing w:after="120"/>
        <w:jc w:val="right"/>
        <w:rPr>
          <w:rFonts w:ascii="Source Sans Pro" w:hAnsi="Source Sans Pro"/>
          <w:color w:val="000000"/>
          <w:szCs w:val="26"/>
        </w:rPr>
      </w:pPr>
      <w:r w:rsidRPr="00D829F0">
        <w:rPr>
          <w:rFonts w:ascii="Source Sans Pro" w:hAnsi="Source Sans Pro"/>
          <w:color w:val="000000"/>
          <w:szCs w:val="26"/>
        </w:rPr>
        <w:t>3.</w:t>
      </w:r>
      <w:r w:rsidR="005851C9">
        <w:rPr>
          <w:rFonts w:ascii="Source Sans Pro" w:hAnsi="Source Sans Pro"/>
          <w:color w:val="000000"/>
          <w:szCs w:val="26"/>
        </w:rPr>
        <w:t>3</w:t>
      </w:r>
      <w:r w:rsidRPr="00D829F0">
        <w:rPr>
          <w:rFonts w:ascii="Source Sans Pro" w:hAnsi="Source Sans Pro"/>
          <w:color w:val="000000"/>
          <w:szCs w:val="26"/>
        </w:rPr>
        <w:t>.</w:t>
      </w:r>
      <w:r w:rsidR="009D235D">
        <w:rPr>
          <w:rFonts w:ascii="Source Sans Pro" w:hAnsi="Source Sans Pro"/>
          <w:color w:val="000000"/>
          <w:szCs w:val="26"/>
        </w:rPr>
        <w:t> </w:t>
      </w:r>
      <w:r w:rsidRPr="00D829F0">
        <w:rPr>
          <w:rFonts w:ascii="Source Sans Pro" w:hAnsi="Source Sans Pro"/>
          <w:color w:val="000000"/>
          <w:szCs w:val="26"/>
        </w:rPr>
        <w:t>attēls</w:t>
      </w:r>
    </w:p>
    <w:p w14:paraId="3E346337" w14:textId="77777777" w:rsidR="00A70DBF" w:rsidRPr="007C6B43" w:rsidRDefault="00A70DBF" w:rsidP="00A70DBF">
      <w:pPr>
        <w:spacing w:after="120"/>
        <w:jc w:val="center"/>
        <w:rPr>
          <w:rFonts w:ascii="Segoe UI Light" w:hAnsi="Segoe UI Light"/>
          <w:b/>
          <w:sz w:val="18"/>
        </w:rPr>
      </w:pPr>
      <w:r w:rsidRPr="007C6B43">
        <w:rPr>
          <w:rFonts w:ascii="Segoe UI Light" w:hAnsi="Segoe UI Light"/>
          <w:b/>
          <w:sz w:val="18"/>
        </w:rPr>
        <w:t>Mērķa scenārija pamatpieņēmumi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E7EB"/>
        <w:tblLook w:val="04A0" w:firstRow="1" w:lastRow="0" w:firstColumn="1" w:lastColumn="0" w:noHBand="0" w:noVBand="1"/>
      </w:tblPr>
      <w:tblGrid>
        <w:gridCol w:w="1649"/>
        <w:gridCol w:w="7422"/>
      </w:tblGrid>
      <w:tr w:rsidR="00817219" w:rsidRPr="00D829F0" w14:paraId="73280F17" w14:textId="77777777" w:rsidTr="00973E38">
        <w:tc>
          <w:tcPr>
            <w:tcW w:w="5000" w:type="pct"/>
            <w:gridSpan w:val="2"/>
            <w:shd w:val="clear" w:color="auto" w:fill="DCE7EB"/>
            <w:vAlign w:val="center"/>
          </w:tcPr>
          <w:p w14:paraId="7ACF060D" w14:textId="77777777" w:rsidR="00817219" w:rsidRPr="007C6B43" w:rsidRDefault="00817219">
            <w:pPr>
              <w:spacing w:before="60" w:after="60"/>
              <w:rPr>
                <w:rFonts w:ascii="Segoe UI Light" w:hAnsi="Segoe UI Light" w:cs="Segoe UI Light"/>
                <w:b/>
                <w:bCs/>
                <w:sz w:val="16"/>
                <w:szCs w:val="16"/>
              </w:rPr>
            </w:pPr>
            <w:r w:rsidRPr="007C6B43">
              <w:rPr>
                <w:rFonts w:ascii="Segoe UI Light" w:hAnsi="Segoe UI Light" w:cs="Segoe UI Light"/>
                <w:b/>
                <w:bCs/>
                <w:sz w:val="16"/>
                <w:szCs w:val="16"/>
              </w:rPr>
              <w:t>Vidēja un ilgtermiņa pieņēmumi mērķu sasniegšanai:</w:t>
            </w:r>
          </w:p>
        </w:tc>
      </w:tr>
      <w:tr w:rsidR="00817219" w:rsidRPr="00D829F0" w14:paraId="0C5CC1BC" w14:textId="77777777" w:rsidTr="00973E38">
        <w:tc>
          <w:tcPr>
            <w:tcW w:w="909" w:type="pct"/>
            <w:shd w:val="clear" w:color="auto" w:fill="DCE7EB"/>
            <w:vAlign w:val="center"/>
          </w:tcPr>
          <w:p w14:paraId="62D7D49F" w14:textId="77777777" w:rsidR="00817219" w:rsidRPr="007C6B43" w:rsidRDefault="00817219">
            <w:pPr>
              <w:spacing w:before="120" w:after="120"/>
              <w:jc w:val="center"/>
              <w:rPr>
                <w:rFonts w:ascii="Segoe UI Light" w:hAnsi="Segoe UI Light" w:cs="Segoe UI Light"/>
                <w:sz w:val="16"/>
                <w:szCs w:val="16"/>
              </w:rPr>
            </w:pPr>
            <w:r w:rsidRPr="007C6B43">
              <w:rPr>
                <w:rFonts w:ascii="Segoe UI Light" w:hAnsi="Segoe UI Light" w:cs="Segoe UI Light"/>
                <w:noProof/>
                <w:sz w:val="16"/>
                <w:szCs w:val="16"/>
              </w:rPr>
              <w:drawing>
                <wp:inline distT="0" distB="0" distL="0" distR="0" wp14:anchorId="341433B1" wp14:editId="6C8480AD">
                  <wp:extent cx="288000" cy="288000"/>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r w:rsidRPr="007C6B43">
              <w:rPr>
                <w:rFonts w:ascii="Segoe UI Light" w:eastAsia="Microsoft GothicNeo Light" w:hAnsi="Segoe UI Light" w:cs="Segoe UI Light"/>
                <w:sz w:val="16"/>
                <w:szCs w:val="16"/>
              </w:rPr>
              <w:br/>
              <w:t>ĀRĒJĀ VIDE</w:t>
            </w:r>
          </w:p>
        </w:tc>
        <w:tc>
          <w:tcPr>
            <w:tcW w:w="4091" w:type="pct"/>
            <w:shd w:val="clear" w:color="auto" w:fill="DCE7EB"/>
            <w:vAlign w:val="center"/>
          </w:tcPr>
          <w:p w14:paraId="0D04CDED" w14:textId="77777777" w:rsidR="00817219" w:rsidRPr="007C6B43" w:rsidRDefault="00817219" w:rsidP="009D235D">
            <w:pPr>
              <w:spacing w:after="0"/>
              <w:jc w:val="both"/>
              <w:rPr>
                <w:rFonts w:ascii="Segoe UI Light" w:hAnsi="Segoe UI Light" w:cs="Segoe UI Light"/>
                <w:sz w:val="16"/>
                <w:szCs w:val="16"/>
              </w:rPr>
            </w:pPr>
            <w:r w:rsidRPr="007C6B43">
              <w:rPr>
                <w:rFonts w:ascii="Segoe UI Light" w:hAnsi="Segoe UI Light" w:cs="Segoe UI Light"/>
                <w:sz w:val="16"/>
                <w:szCs w:val="16"/>
              </w:rPr>
              <w:t>Ģeopolitiskā situācija stabilizējas. Uzņēmumi atrod risinājumus darbības pārorientācijai uz jaunām uzņēmējdarbības nišām un jauniem preču noieta tirgiem. Piegāžu ķēdes relatīvi ātri pielāgojas jaunajiem apstākļiem.</w:t>
            </w:r>
          </w:p>
        </w:tc>
      </w:tr>
      <w:tr w:rsidR="00817219" w:rsidRPr="00D829F0" w14:paraId="5E5C44E7" w14:textId="77777777" w:rsidTr="00973E38">
        <w:tc>
          <w:tcPr>
            <w:tcW w:w="909" w:type="pct"/>
            <w:shd w:val="clear" w:color="auto" w:fill="DCE7EB"/>
            <w:vAlign w:val="center"/>
          </w:tcPr>
          <w:p w14:paraId="5D810B75" w14:textId="77777777" w:rsidR="00817219" w:rsidRPr="007C6B43" w:rsidRDefault="00817219">
            <w:pPr>
              <w:spacing w:before="120" w:after="120"/>
              <w:jc w:val="center"/>
              <w:rPr>
                <w:rFonts w:ascii="Segoe UI Light" w:hAnsi="Segoe UI Light" w:cs="Segoe UI Light"/>
                <w:sz w:val="16"/>
                <w:szCs w:val="16"/>
              </w:rPr>
            </w:pPr>
            <w:r w:rsidRPr="007C6B43">
              <w:rPr>
                <w:rFonts w:ascii="Segoe UI Light" w:hAnsi="Segoe UI Light" w:cs="Segoe UI Light"/>
                <w:noProof/>
                <w:sz w:val="16"/>
                <w:szCs w:val="16"/>
              </w:rPr>
              <w:drawing>
                <wp:inline distT="0" distB="0" distL="0" distR="0" wp14:anchorId="29A4D2F4" wp14:editId="450B6915">
                  <wp:extent cx="324000" cy="324000"/>
                  <wp:effectExtent l="0" t="0" r="0" b="0"/>
                  <wp:docPr id="1066" name="Picture 1066" descr="Technology - Free technology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chnology - Free technology icons"/>
                          <pic:cNvPicPr>
                            <a:picLocks noChangeAspect="1" noChangeArrowheads="1"/>
                          </pic:cNvPicPr>
                        </pic:nvPicPr>
                        <pic:blipFill>
                          <a:blip r:embed="rId120"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7C6B43">
              <w:rPr>
                <w:rFonts w:ascii="Segoe UI Light" w:hAnsi="Segoe UI Light" w:cs="Segoe UI Light"/>
                <w:sz w:val="16"/>
                <w:szCs w:val="16"/>
              </w:rPr>
              <w:br/>
              <w:t>INVESTĪCIJAS, TEHNOLOĢIJAS</w:t>
            </w:r>
          </w:p>
        </w:tc>
        <w:tc>
          <w:tcPr>
            <w:tcW w:w="4091" w:type="pct"/>
            <w:shd w:val="clear" w:color="auto" w:fill="DCE7EB"/>
            <w:vAlign w:val="center"/>
          </w:tcPr>
          <w:p w14:paraId="3AA17041" w14:textId="77777777" w:rsidR="00817219" w:rsidRPr="007C6B43" w:rsidRDefault="00817219" w:rsidP="009D235D">
            <w:pPr>
              <w:spacing w:after="0"/>
              <w:jc w:val="both"/>
              <w:rPr>
                <w:rFonts w:ascii="Segoe UI Light" w:hAnsi="Segoe UI Light" w:cs="Segoe UI Light"/>
                <w:sz w:val="16"/>
                <w:szCs w:val="16"/>
              </w:rPr>
            </w:pPr>
            <w:r w:rsidRPr="007C6B43">
              <w:rPr>
                <w:rFonts w:ascii="Segoe UI Light" w:hAnsi="Segoe UI Light" w:cs="Segoe UI Light"/>
                <w:spacing w:val="-2"/>
                <w:sz w:val="16"/>
                <w:szCs w:val="16"/>
              </w:rPr>
              <w:t>Pieejamie finanšu līdzekļi pārsvarā tiek ieguldīti augstas produktivitātes uzņēmumos. Ieguldījumi ne tikai tehnoloģiskās novitātes, ražošanas procesa vadības pilnveidošanai, bet arī esošo resursu pārdalei augstākās pievienotās vērtības produktu ražošanai. Būtisks privāto investīciju pieaugums.</w:t>
            </w:r>
          </w:p>
        </w:tc>
      </w:tr>
      <w:tr w:rsidR="00817219" w:rsidRPr="00D829F0" w14:paraId="2A4699F9" w14:textId="77777777" w:rsidTr="00973E38">
        <w:tc>
          <w:tcPr>
            <w:tcW w:w="909" w:type="pct"/>
            <w:shd w:val="clear" w:color="auto" w:fill="DCE7EB"/>
            <w:vAlign w:val="center"/>
          </w:tcPr>
          <w:p w14:paraId="14CC4336" w14:textId="77777777" w:rsidR="00817219" w:rsidRPr="007C6B43" w:rsidRDefault="00817219">
            <w:pPr>
              <w:spacing w:before="120" w:after="120"/>
              <w:jc w:val="center"/>
              <w:rPr>
                <w:rFonts w:ascii="Segoe UI Light" w:hAnsi="Segoe UI Light" w:cs="Segoe UI Light"/>
                <w:sz w:val="16"/>
                <w:szCs w:val="16"/>
              </w:rPr>
            </w:pPr>
            <w:r w:rsidRPr="007C6B43">
              <w:rPr>
                <w:rFonts w:ascii="Segoe UI Light" w:hAnsi="Segoe UI Light" w:cs="Segoe UI Light"/>
                <w:noProof/>
                <w:sz w:val="16"/>
                <w:szCs w:val="16"/>
              </w:rPr>
              <w:drawing>
                <wp:inline distT="0" distB="0" distL="0" distR="0" wp14:anchorId="5D173455" wp14:editId="61CB1149">
                  <wp:extent cx="383135" cy="360000"/>
                  <wp:effectExtent l="0" t="0" r="0" b="2540"/>
                  <wp:docPr id="1067" name="Picture 1067" descr="Science Icon #75284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ience Icon #75284 - Free Icons Library"/>
                          <pic:cNvPicPr>
                            <a:picLocks noChangeAspect="1" noChangeArrowheads="1"/>
                          </pic:cNvPicPr>
                        </pic:nvPicPr>
                        <pic:blipFill rotWithShape="1">
                          <a:blip r:embed="rId121" cstate="print">
                            <a:duotone>
                              <a:schemeClr val="accent5">
                                <a:shade val="45000"/>
                                <a:satMod val="135000"/>
                              </a:schemeClr>
                              <a:prstClr val="white"/>
                            </a:duotone>
                            <a:extLst>
                              <a:ext uri="{28A0092B-C50C-407E-A947-70E740481C1C}">
                                <a14:useLocalDpi xmlns:a14="http://schemas.microsoft.com/office/drawing/2010/main" val="0"/>
                              </a:ext>
                            </a:extLst>
                          </a:blip>
                          <a:srcRect l="5001" t="8080" r="5352" b="7686"/>
                          <a:stretch/>
                        </pic:blipFill>
                        <pic:spPr bwMode="auto">
                          <a:xfrm>
                            <a:off x="0" y="0"/>
                            <a:ext cx="383135"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7C6B43">
              <w:rPr>
                <w:rFonts w:ascii="Segoe UI Light" w:hAnsi="Segoe UI Light" w:cs="Segoe UI Light"/>
                <w:sz w:val="16"/>
                <w:szCs w:val="16"/>
              </w:rPr>
              <w:br/>
              <w:t>INOVĀCIJAS, PĒTNIECĪBA</w:t>
            </w:r>
          </w:p>
        </w:tc>
        <w:tc>
          <w:tcPr>
            <w:tcW w:w="4091" w:type="pct"/>
            <w:shd w:val="clear" w:color="auto" w:fill="DCE7EB"/>
            <w:vAlign w:val="center"/>
          </w:tcPr>
          <w:p w14:paraId="7B3B3AAB" w14:textId="592B1ADF" w:rsidR="00BE7FC9" w:rsidRPr="007C6B43" w:rsidRDefault="00817219">
            <w:pPr>
              <w:spacing w:after="0"/>
              <w:rPr>
                <w:rFonts w:ascii="Segoe UI Light" w:hAnsi="Segoe UI Light" w:cs="Segoe UI Light"/>
                <w:sz w:val="16"/>
                <w:szCs w:val="16"/>
              </w:rPr>
            </w:pPr>
            <w:r w:rsidRPr="007C6B43">
              <w:rPr>
                <w:rFonts w:ascii="Segoe UI Light" w:hAnsi="Segoe UI Light" w:cs="Segoe UI Light"/>
                <w:sz w:val="16"/>
                <w:szCs w:val="16"/>
              </w:rPr>
              <w:t>Būtiski palielinās finansējums P&amp;A, 2027.</w:t>
            </w:r>
            <w:r w:rsidR="009D235D">
              <w:rPr>
                <w:rFonts w:ascii="Segoe UI Light" w:hAnsi="Segoe UI Light" w:cs="Segoe UI Light"/>
                <w:sz w:val="16"/>
                <w:szCs w:val="16"/>
              </w:rPr>
              <w:t> </w:t>
            </w:r>
            <w:r w:rsidRPr="007C6B43">
              <w:rPr>
                <w:rFonts w:ascii="Segoe UI Light" w:hAnsi="Segoe UI Light" w:cs="Segoe UI Light"/>
                <w:sz w:val="16"/>
                <w:szCs w:val="16"/>
              </w:rPr>
              <w:t xml:space="preserve">gadā sasniedzot 1,5% no IKP. Pieaug </w:t>
            </w:r>
            <w:r w:rsidRPr="007C6B43">
              <w:rPr>
                <w:rFonts w:ascii="Segoe UI Light" w:hAnsi="Segoe UI Light" w:cs="Segoe UI Light"/>
                <w:spacing w:val="-2"/>
                <w:sz w:val="16"/>
                <w:szCs w:val="16"/>
              </w:rPr>
              <w:t xml:space="preserve">privātie </w:t>
            </w:r>
            <w:r w:rsidRPr="007C6B43">
              <w:rPr>
                <w:rFonts w:ascii="Segoe UI Light" w:hAnsi="Segoe UI Light" w:cs="Segoe UI Light"/>
                <w:sz w:val="16"/>
                <w:szCs w:val="16"/>
              </w:rPr>
              <w:t>ieguldījumi pētniecībā un inovācijās.</w:t>
            </w:r>
          </w:p>
        </w:tc>
      </w:tr>
      <w:tr w:rsidR="00817219" w:rsidRPr="00D829F0" w14:paraId="6FF39140" w14:textId="77777777" w:rsidTr="00973E38">
        <w:tc>
          <w:tcPr>
            <w:tcW w:w="909" w:type="pct"/>
            <w:shd w:val="clear" w:color="auto" w:fill="DCE7EB"/>
            <w:vAlign w:val="center"/>
          </w:tcPr>
          <w:p w14:paraId="718DB601" w14:textId="77777777" w:rsidR="00817219" w:rsidRPr="007C6B43" w:rsidRDefault="00817219">
            <w:pPr>
              <w:spacing w:before="120" w:after="120"/>
              <w:jc w:val="center"/>
              <w:rPr>
                <w:rFonts w:ascii="Segoe UI Light" w:hAnsi="Segoe UI Light" w:cs="Segoe UI Light"/>
                <w:sz w:val="16"/>
                <w:szCs w:val="16"/>
              </w:rPr>
            </w:pPr>
            <w:r w:rsidRPr="007C6B43">
              <w:rPr>
                <w:rFonts w:ascii="Segoe UI Light" w:hAnsi="Segoe UI Light" w:cs="Segoe UI Light"/>
                <w:noProof/>
                <w:sz w:val="16"/>
                <w:szCs w:val="16"/>
              </w:rPr>
              <w:drawing>
                <wp:inline distT="0" distB="0" distL="0" distR="0" wp14:anchorId="492A9EC7" wp14:editId="440E8E5B">
                  <wp:extent cx="324000" cy="324000"/>
                  <wp:effectExtent l="0" t="0" r="0" b="0"/>
                  <wp:docPr id="1068" name="Picture 1068" descr="Line icon for digitalisation 3127057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ne icon for digitalisation 3127057 Vector Art at Vecteezy"/>
                          <pic:cNvPicPr>
                            <a:picLocks noChangeAspect="1" noChangeArrowheads="1"/>
                          </pic:cNvPicPr>
                        </pic:nvPicPr>
                        <pic:blipFill>
                          <a:blip r:embed="rId122"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7C6B43">
              <w:rPr>
                <w:rFonts w:ascii="Segoe UI Light" w:hAnsi="Segoe UI Light" w:cs="Segoe UI Light"/>
                <w:sz w:val="16"/>
                <w:szCs w:val="16"/>
              </w:rPr>
              <w:br/>
              <w:t>DIGITALIZĀCIJA UN MĀKSLĪGAIS INTELEKTS (MI)</w:t>
            </w:r>
          </w:p>
        </w:tc>
        <w:tc>
          <w:tcPr>
            <w:tcW w:w="4091" w:type="pct"/>
            <w:shd w:val="clear" w:color="auto" w:fill="DCE7EB"/>
            <w:vAlign w:val="center"/>
          </w:tcPr>
          <w:p w14:paraId="648C2851" w14:textId="77777777" w:rsidR="00817219" w:rsidRPr="007C6B43" w:rsidRDefault="00817219" w:rsidP="009D235D">
            <w:pPr>
              <w:spacing w:after="0"/>
              <w:jc w:val="both"/>
              <w:rPr>
                <w:rFonts w:ascii="Segoe UI Light" w:hAnsi="Segoe UI Light" w:cs="Segoe UI Light"/>
                <w:sz w:val="16"/>
                <w:szCs w:val="16"/>
              </w:rPr>
            </w:pPr>
            <w:r w:rsidRPr="007C6B43">
              <w:rPr>
                <w:rFonts w:ascii="Segoe UI Light" w:hAnsi="Segoe UI Light" w:cs="Segoe UI Light"/>
                <w:sz w:val="16"/>
                <w:szCs w:val="16"/>
              </w:rPr>
              <w:t xml:space="preserve">Pastiprinās pašreizējā tendence pieaugt digitālo pakalpojumu izplatībai. Atbilstoši katra uzņēmuma digitālā brieduma pakāpei notiek nepārtraukts digitālo tehnoloģiju, tai skaitā MI ieviešanas process. Veidojas jauni produkti un tirgus nišas. </w:t>
            </w:r>
            <w:r w:rsidRPr="007C6B43">
              <w:rPr>
                <w:rStyle w:val="ui-provider"/>
                <w:rFonts w:ascii="Segoe UI Light" w:hAnsi="Segoe UI Light" w:cs="Segoe UI Light"/>
                <w:sz w:val="16"/>
                <w:szCs w:val="16"/>
              </w:rPr>
              <w:t>Būtiski pielielinās uzņēmumu īpatsvars, kuri ikdienā izmanto mākoņdatošanas pakalpojumus, kā arī ir apguvuši un lieto lielo datu analīzes metodes.</w:t>
            </w:r>
          </w:p>
        </w:tc>
      </w:tr>
      <w:tr w:rsidR="00817219" w:rsidRPr="00D829F0" w14:paraId="5CCFD630" w14:textId="77777777" w:rsidTr="00973E38">
        <w:tc>
          <w:tcPr>
            <w:tcW w:w="909" w:type="pct"/>
            <w:shd w:val="clear" w:color="auto" w:fill="DCE7EB"/>
            <w:vAlign w:val="center"/>
          </w:tcPr>
          <w:p w14:paraId="6E183EAE" w14:textId="77777777" w:rsidR="00817219" w:rsidRPr="007C6B43" w:rsidRDefault="00817219">
            <w:pPr>
              <w:spacing w:before="120" w:after="120"/>
              <w:jc w:val="center"/>
              <w:rPr>
                <w:rFonts w:ascii="Segoe UI Light" w:hAnsi="Segoe UI Light" w:cs="Segoe UI Light"/>
                <w:sz w:val="16"/>
                <w:szCs w:val="16"/>
              </w:rPr>
            </w:pPr>
            <w:r w:rsidRPr="007C6B43">
              <w:rPr>
                <w:rFonts w:ascii="Segoe UI Light" w:hAnsi="Segoe UI Light" w:cs="Segoe UI Light"/>
                <w:noProof/>
                <w:sz w:val="16"/>
                <w:szCs w:val="16"/>
              </w:rPr>
              <w:drawing>
                <wp:inline distT="0" distB="0" distL="0" distR="0" wp14:anchorId="186D6897" wp14:editId="55604FF1">
                  <wp:extent cx="394858" cy="360000"/>
                  <wp:effectExtent l="0" t="0" r="5715" b="2540"/>
                  <wp:docPr id="1069" name="Picture 1069" descr="1725900-200 - The Beechfield Reclamation 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725900-200 - The Beechfield Reclamation Co"/>
                          <pic:cNvPicPr>
                            <a:picLocks noChangeAspect="1" noChangeArrowheads="1"/>
                          </pic:cNvPicPr>
                        </pic:nvPicPr>
                        <pic:blipFill rotWithShape="1">
                          <a:blip r:embed="rId123" cstate="print">
                            <a:duotone>
                              <a:schemeClr val="accent5">
                                <a:shade val="45000"/>
                                <a:satMod val="135000"/>
                              </a:schemeClr>
                              <a:prstClr val="white"/>
                            </a:duotone>
                            <a:extLst>
                              <a:ext uri="{28A0092B-C50C-407E-A947-70E740481C1C}">
                                <a14:useLocalDpi xmlns:a14="http://schemas.microsoft.com/office/drawing/2010/main" val="0"/>
                              </a:ext>
                            </a:extLst>
                          </a:blip>
                          <a:srcRect l="13847" t="17697" r="11905" b="14610"/>
                          <a:stretch/>
                        </pic:blipFill>
                        <pic:spPr bwMode="auto">
                          <a:xfrm>
                            <a:off x="0" y="0"/>
                            <a:ext cx="394858"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7C6B43">
              <w:rPr>
                <w:rFonts w:ascii="Segoe UI Light" w:hAnsi="Segoe UI Light" w:cs="Segoe UI Light"/>
                <w:sz w:val="16"/>
                <w:szCs w:val="16"/>
              </w:rPr>
              <w:br/>
              <w:t>ZAĻAIS KURSS</w:t>
            </w:r>
          </w:p>
        </w:tc>
        <w:tc>
          <w:tcPr>
            <w:tcW w:w="4091" w:type="pct"/>
            <w:shd w:val="clear" w:color="auto" w:fill="DCE7EB"/>
            <w:vAlign w:val="center"/>
          </w:tcPr>
          <w:p w14:paraId="332991EC" w14:textId="77777777" w:rsidR="00817219" w:rsidRPr="007C6B43" w:rsidRDefault="00817219" w:rsidP="009D235D">
            <w:pPr>
              <w:spacing w:after="0"/>
              <w:jc w:val="both"/>
              <w:rPr>
                <w:rFonts w:ascii="Segoe UI Light" w:hAnsi="Segoe UI Light" w:cs="Segoe UI Light"/>
                <w:sz w:val="16"/>
                <w:szCs w:val="16"/>
              </w:rPr>
            </w:pPr>
            <w:r w:rsidRPr="007C6B43">
              <w:rPr>
                <w:rFonts w:ascii="Segoe UI Light" w:hAnsi="Segoe UI Light" w:cs="Segoe UI Light"/>
                <w:sz w:val="16"/>
                <w:szCs w:val="16"/>
              </w:rPr>
              <w:t>Savlaicīga pārorientācija un sagatavošanās pārmaiņām. Jaunu biznesa nišu meklēšana zaļo tehnoloģiju izstrādei un eksportam.</w:t>
            </w:r>
          </w:p>
        </w:tc>
      </w:tr>
      <w:tr w:rsidR="00817219" w:rsidRPr="00D829F0" w14:paraId="60BC638A" w14:textId="77777777" w:rsidTr="00973E38">
        <w:tc>
          <w:tcPr>
            <w:tcW w:w="909" w:type="pct"/>
            <w:shd w:val="clear" w:color="auto" w:fill="DCE7EB"/>
            <w:vAlign w:val="center"/>
          </w:tcPr>
          <w:p w14:paraId="2C58C5E8" w14:textId="77777777" w:rsidR="00817219" w:rsidRPr="007C6B43" w:rsidRDefault="00817219">
            <w:pPr>
              <w:spacing w:before="120" w:after="120"/>
              <w:jc w:val="center"/>
              <w:rPr>
                <w:rFonts w:ascii="Segoe UI Light" w:hAnsi="Segoe UI Light" w:cs="Segoe UI Light"/>
                <w:sz w:val="16"/>
                <w:szCs w:val="16"/>
              </w:rPr>
            </w:pPr>
            <w:r w:rsidRPr="007C6B43">
              <w:rPr>
                <w:rFonts w:ascii="Segoe UI Light" w:hAnsi="Segoe UI Light" w:cs="Segoe UI Light"/>
                <w:noProof/>
                <w:sz w:val="16"/>
                <w:szCs w:val="16"/>
              </w:rPr>
              <w:drawing>
                <wp:inline distT="0" distB="0" distL="0" distR="0" wp14:anchorId="417A6D07" wp14:editId="5EF0C85E">
                  <wp:extent cx="378353" cy="360000"/>
                  <wp:effectExtent l="0" t="0" r="3175" b="2540"/>
                  <wp:docPr id="1070" name="Picture 1070" descr="Human resources icon on white background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uman resources icon on white background Vector Image"/>
                          <pic:cNvPicPr>
                            <a:picLocks noChangeAspect="1" noChangeArrowheads="1"/>
                          </pic:cNvPicPr>
                        </pic:nvPicPr>
                        <pic:blipFill rotWithShape="1">
                          <a:blip r:embed="rId124"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t="1" b="14124"/>
                          <a:stretch/>
                        </pic:blipFill>
                        <pic:spPr bwMode="auto">
                          <a:xfrm>
                            <a:off x="0" y="0"/>
                            <a:ext cx="378353"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7C6B43">
              <w:rPr>
                <w:rFonts w:ascii="Segoe UI Light" w:hAnsi="Segoe UI Light" w:cs="Segoe UI Light"/>
                <w:sz w:val="16"/>
                <w:szCs w:val="16"/>
              </w:rPr>
              <w:br/>
              <w:t>CILVĒKKAPITĀLS</w:t>
            </w:r>
          </w:p>
        </w:tc>
        <w:tc>
          <w:tcPr>
            <w:tcW w:w="4091" w:type="pct"/>
            <w:shd w:val="clear" w:color="auto" w:fill="DCE7EB"/>
            <w:vAlign w:val="center"/>
          </w:tcPr>
          <w:p w14:paraId="64AD2048" w14:textId="77777777" w:rsidR="00817219" w:rsidRPr="007C6B43" w:rsidRDefault="00817219" w:rsidP="009D235D">
            <w:pPr>
              <w:spacing w:after="120"/>
              <w:jc w:val="both"/>
              <w:rPr>
                <w:rFonts w:ascii="Segoe UI Light" w:hAnsi="Segoe UI Light" w:cs="Segoe UI Light"/>
                <w:sz w:val="16"/>
                <w:szCs w:val="16"/>
              </w:rPr>
            </w:pPr>
            <w:r w:rsidRPr="007C6B43">
              <w:rPr>
                <w:rFonts w:ascii="Segoe UI Light" w:hAnsi="Segoe UI Light" w:cs="Segoe UI Light"/>
                <w:sz w:val="16"/>
                <w:szCs w:val="16"/>
              </w:rPr>
              <w:t>Papildus publiskie un privātie ieguldījumi prasmju pilnveidei, darbaspēka pārkvalificēšana uz nozarēm ar lielāko izaugsmes potenciālu. Pieaugušo izglītības piedāvājums jauno digitālo tehnoloģiju kontekstā visām sabiedrības grupām, tādējādi mazinot nevienlīdzības pieauguma riskus. Darba devēju aktīva iesaiste esošo darbinieku kompetenču paaugstināšanā, kā arī jaunu prasmju kopu izveide, lai cilvēki varētu kvalificēties jaunām profesijām ekonomikas transformācijas un robotizācijas apstākļos. Vienkāršota kārtība ārvalstu darbaspēka piesaistei uzņēmumiem, kas veic ieguldījumus vai nespēj piesaistīt darbiniekus ar nepieciešamo kvalifikāciju.</w:t>
            </w:r>
          </w:p>
        </w:tc>
      </w:tr>
    </w:tbl>
    <w:p w14:paraId="364388DD" w14:textId="77777777" w:rsidR="00A70DBF" w:rsidRPr="00D829F0" w:rsidRDefault="00A70DBF" w:rsidP="00A24FB0">
      <w:pPr>
        <w:spacing w:after="120"/>
        <w:rPr>
          <w:rFonts w:ascii="Source Sans Pro" w:hAnsi="Source Sans Pro" w:cs="Calibri Light"/>
          <w:szCs w:val="20"/>
        </w:rPr>
      </w:pPr>
    </w:p>
    <w:p w14:paraId="57E6570F" w14:textId="77777777" w:rsidR="005372F2" w:rsidRPr="00E92EFB" w:rsidRDefault="005372F2" w:rsidP="00A24FB0">
      <w:pPr>
        <w:spacing w:after="120"/>
        <w:jc w:val="both"/>
        <w:rPr>
          <w:rFonts w:ascii="Aptos Narrow" w:hAnsi="Aptos Narrow"/>
          <w:b/>
          <w:color w:val="003E4C"/>
          <w:sz w:val="28"/>
          <w:szCs w:val="28"/>
        </w:rPr>
      </w:pPr>
      <w:r w:rsidRPr="00E92EFB">
        <w:rPr>
          <w:rFonts w:ascii="Aptos Narrow" w:hAnsi="Aptos Narrow"/>
          <w:b/>
          <w:color w:val="003E4C"/>
          <w:sz w:val="28"/>
          <w:szCs w:val="28"/>
        </w:rPr>
        <w:t>Globālās tehnoloģiju pārmaiņas un to ietekme uz tautsaimniecību</w:t>
      </w:r>
    </w:p>
    <w:p w14:paraId="3AA6ACF2" w14:textId="77777777" w:rsidR="00817219" w:rsidRPr="00D829F0" w:rsidRDefault="00817219" w:rsidP="00817219">
      <w:pPr>
        <w:spacing w:after="120"/>
        <w:jc w:val="both"/>
        <w:rPr>
          <w:rFonts w:ascii="Source Sans Pro" w:hAnsi="Source Sans Pro"/>
          <w:szCs w:val="26"/>
        </w:rPr>
      </w:pPr>
      <w:r w:rsidRPr="00D829F0">
        <w:rPr>
          <w:rFonts w:ascii="Source Sans Pro" w:hAnsi="Source Sans Pro"/>
          <w:szCs w:val="26"/>
        </w:rPr>
        <w:t>Pēdējos gados pasaulē norisinās straujas un daudzpusīgas pārmaiņas, ko lielā mērā virza tehnoloģiju attīstības paātrināšanās. Galvenās globālās tendences ir cieši saistītas ar informācijas tehnoloģiju progresu un digitalizāciju, ietverot mākslīgo intelektu un mašīnmācīšanos, lietu internetu (IoT), lielo datu analīzi un paplašināto analītiku, viedo pilsētu risinājumus, blokķēdes, mākoņdatošanu, paplašināto un virtuālo realitāti, kā arī valodas tehnoloģijas un balss saskarnes. Tāpat būtiska loma ir datora redzei, sejas atpazīšanai, robotikai, autonomajiem transportlīdzekļiem, 5G sakariem, ģenētikai un gēnu sekvencēšanai, kā arī jaunām jomām, piemēram, mašīnu radošumam, digitālajām platformām, bezpilota lidaparātiem, 3D un 4D drukai, kiberdrošībai un kvantu skaitļošanai. Arvien vairāk ierīču un sistēmu kļūs savstarpēji savienotas, būtiski ietekmējot gan uzņēmējdarbības modeļus, gan cilvēku ikdienas paradumus. Līdz ar to mainīsies arī pieprasījuma struktūra - patērētāji arvien biežāk izvēlēsies personalizētus un individuālajām vajadzībām pielāgotus pakalpojumus, kas balstīti uz plaša apjoma datu analīzi.</w:t>
      </w:r>
    </w:p>
    <w:p w14:paraId="5B99750E" w14:textId="77777777" w:rsidR="003356F9" w:rsidRPr="00D829F0" w:rsidRDefault="00817219" w:rsidP="003356F9">
      <w:pPr>
        <w:spacing w:after="120"/>
        <w:jc w:val="both"/>
        <w:rPr>
          <w:rFonts w:ascii="Source Sans Pro" w:hAnsi="Source Sans Pro"/>
          <w:szCs w:val="26"/>
        </w:rPr>
      </w:pPr>
      <w:r w:rsidRPr="00D829F0">
        <w:rPr>
          <w:rFonts w:ascii="Source Sans Pro" w:hAnsi="Source Sans Pro"/>
          <w:szCs w:val="26"/>
        </w:rPr>
        <w:t xml:space="preserve">Arī Latvijā jaunākās tehnoloģijas būtiski ietekmēs gandrīz visas tautsaimniecības nozares. Tas izpaudīsies gan kā modernu risinājumu ieviešana esošo biznesa procesu pilnveidošanai, gan kā fiziskā darba aizstāšana ar </w:t>
      </w:r>
      <w:r w:rsidRPr="00D829F0">
        <w:rPr>
          <w:rFonts w:ascii="Source Sans Pro" w:hAnsi="Source Sans Pro"/>
          <w:szCs w:val="26"/>
        </w:rPr>
        <w:lastRenderedPageBreak/>
        <w:t xml:space="preserve">automatizētām un viedām iekārtām, kā arī plašāka lielo datu izmantošana lēmumu pieņemšanā un klientu vajadzību apmierināšanā. Vienlaikus digitālo tehnoloģiju attīstība veicina jaunu produktu un pakalpojumu nišu rašanos. Savukārt viedie materiāli kļūst arvien nozīmīgāki, jo tiem piemīt spēja pielāgoties dažādām situācijām un vides apstākļiem, pateicoties to dinamiskajām īpašībām. Tie tiek </w:t>
      </w:r>
      <w:r w:rsidR="003356F9" w:rsidRPr="00D829F0">
        <w:rPr>
          <w:rFonts w:ascii="Source Sans Pro" w:hAnsi="Source Sans Pro"/>
          <w:szCs w:val="26"/>
        </w:rPr>
        <w:t>izmantoti gan sensoros, gan izpildmehānismos, un nākotnē to nozīme pieaugs, īpaši veselības aprūpes tehnoloģijās un citos inovatīvos risinājumos</w:t>
      </w:r>
      <w:r w:rsidR="003356F9" w:rsidRPr="00D829F0">
        <w:rPr>
          <w:rStyle w:val="FootnoteReference"/>
          <w:rFonts w:ascii="Source Sans Pro" w:hAnsi="Source Sans Pro"/>
          <w:szCs w:val="26"/>
        </w:rPr>
        <w:footnoteReference w:id="8"/>
      </w:r>
      <w:r w:rsidR="003356F9" w:rsidRPr="00D829F0">
        <w:rPr>
          <w:rFonts w:ascii="Source Sans Pro" w:hAnsi="Source Sans Pro"/>
          <w:szCs w:val="26"/>
        </w:rPr>
        <w:t>.</w:t>
      </w:r>
    </w:p>
    <w:p w14:paraId="292C7128" w14:textId="77777777" w:rsidR="003356F9" w:rsidRPr="00D829F0" w:rsidRDefault="003356F9" w:rsidP="003356F9">
      <w:pPr>
        <w:spacing w:after="120"/>
        <w:jc w:val="both"/>
        <w:rPr>
          <w:rFonts w:ascii="Source Sans Pro" w:hAnsi="Source Sans Pro"/>
          <w:szCs w:val="26"/>
        </w:rPr>
      </w:pPr>
      <w:r w:rsidRPr="00D829F0">
        <w:rPr>
          <w:rFonts w:ascii="Source Sans Pro" w:hAnsi="Source Sans Pro"/>
          <w:szCs w:val="26"/>
        </w:rPr>
        <w:t>Nākotnē varētu kļūt iespējama nanodaļiņu izmantošana, piemēram, integrējot tās krāsās, lai efektīvi absorbētu saules enerģiju un salīdzinoši lēti pārvērstu to elektroenerģijā. Tāpat nanomateriāli var pavērt jaunas iespējas akumulatoru izstrādē, nodrošinot lielāku enerģijas ietilpību un vienlaikus samazinot to svaru. Nanoelektronika attīstīs arī tādas ierīces kā nanodatorus, kurus varēs iestrādāt tekstilizstrādājumos un apģērbā, piešķirot tiem papildu funkcionalitāti, piemēram, spēju mainīt cietību trieciena ietekmē.</w:t>
      </w:r>
    </w:p>
    <w:p w14:paraId="28FDC18E" w14:textId="77777777" w:rsidR="003356F9" w:rsidRPr="00D829F0" w:rsidRDefault="003356F9" w:rsidP="003356F9">
      <w:pPr>
        <w:spacing w:after="120"/>
        <w:jc w:val="both"/>
        <w:rPr>
          <w:rFonts w:ascii="Source Sans Pro" w:hAnsi="Source Sans Pro"/>
          <w:szCs w:val="26"/>
        </w:rPr>
      </w:pPr>
      <w:r w:rsidRPr="00D829F0">
        <w:rPr>
          <w:rFonts w:ascii="Source Sans Pro" w:hAnsi="Source Sans Pro"/>
          <w:szCs w:val="26"/>
        </w:rPr>
        <w:t>Īpaši nozīmīga ietekme viedajiem nanomateriāliem prognozējama veselības aprūpē un medicīnā. Tie var tikt izmantoti implantu un protēžu izstrādē, kur materiāli spēj pielāgot savas virsmas īpašības un biofunkcionalitāti, tādējādi uzlabojot saderību ar cilvēka organismu. Tāpat iespējama sintētisku šūnu izmantošana, kas, reaģējot uz ārējiem stimuliem, piemēram, gaismu, spēj ražot ārstnieciskas olbaltumvielas.</w:t>
      </w:r>
    </w:p>
    <w:p w14:paraId="29F73D01" w14:textId="77777777" w:rsidR="003356F9" w:rsidRPr="00D829F0" w:rsidRDefault="003356F9" w:rsidP="003356F9">
      <w:pPr>
        <w:spacing w:after="120"/>
        <w:jc w:val="both"/>
        <w:rPr>
          <w:rFonts w:ascii="Source Sans Pro" w:hAnsi="Source Sans Pro"/>
          <w:szCs w:val="26"/>
        </w:rPr>
      </w:pPr>
      <w:r w:rsidRPr="00D829F0">
        <w:rPr>
          <w:rFonts w:ascii="Source Sans Pro" w:hAnsi="Source Sans Pro"/>
          <w:szCs w:val="26"/>
        </w:rPr>
        <w:t>Atsevišķās tehnoloģiju jomās Latvijā jau ir sasniegti ievērojami rezultāti, tostarp 5G sakaru attīstībā, bezpilota lidaparātu izmantošanā, viedo pilsētu risinājumos, gēnu sekvencēšanā, valodas tehnoloģijās un lielo datu analīzē. Savukārt mākslīgā intelekta un kvantu skaitļošanas jomās pastāv nozīmīgs zinātniskais potenciāls un turpmākas attīstības iestrādes.</w:t>
      </w:r>
    </w:p>
    <w:p w14:paraId="0CEC0FBB" w14:textId="0F5E0D99" w:rsidR="005372F2" w:rsidRPr="0003251B" w:rsidRDefault="005372F2" w:rsidP="005372F2">
      <w:pPr>
        <w:spacing w:after="120"/>
        <w:jc w:val="right"/>
        <w:rPr>
          <w:rFonts w:ascii="Source Sans Pro" w:hAnsi="Source Sans Pro"/>
          <w:color w:val="000000"/>
          <w:szCs w:val="26"/>
        </w:rPr>
      </w:pPr>
      <w:r w:rsidRPr="0003251B">
        <w:rPr>
          <w:rFonts w:ascii="Source Sans Pro" w:hAnsi="Source Sans Pro"/>
          <w:color w:val="000000"/>
          <w:szCs w:val="26"/>
        </w:rPr>
        <w:t>3.</w:t>
      </w:r>
      <w:r w:rsidR="005851C9">
        <w:rPr>
          <w:rFonts w:ascii="Source Sans Pro" w:hAnsi="Source Sans Pro"/>
          <w:color w:val="000000"/>
          <w:szCs w:val="26"/>
        </w:rPr>
        <w:t>4</w:t>
      </w:r>
      <w:r w:rsidRPr="0003251B">
        <w:rPr>
          <w:rFonts w:ascii="Source Sans Pro" w:hAnsi="Source Sans Pro"/>
          <w:color w:val="000000"/>
          <w:szCs w:val="26"/>
        </w:rPr>
        <w:t>.</w:t>
      </w:r>
      <w:r w:rsidR="0003251B" w:rsidRPr="0003251B">
        <w:rPr>
          <w:rFonts w:ascii="Source Sans Pro" w:hAnsi="Source Sans Pro"/>
          <w:color w:val="000000"/>
          <w:szCs w:val="26"/>
        </w:rPr>
        <w:t> </w:t>
      </w:r>
      <w:r w:rsidRPr="0003251B">
        <w:rPr>
          <w:rFonts w:ascii="Source Sans Pro" w:hAnsi="Source Sans Pro"/>
          <w:color w:val="000000"/>
          <w:szCs w:val="26"/>
        </w:rPr>
        <w:t>attēls</w:t>
      </w:r>
    </w:p>
    <w:p w14:paraId="57242D88" w14:textId="007748B1" w:rsidR="005372F2" w:rsidRPr="00973E38" w:rsidRDefault="00973E38" w:rsidP="00DC0CA1">
      <w:pPr>
        <w:spacing w:after="120"/>
        <w:jc w:val="center"/>
        <w:rPr>
          <w:rFonts w:ascii="Segoe UI Light" w:hAnsi="Segoe UI Light"/>
          <w:b/>
          <w:sz w:val="18"/>
          <w:lang w:bidi="lo-LA"/>
        </w:rPr>
      </w:pPr>
      <w:r w:rsidRPr="00973E38">
        <w:rPr>
          <w:rFonts w:ascii="Segoe UI Light" w:hAnsi="Segoe UI Light"/>
          <w:b/>
          <w:sz w:val="18"/>
          <w:lang w:bidi="lo-LA"/>
        </w:rPr>
        <w:t>Industrializācijas cikli un produktivitāte</w:t>
      </w:r>
    </w:p>
    <w:p w14:paraId="7FCA81B8" w14:textId="21A91B5F" w:rsidR="00692B34" w:rsidRPr="00692B34" w:rsidRDefault="00692B34" w:rsidP="00DC0CA1">
      <w:pPr>
        <w:spacing w:after="0"/>
        <w:jc w:val="center"/>
        <w:rPr>
          <w:rFonts w:ascii="Aptos Narrow" w:hAnsi="Aptos Narrow"/>
          <w:bCs/>
        </w:rPr>
      </w:pPr>
      <w:r w:rsidRPr="00692B34">
        <w:rPr>
          <w:rFonts w:ascii="Aptos Narrow" w:hAnsi="Aptos Narrow"/>
          <w:bCs/>
          <w:noProof/>
        </w:rPr>
        <w:drawing>
          <wp:inline distT="0" distB="0" distL="0" distR="0" wp14:anchorId="5C212D0F" wp14:editId="2E770FDE">
            <wp:extent cx="5760000" cy="2958577"/>
            <wp:effectExtent l="0" t="0" r="0" b="0"/>
            <wp:docPr id="1921407588"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2251" t="20639" r="1189"/>
                    <a:stretch>
                      <a:fillRect/>
                    </a:stretch>
                  </pic:blipFill>
                  <pic:spPr bwMode="auto">
                    <a:xfrm>
                      <a:off x="0" y="0"/>
                      <a:ext cx="5760000" cy="2958577"/>
                    </a:xfrm>
                    <a:prstGeom prst="rect">
                      <a:avLst/>
                    </a:prstGeom>
                    <a:noFill/>
                    <a:ln>
                      <a:noFill/>
                    </a:ln>
                    <a:extLst>
                      <a:ext uri="{53640926-AAD7-44D8-BBD7-CCE9431645EC}">
                        <a14:shadowObscured xmlns:a14="http://schemas.microsoft.com/office/drawing/2010/main"/>
                      </a:ext>
                    </a:extLst>
                  </pic:spPr>
                </pic:pic>
              </a:graphicData>
            </a:graphic>
          </wp:inline>
        </w:drawing>
      </w:r>
    </w:p>
    <w:p w14:paraId="1B7C24AE" w14:textId="77777777" w:rsidR="003356F9" w:rsidRPr="00D829F0" w:rsidRDefault="003356F9" w:rsidP="003356F9">
      <w:pPr>
        <w:spacing w:after="120"/>
        <w:jc w:val="both"/>
        <w:rPr>
          <w:rFonts w:ascii="Source Sans Pro" w:hAnsi="Source Sans Pro"/>
          <w:szCs w:val="26"/>
        </w:rPr>
      </w:pPr>
    </w:p>
    <w:p w14:paraId="0497D4B2" w14:textId="77777777" w:rsidR="003356F9" w:rsidRPr="00D829F0" w:rsidRDefault="003356F9" w:rsidP="003356F9">
      <w:pPr>
        <w:spacing w:after="120"/>
        <w:jc w:val="both"/>
        <w:rPr>
          <w:rFonts w:ascii="Source Sans Pro" w:hAnsi="Source Sans Pro"/>
          <w:szCs w:val="26"/>
        </w:rPr>
      </w:pPr>
      <w:r w:rsidRPr="00D829F0">
        <w:rPr>
          <w:rFonts w:ascii="Source Sans Pro" w:hAnsi="Source Sans Pro"/>
          <w:szCs w:val="26"/>
        </w:rPr>
        <w:t>Straujā tehnoloģiju attīstība paātrinās pārmaiņu tempu, vienlaikus radot gan jaunas iespējas, gan pastiprinot nevienlīdzību starp ieguvējiem un zaudētājiem. Automatizācija un mākslīgais intelekts var pārveidot nozares ātrāk, nekā ekonomika spēj tām pielāgoties, kas var novest pie darbavietu pārbīdes un darbinieku izstumšanas no darba tirgus. Turklāt tas var ierobežot tradicionālos attīstības ceļus nabadzīgākām valstīm, kuras līdz šim balstījās uz lētā darbaspēka priekšrocībām.</w:t>
      </w:r>
    </w:p>
    <w:p w14:paraId="4FC76DF4" w14:textId="330F3109" w:rsidR="003356F9" w:rsidRPr="00D829F0" w:rsidRDefault="003356F9" w:rsidP="003356F9">
      <w:pPr>
        <w:spacing w:after="120"/>
        <w:jc w:val="both"/>
        <w:rPr>
          <w:rFonts w:ascii="Source Sans Pro" w:hAnsi="Source Sans Pro"/>
          <w:szCs w:val="26"/>
        </w:rPr>
      </w:pPr>
      <w:r w:rsidRPr="00D829F0">
        <w:rPr>
          <w:rFonts w:ascii="Source Sans Pro" w:hAnsi="Source Sans Pro"/>
          <w:b/>
          <w:szCs w:val="26"/>
        </w:rPr>
        <w:t>Latvijas ekonomikas attīstību būtiski ietekmēs E</w:t>
      </w:r>
      <w:r w:rsidR="00533EAC">
        <w:rPr>
          <w:rFonts w:ascii="Source Sans Pro" w:hAnsi="Source Sans Pro"/>
          <w:b/>
          <w:szCs w:val="26"/>
        </w:rPr>
        <w:t>S</w:t>
      </w:r>
      <w:r w:rsidRPr="00D829F0">
        <w:rPr>
          <w:rFonts w:ascii="Source Sans Pro" w:hAnsi="Source Sans Pro"/>
          <w:b/>
          <w:szCs w:val="26"/>
        </w:rPr>
        <w:t xml:space="preserve"> kopējā klimata politika. </w:t>
      </w:r>
      <w:r w:rsidRPr="00D829F0">
        <w:rPr>
          <w:rFonts w:ascii="Source Sans Pro" w:hAnsi="Source Sans Pro"/>
          <w:szCs w:val="26"/>
        </w:rPr>
        <w:t>ES ir izvirzījusi mērķi līdz 2050.</w:t>
      </w:r>
      <w:r w:rsidR="0003251B">
        <w:rPr>
          <w:rFonts w:ascii="Source Sans Pro" w:hAnsi="Source Sans Pro"/>
          <w:szCs w:val="26"/>
        </w:rPr>
        <w:t> </w:t>
      </w:r>
      <w:r w:rsidRPr="00D829F0">
        <w:rPr>
          <w:rFonts w:ascii="Source Sans Pro" w:hAnsi="Source Sans Pro"/>
          <w:szCs w:val="26"/>
        </w:rPr>
        <w:t xml:space="preserve">gadam kļūt klimatneitrālai, proti, panākt, ka siltumnīcefekta gāzu neto emisijas tiek samazinātas līdz nullei. Zaļais kurss paredz veicināt efektīvāku resursu izmantošanu, pārejot uz tīru un aprites ekonomikas modeli, vienlaikus samazinot klimata pārmaiņu ietekmi, bioloģiskās daudzveidības samazināšanos un vides </w:t>
      </w:r>
      <w:r w:rsidRPr="00D829F0">
        <w:rPr>
          <w:rFonts w:ascii="Source Sans Pro" w:hAnsi="Source Sans Pro"/>
          <w:szCs w:val="26"/>
        </w:rPr>
        <w:lastRenderedPageBreak/>
        <w:t>piesārņojumu</w:t>
      </w:r>
      <w:r w:rsidRPr="00D829F0">
        <w:rPr>
          <w:rFonts w:ascii="Source Sans Pro" w:hAnsi="Source Sans Pro"/>
          <w:szCs w:val="26"/>
          <w:vertAlign w:val="superscript"/>
        </w:rPr>
        <w:footnoteReference w:id="9"/>
      </w:r>
      <w:r w:rsidRPr="00D829F0">
        <w:rPr>
          <w:rFonts w:ascii="Source Sans Pro" w:hAnsi="Source Sans Pro"/>
          <w:szCs w:val="26"/>
        </w:rPr>
        <w:t xml:space="preserve">. Eiropas zaļais kurss ietekmēs </w:t>
      </w:r>
      <w:r w:rsidRPr="00D829F0">
        <w:rPr>
          <w:rFonts w:ascii="Source Sans Pro" w:hAnsi="Source Sans Pro"/>
          <w:b/>
          <w:szCs w:val="26"/>
        </w:rPr>
        <w:t>visas ekonomikas nozares</w:t>
      </w:r>
      <w:r w:rsidRPr="00D829F0">
        <w:rPr>
          <w:rFonts w:ascii="Source Sans Pro" w:hAnsi="Source Sans Pro"/>
          <w:szCs w:val="26"/>
        </w:rPr>
        <w:t>, jo sevišķi transportu, enerģētiku, lauksaimniecību un rūpniecību.</w:t>
      </w:r>
    </w:p>
    <w:p w14:paraId="5DC266C9" w14:textId="757719BD" w:rsidR="003F527D" w:rsidRPr="00D829F0" w:rsidRDefault="003356F9" w:rsidP="003F527D">
      <w:pPr>
        <w:spacing w:after="120"/>
        <w:jc w:val="both"/>
        <w:rPr>
          <w:rFonts w:ascii="Source Sans Pro" w:hAnsi="Source Sans Pro"/>
          <w:szCs w:val="26"/>
        </w:rPr>
      </w:pPr>
      <w:r w:rsidRPr="00D829F0">
        <w:rPr>
          <w:rFonts w:ascii="Source Sans Pro" w:hAnsi="Source Sans Pro"/>
          <w:szCs w:val="26"/>
        </w:rPr>
        <w:t xml:space="preserve">Enerģētikas nozarē galvenais izaicinājums būs saistīts ar pāreju uz dekarbonizētu sistēmu. Enerģijas ražošanā arvien lielāka nozīme tiks piešķirta atjaunojamajiem un alternatīvajiem energoresursiem, savukārt fosilo kurināmo izmantošana Zaļā kursa ietvaros būtiski samazināsies, ierobežojot naftas, </w:t>
      </w:r>
      <w:r w:rsidR="003F527D" w:rsidRPr="00D829F0">
        <w:rPr>
          <w:rFonts w:ascii="Source Sans Pro" w:hAnsi="Source Sans Pro"/>
          <w:szCs w:val="26"/>
        </w:rPr>
        <w:t>dabasgāzes un akmeņogļu patēriņu visā E</w:t>
      </w:r>
      <w:r w:rsidR="00533EAC">
        <w:rPr>
          <w:rFonts w:ascii="Source Sans Pro" w:hAnsi="Source Sans Pro"/>
          <w:szCs w:val="26"/>
        </w:rPr>
        <w:t>S</w:t>
      </w:r>
      <w:r w:rsidR="003F527D" w:rsidRPr="00D829F0">
        <w:rPr>
          <w:rFonts w:ascii="Source Sans Pro" w:hAnsi="Source Sans Pro"/>
          <w:szCs w:val="26"/>
        </w:rPr>
        <w:t>. Pašreizējā ģeopolitiskā situācija šo procesu vēl vairāk paātrina.</w:t>
      </w:r>
    </w:p>
    <w:p w14:paraId="05EE26A2" w14:textId="77777777" w:rsidR="003F527D" w:rsidRPr="00D829F0" w:rsidRDefault="003F527D" w:rsidP="003F527D">
      <w:pPr>
        <w:spacing w:after="120"/>
        <w:jc w:val="both"/>
        <w:rPr>
          <w:rFonts w:ascii="Source Sans Pro" w:hAnsi="Source Sans Pro"/>
          <w:szCs w:val="26"/>
        </w:rPr>
      </w:pPr>
      <w:r w:rsidRPr="00D829F0">
        <w:rPr>
          <w:rFonts w:ascii="Source Sans Pro" w:hAnsi="Source Sans Pro"/>
          <w:szCs w:val="26"/>
        </w:rPr>
        <w:t>Pāreja uz videi draudzīgākiem privātā un sabiedriskā transporta risinājumiem ietekmēs esošās piegādes ķēdes, īpaši tās, kas saistītas ar iekšdedzes dzinēju automobiļu ražošanu. Tajā pašā laikā tas radīs jaunas uzņēmējdarbības iespējas alternatīvo degvielu transportlīdzekļu un to komponentu ražošanā. Transporta sektora pārveide prasīs arī jaunas infrastruktūras attīstību, tostarp viedos elektrotīklus, ūdeņraža infrastruktūru, oglekļa uztveršanas, uzglabāšanas un izmantošanas tehnoloģijas, kā arī enerģijas uzkrāšanas risinājumus.</w:t>
      </w:r>
    </w:p>
    <w:p w14:paraId="1C4CC0C3" w14:textId="77777777" w:rsidR="003F527D" w:rsidRPr="00D829F0" w:rsidRDefault="003F527D" w:rsidP="003F527D">
      <w:pPr>
        <w:spacing w:after="120"/>
        <w:jc w:val="both"/>
        <w:rPr>
          <w:rFonts w:ascii="Source Sans Pro" w:hAnsi="Source Sans Pro"/>
          <w:szCs w:val="26"/>
        </w:rPr>
      </w:pPr>
      <w:r w:rsidRPr="00D829F0">
        <w:rPr>
          <w:rFonts w:ascii="Source Sans Pro" w:hAnsi="Source Sans Pro"/>
          <w:szCs w:val="26"/>
        </w:rPr>
        <w:t>Enerģijas patēriņa un izmaksu samazināšanai nozīmīga loma būs ēku renovācijai un siltināšanai. Šie procesi veicinās pieprasījumu pēc būvmateriāliem, radīs iespējas inovatīvu risinājumu attīstībai un stimulēs būvniecības nozares aktivitāti.</w:t>
      </w:r>
    </w:p>
    <w:p w14:paraId="478BBD40" w14:textId="77777777" w:rsidR="003F527D" w:rsidRPr="00D829F0" w:rsidRDefault="003F527D" w:rsidP="003F527D">
      <w:pPr>
        <w:spacing w:after="120"/>
        <w:jc w:val="both"/>
        <w:rPr>
          <w:rFonts w:ascii="Source Sans Pro" w:hAnsi="Source Sans Pro"/>
          <w:szCs w:val="26"/>
        </w:rPr>
      </w:pPr>
      <w:r w:rsidRPr="00D829F0">
        <w:rPr>
          <w:rFonts w:ascii="Source Sans Pro" w:hAnsi="Source Sans Pro"/>
          <w:szCs w:val="26"/>
        </w:rPr>
        <w:t>Savukārt lauksaimniecības nozari sagaida būtiskas pārmaiņas, kas ietver oglekļa piesaistes un uzkrāšanas risinājumu ieviešanu augsnē, efektīvāku minerālmēslu izmantošanu, kā arī jaunu, videi draudzīgāku alternatīvu izstrādi tradicionālajiem augu aizsardzības līdzekļiem.</w:t>
      </w:r>
    </w:p>
    <w:p w14:paraId="56E813DE" w14:textId="77777777" w:rsidR="003F527D" w:rsidRPr="00D829F0" w:rsidRDefault="003F527D" w:rsidP="003F527D">
      <w:pPr>
        <w:spacing w:after="120"/>
        <w:jc w:val="both"/>
        <w:rPr>
          <w:rFonts w:ascii="Source Sans Pro" w:hAnsi="Source Sans Pro"/>
          <w:szCs w:val="26"/>
        </w:rPr>
      </w:pPr>
      <w:r w:rsidRPr="00D829F0">
        <w:rPr>
          <w:rFonts w:ascii="Source Sans Pro" w:hAnsi="Source Sans Pro"/>
          <w:szCs w:val="26"/>
        </w:rPr>
        <w:t>Pāreja uz klimata neitralitāti būtiski ietekmēs arī rūpniecības sektoru. Uzņēmumiem būs arvien vairāk jāiegulda inovācijās, lai pārveidotu esošos ražošanas procesus un pakāpeniski nomainītu novecojušās iekārtas pret modernām, energoefektīvākām tehnoloģijām, kas vienlaikus uzlabos arī produktivitāti. Īpaša uzmanība tiks pievērsta energoietilpīgām nozarēm, piemēram, cementa ražošanai, kur emisiju samazināšana ir īpaši izaicinoša.</w:t>
      </w:r>
    </w:p>
    <w:p w14:paraId="204F20C3" w14:textId="39605717" w:rsidR="003F527D" w:rsidRPr="00D829F0" w:rsidRDefault="003F527D" w:rsidP="003F527D">
      <w:pPr>
        <w:spacing w:after="120"/>
        <w:jc w:val="both"/>
        <w:rPr>
          <w:rFonts w:ascii="Source Sans Pro" w:hAnsi="Source Sans Pro"/>
          <w:szCs w:val="26"/>
        </w:rPr>
      </w:pPr>
      <w:r w:rsidRPr="00D829F0">
        <w:rPr>
          <w:rFonts w:ascii="Source Sans Pro" w:hAnsi="Source Sans Pro"/>
          <w:szCs w:val="26"/>
        </w:rPr>
        <w:t>Jāņem vērā, ka vienas rūpniecības nozares, kā arī ar to saistīto vērtības ķēžu pilnīga transformācija ir ilgtermiņa process, kas var ilgt aptuveni 25 gadus</w:t>
      </w:r>
      <w:r w:rsidRPr="00D829F0">
        <w:rPr>
          <w:rFonts w:ascii="Source Sans Pro" w:hAnsi="Source Sans Pro"/>
          <w:szCs w:val="26"/>
          <w:vertAlign w:val="superscript"/>
        </w:rPr>
        <w:footnoteReference w:id="10"/>
      </w:r>
      <w:r w:rsidRPr="00D829F0">
        <w:rPr>
          <w:rFonts w:ascii="Source Sans Pro" w:hAnsi="Source Sans Pro"/>
          <w:szCs w:val="26"/>
        </w:rPr>
        <w:t xml:space="preserve">. Tādēļ jau šobrīd nozaru attīstības plānošanā </w:t>
      </w:r>
      <w:r w:rsidR="00826514">
        <w:rPr>
          <w:rFonts w:ascii="Source Sans Pro" w:hAnsi="Source Sans Pro"/>
          <w:szCs w:val="26"/>
        </w:rPr>
        <w:t>pievēršama uzmanība</w:t>
      </w:r>
      <w:r w:rsidRPr="00D829F0">
        <w:rPr>
          <w:rFonts w:ascii="Source Sans Pro" w:hAnsi="Source Sans Pro"/>
          <w:szCs w:val="26"/>
        </w:rPr>
        <w:t xml:space="preserve"> iespējam</w:t>
      </w:r>
      <w:r w:rsidR="00826514">
        <w:rPr>
          <w:rFonts w:ascii="Source Sans Pro" w:hAnsi="Source Sans Pro"/>
          <w:szCs w:val="26"/>
        </w:rPr>
        <w:t>ai</w:t>
      </w:r>
      <w:r w:rsidRPr="00D829F0">
        <w:rPr>
          <w:rFonts w:ascii="Source Sans Pro" w:hAnsi="Source Sans Pro"/>
          <w:szCs w:val="26"/>
        </w:rPr>
        <w:t xml:space="preserve"> klimata pārmaiņu ietekme</w:t>
      </w:r>
      <w:r w:rsidR="00826514">
        <w:rPr>
          <w:rFonts w:ascii="Source Sans Pro" w:hAnsi="Source Sans Pro"/>
          <w:szCs w:val="26"/>
        </w:rPr>
        <w:t>i</w:t>
      </w:r>
      <w:r w:rsidRPr="00D829F0">
        <w:rPr>
          <w:rFonts w:ascii="Source Sans Pro" w:hAnsi="Source Sans Pro"/>
          <w:szCs w:val="26"/>
        </w:rPr>
        <w:t xml:space="preserve"> nākotnē. Zaļā kursa īstenošana prasīs ievērojamus finanšu ieguldījumus un būs darbietilpīgs process, taču vienlaikus tas var pavērt jaunas uzņēmējdarbības iespējas.</w:t>
      </w:r>
    </w:p>
    <w:p w14:paraId="604EB538" w14:textId="5B869DFB" w:rsidR="005372F2" w:rsidRPr="006E7C8A" w:rsidRDefault="00821CC4" w:rsidP="00077B50">
      <w:pPr>
        <w:pBdr>
          <w:top w:val="single" w:sz="4" w:space="6" w:color="auto" w:shadow="1"/>
          <w:left w:val="single" w:sz="4" w:space="6" w:color="auto" w:shadow="1"/>
          <w:bottom w:val="single" w:sz="4" w:space="6" w:color="auto" w:shadow="1"/>
          <w:right w:val="single" w:sz="4" w:space="6" w:color="auto" w:shadow="1"/>
        </w:pBdr>
        <w:shd w:val="clear" w:color="auto" w:fill="DCE7EB"/>
        <w:jc w:val="right"/>
        <w:rPr>
          <w:rFonts w:ascii="Segoe UI Light" w:hAnsi="Segoe UI Light"/>
          <w:b/>
          <w:sz w:val="16"/>
          <w:szCs w:val="16"/>
        </w:rPr>
      </w:pPr>
      <w:r w:rsidRPr="00821CC4">
        <w:rPr>
          <w:rFonts w:ascii="Segoe UI Light" w:hAnsi="Segoe UI Light"/>
          <w:b/>
          <w:sz w:val="16"/>
          <w:szCs w:val="16"/>
        </w:rPr>
        <w:t>Mākslīgā intelekta ietekme uz nākotnes darba tirgu un ekonomiku</w:t>
      </w:r>
      <w:r w:rsidR="005372F2" w:rsidRPr="006E7C8A">
        <w:rPr>
          <w:rFonts w:ascii="Segoe UI Light" w:hAnsi="Segoe UI Light"/>
          <w:b/>
          <w:sz w:val="16"/>
          <w:szCs w:val="16"/>
        </w:rPr>
        <w:t xml:space="preserve"> </w:t>
      </w:r>
    </w:p>
    <w:p w14:paraId="468B08D9" w14:textId="2EDB9450" w:rsidR="005372F2" w:rsidRPr="006E7C8A" w:rsidRDefault="00522FEB" w:rsidP="00077B5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8"/>
        </w:rPr>
      </w:pPr>
      <w:r w:rsidRPr="00522FEB">
        <w:rPr>
          <w:rFonts w:ascii="Segoe UI Light" w:hAnsi="Segoe UI Light"/>
          <w:sz w:val="16"/>
          <w:szCs w:val="18"/>
        </w:rPr>
        <w:t xml:space="preserve">Mākslīgais intelekts (MI) tiek uzskatīts par vienu no nozīmīgākajiem ekonomikas un darba tirgus pārveides virzītājspēkiem nākamajā desmitgadē. Saskaņā ar </w:t>
      </w:r>
      <w:r w:rsidRPr="00522FEB">
        <w:rPr>
          <w:rFonts w:ascii="Segoe UI Light" w:hAnsi="Segoe UI Light"/>
          <w:i/>
          <w:iCs/>
          <w:sz w:val="16"/>
          <w:szCs w:val="18"/>
        </w:rPr>
        <w:t>Pasaules Ekonomikas foruma ziņojumu "Future of Jobs Report 2025"</w:t>
      </w:r>
      <w:r w:rsidRPr="00522FEB">
        <w:rPr>
          <w:rFonts w:ascii="Segoe UI Light" w:hAnsi="Segoe UI Light"/>
          <w:sz w:val="16"/>
          <w:szCs w:val="18"/>
        </w:rPr>
        <w:t xml:space="preserve">, 86% aptaujāto darba devēju uzskata, ka </w:t>
      </w:r>
      <w:r w:rsidR="006608C0">
        <w:rPr>
          <w:rFonts w:ascii="Segoe UI Light" w:hAnsi="Segoe UI Light"/>
          <w:sz w:val="16"/>
          <w:szCs w:val="18"/>
        </w:rPr>
        <w:t>MI</w:t>
      </w:r>
      <w:r w:rsidRPr="00522FEB">
        <w:rPr>
          <w:rFonts w:ascii="Segoe UI Light" w:hAnsi="Segoe UI Light"/>
          <w:sz w:val="16"/>
          <w:szCs w:val="18"/>
        </w:rPr>
        <w:t xml:space="preserve"> un informācijas apstrādes tehnoloģijas līdz 2030.</w:t>
      </w:r>
      <w:r w:rsidR="002E178D">
        <w:rPr>
          <w:rFonts w:ascii="Segoe UI Light" w:hAnsi="Segoe UI Light"/>
          <w:sz w:val="16"/>
          <w:szCs w:val="18"/>
        </w:rPr>
        <w:t> </w:t>
      </w:r>
      <w:r w:rsidRPr="00522FEB">
        <w:rPr>
          <w:rFonts w:ascii="Segoe UI Light" w:hAnsi="Segoe UI Light"/>
          <w:sz w:val="16"/>
          <w:szCs w:val="18"/>
        </w:rPr>
        <w:t xml:space="preserve">gadam būtiski pārveidos viņu uzņēmumus, padarot MI par ietekmīgāko tehnoloģisko tendenci, apsteidzot robotiku un enerģētikas tehnoloģijas. Ziņojumā uzsvērts, ka straujā ģeneratīvā </w:t>
      </w:r>
      <w:r w:rsidR="00FF3891">
        <w:rPr>
          <w:rFonts w:ascii="Segoe UI Light" w:hAnsi="Segoe UI Light"/>
          <w:sz w:val="16"/>
          <w:szCs w:val="18"/>
        </w:rPr>
        <w:t>MI</w:t>
      </w:r>
      <w:r w:rsidRPr="00522FEB">
        <w:rPr>
          <w:rFonts w:ascii="Segoe UI Light" w:hAnsi="Segoe UI Light"/>
          <w:sz w:val="16"/>
          <w:szCs w:val="18"/>
        </w:rPr>
        <w:t xml:space="preserve"> attīstība palielina produktivitāti, uzlabo lēmumu pieņemšanu un ļauj uzņēmumiem automatizēt rutīnas uzdevumus, vienlaikus paplašinot cilvēku spējas un efektivitāti</w:t>
      </w:r>
      <w:r w:rsidR="00DC5D29">
        <w:rPr>
          <w:rFonts w:ascii="Segoe UI Light" w:hAnsi="Segoe UI Light"/>
          <w:sz w:val="16"/>
          <w:szCs w:val="18"/>
        </w:rPr>
        <w:t>.</w:t>
      </w:r>
    </w:p>
    <w:p w14:paraId="38A0ED05" w14:textId="5BAB7F6A" w:rsidR="00984B3E" w:rsidRDefault="00984B3E" w:rsidP="00077B5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8"/>
        </w:rPr>
      </w:pPr>
      <w:r w:rsidRPr="00984B3E">
        <w:rPr>
          <w:rFonts w:ascii="Segoe UI Light" w:hAnsi="Segoe UI Light"/>
          <w:sz w:val="16"/>
          <w:szCs w:val="18"/>
        </w:rPr>
        <w:t xml:space="preserve">Ziņojumā norādīts, ka </w:t>
      </w:r>
      <w:r w:rsidR="006608C0">
        <w:rPr>
          <w:rFonts w:ascii="Segoe UI Light" w:hAnsi="Segoe UI Light"/>
          <w:sz w:val="16"/>
          <w:szCs w:val="18"/>
        </w:rPr>
        <w:t>MI</w:t>
      </w:r>
      <w:r w:rsidRPr="00984B3E">
        <w:rPr>
          <w:rFonts w:ascii="Segoe UI Light" w:hAnsi="Segoe UI Light"/>
          <w:sz w:val="16"/>
          <w:szCs w:val="18"/>
        </w:rPr>
        <w:t xml:space="preserve"> būtiski ietekmēs nākotnes nodarbinātību, radot jaunas darba iespējas, bet vienlaikus samazinot pieprasījumu pēc noteiktām profesijām. Tiek prognozēts, ka līdz 2030.</w:t>
      </w:r>
      <w:r w:rsidR="002E178D">
        <w:rPr>
          <w:rFonts w:ascii="Segoe UI Light" w:hAnsi="Segoe UI Light"/>
          <w:sz w:val="16"/>
          <w:szCs w:val="18"/>
        </w:rPr>
        <w:t> </w:t>
      </w:r>
      <w:r w:rsidRPr="00984B3E">
        <w:rPr>
          <w:rFonts w:ascii="Segoe UI Light" w:hAnsi="Segoe UI Light"/>
          <w:sz w:val="16"/>
          <w:szCs w:val="18"/>
        </w:rPr>
        <w:t xml:space="preserve">gadam MI radīs aptuveni 11 miljonus jaunu darbvietu un aizstās aptuveni 9 miljonus esošo darbvietu, kopumā radot pozitīvu nodarbinātības bilanci. Visstraujāk pieaugošās profesijas būs </w:t>
      </w:r>
      <w:r w:rsidR="006608C0">
        <w:rPr>
          <w:rFonts w:ascii="Segoe UI Light" w:hAnsi="Segoe UI Light"/>
          <w:sz w:val="16"/>
          <w:szCs w:val="18"/>
        </w:rPr>
        <w:t>MI</w:t>
      </w:r>
      <w:r w:rsidRPr="00984B3E">
        <w:rPr>
          <w:rFonts w:ascii="Segoe UI Light" w:hAnsi="Segoe UI Light"/>
          <w:sz w:val="16"/>
          <w:szCs w:val="18"/>
        </w:rPr>
        <w:t xml:space="preserve"> un mašīnmācīšanās speciālisti, lielo datu speciālisti, programmatūras izstrādātāji un datu zinātnieki. Savukārt samazināsies pieprasījums pēc profesijām, kurās dominē</w:t>
      </w:r>
      <w:r w:rsidR="00174088">
        <w:rPr>
          <w:rFonts w:ascii="Segoe UI Light" w:hAnsi="Segoe UI Light"/>
          <w:sz w:val="16"/>
          <w:szCs w:val="18"/>
        </w:rPr>
        <w:t xml:space="preserve"> </w:t>
      </w:r>
      <w:r w:rsidRPr="00984B3E">
        <w:rPr>
          <w:rFonts w:ascii="Segoe UI Light" w:hAnsi="Segoe UI Light"/>
          <w:sz w:val="16"/>
          <w:szCs w:val="18"/>
        </w:rPr>
        <w:t xml:space="preserve">rutīnas administratīvie uzdevumi, piemēram, datu ievades operatoriem, administratīvajiem asistentiem, banku kasieriem un kasieriem kopumā, jo šos darbus arvien biežāk spēs veikt </w:t>
      </w:r>
      <w:r w:rsidR="006608C0">
        <w:rPr>
          <w:rFonts w:ascii="Segoe UI Light" w:hAnsi="Segoe UI Light"/>
          <w:sz w:val="16"/>
          <w:szCs w:val="18"/>
        </w:rPr>
        <w:t>MI</w:t>
      </w:r>
      <w:r w:rsidRPr="00984B3E">
        <w:rPr>
          <w:rFonts w:ascii="Segoe UI Light" w:hAnsi="Segoe UI Light"/>
          <w:sz w:val="16"/>
          <w:szCs w:val="18"/>
        </w:rPr>
        <w:t xml:space="preserve"> un automatizācijas risinājumi</w:t>
      </w:r>
      <w:r>
        <w:rPr>
          <w:rFonts w:ascii="Segoe UI Light" w:hAnsi="Segoe UI Light"/>
          <w:sz w:val="16"/>
          <w:szCs w:val="18"/>
        </w:rPr>
        <w:t>.</w:t>
      </w:r>
    </w:p>
    <w:p w14:paraId="37E8F7AC" w14:textId="0FEBCE56" w:rsidR="005372F2" w:rsidRPr="006E7C8A" w:rsidRDefault="003A4E4C" w:rsidP="00077B5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8"/>
        </w:rPr>
      </w:pPr>
      <w:r w:rsidRPr="003A4E4C">
        <w:rPr>
          <w:rFonts w:ascii="Segoe UI Light" w:hAnsi="Segoe UI Light"/>
          <w:sz w:val="16"/>
          <w:szCs w:val="18"/>
        </w:rPr>
        <w:t xml:space="preserve">Tomēr </w:t>
      </w:r>
      <w:r w:rsidR="006608C0">
        <w:rPr>
          <w:rFonts w:ascii="Segoe UI Light" w:hAnsi="Segoe UI Light"/>
          <w:sz w:val="16"/>
          <w:szCs w:val="18"/>
        </w:rPr>
        <w:t>MI</w:t>
      </w:r>
      <w:r w:rsidRPr="003A4E4C">
        <w:rPr>
          <w:rFonts w:ascii="Segoe UI Light" w:hAnsi="Segoe UI Light"/>
          <w:sz w:val="16"/>
          <w:szCs w:val="18"/>
        </w:rPr>
        <w:t>, visticamāk, neaizstās cilvēkus pilnībā, bet gan mainīs darba organizāciju un uzdevumu izpildes veidu. Ziņojumā prognozēts, ka līdz 2030.</w:t>
      </w:r>
      <w:r w:rsidR="002E178D">
        <w:rPr>
          <w:rFonts w:ascii="Segoe UI Light" w:hAnsi="Segoe UI Light"/>
          <w:sz w:val="16"/>
          <w:szCs w:val="18"/>
        </w:rPr>
        <w:t> </w:t>
      </w:r>
      <w:r w:rsidRPr="003A4E4C">
        <w:rPr>
          <w:rFonts w:ascii="Segoe UI Light" w:hAnsi="Segoe UI Light"/>
          <w:sz w:val="16"/>
          <w:szCs w:val="18"/>
        </w:rPr>
        <w:t xml:space="preserve">gadam to darba uzdevumu īpatsvars, kurus veic tikai cilvēki, samazināsies no 47% līdz 33%, savukārt pieaugs cilvēku un </w:t>
      </w:r>
      <w:r w:rsidR="0004457F">
        <w:rPr>
          <w:rFonts w:ascii="Segoe UI Light" w:hAnsi="Segoe UI Light"/>
          <w:sz w:val="16"/>
          <w:szCs w:val="18"/>
        </w:rPr>
        <w:t>MI</w:t>
      </w:r>
      <w:r w:rsidRPr="003A4E4C">
        <w:rPr>
          <w:rFonts w:ascii="Segoe UI Light" w:hAnsi="Segoe UI Light"/>
          <w:sz w:val="16"/>
          <w:szCs w:val="18"/>
        </w:rPr>
        <w:t xml:space="preserve"> sadarbībā veikto uzdevumu īpatsvars. Tas liecina, ka nākotnes darba vide arvien vairāk balstīsies uz cilvēka un tehnoloģiju sadarbību, kur MI kalpos kā palīgs sarežģītu uzdevumu veikšanā. Līdz ar to pieaugs pieprasījums pēc prasmēm </w:t>
      </w:r>
      <w:r w:rsidR="0004457F">
        <w:rPr>
          <w:rFonts w:ascii="Segoe UI Light" w:hAnsi="Segoe UI Light"/>
          <w:sz w:val="16"/>
          <w:szCs w:val="18"/>
        </w:rPr>
        <w:t>MI</w:t>
      </w:r>
      <w:r w:rsidRPr="003A4E4C">
        <w:rPr>
          <w:rFonts w:ascii="Segoe UI Light" w:hAnsi="Segoe UI Light"/>
          <w:sz w:val="16"/>
          <w:szCs w:val="18"/>
        </w:rPr>
        <w:t xml:space="preserve"> un datu analītikas jomā, digitālajām prasmēm, kiberdrošības zināšanām, radošās domāšanas un pielāgošanās spējām, padarot pārkvalificēšanos un mūžizglītību par būtisku priekšnoteikumu darba tirgū</w:t>
      </w:r>
      <w:r w:rsidR="005372F2" w:rsidRPr="006E7C8A">
        <w:rPr>
          <w:rFonts w:ascii="Segoe UI Light" w:hAnsi="Segoe UI Light"/>
          <w:sz w:val="16"/>
          <w:szCs w:val="18"/>
        </w:rPr>
        <w:t>.</w:t>
      </w:r>
    </w:p>
    <w:p w14:paraId="7F7259AC" w14:textId="1523EC73" w:rsidR="005372F2" w:rsidRPr="006E7C8A" w:rsidRDefault="007477DF" w:rsidP="00077B5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8"/>
        </w:rPr>
      </w:pPr>
      <w:r w:rsidRPr="007477DF">
        <w:rPr>
          <w:rFonts w:ascii="Segoe UI Light" w:hAnsi="Segoe UI Light"/>
          <w:sz w:val="16"/>
          <w:szCs w:val="18"/>
        </w:rPr>
        <w:t xml:space="preserve">Plašākā ekonomiskajā kontekstā </w:t>
      </w:r>
      <w:r w:rsidR="00262FA2">
        <w:rPr>
          <w:rFonts w:ascii="Segoe UI Light" w:hAnsi="Segoe UI Light"/>
          <w:sz w:val="16"/>
          <w:szCs w:val="18"/>
        </w:rPr>
        <w:t>MI</w:t>
      </w:r>
      <w:r w:rsidRPr="007477DF">
        <w:rPr>
          <w:rFonts w:ascii="Segoe UI Light" w:hAnsi="Segoe UI Light"/>
          <w:sz w:val="16"/>
          <w:szCs w:val="18"/>
        </w:rPr>
        <w:t xml:space="preserve"> var ievērojami palielināt produktivitāti, veicināt inovācijas un sekmēt ilgtermiņa ekonomikas izaugsmi. Tomēr šie ieguvumi nav garantēti. Ja MI galvenokārt tiks izmantots cilvēku aizstāšanai, nevis viņu darba papildināšanai un efektivitātes paaugstināšanai, tas var palielināt bezdarbu un ienākumu nevienlīdzību. Tāpēc valdībām, uzņēmumiem un izglītības iestādēm ir būtiski ieguldīt darbinieku prasmju attīstībā, efektīvā regulējumā un politikā, kas nodrošina </w:t>
      </w:r>
      <w:r w:rsidR="00262FA2">
        <w:rPr>
          <w:rFonts w:ascii="Segoe UI Light" w:hAnsi="Segoe UI Light"/>
          <w:sz w:val="16"/>
          <w:szCs w:val="18"/>
        </w:rPr>
        <w:t>MI</w:t>
      </w:r>
      <w:r w:rsidRPr="007477DF">
        <w:rPr>
          <w:rFonts w:ascii="Segoe UI Light" w:hAnsi="Segoe UI Light"/>
          <w:sz w:val="16"/>
          <w:szCs w:val="18"/>
        </w:rPr>
        <w:t xml:space="preserve"> izmantošanu cilvēku darba papildināšanai. </w:t>
      </w:r>
      <w:r w:rsidR="00262FA2">
        <w:rPr>
          <w:rFonts w:ascii="Segoe UI Light" w:hAnsi="Segoe UI Light"/>
          <w:sz w:val="16"/>
          <w:szCs w:val="18"/>
        </w:rPr>
        <w:t>MI</w:t>
      </w:r>
      <w:r w:rsidRPr="007477DF">
        <w:rPr>
          <w:rFonts w:ascii="Segoe UI Light" w:hAnsi="Segoe UI Light"/>
          <w:sz w:val="16"/>
          <w:szCs w:val="18"/>
        </w:rPr>
        <w:t xml:space="preserve"> pozitīvā ietekme uz ekonomiku būs atkarīga ne tikai no tehnoloģiju attīstības, bet arī no tā, cik veiksmīgi sabiedrība spēs pielāgoties pārejai uz MI balstītu ekonomiku</w:t>
      </w:r>
      <w:r w:rsidR="005372F2" w:rsidRPr="006E7C8A">
        <w:rPr>
          <w:rFonts w:ascii="Segoe UI Light" w:hAnsi="Segoe UI Light"/>
          <w:sz w:val="16"/>
          <w:szCs w:val="18"/>
        </w:rPr>
        <w:t>.</w:t>
      </w:r>
    </w:p>
    <w:p w14:paraId="3C69A47E" w14:textId="77777777" w:rsidR="001015C3" w:rsidRPr="00D829F0" w:rsidRDefault="001015C3" w:rsidP="001015C3">
      <w:pPr>
        <w:spacing w:after="120"/>
        <w:jc w:val="both"/>
        <w:rPr>
          <w:rFonts w:ascii="Source Sans Pro" w:hAnsi="Source Sans Pro"/>
          <w:szCs w:val="26"/>
        </w:rPr>
      </w:pPr>
      <w:r w:rsidRPr="00D829F0">
        <w:rPr>
          <w:rFonts w:ascii="Source Sans Pro" w:hAnsi="Source Sans Pro"/>
          <w:szCs w:val="26"/>
        </w:rPr>
        <w:lastRenderedPageBreak/>
        <w:t>Ņemot vērā straujo tehnoloģisko attīstību un jaunās iniciatīvas klimata politikas jomā, īpaši svarīgi ir mērķtiecīgi un efektīvi ieguldīt publiskos līdzekļus, lai īstermiņā nodrošinātu ekonomikas kapacitātes saglabāšanu, kā arī veicinātu transformācijas procesus vidējā un ilgtermiņā. Lai paātrinātu produktivitātes pieaugumu un nodrošinātu stabilu ekonomisko izaugsmi, ir būtiski ne tikai pārdomāti izmantot publisko finansējumu, bet arī sekmēt privāto investīciju pieaugumu, attīstot kreditēšanu, kapitāla tirgus un plašāku finanšu instrumentu izmantošanu.</w:t>
      </w:r>
    </w:p>
    <w:p w14:paraId="27036868" w14:textId="77777777" w:rsidR="00077B50" w:rsidRPr="00077B50" w:rsidRDefault="00077B50" w:rsidP="006B2054">
      <w:pPr>
        <w:spacing w:after="120"/>
        <w:jc w:val="both"/>
        <w:rPr>
          <w:rFonts w:ascii="Source Sans Pro" w:hAnsi="Source Sans Pro" w:cs="Calibri Light"/>
        </w:rPr>
      </w:pPr>
    </w:p>
    <w:p w14:paraId="1C93191C" w14:textId="77777777" w:rsidR="005372F2" w:rsidRPr="00B134C2" w:rsidRDefault="005372F2" w:rsidP="006B2054">
      <w:pPr>
        <w:spacing w:after="120"/>
        <w:jc w:val="both"/>
        <w:rPr>
          <w:rFonts w:ascii="Aptos Narrow" w:hAnsi="Aptos Narrow"/>
          <w:b/>
          <w:color w:val="003E4C"/>
          <w:sz w:val="28"/>
          <w:szCs w:val="28"/>
        </w:rPr>
      </w:pPr>
      <w:r w:rsidRPr="00B134C2">
        <w:rPr>
          <w:rFonts w:ascii="Aptos Narrow" w:hAnsi="Aptos Narrow"/>
          <w:b/>
          <w:color w:val="003E4C"/>
          <w:sz w:val="28"/>
          <w:szCs w:val="28"/>
        </w:rPr>
        <w:t>Nozaru attīstības tendences</w:t>
      </w:r>
    </w:p>
    <w:p w14:paraId="523710FA" w14:textId="0A2632AE" w:rsidR="009977F5" w:rsidRPr="00D829F0" w:rsidRDefault="009977F5" w:rsidP="009977F5">
      <w:pPr>
        <w:spacing w:after="120"/>
        <w:jc w:val="both"/>
        <w:rPr>
          <w:rFonts w:ascii="Source Sans Pro" w:hAnsi="Source Sans Pro" w:cs="Calibri Light"/>
        </w:rPr>
      </w:pPr>
      <w:r w:rsidRPr="00D829F0">
        <w:rPr>
          <w:rFonts w:ascii="Source Sans Pro" w:hAnsi="Source Sans Pro" w:cs="Calibri Light"/>
        </w:rPr>
        <w:t>Saskaņā ar Mērķa scenārija pieņēmumiem līdz 2040.</w:t>
      </w:r>
      <w:r w:rsidR="002E178D">
        <w:rPr>
          <w:rFonts w:ascii="Source Sans Pro" w:hAnsi="Source Sans Pro" w:cs="Calibri Light"/>
        </w:rPr>
        <w:t> </w:t>
      </w:r>
      <w:r w:rsidRPr="00D829F0">
        <w:rPr>
          <w:rFonts w:ascii="Source Sans Pro" w:hAnsi="Source Sans Pro" w:cs="Calibri Light"/>
        </w:rPr>
        <w:t>gadam tautsaimniecības struktūra pakāpeniski mainīsies, pieaugot nozaru īpatsvaram ar augstāku pievienoto vērtību. Kopumā ekonomikas transformācija būs vērsta uz komercpakalpojumu un tehnoloģiski intensīvāku nozaru attīstību, vienlaikus samazinoties vairāku tradicionālo nozaru relatīvajam īpatsvaram.</w:t>
      </w:r>
    </w:p>
    <w:p w14:paraId="25931D70" w14:textId="77777777" w:rsidR="009977F5" w:rsidRPr="00D829F0" w:rsidRDefault="009977F5" w:rsidP="009977F5">
      <w:pPr>
        <w:spacing w:after="120"/>
        <w:jc w:val="both"/>
        <w:rPr>
          <w:rFonts w:ascii="Source Sans Pro" w:hAnsi="Source Sans Pro" w:cs="Calibri Light"/>
        </w:rPr>
      </w:pPr>
      <w:r w:rsidRPr="00D829F0">
        <w:rPr>
          <w:rFonts w:ascii="Source Sans Pro" w:hAnsi="Source Sans Pro" w:cs="Calibri Light"/>
        </w:rPr>
        <w:t>No nozaru attīstības tendencēm redzams, ka ilgtermiņā pieaugs informācijas un komunikācijas pakalpojumu, apstrādes rūpniecības un būvniecības nozaru nozīme tautsaimniecībā. Savukārt salīdzinoši lēnāka dinamika vai neliels īpatsvara samazinājums varētu raksturot lauksaimniecību, transportu, finanšu pakalpojumus un atsevišķus sabiedrisko pakalpojumu sektorus.</w:t>
      </w:r>
    </w:p>
    <w:p w14:paraId="17DD2AA1" w14:textId="77777777" w:rsidR="009977F5" w:rsidRPr="00D829F0" w:rsidRDefault="009977F5" w:rsidP="009977F5">
      <w:pPr>
        <w:spacing w:after="120"/>
        <w:jc w:val="both"/>
        <w:rPr>
          <w:rFonts w:ascii="Source Sans Pro" w:hAnsi="Source Sans Pro" w:cs="Calibri Light"/>
        </w:rPr>
      </w:pPr>
      <w:r w:rsidRPr="00D829F0">
        <w:rPr>
          <w:rFonts w:ascii="Source Sans Pro" w:hAnsi="Source Sans Pro" w:cs="Calibri Light"/>
        </w:rPr>
        <w:t>Lauksaimniecības sektorā vidējā un ilgtermiņā arvien lielāka nozīme būs lielajiem un produktivitātē balstītiem uzņēmumiem, kuru izaugsmi noteiks efektivitātes kāpums, nevis resursu apjoma paplašināšana.</w:t>
      </w:r>
    </w:p>
    <w:p w14:paraId="1AB92D45" w14:textId="77777777" w:rsidR="009977F5" w:rsidRPr="00D829F0" w:rsidRDefault="009977F5" w:rsidP="009977F5">
      <w:pPr>
        <w:spacing w:after="120"/>
        <w:jc w:val="both"/>
        <w:rPr>
          <w:rFonts w:ascii="Source Sans Pro" w:hAnsi="Source Sans Pro" w:cs="Calibri Light"/>
        </w:rPr>
      </w:pPr>
      <w:r w:rsidRPr="00D829F0">
        <w:rPr>
          <w:rFonts w:ascii="Source Sans Pro" w:hAnsi="Source Sans Pro" w:cs="Calibri Light"/>
        </w:rPr>
        <w:t>Apstrādes rūpniecība saglabās vienu no straujākajiem izaugsmes tempiem tautsaimniecībā. Tomēr attīstība arvien vairāk būs balstīta nevis uz ražošanas apjomu paplašināšanu, bet uz digitalizāciju, procesu automatizāciju un modernu tehnoloģiju ieviešanu. Īpaši strauja attīstība prognozējama augsto un vidēji augsto tehnoloģiju segmentos, piemēram, elektronikas, iekārtu un transportlīdzekļu ražošanā, kā arī kokapstrādē un ķīmijas nozarē. Savukārt vairāk iekšējam tirgum orientēto nozaru attīstība būs cieši saistīta ar iekšējā pieprasījuma dinamiku.</w:t>
      </w:r>
    </w:p>
    <w:p w14:paraId="5ED8E3ED" w14:textId="77777777" w:rsidR="00077B50" w:rsidRPr="00D829F0" w:rsidRDefault="00077B50" w:rsidP="00077B50">
      <w:pPr>
        <w:spacing w:after="120"/>
        <w:jc w:val="both"/>
        <w:rPr>
          <w:rFonts w:ascii="Source Sans Pro" w:hAnsi="Source Sans Pro" w:cs="Calibri Light"/>
        </w:rPr>
      </w:pPr>
      <w:r w:rsidRPr="00D829F0">
        <w:rPr>
          <w:rFonts w:ascii="Source Sans Pro" w:hAnsi="Source Sans Pro" w:cs="Calibri Light"/>
        </w:rPr>
        <w:t>Būvniecība ilgtermiņā būs viena no dinamiskāk augošajām nozarēm, ko veicinās gan lielie infrastruktūras projekti, gan nepieciešamība atjaunot un modernizēt dzīvojamo fondu. Vienlaikus nozīmīgu pienesumu sniegs arī energoefektivitātes un klimatneitralitātes mērķi.</w:t>
      </w:r>
    </w:p>
    <w:p w14:paraId="41ACF30F" w14:textId="07A5B40C" w:rsidR="00077B50" w:rsidRPr="00D829F0" w:rsidRDefault="00077B50" w:rsidP="00077B50">
      <w:pPr>
        <w:spacing w:after="120"/>
        <w:jc w:val="both"/>
        <w:rPr>
          <w:rFonts w:ascii="Source Sans Pro" w:hAnsi="Source Sans Pro" w:cs="Calibri Light"/>
        </w:rPr>
      </w:pPr>
      <w:r w:rsidRPr="00D829F0">
        <w:rPr>
          <w:rFonts w:ascii="Source Sans Pro" w:hAnsi="Source Sans Pro" w:cs="Calibri Light"/>
        </w:rPr>
        <w:t>Informācijas un komunikācijas pakalpojumu nozare turpinās strauju izaugsmi, ko noteiks pieaugošais pieprasījums pēc digitalizācijas risinājumiem un globālās I</w:t>
      </w:r>
      <w:r w:rsidR="00964938">
        <w:rPr>
          <w:rFonts w:ascii="Source Sans Pro" w:hAnsi="Source Sans Pro" w:cs="Calibri Light"/>
        </w:rPr>
        <w:t>K</w:t>
      </w:r>
      <w:r w:rsidRPr="00D829F0">
        <w:rPr>
          <w:rFonts w:ascii="Source Sans Pro" w:hAnsi="Source Sans Pro" w:cs="Calibri Light"/>
        </w:rPr>
        <w:t>T attīstības tendences. Savukārt transports attīstīsies nevienmērīgi — tradicionālo tranzīta plūsmu samazinājumu daļēji kompensēs jaunu loģistikas ķēžu veidošanās un infrastruktūras projekti, piemēram, “Rail Baltica”.</w:t>
      </w:r>
    </w:p>
    <w:p w14:paraId="22F558DF" w14:textId="77777777" w:rsidR="00077B50" w:rsidRPr="00D829F0" w:rsidRDefault="00077B50" w:rsidP="00077B50">
      <w:pPr>
        <w:spacing w:after="120"/>
        <w:jc w:val="both"/>
        <w:rPr>
          <w:rFonts w:ascii="Source Sans Pro" w:hAnsi="Source Sans Pro" w:cs="Calibri Light"/>
        </w:rPr>
      </w:pPr>
      <w:r w:rsidRPr="00D829F0">
        <w:rPr>
          <w:rFonts w:ascii="Source Sans Pro" w:hAnsi="Source Sans Pro" w:cs="Calibri Light"/>
        </w:rPr>
        <w:t>Komercpakalpojumu un tirdzniecības nozaru attīstība būs cieši saistīta ar privātā patēriņa dinamiku, kā arī produktivitātes pieaugumu, ko veicinās automatizācijas un digitālo risinājumu plašāka ieviešana.</w:t>
      </w:r>
    </w:p>
    <w:p w14:paraId="395F355C" w14:textId="288269E3" w:rsidR="00077B50" w:rsidRPr="00D829F0" w:rsidRDefault="00077B50" w:rsidP="00077B50">
      <w:pPr>
        <w:spacing w:after="120"/>
        <w:jc w:val="both"/>
        <w:rPr>
          <w:rFonts w:ascii="Source Sans Pro" w:hAnsi="Source Sans Pro" w:cs="Calibri Light"/>
        </w:rPr>
      </w:pPr>
      <w:r w:rsidRPr="00D829F0">
        <w:rPr>
          <w:rFonts w:ascii="Source Sans Pro" w:hAnsi="Source Sans Pro" w:cs="Calibri Light"/>
        </w:rPr>
        <w:t>Vienlaikus sabiedrisko pakalpojumu nozares ilgtermiņā joprojām ietekmēs demogrāfijas tendences, kas noteiks pieprasījuma struktūru</w:t>
      </w:r>
      <w:r w:rsidR="00893F98">
        <w:rPr>
          <w:rFonts w:ascii="Source Sans Pro" w:hAnsi="Source Sans Pro" w:cs="Calibri Light"/>
        </w:rPr>
        <w:t xml:space="preserve"> un</w:t>
      </w:r>
      <w:r w:rsidRPr="00D829F0">
        <w:rPr>
          <w:rFonts w:ascii="Source Sans Pro" w:hAnsi="Source Sans Pro" w:cs="Calibri Light"/>
        </w:rPr>
        <w:t xml:space="preserve"> resursu nepieciešamību.</w:t>
      </w:r>
    </w:p>
    <w:p w14:paraId="37089214" w14:textId="77777777" w:rsidR="00077B50" w:rsidRPr="00D829F0" w:rsidRDefault="00077B50" w:rsidP="009977F5">
      <w:pPr>
        <w:spacing w:after="120"/>
        <w:jc w:val="both"/>
        <w:rPr>
          <w:rFonts w:ascii="Source Sans Pro" w:hAnsi="Source Sans Pro" w:cs="Calibri Light"/>
        </w:rPr>
      </w:pPr>
    </w:p>
    <w:p w14:paraId="48140928" w14:textId="77777777" w:rsidR="00077B50" w:rsidRDefault="00077B50">
      <w:pPr>
        <w:spacing w:after="0"/>
        <w:rPr>
          <w:rFonts w:ascii="Source Sans Pro" w:eastAsia="SimSun" w:hAnsi="Source Sans Pro" w:cs="Calibri Light"/>
          <w:szCs w:val="20"/>
          <w:lang w:eastAsia="zh-CN" w:bidi="lo-LA"/>
        </w:rPr>
      </w:pPr>
      <w:r>
        <w:rPr>
          <w:rFonts w:ascii="Source Sans Pro" w:eastAsia="SimSun" w:hAnsi="Source Sans Pro" w:cs="Calibri Light"/>
          <w:szCs w:val="20"/>
          <w:lang w:eastAsia="zh-CN" w:bidi="lo-LA"/>
        </w:rPr>
        <w:br w:type="page"/>
      </w:r>
    </w:p>
    <w:p w14:paraId="2347D583" w14:textId="2E24FA04" w:rsidR="00AE74F0" w:rsidRPr="00D829F0" w:rsidRDefault="00AE74F0" w:rsidP="006B2054">
      <w:pPr>
        <w:spacing w:after="120"/>
        <w:jc w:val="right"/>
        <w:rPr>
          <w:rFonts w:ascii="Source Sans Pro" w:hAnsi="Source Sans Pro" w:cs="Calibri Light"/>
          <w:szCs w:val="24"/>
        </w:rPr>
      </w:pPr>
      <w:r w:rsidRPr="00D829F0">
        <w:rPr>
          <w:rFonts w:ascii="Source Sans Pro" w:eastAsia="SimSun" w:hAnsi="Source Sans Pro" w:cs="Calibri Light"/>
          <w:szCs w:val="20"/>
          <w:lang w:eastAsia="zh-CN" w:bidi="lo-LA"/>
        </w:rPr>
        <w:lastRenderedPageBreak/>
        <w:t>3.2.</w:t>
      </w:r>
      <w:r w:rsidR="00893F98">
        <w:rPr>
          <w:rFonts w:ascii="Source Sans Pro" w:eastAsia="SimSun" w:hAnsi="Source Sans Pro" w:cs="Calibri Light"/>
          <w:szCs w:val="20"/>
          <w:lang w:eastAsia="zh-CN" w:bidi="lo-LA"/>
        </w:rPr>
        <w:t> </w:t>
      </w:r>
      <w:r w:rsidRPr="00D829F0">
        <w:rPr>
          <w:rFonts w:ascii="Source Sans Pro" w:eastAsia="SimSun" w:hAnsi="Source Sans Pro" w:cs="Calibri Light"/>
          <w:szCs w:val="20"/>
          <w:lang w:eastAsia="zh-CN" w:bidi="lo-LA"/>
        </w:rPr>
        <w:t>tabula</w:t>
      </w:r>
    </w:p>
    <w:p w14:paraId="15D6CEDF" w14:textId="77777777" w:rsidR="00AE74F0" w:rsidRPr="0006124F" w:rsidRDefault="00AE74F0" w:rsidP="00AE74F0">
      <w:pPr>
        <w:spacing w:after="0"/>
        <w:jc w:val="center"/>
        <w:rPr>
          <w:rFonts w:ascii="Segoe UI Light" w:hAnsi="Segoe UI Light" w:cs="Segoe UI Light"/>
          <w:b/>
          <w:sz w:val="18"/>
          <w:szCs w:val="18"/>
        </w:rPr>
      </w:pPr>
      <w:r w:rsidRPr="0006124F">
        <w:rPr>
          <w:rFonts w:ascii="Segoe UI Light" w:hAnsi="Segoe UI Light" w:cs="Segoe UI Light"/>
          <w:b/>
          <w:sz w:val="18"/>
          <w:szCs w:val="18"/>
        </w:rPr>
        <w:t>Nozaru attīstības tendences</w:t>
      </w:r>
    </w:p>
    <w:p w14:paraId="6CCAF10A" w14:textId="77777777" w:rsidR="00AE74F0" w:rsidRPr="0006124F" w:rsidRDefault="00AE74F0" w:rsidP="00927285">
      <w:pPr>
        <w:spacing w:after="120"/>
        <w:jc w:val="center"/>
        <w:rPr>
          <w:rFonts w:ascii="Segoe UI Light" w:hAnsi="Segoe UI Light" w:cs="Segoe UI Light"/>
          <w:i/>
          <w:sz w:val="16"/>
          <w:szCs w:val="20"/>
        </w:rPr>
      </w:pPr>
      <w:r w:rsidRPr="0006124F">
        <w:rPr>
          <w:rFonts w:ascii="Segoe UI Light" w:hAnsi="Segoe UI Light" w:cs="Segoe UI Light"/>
          <w:i/>
          <w:sz w:val="16"/>
          <w:szCs w:val="20"/>
        </w:rPr>
        <w:t>izmaiņas procentos</w:t>
      </w:r>
      <w:r w:rsidR="00F44E1C" w:rsidRPr="0006124F">
        <w:rPr>
          <w:rFonts w:ascii="Segoe UI Light" w:hAnsi="Segoe UI Light" w:cs="Segoe UI Light"/>
          <w:i/>
          <w:sz w:val="16"/>
          <w:szCs w:val="20"/>
        </w:rPr>
        <w:t>, vidēji gadā</w:t>
      </w:r>
    </w:p>
    <w:tbl>
      <w:tblPr>
        <w:tblStyle w:val="GridTable1Light-Accent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
        <w:gridCol w:w="4325"/>
        <w:gridCol w:w="1007"/>
        <w:gridCol w:w="1011"/>
        <w:gridCol w:w="1027"/>
        <w:gridCol w:w="1003"/>
      </w:tblGrid>
      <w:tr w:rsidR="00D502E2" w:rsidRPr="00D829F0" w14:paraId="2EB7BC33" w14:textId="77777777" w:rsidTr="00077B5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5" w:type="pct"/>
            <w:shd w:val="clear" w:color="auto" w:fill="006666"/>
            <w:vAlign w:val="center"/>
          </w:tcPr>
          <w:p w14:paraId="408DF708" w14:textId="77777777" w:rsidR="00D502E2" w:rsidRPr="00EF7F3C" w:rsidRDefault="00D502E2">
            <w:pPr>
              <w:spacing w:before="40" w:after="40"/>
              <w:jc w:val="center"/>
              <w:rPr>
                <w:rFonts w:ascii="Segoe UI Light" w:eastAsia="Times New Roman" w:hAnsi="Segoe UI Light" w:cs="Segoe UI Light"/>
                <w:b w:val="0"/>
                <w:color w:val="FFFFFF" w:themeColor="background1"/>
                <w:sz w:val="16"/>
                <w:szCs w:val="16"/>
                <w:highlight w:val="yellow"/>
                <w:lang w:eastAsia="lv-LV"/>
              </w:rPr>
            </w:pPr>
          </w:p>
        </w:tc>
        <w:tc>
          <w:tcPr>
            <w:tcW w:w="2384" w:type="pct"/>
            <w:shd w:val="clear" w:color="auto" w:fill="006666"/>
            <w:vAlign w:val="center"/>
          </w:tcPr>
          <w:p w14:paraId="214AC50D" w14:textId="77777777" w:rsidR="00D502E2" w:rsidRPr="001D0407" w:rsidRDefault="00D502E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p>
        </w:tc>
        <w:tc>
          <w:tcPr>
            <w:tcW w:w="555" w:type="pct"/>
            <w:shd w:val="clear" w:color="auto" w:fill="006666"/>
            <w:noWrap/>
            <w:vAlign w:val="center"/>
            <w:hideMark/>
          </w:tcPr>
          <w:p w14:paraId="4C7640B7" w14:textId="77777777" w:rsidR="00D502E2" w:rsidRPr="001D0407" w:rsidRDefault="00D502E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r w:rsidRPr="001D0407">
              <w:rPr>
                <w:rFonts w:ascii="Segoe UI Light" w:eastAsia="Times New Roman" w:hAnsi="Segoe UI Light" w:cs="Segoe UI Light"/>
                <w:color w:val="FFFFFF" w:themeColor="background1"/>
                <w:sz w:val="16"/>
                <w:szCs w:val="16"/>
                <w:lang w:eastAsia="lv-LV"/>
              </w:rPr>
              <w:t>2011-2019</w:t>
            </w:r>
          </w:p>
        </w:tc>
        <w:tc>
          <w:tcPr>
            <w:tcW w:w="557" w:type="pct"/>
            <w:shd w:val="clear" w:color="auto" w:fill="006666"/>
            <w:noWrap/>
            <w:vAlign w:val="center"/>
            <w:hideMark/>
          </w:tcPr>
          <w:p w14:paraId="6F9D80C6" w14:textId="77777777" w:rsidR="00D502E2" w:rsidRPr="001D0407" w:rsidRDefault="00D502E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r w:rsidRPr="001D0407">
              <w:rPr>
                <w:rFonts w:ascii="Segoe UI Light" w:eastAsia="Times New Roman" w:hAnsi="Segoe UI Light" w:cs="Segoe UI Light"/>
                <w:color w:val="FFFFFF" w:themeColor="background1"/>
                <w:sz w:val="16"/>
                <w:szCs w:val="16"/>
                <w:lang w:eastAsia="lv-LV"/>
              </w:rPr>
              <w:t>20</w:t>
            </w:r>
            <w:r>
              <w:rPr>
                <w:rFonts w:ascii="Segoe UI Light" w:eastAsia="Times New Roman" w:hAnsi="Segoe UI Light" w:cs="Segoe UI Light"/>
                <w:color w:val="FFFFFF" w:themeColor="background1"/>
                <w:sz w:val="16"/>
                <w:szCs w:val="16"/>
                <w:lang w:eastAsia="lv-LV"/>
              </w:rPr>
              <w:t>19</w:t>
            </w:r>
            <w:r w:rsidRPr="001D0407">
              <w:rPr>
                <w:rFonts w:ascii="Segoe UI Light" w:eastAsia="Times New Roman" w:hAnsi="Segoe UI Light" w:cs="Segoe UI Light"/>
                <w:color w:val="FFFFFF" w:themeColor="background1"/>
                <w:sz w:val="16"/>
                <w:szCs w:val="16"/>
                <w:lang w:eastAsia="lv-LV"/>
              </w:rPr>
              <w:t>-202</w:t>
            </w:r>
            <w:r>
              <w:rPr>
                <w:rFonts w:ascii="Segoe UI Light" w:eastAsia="Times New Roman" w:hAnsi="Segoe UI Light" w:cs="Segoe UI Light"/>
                <w:color w:val="FFFFFF" w:themeColor="background1"/>
                <w:sz w:val="16"/>
                <w:szCs w:val="16"/>
                <w:lang w:eastAsia="lv-LV"/>
              </w:rPr>
              <w:t>4</w:t>
            </w:r>
          </w:p>
        </w:tc>
        <w:tc>
          <w:tcPr>
            <w:tcW w:w="566" w:type="pct"/>
            <w:shd w:val="clear" w:color="auto" w:fill="006666"/>
            <w:noWrap/>
            <w:vAlign w:val="center"/>
            <w:hideMark/>
          </w:tcPr>
          <w:p w14:paraId="08621309" w14:textId="77777777" w:rsidR="00D502E2" w:rsidRPr="001D0407" w:rsidRDefault="00D502E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r w:rsidRPr="001D0407">
              <w:rPr>
                <w:rFonts w:ascii="Segoe UI Light" w:eastAsia="Times New Roman" w:hAnsi="Segoe UI Light" w:cs="Segoe UI Light"/>
                <w:color w:val="FFFFFF" w:themeColor="background1"/>
                <w:sz w:val="16"/>
                <w:szCs w:val="16"/>
                <w:lang w:eastAsia="lv-LV"/>
              </w:rPr>
              <w:t>202</w:t>
            </w:r>
            <w:r>
              <w:rPr>
                <w:rFonts w:ascii="Segoe UI Light" w:eastAsia="Times New Roman" w:hAnsi="Segoe UI Light" w:cs="Segoe UI Light"/>
                <w:color w:val="FFFFFF" w:themeColor="background1"/>
                <w:sz w:val="16"/>
                <w:szCs w:val="16"/>
                <w:lang w:eastAsia="lv-LV"/>
              </w:rPr>
              <w:t>5</w:t>
            </w:r>
            <w:r w:rsidRPr="001D0407">
              <w:rPr>
                <w:rFonts w:ascii="Segoe UI Light" w:eastAsia="Times New Roman" w:hAnsi="Segoe UI Light" w:cs="Segoe UI Light"/>
                <w:color w:val="FFFFFF" w:themeColor="background1"/>
                <w:sz w:val="16"/>
                <w:szCs w:val="16"/>
                <w:lang w:eastAsia="lv-LV"/>
              </w:rPr>
              <w:t>-2030</w:t>
            </w:r>
          </w:p>
        </w:tc>
        <w:tc>
          <w:tcPr>
            <w:tcW w:w="553" w:type="pct"/>
            <w:shd w:val="clear" w:color="auto" w:fill="006666"/>
            <w:noWrap/>
            <w:vAlign w:val="center"/>
            <w:hideMark/>
          </w:tcPr>
          <w:p w14:paraId="3580F159" w14:textId="77777777" w:rsidR="00D502E2" w:rsidRPr="001D0407" w:rsidRDefault="00D502E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r w:rsidRPr="001D0407">
              <w:rPr>
                <w:rFonts w:ascii="Segoe UI Light" w:eastAsia="Times New Roman" w:hAnsi="Segoe UI Light" w:cs="Segoe UI Light"/>
                <w:color w:val="FFFFFF" w:themeColor="background1"/>
                <w:sz w:val="16"/>
                <w:szCs w:val="16"/>
                <w:lang w:eastAsia="lv-LV"/>
              </w:rPr>
              <w:t>2031-2040</w:t>
            </w:r>
          </w:p>
        </w:tc>
      </w:tr>
      <w:tr w:rsidR="00D502E2" w:rsidRPr="00D829F0" w14:paraId="1F1900F5" w14:textId="77777777" w:rsidTr="00077B50">
        <w:trPr>
          <w:trHeight w:val="270"/>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59BBB456" w14:textId="77777777" w:rsidR="00D502E2" w:rsidRPr="00EF7F3C" w:rsidRDefault="00D502E2">
            <w:pPr>
              <w:spacing w:before="40" w:after="40"/>
              <w:jc w:val="center"/>
              <w:rPr>
                <w:rFonts w:ascii="Segoe UI Light" w:eastAsia="Times New Roman" w:hAnsi="Segoe UI Light" w:cs="Segoe UI Light"/>
                <w:b w:val="0"/>
                <w:color w:val="000000"/>
                <w:sz w:val="16"/>
                <w:szCs w:val="16"/>
                <w:highlight w:val="yellow"/>
                <w:lang w:eastAsia="lv-LV"/>
              </w:rPr>
            </w:pPr>
          </w:p>
        </w:tc>
        <w:tc>
          <w:tcPr>
            <w:tcW w:w="2384" w:type="pct"/>
            <w:shd w:val="clear" w:color="auto" w:fill="DCE7EB"/>
          </w:tcPr>
          <w:p w14:paraId="11022FD8" w14:textId="77777777" w:rsidR="00D502E2" w:rsidRPr="00EF7F3C"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highlight w:val="yellow"/>
                <w:lang w:eastAsia="lv-LV"/>
              </w:rPr>
            </w:pPr>
          </w:p>
        </w:tc>
        <w:tc>
          <w:tcPr>
            <w:tcW w:w="1112" w:type="pct"/>
            <w:gridSpan w:val="2"/>
            <w:shd w:val="clear" w:color="auto" w:fill="DCE7EB"/>
            <w:noWrap/>
          </w:tcPr>
          <w:p w14:paraId="1BF23AD3" w14:textId="77777777" w:rsidR="00D502E2" w:rsidRPr="0036740D"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Fakts</w:t>
            </w:r>
          </w:p>
        </w:tc>
        <w:tc>
          <w:tcPr>
            <w:tcW w:w="1119" w:type="pct"/>
            <w:gridSpan w:val="2"/>
            <w:shd w:val="clear" w:color="auto" w:fill="DCE7EB"/>
            <w:noWrap/>
          </w:tcPr>
          <w:p w14:paraId="36C783D3" w14:textId="77777777" w:rsidR="00D502E2" w:rsidRPr="0036740D"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Prognoze</w:t>
            </w:r>
          </w:p>
        </w:tc>
      </w:tr>
      <w:tr w:rsidR="00D502E2" w:rsidRPr="00D829F0" w14:paraId="2DE549A9"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1D467F89"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A</w:t>
            </w:r>
          </w:p>
        </w:tc>
        <w:tc>
          <w:tcPr>
            <w:tcW w:w="2384" w:type="pct"/>
          </w:tcPr>
          <w:p w14:paraId="34977E04"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Lauksaimniecība, mežsaimniecība, zvejniecība</w:t>
            </w:r>
          </w:p>
        </w:tc>
        <w:tc>
          <w:tcPr>
            <w:tcW w:w="555" w:type="pct"/>
            <w:noWrap/>
            <w:vAlign w:val="bottom"/>
            <w:hideMark/>
          </w:tcPr>
          <w:p w14:paraId="32CA31BA" w14:textId="77777777" w:rsidR="00D502E2" w:rsidRPr="00E31A7B"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eastAsia="lv-LV"/>
              </w:rPr>
            </w:pPr>
            <w:r w:rsidRPr="00E31A7B">
              <w:rPr>
                <w:rFonts w:ascii="Segoe UI Light" w:hAnsi="Segoe UI Light" w:cs="Segoe UI Light"/>
                <w:color w:val="000000"/>
                <w:sz w:val="16"/>
                <w:szCs w:val="16"/>
              </w:rPr>
              <w:t>3</w:t>
            </w:r>
            <w:r>
              <w:rPr>
                <w:rFonts w:ascii="Segoe UI Light" w:hAnsi="Segoe UI Light" w:cs="Segoe UI Light"/>
                <w:color w:val="000000"/>
                <w:sz w:val="16"/>
                <w:szCs w:val="16"/>
              </w:rPr>
              <w:t>,</w:t>
            </w:r>
            <w:r w:rsidRPr="00E31A7B">
              <w:rPr>
                <w:rFonts w:ascii="Segoe UI Light" w:hAnsi="Segoe UI Light" w:cs="Segoe UI Light"/>
                <w:color w:val="000000"/>
                <w:sz w:val="16"/>
                <w:szCs w:val="16"/>
              </w:rPr>
              <w:t>3</w:t>
            </w:r>
          </w:p>
        </w:tc>
        <w:tc>
          <w:tcPr>
            <w:tcW w:w="557" w:type="pct"/>
            <w:noWrap/>
            <w:vAlign w:val="bottom"/>
            <w:hideMark/>
          </w:tcPr>
          <w:p w14:paraId="11E270FC"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66" w:type="pct"/>
            <w:noWrap/>
            <w:vAlign w:val="bottom"/>
            <w:hideMark/>
          </w:tcPr>
          <w:p w14:paraId="371520CE"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2</w:t>
            </w:r>
          </w:p>
        </w:tc>
        <w:tc>
          <w:tcPr>
            <w:tcW w:w="553" w:type="pct"/>
            <w:noWrap/>
            <w:vAlign w:val="bottom"/>
            <w:hideMark/>
          </w:tcPr>
          <w:p w14:paraId="40984D96"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1</w:t>
            </w:r>
          </w:p>
        </w:tc>
      </w:tr>
      <w:tr w:rsidR="00D502E2" w:rsidRPr="00D829F0" w14:paraId="26A97AEE"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5047ADE3"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BDE</w:t>
            </w:r>
          </w:p>
        </w:tc>
        <w:tc>
          <w:tcPr>
            <w:tcW w:w="2384" w:type="pct"/>
            <w:shd w:val="clear" w:color="auto" w:fill="DCE7EB"/>
          </w:tcPr>
          <w:p w14:paraId="68E6C0F8"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Pārējā rūpniecība</w:t>
            </w:r>
          </w:p>
        </w:tc>
        <w:tc>
          <w:tcPr>
            <w:tcW w:w="555" w:type="pct"/>
            <w:shd w:val="clear" w:color="auto" w:fill="DCE7EB"/>
            <w:noWrap/>
            <w:vAlign w:val="bottom"/>
            <w:hideMark/>
          </w:tcPr>
          <w:p w14:paraId="7785CC52" w14:textId="77777777" w:rsidR="00D502E2" w:rsidRPr="00E31A7B"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eastAsia="lv-LV"/>
              </w:rPr>
            </w:pPr>
            <w:r w:rsidRPr="00E31A7B">
              <w:rPr>
                <w:rFonts w:ascii="Segoe UI Light" w:hAnsi="Segoe UI Light" w:cs="Segoe UI Light"/>
                <w:color w:val="000000"/>
                <w:sz w:val="16"/>
                <w:szCs w:val="16"/>
              </w:rPr>
              <w:t>-4</w:t>
            </w:r>
            <w:r>
              <w:rPr>
                <w:rFonts w:ascii="Segoe UI Light" w:hAnsi="Segoe UI Light" w:cs="Segoe UI Light"/>
                <w:color w:val="000000"/>
                <w:sz w:val="16"/>
                <w:szCs w:val="16"/>
              </w:rPr>
              <w:t>,</w:t>
            </w:r>
            <w:r w:rsidRPr="00E31A7B">
              <w:rPr>
                <w:rFonts w:ascii="Segoe UI Light" w:hAnsi="Segoe UI Light" w:cs="Segoe UI Light"/>
                <w:color w:val="000000"/>
                <w:sz w:val="16"/>
                <w:szCs w:val="16"/>
              </w:rPr>
              <w:t>0</w:t>
            </w:r>
          </w:p>
        </w:tc>
        <w:tc>
          <w:tcPr>
            <w:tcW w:w="557" w:type="pct"/>
            <w:shd w:val="clear" w:color="auto" w:fill="DCE7EB"/>
            <w:noWrap/>
            <w:vAlign w:val="bottom"/>
            <w:hideMark/>
          </w:tcPr>
          <w:p w14:paraId="62FC6B03"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4</w:t>
            </w:r>
          </w:p>
        </w:tc>
        <w:tc>
          <w:tcPr>
            <w:tcW w:w="566" w:type="pct"/>
            <w:shd w:val="clear" w:color="auto" w:fill="DCE7EB"/>
            <w:noWrap/>
            <w:vAlign w:val="bottom"/>
            <w:hideMark/>
          </w:tcPr>
          <w:p w14:paraId="08A22A6F"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9</w:t>
            </w:r>
          </w:p>
        </w:tc>
        <w:tc>
          <w:tcPr>
            <w:tcW w:w="553" w:type="pct"/>
            <w:shd w:val="clear" w:color="auto" w:fill="DCE7EB"/>
            <w:noWrap/>
            <w:vAlign w:val="bottom"/>
            <w:hideMark/>
          </w:tcPr>
          <w:p w14:paraId="50429DB8"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2</w:t>
            </w:r>
          </w:p>
        </w:tc>
      </w:tr>
      <w:tr w:rsidR="00D502E2" w:rsidRPr="00D829F0" w14:paraId="35F11E61"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4EDDC331"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B</w:t>
            </w:r>
          </w:p>
        </w:tc>
        <w:tc>
          <w:tcPr>
            <w:tcW w:w="2384" w:type="pct"/>
          </w:tcPr>
          <w:p w14:paraId="2C961AA0"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Ieguves rūpniecība</w:t>
            </w:r>
          </w:p>
        </w:tc>
        <w:tc>
          <w:tcPr>
            <w:tcW w:w="555" w:type="pct"/>
            <w:noWrap/>
            <w:vAlign w:val="bottom"/>
            <w:hideMark/>
          </w:tcPr>
          <w:p w14:paraId="15882E37" w14:textId="77777777" w:rsidR="00D502E2" w:rsidRPr="00E31A7B"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eastAsia="lv-LV"/>
              </w:rPr>
            </w:pPr>
            <w:r w:rsidRPr="00E31A7B">
              <w:rPr>
                <w:rFonts w:ascii="Segoe UI Light" w:hAnsi="Segoe UI Light" w:cs="Segoe UI Light"/>
                <w:color w:val="000000"/>
                <w:sz w:val="16"/>
                <w:szCs w:val="16"/>
              </w:rPr>
              <w:t>1</w:t>
            </w:r>
            <w:r>
              <w:rPr>
                <w:rFonts w:ascii="Segoe UI Light" w:hAnsi="Segoe UI Light" w:cs="Segoe UI Light"/>
                <w:color w:val="000000"/>
                <w:sz w:val="16"/>
                <w:szCs w:val="16"/>
              </w:rPr>
              <w:t>,</w:t>
            </w:r>
            <w:r w:rsidRPr="00E31A7B">
              <w:rPr>
                <w:rFonts w:ascii="Segoe UI Light" w:hAnsi="Segoe UI Light" w:cs="Segoe UI Light"/>
                <w:color w:val="000000"/>
                <w:sz w:val="16"/>
                <w:szCs w:val="16"/>
              </w:rPr>
              <w:t>3</w:t>
            </w:r>
          </w:p>
        </w:tc>
        <w:tc>
          <w:tcPr>
            <w:tcW w:w="557" w:type="pct"/>
            <w:noWrap/>
            <w:vAlign w:val="bottom"/>
            <w:hideMark/>
          </w:tcPr>
          <w:p w14:paraId="2461AF67"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8</w:t>
            </w:r>
          </w:p>
        </w:tc>
        <w:tc>
          <w:tcPr>
            <w:tcW w:w="566" w:type="pct"/>
            <w:noWrap/>
            <w:vAlign w:val="bottom"/>
            <w:hideMark/>
          </w:tcPr>
          <w:p w14:paraId="5292B777"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1</w:t>
            </w:r>
            <w:r>
              <w:rPr>
                <w:rFonts w:ascii="Segoe UI Light" w:hAnsi="Segoe UI Light" w:cs="Segoe UI Light"/>
                <w:color w:val="000000"/>
                <w:sz w:val="16"/>
                <w:szCs w:val="16"/>
              </w:rPr>
              <w:t>,</w:t>
            </w:r>
            <w:r w:rsidRPr="000E09C2">
              <w:rPr>
                <w:rFonts w:ascii="Segoe UI Light" w:hAnsi="Segoe UI Light" w:cs="Segoe UI Light"/>
                <w:color w:val="000000"/>
                <w:sz w:val="16"/>
                <w:szCs w:val="16"/>
              </w:rPr>
              <w:t>2</w:t>
            </w:r>
          </w:p>
        </w:tc>
        <w:tc>
          <w:tcPr>
            <w:tcW w:w="553" w:type="pct"/>
            <w:noWrap/>
            <w:vAlign w:val="bottom"/>
            <w:hideMark/>
          </w:tcPr>
          <w:p w14:paraId="61954125"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1</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r>
      <w:tr w:rsidR="00D502E2" w:rsidRPr="00D829F0" w14:paraId="465FE37A"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7E274554"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D</w:t>
            </w:r>
          </w:p>
        </w:tc>
        <w:tc>
          <w:tcPr>
            <w:tcW w:w="2384" w:type="pct"/>
            <w:shd w:val="clear" w:color="auto" w:fill="DCE7EB"/>
          </w:tcPr>
          <w:p w14:paraId="439B9C67"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Elektroenerģija, gāze, siltumapgāde</w:t>
            </w:r>
          </w:p>
        </w:tc>
        <w:tc>
          <w:tcPr>
            <w:tcW w:w="555" w:type="pct"/>
            <w:shd w:val="clear" w:color="auto" w:fill="DCE7EB"/>
            <w:noWrap/>
            <w:vAlign w:val="bottom"/>
            <w:hideMark/>
          </w:tcPr>
          <w:p w14:paraId="43CC030B" w14:textId="77777777" w:rsidR="00D502E2" w:rsidRPr="00E31A7B"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eastAsia="lv-LV"/>
              </w:rPr>
            </w:pPr>
            <w:r w:rsidRPr="00E31A7B">
              <w:rPr>
                <w:rFonts w:ascii="Segoe UI Light" w:hAnsi="Segoe UI Light" w:cs="Segoe UI Light"/>
                <w:color w:val="000000"/>
                <w:sz w:val="16"/>
                <w:szCs w:val="16"/>
              </w:rPr>
              <w:t>-7</w:t>
            </w:r>
            <w:r>
              <w:rPr>
                <w:rFonts w:ascii="Segoe UI Light" w:hAnsi="Segoe UI Light" w:cs="Segoe UI Light"/>
                <w:color w:val="000000"/>
                <w:sz w:val="16"/>
                <w:szCs w:val="16"/>
              </w:rPr>
              <w:t>,</w:t>
            </w:r>
            <w:r w:rsidRPr="00E31A7B">
              <w:rPr>
                <w:rFonts w:ascii="Segoe UI Light" w:hAnsi="Segoe UI Light" w:cs="Segoe UI Light"/>
                <w:color w:val="000000"/>
                <w:sz w:val="16"/>
                <w:szCs w:val="16"/>
              </w:rPr>
              <w:t>1</w:t>
            </w:r>
          </w:p>
        </w:tc>
        <w:tc>
          <w:tcPr>
            <w:tcW w:w="557" w:type="pct"/>
            <w:shd w:val="clear" w:color="auto" w:fill="DCE7EB"/>
            <w:noWrap/>
            <w:vAlign w:val="bottom"/>
            <w:hideMark/>
          </w:tcPr>
          <w:p w14:paraId="049D9EDB"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9</w:t>
            </w:r>
          </w:p>
        </w:tc>
        <w:tc>
          <w:tcPr>
            <w:tcW w:w="566" w:type="pct"/>
            <w:shd w:val="clear" w:color="auto" w:fill="DCE7EB"/>
            <w:noWrap/>
            <w:vAlign w:val="bottom"/>
            <w:hideMark/>
          </w:tcPr>
          <w:p w14:paraId="2DE3F394"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4</w:t>
            </w:r>
          </w:p>
        </w:tc>
        <w:tc>
          <w:tcPr>
            <w:tcW w:w="553" w:type="pct"/>
            <w:shd w:val="clear" w:color="auto" w:fill="DCE7EB"/>
            <w:noWrap/>
            <w:vAlign w:val="bottom"/>
            <w:hideMark/>
          </w:tcPr>
          <w:p w14:paraId="1D043B33"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r>
      <w:tr w:rsidR="00D502E2" w:rsidRPr="00D829F0" w14:paraId="44B42A5A"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67A691E4"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E</w:t>
            </w:r>
          </w:p>
        </w:tc>
        <w:tc>
          <w:tcPr>
            <w:tcW w:w="2384" w:type="pct"/>
          </w:tcPr>
          <w:p w14:paraId="7C37B81C"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Ūdens apgāde, notekūdeņu, atkritumu apsaimniekošana</w:t>
            </w:r>
          </w:p>
        </w:tc>
        <w:tc>
          <w:tcPr>
            <w:tcW w:w="555" w:type="pct"/>
            <w:noWrap/>
            <w:vAlign w:val="bottom"/>
            <w:hideMark/>
          </w:tcPr>
          <w:p w14:paraId="009EF3AD" w14:textId="77777777" w:rsidR="00D502E2" w:rsidRPr="00E31A7B"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eastAsia="lv-LV"/>
              </w:rPr>
            </w:pPr>
            <w:r w:rsidRPr="00E31A7B">
              <w:rPr>
                <w:rFonts w:ascii="Segoe UI Light" w:hAnsi="Segoe UI Light" w:cs="Segoe UI Light"/>
                <w:color w:val="000000"/>
                <w:sz w:val="16"/>
                <w:szCs w:val="16"/>
              </w:rPr>
              <w:t>1</w:t>
            </w:r>
            <w:r>
              <w:rPr>
                <w:rFonts w:ascii="Segoe UI Light" w:hAnsi="Segoe UI Light" w:cs="Segoe UI Light"/>
                <w:color w:val="000000"/>
                <w:sz w:val="16"/>
                <w:szCs w:val="16"/>
              </w:rPr>
              <w:t>,</w:t>
            </w:r>
            <w:r w:rsidRPr="00E31A7B">
              <w:rPr>
                <w:rFonts w:ascii="Segoe UI Light" w:hAnsi="Segoe UI Light" w:cs="Segoe UI Light"/>
                <w:color w:val="000000"/>
                <w:sz w:val="16"/>
                <w:szCs w:val="16"/>
              </w:rPr>
              <w:t>0</w:t>
            </w:r>
          </w:p>
        </w:tc>
        <w:tc>
          <w:tcPr>
            <w:tcW w:w="557" w:type="pct"/>
            <w:noWrap/>
            <w:vAlign w:val="bottom"/>
            <w:hideMark/>
          </w:tcPr>
          <w:p w14:paraId="6CF6DDBB"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-6</w:t>
            </w:r>
            <w:r>
              <w:rPr>
                <w:rFonts w:ascii="Segoe UI Light" w:hAnsi="Segoe UI Light" w:cs="Segoe UI Light"/>
                <w:color w:val="000000"/>
                <w:sz w:val="16"/>
                <w:szCs w:val="16"/>
              </w:rPr>
              <w:t>,</w:t>
            </w:r>
            <w:r w:rsidRPr="000E09C2">
              <w:rPr>
                <w:rFonts w:ascii="Segoe UI Light" w:hAnsi="Segoe UI Light" w:cs="Segoe UI Light"/>
                <w:color w:val="000000"/>
                <w:sz w:val="16"/>
                <w:szCs w:val="16"/>
              </w:rPr>
              <w:t>6</w:t>
            </w:r>
          </w:p>
        </w:tc>
        <w:tc>
          <w:tcPr>
            <w:tcW w:w="566" w:type="pct"/>
            <w:noWrap/>
            <w:vAlign w:val="bottom"/>
            <w:hideMark/>
          </w:tcPr>
          <w:p w14:paraId="55A53D61"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1</w:t>
            </w:r>
          </w:p>
        </w:tc>
        <w:tc>
          <w:tcPr>
            <w:tcW w:w="553" w:type="pct"/>
            <w:noWrap/>
            <w:vAlign w:val="bottom"/>
            <w:hideMark/>
          </w:tcPr>
          <w:p w14:paraId="3F308D94"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8</w:t>
            </w:r>
          </w:p>
        </w:tc>
      </w:tr>
      <w:tr w:rsidR="00D502E2" w:rsidRPr="00D829F0" w14:paraId="27FC90D5"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4EC99264"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C</w:t>
            </w:r>
          </w:p>
        </w:tc>
        <w:tc>
          <w:tcPr>
            <w:tcW w:w="2384" w:type="pct"/>
            <w:shd w:val="clear" w:color="auto" w:fill="DCE7EB"/>
          </w:tcPr>
          <w:p w14:paraId="2601DC0C"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Apstrādes rūpniecība</w:t>
            </w:r>
          </w:p>
        </w:tc>
        <w:tc>
          <w:tcPr>
            <w:tcW w:w="555" w:type="pct"/>
            <w:shd w:val="clear" w:color="auto" w:fill="DCE7EB"/>
            <w:noWrap/>
            <w:vAlign w:val="bottom"/>
            <w:hideMark/>
          </w:tcPr>
          <w:p w14:paraId="30638A68" w14:textId="77777777" w:rsidR="00D502E2" w:rsidRPr="00E31A7B"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highlight w:val="yellow"/>
                <w:lang w:eastAsia="lv-LV"/>
              </w:rPr>
            </w:pPr>
            <w:r w:rsidRPr="00E31A7B">
              <w:rPr>
                <w:rFonts w:ascii="Segoe UI Light" w:hAnsi="Segoe UI Light" w:cs="Segoe UI Light"/>
                <w:color w:val="000000"/>
                <w:sz w:val="16"/>
                <w:szCs w:val="16"/>
              </w:rPr>
              <w:t>2</w:t>
            </w:r>
            <w:r>
              <w:rPr>
                <w:rFonts w:ascii="Segoe UI Light" w:hAnsi="Segoe UI Light" w:cs="Segoe UI Light"/>
                <w:color w:val="000000"/>
                <w:sz w:val="16"/>
                <w:szCs w:val="16"/>
              </w:rPr>
              <w:t>,</w:t>
            </w:r>
            <w:r w:rsidRPr="00E31A7B">
              <w:rPr>
                <w:rFonts w:ascii="Segoe UI Light" w:hAnsi="Segoe UI Light" w:cs="Segoe UI Light"/>
                <w:color w:val="000000"/>
                <w:sz w:val="16"/>
                <w:szCs w:val="16"/>
              </w:rPr>
              <w:t>9</w:t>
            </w:r>
          </w:p>
        </w:tc>
        <w:tc>
          <w:tcPr>
            <w:tcW w:w="557" w:type="pct"/>
            <w:shd w:val="clear" w:color="auto" w:fill="DCE7EB"/>
            <w:noWrap/>
            <w:vAlign w:val="bottom"/>
            <w:hideMark/>
          </w:tcPr>
          <w:p w14:paraId="75C18DA5"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Pr>
                <w:rFonts w:ascii="Segoe UI Light" w:hAnsi="Segoe UI Light" w:cs="Segoe UI Light"/>
                <w:color w:val="000000"/>
                <w:sz w:val="16"/>
                <w:szCs w:val="16"/>
              </w:rPr>
              <w:t>-0,7</w:t>
            </w:r>
          </w:p>
        </w:tc>
        <w:tc>
          <w:tcPr>
            <w:tcW w:w="566" w:type="pct"/>
            <w:shd w:val="clear" w:color="auto" w:fill="DCE7EB"/>
            <w:noWrap/>
            <w:vAlign w:val="bottom"/>
            <w:hideMark/>
          </w:tcPr>
          <w:p w14:paraId="1D63F94A"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5</w:t>
            </w:r>
            <w:r>
              <w:rPr>
                <w:rFonts w:ascii="Segoe UI Light" w:hAnsi="Segoe UI Light" w:cs="Segoe UI Light"/>
                <w:color w:val="000000"/>
                <w:sz w:val="16"/>
                <w:szCs w:val="16"/>
              </w:rPr>
              <w:t>,</w:t>
            </w:r>
            <w:r w:rsidRPr="000E09C2">
              <w:rPr>
                <w:rFonts w:ascii="Segoe UI Light" w:hAnsi="Segoe UI Light" w:cs="Segoe UI Light"/>
                <w:color w:val="000000"/>
                <w:sz w:val="16"/>
                <w:szCs w:val="16"/>
              </w:rPr>
              <w:t>6</w:t>
            </w:r>
          </w:p>
        </w:tc>
        <w:tc>
          <w:tcPr>
            <w:tcW w:w="553" w:type="pct"/>
            <w:shd w:val="clear" w:color="auto" w:fill="DCE7EB"/>
            <w:noWrap/>
            <w:vAlign w:val="bottom"/>
            <w:hideMark/>
          </w:tcPr>
          <w:p w14:paraId="1F5F5996"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7</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r>
      <w:tr w:rsidR="00D502E2" w:rsidRPr="00D829F0" w14:paraId="00656A87"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1F4CFDD8"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c10-12</w:t>
            </w:r>
          </w:p>
        </w:tc>
        <w:tc>
          <w:tcPr>
            <w:tcW w:w="2384" w:type="pct"/>
          </w:tcPr>
          <w:p w14:paraId="67B2FF5D"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Pārtika, dzērieni</w:t>
            </w:r>
          </w:p>
        </w:tc>
        <w:tc>
          <w:tcPr>
            <w:tcW w:w="555" w:type="pct"/>
            <w:noWrap/>
            <w:vAlign w:val="bottom"/>
            <w:hideMark/>
          </w:tcPr>
          <w:p w14:paraId="58FB7FF4"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-0,6</w:t>
            </w:r>
          </w:p>
        </w:tc>
        <w:tc>
          <w:tcPr>
            <w:tcW w:w="557" w:type="pct"/>
            <w:noWrap/>
            <w:vAlign w:val="bottom"/>
            <w:hideMark/>
          </w:tcPr>
          <w:p w14:paraId="4368A66E"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-0</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8</w:t>
            </w:r>
          </w:p>
        </w:tc>
        <w:tc>
          <w:tcPr>
            <w:tcW w:w="566" w:type="pct"/>
            <w:noWrap/>
            <w:vAlign w:val="bottom"/>
            <w:hideMark/>
          </w:tcPr>
          <w:p w14:paraId="20C5AE4B"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5</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9</w:t>
            </w:r>
          </w:p>
        </w:tc>
        <w:tc>
          <w:tcPr>
            <w:tcW w:w="553" w:type="pct"/>
            <w:noWrap/>
            <w:vAlign w:val="bottom"/>
            <w:hideMark/>
          </w:tcPr>
          <w:p w14:paraId="5ABC2F0A"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7</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5</w:t>
            </w:r>
          </w:p>
        </w:tc>
      </w:tr>
      <w:tr w:rsidR="00D502E2" w:rsidRPr="00D829F0" w14:paraId="2545612E"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4DB472FE"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c13-15</w:t>
            </w:r>
          </w:p>
        </w:tc>
        <w:tc>
          <w:tcPr>
            <w:tcW w:w="2384" w:type="pct"/>
            <w:shd w:val="clear" w:color="auto" w:fill="DCE7EB"/>
          </w:tcPr>
          <w:p w14:paraId="1EAC4BB9"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Vieglā rūpniecība</w:t>
            </w:r>
          </w:p>
        </w:tc>
        <w:tc>
          <w:tcPr>
            <w:tcW w:w="555" w:type="pct"/>
            <w:shd w:val="clear" w:color="auto" w:fill="DCE7EB"/>
            <w:noWrap/>
            <w:vAlign w:val="bottom"/>
            <w:hideMark/>
          </w:tcPr>
          <w:p w14:paraId="52E1CB14"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-1,0</w:t>
            </w:r>
          </w:p>
        </w:tc>
        <w:tc>
          <w:tcPr>
            <w:tcW w:w="557" w:type="pct"/>
            <w:shd w:val="clear" w:color="auto" w:fill="DCE7EB"/>
            <w:noWrap/>
            <w:vAlign w:val="bottom"/>
            <w:hideMark/>
          </w:tcPr>
          <w:p w14:paraId="3B38940F"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-1</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3</w:t>
            </w:r>
          </w:p>
        </w:tc>
        <w:tc>
          <w:tcPr>
            <w:tcW w:w="566" w:type="pct"/>
            <w:shd w:val="clear" w:color="auto" w:fill="DCE7EB"/>
            <w:noWrap/>
            <w:vAlign w:val="bottom"/>
            <w:hideMark/>
          </w:tcPr>
          <w:p w14:paraId="0494DC78"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4</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3</w:t>
            </w:r>
          </w:p>
        </w:tc>
        <w:tc>
          <w:tcPr>
            <w:tcW w:w="553" w:type="pct"/>
            <w:shd w:val="clear" w:color="auto" w:fill="DCE7EB"/>
            <w:noWrap/>
            <w:vAlign w:val="bottom"/>
            <w:hideMark/>
          </w:tcPr>
          <w:p w14:paraId="5DDA92FA"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7</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3</w:t>
            </w:r>
          </w:p>
        </w:tc>
      </w:tr>
      <w:tr w:rsidR="00D502E2" w:rsidRPr="00D829F0" w14:paraId="376E8894"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71ADEBD0"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c16</w:t>
            </w:r>
          </w:p>
        </w:tc>
        <w:tc>
          <w:tcPr>
            <w:tcW w:w="2384" w:type="pct"/>
          </w:tcPr>
          <w:p w14:paraId="383C7D0E"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Kokapstrāde</w:t>
            </w:r>
          </w:p>
        </w:tc>
        <w:tc>
          <w:tcPr>
            <w:tcW w:w="555" w:type="pct"/>
            <w:noWrap/>
            <w:vAlign w:val="bottom"/>
            <w:hideMark/>
          </w:tcPr>
          <w:p w14:paraId="03964A8C"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4,2</w:t>
            </w:r>
          </w:p>
        </w:tc>
        <w:tc>
          <w:tcPr>
            <w:tcW w:w="557" w:type="pct"/>
            <w:noWrap/>
            <w:vAlign w:val="bottom"/>
            <w:hideMark/>
          </w:tcPr>
          <w:p w14:paraId="37B682C6"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-2</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2</w:t>
            </w:r>
          </w:p>
        </w:tc>
        <w:tc>
          <w:tcPr>
            <w:tcW w:w="566" w:type="pct"/>
            <w:noWrap/>
            <w:vAlign w:val="bottom"/>
            <w:hideMark/>
          </w:tcPr>
          <w:p w14:paraId="6FC3BC52"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4</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7</w:t>
            </w:r>
          </w:p>
        </w:tc>
        <w:tc>
          <w:tcPr>
            <w:tcW w:w="553" w:type="pct"/>
            <w:noWrap/>
            <w:vAlign w:val="bottom"/>
            <w:hideMark/>
          </w:tcPr>
          <w:p w14:paraId="431C8030"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5</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9</w:t>
            </w:r>
          </w:p>
        </w:tc>
      </w:tr>
      <w:tr w:rsidR="00D502E2" w:rsidRPr="00D829F0" w14:paraId="658E9BE3"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267A791F"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c17-19</w:t>
            </w:r>
          </w:p>
        </w:tc>
        <w:tc>
          <w:tcPr>
            <w:tcW w:w="2384" w:type="pct"/>
            <w:shd w:val="clear" w:color="auto" w:fill="DCE7EB"/>
          </w:tcPr>
          <w:p w14:paraId="43856E8E"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Papīra ražošana, poligrāfija</w:t>
            </w:r>
          </w:p>
        </w:tc>
        <w:tc>
          <w:tcPr>
            <w:tcW w:w="555" w:type="pct"/>
            <w:shd w:val="clear" w:color="auto" w:fill="DCE7EB"/>
            <w:noWrap/>
            <w:vAlign w:val="bottom"/>
            <w:hideMark/>
          </w:tcPr>
          <w:p w14:paraId="70EF24AF"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3,8</w:t>
            </w:r>
          </w:p>
        </w:tc>
        <w:tc>
          <w:tcPr>
            <w:tcW w:w="557" w:type="pct"/>
            <w:shd w:val="clear" w:color="auto" w:fill="DCE7EB"/>
            <w:noWrap/>
            <w:vAlign w:val="bottom"/>
            <w:hideMark/>
          </w:tcPr>
          <w:p w14:paraId="215F4B62"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1</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8</w:t>
            </w:r>
          </w:p>
        </w:tc>
        <w:tc>
          <w:tcPr>
            <w:tcW w:w="566" w:type="pct"/>
            <w:shd w:val="clear" w:color="auto" w:fill="DCE7EB"/>
            <w:noWrap/>
            <w:vAlign w:val="bottom"/>
            <w:hideMark/>
          </w:tcPr>
          <w:p w14:paraId="5FDBA12D"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4</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2</w:t>
            </w:r>
          </w:p>
        </w:tc>
        <w:tc>
          <w:tcPr>
            <w:tcW w:w="553" w:type="pct"/>
            <w:shd w:val="clear" w:color="auto" w:fill="DCE7EB"/>
            <w:noWrap/>
            <w:vAlign w:val="bottom"/>
            <w:hideMark/>
          </w:tcPr>
          <w:p w14:paraId="07C32C7E"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6</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1</w:t>
            </w:r>
          </w:p>
        </w:tc>
      </w:tr>
      <w:tr w:rsidR="00D502E2" w:rsidRPr="00D829F0" w14:paraId="3026C2BD"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2AFF438F"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c20-21</w:t>
            </w:r>
          </w:p>
        </w:tc>
        <w:tc>
          <w:tcPr>
            <w:tcW w:w="2384" w:type="pct"/>
          </w:tcPr>
          <w:p w14:paraId="1DCF949A"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Ķīmija, farmācija</w:t>
            </w:r>
          </w:p>
        </w:tc>
        <w:tc>
          <w:tcPr>
            <w:tcW w:w="555" w:type="pct"/>
            <w:noWrap/>
            <w:vAlign w:val="bottom"/>
            <w:hideMark/>
          </w:tcPr>
          <w:p w14:paraId="3F848EA5"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1,2</w:t>
            </w:r>
          </w:p>
        </w:tc>
        <w:tc>
          <w:tcPr>
            <w:tcW w:w="557" w:type="pct"/>
            <w:noWrap/>
            <w:vAlign w:val="bottom"/>
            <w:hideMark/>
          </w:tcPr>
          <w:p w14:paraId="5B611A58"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1</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6</w:t>
            </w:r>
          </w:p>
        </w:tc>
        <w:tc>
          <w:tcPr>
            <w:tcW w:w="566" w:type="pct"/>
            <w:noWrap/>
            <w:vAlign w:val="bottom"/>
            <w:hideMark/>
          </w:tcPr>
          <w:p w14:paraId="373C89F8"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4</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7</w:t>
            </w:r>
          </w:p>
        </w:tc>
        <w:tc>
          <w:tcPr>
            <w:tcW w:w="553" w:type="pct"/>
            <w:noWrap/>
            <w:vAlign w:val="bottom"/>
            <w:hideMark/>
          </w:tcPr>
          <w:p w14:paraId="2885CD6E"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7</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3</w:t>
            </w:r>
          </w:p>
        </w:tc>
      </w:tr>
      <w:tr w:rsidR="00D502E2" w:rsidRPr="00D829F0" w14:paraId="4D94A69A"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5A0994F7"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c22</w:t>
            </w:r>
          </w:p>
        </w:tc>
        <w:tc>
          <w:tcPr>
            <w:tcW w:w="2384" w:type="pct"/>
            <w:shd w:val="clear" w:color="auto" w:fill="DCE7EB"/>
          </w:tcPr>
          <w:p w14:paraId="3CA4AC6F"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Gumija un plastmasa</w:t>
            </w:r>
          </w:p>
        </w:tc>
        <w:tc>
          <w:tcPr>
            <w:tcW w:w="555" w:type="pct"/>
            <w:shd w:val="clear" w:color="auto" w:fill="DCE7EB"/>
            <w:noWrap/>
            <w:vAlign w:val="bottom"/>
            <w:hideMark/>
          </w:tcPr>
          <w:p w14:paraId="1477FCF6"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3,1</w:t>
            </w:r>
          </w:p>
        </w:tc>
        <w:tc>
          <w:tcPr>
            <w:tcW w:w="557" w:type="pct"/>
            <w:shd w:val="clear" w:color="auto" w:fill="DCE7EB"/>
            <w:noWrap/>
            <w:vAlign w:val="bottom"/>
            <w:hideMark/>
          </w:tcPr>
          <w:p w14:paraId="5A302CA7"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-3</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4</w:t>
            </w:r>
          </w:p>
        </w:tc>
        <w:tc>
          <w:tcPr>
            <w:tcW w:w="566" w:type="pct"/>
            <w:shd w:val="clear" w:color="auto" w:fill="DCE7EB"/>
            <w:noWrap/>
            <w:vAlign w:val="bottom"/>
            <w:hideMark/>
          </w:tcPr>
          <w:p w14:paraId="052DE0DB"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6</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7</w:t>
            </w:r>
          </w:p>
        </w:tc>
        <w:tc>
          <w:tcPr>
            <w:tcW w:w="553" w:type="pct"/>
            <w:shd w:val="clear" w:color="auto" w:fill="DCE7EB"/>
            <w:noWrap/>
            <w:vAlign w:val="bottom"/>
            <w:hideMark/>
          </w:tcPr>
          <w:p w14:paraId="4C17F166"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8</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3</w:t>
            </w:r>
          </w:p>
        </w:tc>
      </w:tr>
      <w:tr w:rsidR="00D502E2" w:rsidRPr="00D829F0" w14:paraId="5D584378"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5AC845E6"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c23</w:t>
            </w:r>
          </w:p>
        </w:tc>
        <w:tc>
          <w:tcPr>
            <w:tcW w:w="2384" w:type="pct"/>
          </w:tcPr>
          <w:p w14:paraId="502E6E3B"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Nemetāliskie minerāli</w:t>
            </w:r>
          </w:p>
        </w:tc>
        <w:tc>
          <w:tcPr>
            <w:tcW w:w="555" w:type="pct"/>
            <w:noWrap/>
            <w:vAlign w:val="bottom"/>
            <w:hideMark/>
          </w:tcPr>
          <w:p w14:paraId="2047B9EF"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5,3</w:t>
            </w:r>
          </w:p>
        </w:tc>
        <w:tc>
          <w:tcPr>
            <w:tcW w:w="557" w:type="pct"/>
            <w:noWrap/>
            <w:vAlign w:val="bottom"/>
            <w:hideMark/>
          </w:tcPr>
          <w:p w14:paraId="7AB4B9E5"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-3</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8</w:t>
            </w:r>
          </w:p>
        </w:tc>
        <w:tc>
          <w:tcPr>
            <w:tcW w:w="566" w:type="pct"/>
            <w:noWrap/>
            <w:vAlign w:val="bottom"/>
            <w:hideMark/>
          </w:tcPr>
          <w:p w14:paraId="024C8F9D"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7</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3</w:t>
            </w:r>
          </w:p>
        </w:tc>
        <w:tc>
          <w:tcPr>
            <w:tcW w:w="553" w:type="pct"/>
            <w:noWrap/>
            <w:vAlign w:val="bottom"/>
            <w:hideMark/>
          </w:tcPr>
          <w:p w14:paraId="4E2E329B"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8</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9</w:t>
            </w:r>
          </w:p>
        </w:tc>
      </w:tr>
      <w:tr w:rsidR="00D502E2" w:rsidRPr="00D829F0" w14:paraId="582F05E3"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1E21374D"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c25</w:t>
            </w:r>
          </w:p>
        </w:tc>
        <w:tc>
          <w:tcPr>
            <w:tcW w:w="2384" w:type="pct"/>
            <w:shd w:val="clear" w:color="auto" w:fill="DCE7EB"/>
          </w:tcPr>
          <w:p w14:paraId="7B533D3E"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Gatavie metālizstrādājumi</w:t>
            </w:r>
          </w:p>
        </w:tc>
        <w:tc>
          <w:tcPr>
            <w:tcW w:w="555" w:type="pct"/>
            <w:shd w:val="clear" w:color="auto" w:fill="DCE7EB"/>
            <w:noWrap/>
            <w:vAlign w:val="bottom"/>
            <w:hideMark/>
          </w:tcPr>
          <w:p w14:paraId="43615D2C"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8,8</w:t>
            </w:r>
          </w:p>
        </w:tc>
        <w:tc>
          <w:tcPr>
            <w:tcW w:w="557" w:type="pct"/>
            <w:shd w:val="clear" w:color="auto" w:fill="DCE7EB"/>
            <w:noWrap/>
            <w:vAlign w:val="bottom"/>
            <w:hideMark/>
          </w:tcPr>
          <w:p w14:paraId="09403F53"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1,5</w:t>
            </w:r>
          </w:p>
        </w:tc>
        <w:tc>
          <w:tcPr>
            <w:tcW w:w="566" w:type="pct"/>
            <w:shd w:val="clear" w:color="auto" w:fill="DCE7EB"/>
            <w:noWrap/>
            <w:vAlign w:val="bottom"/>
            <w:hideMark/>
          </w:tcPr>
          <w:p w14:paraId="00C9FA92"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6</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1</w:t>
            </w:r>
          </w:p>
        </w:tc>
        <w:tc>
          <w:tcPr>
            <w:tcW w:w="553" w:type="pct"/>
            <w:shd w:val="clear" w:color="auto" w:fill="DCE7EB"/>
            <w:noWrap/>
            <w:vAlign w:val="bottom"/>
            <w:hideMark/>
          </w:tcPr>
          <w:p w14:paraId="5F9E54FB"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8</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4</w:t>
            </w:r>
          </w:p>
        </w:tc>
      </w:tr>
      <w:tr w:rsidR="00D502E2" w:rsidRPr="00D829F0" w14:paraId="21896862"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1F01BF91"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c26-28</w:t>
            </w:r>
          </w:p>
        </w:tc>
        <w:tc>
          <w:tcPr>
            <w:tcW w:w="2384" w:type="pct"/>
          </w:tcPr>
          <w:p w14:paraId="211ED8F2"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Elektriskās ierīces, mašīnas un iekārtas</w:t>
            </w:r>
          </w:p>
        </w:tc>
        <w:tc>
          <w:tcPr>
            <w:tcW w:w="555" w:type="pct"/>
            <w:noWrap/>
            <w:vAlign w:val="bottom"/>
            <w:hideMark/>
          </w:tcPr>
          <w:p w14:paraId="37758964"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10,1</w:t>
            </w:r>
          </w:p>
        </w:tc>
        <w:tc>
          <w:tcPr>
            <w:tcW w:w="557" w:type="pct"/>
            <w:noWrap/>
            <w:vAlign w:val="bottom"/>
            <w:hideMark/>
          </w:tcPr>
          <w:p w14:paraId="33249420"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1</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5</w:t>
            </w:r>
          </w:p>
        </w:tc>
        <w:tc>
          <w:tcPr>
            <w:tcW w:w="566" w:type="pct"/>
            <w:noWrap/>
            <w:vAlign w:val="bottom"/>
            <w:hideMark/>
          </w:tcPr>
          <w:p w14:paraId="1D535E74"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6</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5</w:t>
            </w:r>
          </w:p>
        </w:tc>
        <w:tc>
          <w:tcPr>
            <w:tcW w:w="553" w:type="pct"/>
            <w:noWrap/>
            <w:vAlign w:val="bottom"/>
            <w:hideMark/>
          </w:tcPr>
          <w:p w14:paraId="225B3EEA"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7</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8</w:t>
            </w:r>
          </w:p>
        </w:tc>
      </w:tr>
      <w:tr w:rsidR="00D502E2" w:rsidRPr="00D829F0" w14:paraId="0F9E11E6"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2F76351E"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c29-30</w:t>
            </w:r>
          </w:p>
        </w:tc>
        <w:tc>
          <w:tcPr>
            <w:tcW w:w="2384" w:type="pct"/>
            <w:shd w:val="clear" w:color="auto" w:fill="DCE7EB"/>
          </w:tcPr>
          <w:p w14:paraId="64E09E9B"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Transportlīdzekļu ražošana</w:t>
            </w:r>
          </w:p>
        </w:tc>
        <w:tc>
          <w:tcPr>
            <w:tcW w:w="555" w:type="pct"/>
            <w:shd w:val="clear" w:color="auto" w:fill="DCE7EB"/>
            <w:noWrap/>
            <w:vAlign w:val="bottom"/>
            <w:hideMark/>
          </w:tcPr>
          <w:p w14:paraId="183190EE"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5,2</w:t>
            </w:r>
          </w:p>
        </w:tc>
        <w:tc>
          <w:tcPr>
            <w:tcW w:w="557" w:type="pct"/>
            <w:shd w:val="clear" w:color="auto" w:fill="DCE7EB"/>
            <w:noWrap/>
            <w:vAlign w:val="bottom"/>
            <w:hideMark/>
          </w:tcPr>
          <w:p w14:paraId="4091AE29"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-5</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0</w:t>
            </w:r>
          </w:p>
        </w:tc>
        <w:tc>
          <w:tcPr>
            <w:tcW w:w="566" w:type="pct"/>
            <w:shd w:val="clear" w:color="auto" w:fill="DCE7EB"/>
            <w:noWrap/>
            <w:vAlign w:val="bottom"/>
            <w:hideMark/>
          </w:tcPr>
          <w:p w14:paraId="2FD34179"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6</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2</w:t>
            </w:r>
          </w:p>
        </w:tc>
        <w:tc>
          <w:tcPr>
            <w:tcW w:w="553" w:type="pct"/>
            <w:shd w:val="clear" w:color="auto" w:fill="DCE7EB"/>
            <w:noWrap/>
            <w:vAlign w:val="bottom"/>
            <w:hideMark/>
          </w:tcPr>
          <w:p w14:paraId="56838BFB"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8</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5</w:t>
            </w:r>
          </w:p>
        </w:tc>
      </w:tr>
      <w:tr w:rsidR="00D502E2" w:rsidRPr="00D829F0" w14:paraId="6C987D4A"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3E2165BE"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c31-32</w:t>
            </w:r>
          </w:p>
        </w:tc>
        <w:tc>
          <w:tcPr>
            <w:tcW w:w="2384" w:type="pct"/>
          </w:tcPr>
          <w:p w14:paraId="224904EA"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Mēbeļu ražošana u</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c</w:t>
            </w:r>
            <w:r>
              <w:rPr>
                <w:rFonts w:ascii="Segoe UI Light" w:eastAsia="Times New Roman" w:hAnsi="Segoe UI Light" w:cs="Segoe UI Light"/>
                <w:i/>
                <w:color w:val="000000"/>
                <w:sz w:val="16"/>
                <w:szCs w:val="16"/>
                <w:lang w:eastAsia="lv-LV"/>
              </w:rPr>
              <w:t>,</w:t>
            </w:r>
          </w:p>
        </w:tc>
        <w:tc>
          <w:tcPr>
            <w:tcW w:w="555" w:type="pct"/>
            <w:noWrap/>
            <w:vAlign w:val="bottom"/>
            <w:hideMark/>
          </w:tcPr>
          <w:p w14:paraId="664E4525"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3,4</w:t>
            </w:r>
          </w:p>
        </w:tc>
        <w:tc>
          <w:tcPr>
            <w:tcW w:w="557" w:type="pct"/>
            <w:noWrap/>
            <w:vAlign w:val="bottom"/>
            <w:hideMark/>
          </w:tcPr>
          <w:p w14:paraId="63BF88DC"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1</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1</w:t>
            </w:r>
          </w:p>
        </w:tc>
        <w:tc>
          <w:tcPr>
            <w:tcW w:w="566" w:type="pct"/>
            <w:noWrap/>
            <w:vAlign w:val="bottom"/>
            <w:hideMark/>
          </w:tcPr>
          <w:p w14:paraId="45F259C1"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3</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7</w:t>
            </w:r>
          </w:p>
        </w:tc>
        <w:tc>
          <w:tcPr>
            <w:tcW w:w="553" w:type="pct"/>
            <w:noWrap/>
            <w:vAlign w:val="bottom"/>
            <w:hideMark/>
          </w:tcPr>
          <w:p w14:paraId="7D6A2849"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6</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3</w:t>
            </w:r>
          </w:p>
        </w:tc>
      </w:tr>
      <w:tr w:rsidR="00D502E2" w:rsidRPr="00D829F0" w14:paraId="7855A2CB"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310B7AFE" w14:textId="77777777" w:rsidR="00D502E2" w:rsidRPr="0006124F" w:rsidRDefault="00D502E2">
            <w:pPr>
              <w:spacing w:before="40" w:after="40"/>
              <w:jc w:val="right"/>
              <w:rPr>
                <w:rFonts w:ascii="Segoe UI Light" w:eastAsia="Times New Roman" w:hAnsi="Segoe UI Light" w:cs="Segoe UI Light"/>
                <w:b w:val="0"/>
                <w:i/>
                <w:color w:val="000000"/>
                <w:sz w:val="16"/>
                <w:szCs w:val="16"/>
                <w:lang w:eastAsia="lv-LV"/>
              </w:rPr>
            </w:pPr>
            <w:r w:rsidRPr="0006124F">
              <w:rPr>
                <w:rFonts w:ascii="Segoe UI Light" w:eastAsia="Times New Roman" w:hAnsi="Segoe UI Light" w:cs="Segoe UI Light"/>
                <w:b w:val="0"/>
                <w:i/>
                <w:color w:val="000000"/>
                <w:sz w:val="16"/>
                <w:szCs w:val="16"/>
                <w:lang w:eastAsia="lv-LV"/>
              </w:rPr>
              <w:t>c33</w:t>
            </w:r>
          </w:p>
        </w:tc>
        <w:tc>
          <w:tcPr>
            <w:tcW w:w="2384" w:type="pct"/>
            <w:shd w:val="clear" w:color="auto" w:fill="DCE7EB"/>
          </w:tcPr>
          <w:p w14:paraId="207A2689" w14:textId="77777777" w:rsidR="00D502E2" w:rsidRPr="0006124F" w:rsidRDefault="00D502E2">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Iekārtu remonts</w:t>
            </w:r>
          </w:p>
        </w:tc>
        <w:tc>
          <w:tcPr>
            <w:tcW w:w="555" w:type="pct"/>
            <w:shd w:val="clear" w:color="auto" w:fill="DCE7EB"/>
            <w:noWrap/>
            <w:vAlign w:val="bottom"/>
            <w:hideMark/>
          </w:tcPr>
          <w:p w14:paraId="09251B75"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-3</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6</w:t>
            </w:r>
          </w:p>
        </w:tc>
        <w:tc>
          <w:tcPr>
            <w:tcW w:w="557" w:type="pct"/>
            <w:shd w:val="clear" w:color="auto" w:fill="DCE7EB"/>
            <w:noWrap/>
            <w:vAlign w:val="bottom"/>
            <w:hideMark/>
          </w:tcPr>
          <w:p w14:paraId="6F9B0821"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-5</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0</w:t>
            </w:r>
          </w:p>
        </w:tc>
        <w:tc>
          <w:tcPr>
            <w:tcW w:w="566" w:type="pct"/>
            <w:shd w:val="clear" w:color="auto" w:fill="DCE7EB"/>
            <w:noWrap/>
            <w:vAlign w:val="bottom"/>
            <w:hideMark/>
          </w:tcPr>
          <w:p w14:paraId="2993D5C6"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5</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0</w:t>
            </w:r>
          </w:p>
        </w:tc>
        <w:tc>
          <w:tcPr>
            <w:tcW w:w="553" w:type="pct"/>
            <w:shd w:val="clear" w:color="auto" w:fill="DCE7EB"/>
            <w:noWrap/>
            <w:vAlign w:val="bottom"/>
            <w:hideMark/>
          </w:tcPr>
          <w:p w14:paraId="277CC31B" w14:textId="77777777" w:rsidR="00D502E2" w:rsidRPr="0006124F"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06124F">
              <w:rPr>
                <w:rFonts w:ascii="Segoe UI Light" w:eastAsia="Times New Roman" w:hAnsi="Segoe UI Light" w:cs="Segoe UI Light"/>
                <w:i/>
                <w:color w:val="000000"/>
                <w:sz w:val="16"/>
                <w:szCs w:val="16"/>
                <w:lang w:eastAsia="lv-LV"/>
              </w:rPr>
              <w:t>7</w:t>
            </w:r>
            <w:r>
              <w:rPr>
                <w:rFonts w:ascii="Segoe UI Light" w:eastAsia="Times New Roman" w:hAnsi="Segoe UI Light" w:cs="Segoe UI Light"/>
                <w:i/>
                <w:color w:val="000000"/>
                <w:sz w:val="16"/>
                <w:szCs w:val="16"/>
                <w:lang w:eastAsia="lv-LV"/>
              </w:rPr>
              <w:t>,</w:t>
            </w:r>
            <w:r w:rsidRPr="0006124F">
              <w:rPr>
                <w:rFonts w:ascii="Segoe UI Light" w:eastAsia="Times New Roman" w:hAnsi="Segoe UI Light" w:cs="Segoe UI Light"/>
                <w:i/>
                <w:color w:val="000000"/>
                <w:sz w:val="16"/>
                <w:szCs w:val="16"/>
                <w:lang w:eastAsia="lv-LV"/>
              </w:rPr>
              <w:t>8</w:t>
            </w:r>
          </w:p>
        </w:tc>
      </w:tr>
      <w:tr w:rsidR="00D502E2" w:rsidRPr="00D829F0" w14:paraId="25BC835A"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08534A99"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F</w:t>
            </w:r>
          </w:p>
        </w:tc>
        <w:tc>
          <w:tcPr>
            <w:tcW w:w="2384" w:type="pct"/>
          </w:tcPr>
          <w:p w14:paraId="7E618501"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Būvniecība</w:t>
            </w:r>
          </w:p>
        </w:tc>
        <w:tc>
          <w:tcPr>
            <w:tcW w:w="555" w:type="pct"/>
            <w:noWrap/>
            <w:vAlign w:val="bottom"/>
            <w:hideMark/>
          </w:tcPr>
          <w:p w14:paraId="7E3864C1"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6</w:t>
            </w:r>
            <w:r>
              <w:rPr>
                <w:rFonts w:ascii="Segoe UI Light" w:hAnsi="Segoe UI Light" w:cs="Segoe UI Light"/>
                <w:color w:val="000000"/>
                <w:sz w:val="16"/>
                <w:szCs w:val="16"/>
              </w:rPr>
              <w:t>,</w:t>
            </w:r>
            <w:r w:rsidRPr="000E09C2">
              <w:rPr>
                <w:rFonts w:ascii="Segoe UI Light" w:hAnsi="Segoe UI Light" w:cs="Segoe UI Light"/>
                <w:color w:val="000000"/>
                <w:sz w:val="16"/>
                <w:szCs w:val="16"/>
              </w:rPr>
              <w:t>4</w:t>
            </w:r>
          </w:p>
        </w:tc>
        <w:tc>
          <w:tcPr>
            <w:tcW w:w="557" w:type="pct"/>
            <w:noWrap/>
            <w:vAlign w:val="bottom"/>
            <w:hideMark/>
          </w:tcPr>
          <w:p w14:paraId="547E47CF"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66" w:type="pct"/>
            <w:noWrap/>
            <w:vAlign w:val="bottom"/>
            <w:hideMark/>
          </w:tcPr>
          <w:p w14:paraId="0B95A83E"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6</w:t>
            </w:r>
            <w:r>
              <w:rPr>
                <w:rFonts w:ascii="Segoe UI Light" w:hAnsi="Segoe UI Light" w:cs="Segoe UI Light"/>
                <w:color w:val="000000"/>
                <w:sz w:val="16"/>
                <w:szCs w:val="16"/>
              </w:rPr>
              <w:t>,</w:t>
            </w:r>
            <w:r w:rsidRPr="000E09C2">
              <w:rPr>
                <w:rFonts w:ascii="Segoe UI Light" w:hAnsi="Segoe UI Light" w:cs="Segoe UI Light"/>
                <w:color w:val="000000"/>
                <w:sz w:val="16"/>
                <w:szCs w:val="16"/>
              </w:rPr>
              <w:t>1</w:t>
            </w:r>
          </w:p>
        </w:tc>
        <w:tc>
          <w:tcPr>
            <w:tcW w:w="553" w:type="pct"/>
            <w:noWrap/>
            <w:vAlign w:val="bottom"/>
            <w:hideMark/>
          </w:tcPr>
          <w:p w14:paraId="0764166A"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7</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r>
      <w:tr w:rsidR="00D502E2" w:rsidRPr="00D829F0" w14:paraId="667B2026"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4C07D8EE"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G</w:t>
            </w:r>
          </w:p>
        </w:tc>
        <w:tc>
          <w:tcPr>
            <w:tcW w:w="2384" w:type="pct"/>
            <w:shd w:val="clear" w:color="auto" w:fill="DCE7EB"/>
          </w:tcPr>
          <w:p w14:paraId="6419F601"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Vairumtirdzniecība un mazumtirdzniecība</w:t>
            </w:r>
          </w:p>
        </w:tc>
        <w:tc>
          <w:tcPr>
            <w:tcW w:w="555" w:type="pct"/>
            <w:shd w:val="clear" w:color="auto" w:fill="DCE7EB"/>
            <w:noWrap/>
            <w:vAlign w:val="bottom"/>
            <w:hideMark/>
          </w:tcPr>
          <w:p w14:paraId="52FF7282"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4</w:t>
            </w:r>
          </w:p>
        </w:tc>
        <w:tc>
          <w:tcPr>
            <w:tcW w:w="557" w:type="pct"/>
            <w:shd w:val="clear" w:color="auto" w:fill="DCE7EB"/>
            <w:noWrap/>
            <w:vAlign w:val="bottom"/>
            <w:hideMark/>
          </w:tcPr>
          <w:p w14:paraId="2CD8BF84"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5</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66" w:type="pct"/>
            <w:shd w:val="clear" w:color="auto" w:fill="DCE7EB"/>
            <w:noWrap/>
            <w:vAlign w:val="bottom"/>
            <w:hideMark/>
          </w:tcPr>
          <w:p w14:paraId="12380013"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2</w:t>
            </w:r>
          </w:p>
        </w:tc>
        <w:tc>
          <w:tcPr>
            <w:tcW w:w="553" w:type="pct"/>
            <w:shd w:val="clear" w:color="auto" w:fill="DCE7EB"/>
            <w:noWrap/>
            <w:vAlign w:val="bottom"/>
            <w:hideMark/>
          </w:tcPr>
          <w:p w14:paraId="09679992"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r>
      <w:tr w:rsidR="00D502E2" w:rsidRPr="00D829F0" w14:paraId="0684F1CB"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1C8D2ECB"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H</w:t>
            </w:r>
          </w:p>
        </w:tc>
        <w:tc>
          <w:tcPr>
            <w:tcW w:w="2384" w:type="pct"/>
          </w:tcPr>
          <w:p w14:paraId="6F48E52E"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Transports un uzglabāšana</w:t>
            </w:r>
          </w:p>
        </w:tc>
        <w:tc>
          <w:tcPr>
            <w:tcW w:w="555" w:type="pct"/>
            <w:noWrap/>
            <w:vAlign w:val="bottom"/>
            <w:hideMark/>
          </w:tcPr>
          <w:p w14:paraId="5A8D01D5"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2</w:t>
            </w:r>
          </w:p>
        </w:tc>
        <w:tc>
          <w:tcPr>
            <w:tcW w:w="557" w:type="pct"/>
            <w:noWrap/>
            <w:vAlign w:val="bottom"/>
            <w:hideMark/>
          </w:tcPr>
          <w:p w14:paraId="6E8C2669"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9</w:t>
            </w:r>
          </w:p>
        </w:tc>
        <w:tc>
          <w:tcPr>
            <w:tcW w:w="566" w:type="pct"/>
            <w:noWrap/>
            <w:vAlign w:val="bottom"/>
            <w:hideMark/>
          </w:tcPr>
          <w:p w14:paraId="11AA88C7"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4</w:t>
            </w:r>
          </w:p>
        </w:tc>
        <w:tc>
          <w:tcPr>
            <w:tcW w:w="553" w:type="pct"/>
            <w:noWrap/>
            <w:vAlign w:val="bottom"/>
            <w:hideMark/>
          </w:tcPr>
          <w:p w14:paraId="564DECDE"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r>
      <w:tr w:rsidR="00D502E2" w:rsidRPr="00D829F0" w14:paraId="591A0FF2"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353CB6DD"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I</w:t>
            </w:r>
          </w:p>
        </w:tc>
        <w:tc>
          <w:tcPr>
            <w:tcW w:w="2384" w:type="pct"/>
            <w:shd w:val="clear" w:color="auto" w:fill="DCE7EB"/>
          </w:tcPr>
          <w:p w14:paraId="75400603"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Izmitināšanas un ēdināšanas apkalpojumi</w:t>
            </w:r>
          </w:p>
        </w:tc>
        <w:tc>
          <w:tcPr>
            <w:tcW w:w="555" w:type="pct"/>
            <w:shd w:val="clear" w:color="auto" w:fill="DCE7EB"/>
            <w:noWrap/>
            <w:vAlign w:val="bottom"/>
            <w:hideMark/>
          </w:tcPr>
          <w:p w14:paraId="3433971A"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2</w:t>
            </w:r>
          </w:p>
        </w:tc>
        <w:tc>
          <w:tcPr>
            <w:tcW w:w="557" w:type="pct"/>
            <w:shd w:val="clear" w:color="auto" w:fill="DCE7EB"/>
            <w:noWrap/>
            <w:vAlign w:val="bottom"/>
            <w:hideMark/>
          </w:tcPr>
          <w:p w14:paraId="3A389D95"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-0</w:t>
            </w:r>
            <w:r>
              <w:rPr>
                <w:rFonts w:ascii="Segoe UI Light" w:hAnsi="Segoe UI Light" w:cs="Segoe UI Light"/>
                <w:color w:val="000000"/>
                <w:sz w:val="16"/>
                <w:szCs w:val="16"/>
              </w:rPr>
              <w:t>,</w:t>
            </w:r>
            <w:r w:rsidRPr="000E09C2">
              <w:rPr>
                <w:rFonts w:ascii="Segoe UI Light" w:hAnsi="Segoe UI Light" w:cs="Segoe UI Light"/>
                <w:color w:val="000000"/>
                <w:sz w:val="16"/>
                <w:szCs w:val="16"/>
              </w:rPr>
              <w:t>9</w:t>
            </w:r>
          </w:p>
        </w:tc>
        <w:tc>
          <w:tcPr>
            <w:tcW w:w="566" w:type="pct"/>
            <w:shd w:val="clear" w:color="auto" w:fill="DCE7EB"/>
            <w:noWrap/>
            <w:vAlign w:val="bottom"/>
            <w:hideMark/>
          </w:tcPr>
          <w:p w14:paraId="29022E81"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4</w:t>
            </w:r>
          </w:p>
        </w:tc>
        <w:tc>
          <w:tcPr>
            <w:tcW w:w="553" w:type="pct"/>
            <w:shd w:val="clear" w:color="auto" w:fill="DCE7EB"/>
            <w:noWrap/>
            <w:vAlign w:val="bottom"/>
            <w:hideMark/>
          </w:tcPr>
          <w:p w14:paraId="53BEC861"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1</w:t>
            </w:r>
            <w:r>
              <w:rPr>
                <w:rFonts w:ascii="Segoe UI Light" w:hAnsi="Segoe UI Light" w:cs="Segoe UI Light"/>
                <w:color w:val="000000"/>
                <w:sz w:val="16"/>
                <w:szCs w:val="16"/>
              </w:rPr>
              <w:t>,</w:t>
            </w:r>
            <w:r w:rsidRPr="000E09C2">
              <w:rPr>
                <w:rFonts w:ascii="Segoe UI Light" w:hAnsi="Segoe UI Light" w:cs="Segoe UI Light"/>
                <w:color w:val="000000"/>
                <w:sz w:val="16"/>
                <w:szCs w:val="16"/>
              </w:rPr>
              <w:t>8</w:t>
            </w:r>
          </w:p>
        </w:tc>
      </w:tr>
      <w:tr w:rsidR="00D502E2" w:rsidRPr="00D829F0" w14:paraId="7F792A32"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57E2A788"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J</w:t>
            </w:r>
          </w:p>
        </w:tc>
        <w:tc>
          <w:tcPr>
            <w:tcW w:w="2384" w:type="pct"/>
          </w:tcPr>
          <w:p w14:paraId="2D41E679"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Informācijas un komunikācijas pakalpojumi</w:t>
            </w:r>
          </w:p>
        </w:tc>
        <w:tc>
          <w:tcPr>
            <w:tcW w:w="555" w:type="pct"/>
            <w:noWrap/>
            <w:vAlign w:val="bottom"/>
            <w:hideMark/>
          </w:tcPr>
          <w:p w14:paraId="5433702B"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8</w:t>
            </w:r>
          </w:p>
        </w:tc>
        <w:tc>
          <w:tcPr>
            <w:tcW w:w="557" w:type="pct"/>
            <w:noWrap/>
            <w:vAlign w:val="bottom"/>
            <w:hideMark/>
          </w:tcPr>
          <w:p w14:paraId="54631502"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5</w:t>
            </w:r>
            <w:r>
              <w:rPr>
                <w:rFonts w:ascii="Segoe UI Light" w:hAnsi="Segoe UI Light" w:cs="Segoe UI Light"/>
                <w:color w:val="000000"/>
                <w:sz w:val="16"/>
                <w:szCs w:val="16"/>
              </w:rPr>
              <w:t>,</w:t>
            </w:r>
            <w:r w:rsidRPr="000E09C2">
              <w:rPr>
                <w:rFonts w:ascii="Segoe UI Light" w:hAnsi="Segoe UI Light" w:cs="Segoe UI Light"/>
                <w:color w:val="000000"/>
                <w:sz w:val="16"/>
                <w:szCs w:val="16"/>
              </w:rPr>
              <w:t>0</w:t>
            </w:r>
          </w:p>
        </w:tc>
        <w:tc>
          <w:tcPr>
            <w:tcW w:w="566" w:type="pct"/>
            <w:noWrap/>
            <w:vAlign w:val="bottom"/>
            <w:hideMark/>
          </w:tcPr>
          <w:p w14:paraId="7829E370"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5</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53" w:type="pct"/>
            <w:noWrap/>
            <w:vAlign w:val="bottom"/>
            <w:hideMark/>
          </w:tcPr>
          <w:p w14:paraId="7A07273C"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7</w:t>
            </w:r>
            <w:r>
              <w:rPr>
                <w:rFonts w:ascii="Segoe UI Light" w:hAnsi="Segoe UI Light" w:cs="Segoe UI Light"/>
                <w:color w:val="000000"/>
                <w:sz w:val="16"/>
                <w:szCs w:val="16"/>
              </w:rPr>
              <w:t>,</w:t>
            </w:r>
            <w:r w:rsidRPr="000E09C2">
              <w:rPr>
                <w:rFonts w:ascii="Segoe UI Light" w:hAnsi="Segoe UI Light" w:cs="Segoe UI Light"/>
                <w:color w:val="000000"/>
                <w:sz w:val="16"/>
                <w:szCs w:val="16"/>
              </w:rPr>
              <w:t>1</w:t>
            </w:r>
          </w:p>
        </w:tc>
      </w:tr>
      <w:tr w:rsidR="00D502E2" w:rsidRPr="00D829F0" w14:paraId="26FD5C3D"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6654B4AD"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K</w:t>
            </w:r>
          </w:p>
        </w:tc>
        <w:tc>
          <w:tcPr>
            <w:tcW w:w="2384" w:type="pct"/>
            <w:shd w:val="clear" w:color="auto" w:fill="DCE7EB"/>
          </w:tcPr>
          <w:p w14:paraId="5AA43C12"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Finanšu un apdrošināšanas darbības</w:t>
            </w:r>
          </w:p>
        </w:tc>
        <w:tc>
          <w:tcPr>
            <w:tcW w:w="555" w:type="pct"/>
            <w:shd w:val="clear" w:color="auto" w:fill="DCE7EB"/>
            <w:noWrap/>
            <w:vAlign w:val="bottom"/>
            <w:hideMark/>
          </w:tcPr>
          <w:p w14:paraId="69A1559B"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-1</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57" w:type="pct"/>
            <w:shd w:val="clear" w:color="auto" w:fill="DCE7EB"/>
            <w:noWrap/>
            <w:vAlign w:val="bottom"/>
            <w:hideMark/>
          </w:tcPr>
          <w:p w14:paraId="6D5DF7B1"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0</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66" w:type="pct"/>
            <w:shd w:val="clear" w:color="auto" w:fill="DCE7EB"/>
            <w:noWrap/>
            <w:vAlign w:val="bottom"/>
            <w:hideMark/>
          </w:tcPr>
          <w:p w14:paraId="48F44014"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1</w:t>
            </w:r>
          </w:p>
        </w:tc>
        <w:tc>
          <w:tcPr>
            <w:tcW w:w="553" w:type="pct"/>
            <w:shd w:val="clear" w:color="auto" w:fill="DCE7EB"/>
            <w:noWrap/>
            <w:vAlign w:val="bottom"/>
            <w:hideMark/>
          </w:tcPr>
          <w:p w14:paraId="5D4B25FE"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1</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r>
      <w:tr w:rsidR="00D502E2" w:rsidRPr="00D829F0" w14:paraId="747E89A7"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60C85744"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L</w:t>
            </w:r>
          </w:p>
        </w:tc>
        <w:tc>
          <w:tcPr>
            <w:tcW w:w="2384" w:type="pct"/>
          </w:tcPr>
          <w:p w14:paraId="00C8B402"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Operācijas ar nekustamo īpašumu</w:t>
            </w:r>
          </w:p>
        </w:tc>
        <w:tc>
          <w:tcPr>
            <w:tcW w:w="555" w:type="pct"/>
            <w:noWrap/>
            <w:vAlign w:val="bottom"/>
            <w:hideMark/>
          </w:tcPr>
          <w:p w14:paraId="2EAE5E36"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57" w:type="pct"/>
            <w:noWrap/>
            <w:vAlign w:val="bottom"/>
            <w:hideMark/>
          </w:tcPr>
          <w:p w14:paraId="7260FAE8"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5</w:t>
            </w:r>
            <w:r>
              <w:rPr>
                <w:rFonts w:ascii="Segoe UI Light" w:hAnsi="Segoe UI Light" w:cs="Segoe UI Light"/>
                <w:color w:val="000000"/>
                <w:sz w:val="16"/>
                <w:szCs w:val="16"/>
              </w:rPr>
              <w:t>,</w:t>
            </w:r>
            <w:r w:rsidRPr="000E09C2">
              <w:rPr>
                <w:rFonts w:ascii="Segoe UI Light" w:hAnsi="Segoe UI Light" w:cs="Segoe UI Light"/>
                <w:color w:val="000000"/>
                <w:sz w:val="16"/>
                <w:szCs w:val="16"/>
              </w:rPr>
              <w:t>4</w:t>
            </w:r>
          </w:p>
        </w:tc>
        <w:tc>
          <w:tcPr>
            <w:tcW w:w="566" w:type="pct"/>
            <w:noWrap/>
            <w:vAlign w:val="bottom"/>
            <w:hideMark/>
          </w:tcPr>
          <w:p w14:paraId="0D8691F4"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c>
          <w:tcPr>
            <w:tcW w:w="553" w:type="pct"/>
            <w:noWrap/>
            <w:vAlign w:val="bottom"/>
            <w:hideMark/>
          </w:tcPr>
          <w:p w14:paraId="7E99FCA7"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r>
      <w:tr w:rsidR="00D502E2" w:rsidRPr="00D829F0" w14:paraId="4449A1F4"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3573B697"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MNS</w:t>
            </w:r>
          </w:p>
        </w:tc>
        <w:tc>
          <w:tcPr>
            <w:tcW w:w="2384" w:type="pct"/>
            <w:shd w:val="clear" w:color="auto" w:fill="DCE7EB"/>
          </w:tcPr>
          <w:p w14:paraId="3330A07D"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Komercpakalpojumi</w:t>
            </w:r>
          </w:p>
        </w:tc>
        <w:tc>
          <w:tcPr>
            <w:tcW w:w="555" w:type="pct"/>
            <w:shd w:val="clear" w:color="auto" w:fill="DCE7EB"/>
            <w:noWrap/>
            <w:vAlign w:val="bottom"/>
            <w:hideMark/>
          </w:tcPr>
          <w:p w14:paraId="6B89A8E2"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7</w:t>
            </w:r>
          </w:p>
        </w:tc>
        <w:tc>
          <w:tcPr>
            <w:tcW w:w="557" w:type="pct"/>
            <w:shd w:val="clear" w:color="auto" w:fill="DCE7EB"/>
            <w:noWrap/>
            <w:vAlign w:val="bottom"/>
            <w:hideMark/>
          </w:tcPr>
          <w:p w14:paraId="1B20DF43"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1</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c>
          <w:tcPr>
            <w:tcW w:w="566" w:type="pct"/>
            <w:shd w:val="clear" w:color="auto" w:fill="DCE7EB"/>
            <w:noWrap/>
            <w:vAlign w:val="bottom"/>
            <w:hideMark/>
          </w:tcPr>
          <w:p w14:paraId="5721DC3D"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c>
          <w:tcPr>
            <w:tcW w:w="553" w:type="pct"/>
            <w:shd w:val="clear" w:color="auto" w:fill="DCE7EB"/>
            <w:noWrap/>
            <w:vAlign w:val="bottom"/>
            <w:hideMark/>
          </w:tcPr>
          <w:p w14:paraId="490AF444"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4</w:t>
            </w:r>
          </w:p>
        </w:tc>
      </w:tr>
      <w:tr w:rsidR="00D502E2" w:rsidRPr="00D829F0" w14:paraId="6555529E"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57D6F1E5"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O</w:t>
            </w:r>
          </w:p>
        </w:tc>
        <w:tc>
          <w:tcPr>
            <w:tcW w:w="2384" w:type="pct"/>
          </w:tcPr>
          <w:p w14:paraId="6C0AB960"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Valsts pārvalde</w:t>
            </w:r>
          </w:p>
        </w:tc>
        <w:tc>
          <w:tcPr>
            <w:tcW w:w="555" w:type="pct"/>
            <w:noWrap/>
            <w:vAlign w:val="bottom"/>
            <w:hideMark/>
          </w:tcPr>
          <w:p w14:paraId="72769A3F"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1</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57" w:type="pct"/>
            <w:noWrap/>
            <w:vAlign w:val="bottom"/>
            <w:hideMark/>
          </w:tcPr>
          <w:p w14:paraId="4B086530"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3</w:t>
            </w:r>
            <w:r>
              <w:rPr>
                <w:rFonts w:ascii="Segoe UI Light" w:hAnsi="Segoe UI Light" w:cs="Segoe UI Light"/>
                <w:color w:val="000000"/>
                <w:sz w:val="16"/>
                <w:szCs w:val="16"/>
              </w:rPr>
              <w:t>,</w:t>
            </w:r>
            <w:r w:rsidRPr="000E09C2">
              <w:rPr>
                <w:rFonts w:ascii="Segoe UI Light" w:hAnsi="Segoe UI Light" w:cs="Segoe UI Light"/>
                <w:color w:val="000000"/>
                <w:sz w:val="16"/>
                <w:szCs w:val="16"/>
              </w:rPr>
              <w:t>6</w:t>
            </w:r>
          </w:p>
        </w:tc>
        <w:tc>
          <w:tcPr>
            <w:tcW w:w="566" w:type="pct"/>
            <w:noWrap/>
            <w:vAlign w:val="bottom"/>
            <w:hideMark/>
          </w:tcPr>
          <w:p w14:paraId="1C1EB77C"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c>
          <w:tcPr>
            <w:tcW w:w="553" w:type="pct"/>
            <w:noWrap/>
            <w:vAlign w:val="bottom"/>
            <w:hideMark/>
          </w:tcPr>
          <w:p w14:paraId="6171C9BD"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1</w:t>
            </w:r>
            <w:r>
              <w:rPr>
                <w:rFonts w:ascii="Segoe UI Light" w:hAnsi="Segoe UI Light" w:cs="Segoe UI Light"/>
                <w:color w:val="000000"/>
                <w:sz w:val="16"/>
                <w:szCs w:val="16"/>
              </w:rPr>
              <w:t>,</w:t>
            </w:r>
            <w:r w:rsidRPr="000E09C2">
              <w:rPr>
                <w:rFonts w:ascii="Segoe UI Light" w:hAnsi="Segoe UI Light" w:cs="Segoe UI Light"/>
                <w:color w:val="000000"/>
                <w:sz w:val="16"/>
                <w:szCs w:val="16"/>
              </w:rPr>
              <w:t>6</w:t>
            </w:r>
          </w:p>
        </w:tc>
      </w:tr>
      <w:tr w:rsidR="00D502E2" w:rsidRPr="00D829F0" w14:paraId="4D444CEB"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154F5403"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P</w:t>
            </w:r>
          </w:p>
        </w:tc>
        <w:tc>
          <w:tcPr>
            <w:tcW w:w="2384" w:type="pct"/>
            <w:shd w:val="clear" w:color="auto" w:fill="DCE7EB"/>
          </w:tcPr>
          <w:p w14:paraId="1F56BE0D"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Izglītība</w:t>
            </w:r>
          </w:p>
        </w:tc>
        <w:tc>
          <w:tcPr>
            <w:tcW w:w="555" w:type="pct"/>
            <w:shd w:val="clear" w:color="auto" w:fill="DCE7EB"/>
            <w:noWrap/>
            <w:vAlign w:val="bottom"/>
            <w:hideMark/>
          </w:tcPr>
          <w:p w14:paraId="5DC5ACB9"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0</w:t>
            </w:r>
          </w:p>
        </w:tc>
        <w:tc>
          <w:tcPr>
            <w:tcW w:w="557" w:type="pct"/>
            <w:shd w:val="clear" w:color="auto" w:fill="DCE7EB"/>
            <w:noWrap/>
            <w:vAlign w:val="bottom"/>
            <w:hideMark/>
          </w:tcPr>
          <w:p w14:paraId="0380114C"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-0</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66" w:type="pct"/>
            <w:shd w:val="clear" w:color="auto" w:fill="DCE7EB"/>
            <w:noWrap/>
            <w:vAlign w:val="bottom"/>
            <w:hideMark/>
          </w:tcPr>
          <w:p w14:paraId="63244D26"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5</w:t>
            </w:r>
          </w:p>
        </w:tc>
        <w:tc>
          <w:tcPr>
            <w:tcW w:w="553" w:type="pct"/>
            <w:shd w:val="clear" w:color="auto" w:fill="DCE7EB"/>
            <w:noWrap/>
            <w:vAlign w:val="bottom"/>
            <w:hideMark/>
          </w:tcPr>
          <w:p w14:paraId="02B0A205"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r>
      <w:tr w:rsidR="00D502E2" w:rsidRPr="00D829F0" w14:paraId="48388538"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5047A891"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Q</w:t>
            </w:r>
          </w:p>
        </w:tc>
        <w:tc>
          <w:tcPr>
            <w:tcW w:w="2384" w:type="pct"/>
          </w:tcPr>
          <w:p w14:paraId="681AA14F"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Veselība un sociālā aprūpe</w:t>
            </w:r>
          </w:p>
        </w:tc>
        <w:tc>
          <w:tcPr>
            <w:tcW w:w="555" w:type="pct"/>
            <w:noWrap/>
            <w:vAlign w:val="bottom"/>
            <w:hideMark/>
          </w:tcPr>
          <w:p w14:paraId="60AB3D59"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8</w:t>
            </w:r>
          </w:p>
        </w:tc>
        <w:tc>
          <w:tcPr>
            <w:tcW w:w="557" w:type="pct"/>
            <w:noWrap/>
            <w:vAlign w:val="bottom"/>
            <w:hideMark/>
          </w:tcPr>
          <w:p w14:paraId="245D5D85"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1</w:t>
            </w:r>
          </w:p>
        </w:tc>
        <w:tc>
          <w:tcPr>
            <w:tcW w:w="566" w:type="pct"/>
            <w:noWrap/>
            <w:vAlign w:val="bottom"/>
            <w:hideMark/>
          </w:tcPr>
          <w:p w14:paraId="2CD97728"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0</w:t>
            </w:r>
          </w:p>
        </w:tc>
        <w:tc>
          <w:tcPr>
            <w:tcW w:w="553" w:type="pct"/>
            <w:noWrap/>
            <w:vAlign w:val="bottom"/>
            <w:hideMark/>
          </w:tcPr>
          <w:p w14:paraId="2DBD0A15"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4</w:t>
            </w:r>
          </w:p>
        </w:tc>
      </w:tr>
      <w:tr w:rsidR="00D502E2" w:rsidRPr="00D829F0" w14:paraId="2A53CC3E"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shd w:val="clear" w:color="auto" w:fill="DCE7EB"/>
          </w:tcPr>
          <w:p w14:paraId="3B5B9B06" w14:textId="77777777" w:rsidR="00D502E2" w:rsidRPr="0036740D" w:rsidRDefault="00D502E2">
            <w:pPr>
              <w:spacing w:before="40" w:after="40"/>
              <w:jc w:val="right"/>
              <w:rPr>
                <w:rFonts w:ascii="Segoe UI Light" w:eastAsia="Times New Roman" w:hAnsi="Segoe UI Light" w:cs="Segoe UI Light"/>
                <w:b w:val="0"/>
                <w:color w:val="000000"/>
                <w:sz w:val="16"/>
                <w:szCs w:val="16"/>
                <w:lang w:eastAsia="lv-LV"/>
              </w:rPr>
            </w:pPr>
            <w:r w:rsidRPr="0036740D">
              <w:rPr>
                <w:rFonts w:ascii="Segoe UI Light" w:eastAsia="Times New Roman" w:hAnsi="Segoe UI Light" w:cs="Segoe UI Light"/>
                <w:b w:val="0"/>
                <w:color w:val="000000"/>
                <w:sz w:val="16"/>
                <w:szCs w:val="16"/>
                <w:lang w:eastAsia="lv-LV"/>
              </w:rPr>
              <w:t>R</w:t>
            </w:r>
          </w:p>
        </w:tc>
        <w:tc>
          <w:tcPr>
            <w:tcW w:w="2384" w:type="pct"/>
            <w:shd w:val="clear" w:color="auto" w:fill="DCE7EB"/>
          </w:tcPr>
          <w:p w14:paraId="4456FB50"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Māksla, izklaide un atpūta</w:t>
            </w:r>
          </w:p>
        </w:tc>
        <w:tc>
          <w:tcPr>
            <w:tcW w:w="555" w:type="pct"/>
            <w:shd w:val="clear" w:color="auto" w:fill="DCE7EB"/>
            <w:noWrap/>
            <w:vAlign w:val="bottom"/>
            <w:hideMark/>
          </w:tcPr>
          <w:p w14:paraId="57F40680"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4</w:t>
            </w:r>
            <w:r>
              <w:rPr>
                <w:rFonts w:ascii="Segoe UI Light" w:hAnsi="Segoe UI Light" w:cs="Segoe UI Light"/>
                <w:color w:val="000000"/>
                <w:sz w:val="16"/>
                <w:szCs w:val="16"/>
              </w:rPr>
              <w:t>,</w:t>
            </w:r>
            <w:r w:rsidRPr="000E09C2">
              <w:rPr>
                <w:rFonts w:ascii="Segoe UI Light" w:hAnsi="Segoe UI Light" w:cs="Segoe UI Light"/>
                <w:color w:val="000000"/>
                <w:sz w:val="16"/>
                <w:szCs w:val="16"/>
              </w:rPr>
              <w:t>7</w:t>
            </w:r>
          </w:p>
        </w:tc>
        <w:tc>
          <w:tcPr>
            <w:tcW w:w="557" w:type="pct"/>
            <w:shd w:val="clear" w:color="auto" w:fill="DCE7EB"/>
            <w:noWrap/>
            <w:vAlign w:val="bottom"/>
            <w:hideMark/>
          </w:tcPr>
          <w:p w14:paraId="47AA3F8E"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3</w:t>
            </w:r>
          </w:p>
        </w:tc>
        <w:tc>
          <w:tcPr>
            <w:tcW w:w="566" w:type="pct"/>
            <w:shd w:val="clear" w:color="auto" w:fill="DCE7EB"/>
            <w:noWrap/>
            <w:vAlign w:val="bottom"/>
            <w:hideMark/>
          </w:tcPr>
          <w:p w14:paraId="6955095E"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9</w:t>
            </w:r>
          </w:p>
        </w:tc>
        <w:tc>
          <w:tcPr>
            <w:tcW w:w="553" w:type="pct"/>
            <w:shd w:val="clear" w:color="auto" w:fill="DCE7EB"/>
            <w:noWrap/>
            <w:vAlign w:val="bottom"/>
            <w:hideMark/>
          </w:tcPr>
          <w:p w14:paraId="7E5552BB"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sz w:val="16"/>
                <w:szCs w:val="16"/>
              </w:rPr>
            </w:pPr>
            <w:r w:rsidRPr="000E09C2">
              <w:rPr>
                <w:rFonts w:ascii="Segoe UI Light" w:hAnsi="Segoe UI Light" w:cs="Segoe UI Light"/>
                <w:color w:val="000000"/>
                <w:sz w:val="16"/>
                <w:szCs w:val="16"/>
              </w:rPr>
              <w:t>2</w:t>
            </w:r>
            <w:r>
              <w:rPr>
                <w:rFonts w:ascii="Segoe UI Light" w:hAnsi="Segoe UI Light" w:cs="Segoe UI Light"/>
                <w:color w:val="000000"/>
                <w:sz w:val="16"/>
                <w:szCs w:val="16"/>
              </w:rPr>
              <w:t>,</w:t>
            </w:r>
            <w:r w:rsidRPr="000E09C2">
              <w:rPr>
                <w:rFonts w:ascii="Segoe UI Light" w:hAnsi="Segoe UI Light" w:cs="Segoe UI Light"/>
                <w:color w:val="000000"/>
                <w:sz w:val="16"/>
                <w:szCs w:val="16"/>
              </w:rPr>
              <w:t>0</w:t>
            </w:r>
          </w:p>
        </w:tc>
      </w:tr>
      <w:tr w:rsidR="00D502E2" w:rsidRPr="00D829F0" w14:paraId="25B53C0A" w14:textId="77777777" w:rsidTr="00077B50">
        <w:trPr>
          <w:trHeight w:val="255"/>
        </w:trPr>
        <w:tc>
          <w:tcPr>
            <w:cnfStyle w:val="001000000000" w:firstRow="0" w:lastRow="0" w:firstColumn="1" w:lastColumn="0" w:oddVBand="0" w:evenVBand="0" w:oddHBand="0" w:evenHBand="0" w:firstRowFirstColumn="0" w:firstRowLastColumn="0" w:lastRowFirstColumn="0" w:lastRowLastColumn="0"/>
            <w:tcW w:w="385" w:type="pct"/>
          </w:tcPr>
          <w:p w14:paraId="6BCF272F" w14:textId="77777777" w:rsidR="00D502E2" w:rsidRPr="0036740D" w:rsidRDefault="00D502E2">
            <w:pPr>
              <w:spacing w:before="40" w:after="40"/>
              <w:jc w:val="right"/>
              <w:rPr>
                <w:rFonts w:ascii="Segoe UI Light" w:eastAsia="Times New Roman" w:hAnsi="Segoe UI Light" w:cs="Segoe UI Light"/>
                <w:color w:val="000000"/>
                <w:sz w:val="16"/>
                <w:szCs w:val="16"/>
                <w:lang w:eastAsia="lv-LV"/>
              </w:rPr>
            </w:pPr>
            <w:r w:rsidRPr="0036740D">
              <w:rPr>
                <w:rFonts w:ascii="Segoe UI Light" w:eastAsia="Times New Roman" w:hAnsi="Segoe UI Light" w:cs="Segoe UI Light"/>
                <w:color w:val="000000"/>
                <w:sz w:val="16"/>
                <w:szCs w:val="16"/>
                <w:lang w:eastAsia="lv-LV"/>
              </w:rPr>
              <w:t>B1G</w:t>
            </w:r>
          </w:p>
        </w:tc>
        <w:tc>
          <w:tcPr>
            <w:tcW w:w="2384" w:type="pct"/>
          </w:tcPr>
          <w:p w14:paraId="051F2CEA" w14:textId="77777777" w:rsidR="00D502E2" w:rsidRPr="0036740D" w:rsidRDefault="00D502E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eastAsia="lv-LV"/>
              </w:rPr>
            </w:pPr>
            <w:r w:rsidRPr="0036740D">
              <w:rPr>
                <w:rFonts w:ascii="Segoe UI Light" w:eastAsia="Times New Roman" w:hAnsi="Segoe UI Light" w:cs="Segoe UI Light"/>
                <w:b/>
                <w:color w:val="000000"/>
                <w:sz w:val="16"/>
                <w:szCs w:val="16"/>
                <w:lang w:eastAsia="lv-LV"/>
              </w:rPr>
              <w:t>IKP</w:t>
            </w:r>
          </w:p>
        </w:tc>
        <w:tc>
          <w:tcPr>
            <w:tcW w:w="555" w:type="pct"/>
            <w:noWrap/>
            <w:vAlign w:val="bottom"/>
            <w:hideMark/>
          </w:tcPr>
          <w:p w14:paraId="180AC3C8"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0000"/>
                <w:sz w:val="16"/>
                <w:szCs w:val="16"/>
              </w:rPr>
            </w:pPr>
            <w:r w:rsidRPr="000E09C2">
              <w:rPr>
                <w:rFonts w:ascii="Segoe UI Light" w:hAnsi="Segoe UI Light" w:cs="Segoe UI Light"/>
                <w:b/>
                <w:bCs/>
                <w:color w:val="000000"/>
                <w:sz w:val="16"/>
                <w:szCs w:val="16"/>
              </w:rPr>
              <w:t>3</w:t>
            </w:r>
            <w:r>
              <w:rPr>
                <w:rFonts w:ascii="Segoe UI Light" w:hAnsi="Segoe UI Light" w:cs="Segoe UI Light"/>
                <w:b/>
                <w:bCs/>
                <w:color w:val="000000"/>
                <w:sz w:val="16"/>
                <w:szCs w:val="16"/>
              </w:rPr>
              <w:t>,</w:t>
            </w:r>
            <w:r w:rsidRPr="000E09C2">
              <w:rPr>
                <w:rFonts w:ascii="Segoe UI Light" w:hAnsi="Segoe UI Light" w:cs="Segoe UI Light"/>
                <w:b/>
                <w:bCs/>
                <w:color w:val="000000"/>
                <w:sz w:val="16"/>
                <w:szCs w:val="16"/>
              </w:rPr>
              <w:t>2</w:t>
            </w:r>
          </w:p>
        </w:tc>
        <w:tc>
          <w:tcPr>
            <w:tcW w:w="557" w:type="pct"/>
            <w:noWrap/>
            <w:vAlign w:val="bottom"/>
            <w:hideMark/>
          </w:tcPr>
          <w:p w14:paraId="7005A107"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0000"/>
                <w:sz w:val="16"/>
                <w:szCs w:val="16"/>
              </w:rPr>
            </w:pPr>
            <w:r w:rsidRPr="000E09C2">
              <w:rPr>
                <w:rFonts w:ascii="Segoe UI Light" w:hAnsi="Segoe UI Light" w:cs="Segoe UI Light"/>
                <w:b/>
                <w:bCs/>
                <w:color w:val="000000"/>
                <w:sz w:val="16"/>
                <w:szCs w:val="16"/>
              </w:rPr>
              <w:t>1</w:t>
            </w:r>
            <w:r>
              <w:rPr>
                <w:rFonts w:ascii="Segoe UI Light" w:hAnsi="Segoe UI Light" w:cs="Segoe UI Light"/>
                <w:b/>
                <w:bCs/>
                <w:color w:val="000000"/>
                <w:sz w:val="16"/>
                <w:szCs w:val="16"/>
              </w:rPr>
              <w:t>,</w:t>
            </w:r>
            <w:r w:rsidRPr="000E09C2">
              <w:rPr>
                <w:rFonts w:ascii="Segoe UI Light" w:hAnsi="Segoe UI Light" w:cs="Segoe UI Light"/>
                <w:b/>
                <w:bCs/>
                <w:color w:val="000000"/>
                <w:sz w:val="16"/>
                <w:szCs w:val="16"/>
              </w:rPr>
              <w:t>0</w:t>
            </w:r>
          </w:p>
        </w:tc>
        <w:tc>
          <w:tcPr>
            <w:tcW w:w="566" w:type="pct"/>
            <w:noWrap/>
            <w:vAlign w:val="bottom"/>
            <w:hideMark/>
          </w:tcPr>
          <w:p w14:paraId="22FF6D6D"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0000"/>
                <w:sz w:val="16"/>
                <w:szCs w:val="16"/>
              </w:rPr>
            </w:pPr>
            <w:r w:rsidRPr="000E09C2">
              <w:rPr>
                <w:rFonts w:ascii="Segoe UI Light" w:hAnsi="Segoe UI Light" w:cs="Segoe UI Light"/>
                <w:b/>
                <w:bCs/>
                <w:color w:val="000000"/>
                <w:sz w:val="16"/>
                <w:szCs w:val="16"/>
              </w:rPr>
              <w:t>3</w:t>
            </w:r>
            <w:r>
              <w:rPr>
                <w:rFonts w:ascii="Segoe UI Light" w:hAnsi="Segoe UI Light" w:cs="Segoe UI Light"/>
                <w:b/>
                <w:bCs/>
                <w:color w:val="000000"/>
                <w:sz w:val="16"/>
                <w:szCs w:val="16"/>
              </w:rPr>
              <w:t>,</w:t>
            </w:r>
            <w:r w:rsidRPr="000E09C2">
              <w:rPr>
                <w:rFonts w:ascii="Segoe UI Light" w:hAnsi="Segoe UI Light" w:cs="Segoe UI Light"/>
                <w:b/>
                <w:bCs/>
                <w:color w:val="000000"/>
                <w:sz w:val="16"/>
                <w:szCs w:val="16"/>
              </w:rPr>
              <w:t>8</w:t>
            </w:r>
          </w:p>
        </w:tc>
        <w:tc>
          <w:tcPr>
            <w:tcW w:w="553" w:type="pct"/>
            <w:noWrap/>
            <w:vAlign w:val="bottom"/>
            <w:hideMark/>
          </w:tcPr>
          <w:p w14:paraId="3C15A705" w14:textId="77777777" w:rsidR="00D502E2" w:rsidRPr="000E09C2" w:rsidRDefault="00D502E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0000"/>
                <w:sz w:val="16"/>
                <w:szCs w:val="16"/>
              </w:rPr>
            </w:pPr>
            <w:r w:rsidRPr="000E09C2">
              <w:rPr>
                <w:rFonts w:ascii="Segoe UI Light" w:hAnsi="Segoe UI Light" w:cs="Segoe UI Light"/>
                <w:b/>
                <w:bCs/>
                <w:color w:val="000000"/>
                <w:sz w:val="16"/>
                <w:szCs w:val="16"/>
              </w:rPr>
              <w:t>4</w:t>
            </w:r>
            <w:r>
              <w:rPr>
                <w:rFonts w:ascii="Segoe UI Light" w:hAnsi="Segoe UI Light" w:cs="Segoe UI Light"/>
                <w:b/>
                <w:bCs/>
                <w:color w:val="000000"/>
                <w:sz w:val="16"/>
                <w:szCs w:val="16"/>
              </w:rPr>
              <w:t>,</w:t>
            </w:r>
            <w:r w:rsidRPr="000E09C2">
              <w:rPr>
                <w:rFonts w:ascii="Segoe UI Light" w:hAnsi="Segoe UI Light" w:cs="Segoe UI Light"/>
                <w:b/>
                <w:bCs/>
                <w:color w:val="000000"/>
                <w:sz w:val="16"/>
                <w:szCs w:val="16"/>
              </w:rPr>
              <w:t>1</w:t>
            </w:r>
          </w:p>
        </w:tc>
      </w:tr>
    </w:tbl>
    <w:p w14:paraId="00AE6ECE" w14:textId="77777777" w:rsidR="00D47BF2" w:rsidRPr="00D829F0" w:rsidRDefault="00D47BF2" w:rsidP="00D47BF2">
      <w:pPr>
        <w:spacing w:after="120"/>
        <w:jc w:val="both"/>
        <w:rPr>
          <w:rFonts w:ascii="Source Sans Pro" w:hAnsi="Source Sans Pro" w:cs="Calibri Light"/>
        </w:rPr>
      </w:pPr>
    </w:p>
    <w:p w14:paraId="7D2E19FE" w14:textId="77777777" w:rsidR="00D47BF2" w:rsidRPr="00D829F0" w:rsidRDefault="00D47BF2" w:rsidP="00D47BF2">
      <w:pPr>
        <w:spacing w:after="120"/>
        <w:jc w:val="both"/>
        <w:rPr>
          <w:rFonts w:ascii="Source Sans Pro" w:hAnsi="Source Sans Pro" w:cs="Calibri Light"/>
        </w:rPr>
      </w:pPr>
      <w:r w:rsidRPr="00D829F0">
        <w:rPr>
          <w:rFonts w:ascii="Source Sans Pro" w:hAnsi="Source Sans Pro" w:cs="Calibri Light"/>
        </w:rPr>
        <w:t>Kopumā ekonomikas transformācijas procesā arvien nozīmīgāka kļūs nišas nozaru attīstība ar augstu pievienoto vērtību, kā arī starpnozaru sadarbība. Tiks veidoti ciešāki uzņēmumu klasteri ap inovatīviem produktiem un pakalpojumiem, kur arvien būtiskāka būs dažādu jomu profesionāļu sadarbība un sinerģija.</w:t>
      </w:r>
    </w:p>
    <w:p w14:paraId="49089707" w14:textId="77777777" w:rsidR="00C67918" w:rsidRPr="00D829F0" w:rsidRDefault="00C67918" w:rsidP="007F2239">
      <w:pPr>
        <w:spacing w:after="120"/>
        <w:jc w:val="both"/>
        <w:rPr>
          <w:rFonts w:ascii="Source Sans Pro" w:hAnsi="Source Sans Pro" w:cs="Calibri Light"/>
          <w:szCs w:val="20"/>
        </w:rPr>
      </w:pPr>
    </w:p>
    <w:p w14:paraId="70A3F336" w14:textId="77777777" w:rsidR="005714C2" w:rsidRDefault="005714C2" w:rsidP="007F2239">
      <w:pPr>
        <w:spacing w:after="120"/>
        <w:jc w:val="both"/>
        <w:rPr>
          <w:rFonts w:ascii="Source Sans Pro" w:hAnsi="Source Sans Pro" w:cs="Calibri Light"/>
          <w:szCs w:val="20"/>
        </w:rPr>
      </w:pPr>
    </w:p>
    <w:p w14:paraId="617EA39A" w14:textId="77777777" w:rsidR="00345452" w:rsidRDefault="00345452">
      <w:pPr>
        <w:spacing w:after="0"/>
        <w:rPr>
          <w:rFonts w:ascii="Aptos Narrow" w:eastAsia="MS Gothic" w:hAnsi="Aptos Narrow"/>
          <w:b/>
          <w:bCs/>
          <w:smallCaps/>
          <w:color w:val="5F497A" w:themeColor="accent4" w:themeShade="BF"/>
          <w:sz w:val="28"/>
        </w:rPr>
      </w:pPr>
      <w:r>
        <w:rPr>
          <w:rFonts w:ascii="Aptos Narrow" w:eastAsia="MS Gothic" w:hAnsi="Aptos Narrow"/>
          <w:b/>
          <w:bCs/>
          <w:smallCaps/>
          <w:color w:val="5F497A" w:themeColor="accent4" w:themeShade="BF"/>
          <w:sz w:val="28"/>
        </w:rPr>
        <w:br w:type="page"/>
      </w:r>
    </w:p>
    <w:p w14:paraId="3B4AB97A" w14:textId="77777777" w:rsidR="005D4D09" w:rsidRPr="005D4D09" w:rsidRDefault="005D4D09" w:rsidP="004D3171">
      <w:pPr>
        <w:pStyle w:val="Heading3"/>
        <w:rPr>
          <w:rFonts w:eastAsia="MS Gothic"/>
          <w:b w:val="0"/>
          <w:bCs w:val="0"/>
          <w:smallCaps w:val="0"/>
          <w:color w:val="5F497A" w:themeColor="accent4" w:themeShade="BF"/>
        </w:rPr>
      </w:pPr>
      <w:bookmarkStart w:id="54" w:name="_Toc881134068"/>
      <w:r w:rsidRPr="004D3171">
        <w:lastRenderedPageBreak/>
        <w:t>3.1.2. Demogrāfijas prognozes</w:t>
      </w:r>
      <w:bookmarkEnd w:id="54"/>
    </w:p>
    <w:p w14:paraId="793E4A3C" w14:textId="77777777" w:rsidR="00345452" w:rsidRDefault="00345452" w:rsidP="005D4D09">
      <w:pPr>
        <w:spacing w:after="120"/>
        <w:jc w:val="both"/>
        <w:rPr>
          <w:rFonts w:ascii="Source Sans Pro" w:hAnsi="Source Sans Pro"/>
        </w:rPr>
      </w:pPr>
    </w:p>
    <w:p w14:paraId="311CC220" w14:textId="77777777" w:rsidR="00891EB2" w:rsidRPr="004B39FD" w:rsidRDefault="00891EB2" w:rsidP="001B57D6">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75A5EB8B" w14:textId="08D8A4ED" w:rsidR="002E580E" w:rsidRPr="002E580E" w:rsidRDefault="00891EB2"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2E580E" w:rsidRPr="002E580E">
        <w:rPr>
          <w:rFonts w:ascii="Aptos Narrow" w:hAnsi="Aptos Narrow" w:cs="Verdana"/>
          <w:color w:val="262626"/>
          <w:sz w:val="22"/>
        </w:rPr>
        <w:t>Iedzīvotāju skaits līdz 2040.</w:t>
      </w:r>
      <w:r w:rsidR="00893F98">
        <w:rPr>
          <w:rFonts w:ascii="Aptos Narrow" w:hAnsi="Aptos Narrow" w:cs="Verdana"/>
          <w:color w:val="262626"/>
          <w:sz w:val="22"/>
        </w:rPr>
        <w:t> </w:t>
      </w:r>
      <w:r w:rsidR="002E580E" w:rsidRPr="002E580E">
        <w:rPr>
          <w:rFonts w:ascii="Aptos Narrow" w:hAnsi="Aptos Narrow" w:cs="Verdana"/>
          <w:color w:val="262626"/>
          <w:sz w:val="22"/>
        </w:rPr>
        <w:t>gadam turpinās sarukt, tomēr negatīvās tendences pakāpeniski mazināsies, uzlabojoties migrācijas</w:t>
      </w:r>
      <w:r w:rsidR="00893F98">
        <w:rPr>
          <w:rFonts w:ascii="Aptos Narrow" w:hAnsi="Aptos Narrow" w:cs="Verdana"/>
          <w:color w:val="262626"/>
          <w:sz w:val="22"/>
        </w:rPr>
        <w:t xml:space="preserve"> un</w:t>
      </w:r>
      <w:r w:rsidR="002E580E" w:rsidRPr="002E580E">
        <w:rPr>
          <w:rFonts w:ascii="Aptos Narrow" w:hAnsi="Aptos Narrow" w:cs="Verdana"/>
          <w:color w:val="262626"/>
          <w:sz w:val="22"/>
        </w:rPr>
        <w:t xml:space="preserve"> dabiskā pieauguma rādītājiem.</w:t>
      </w:r>
    </w:p>
    <w:p w14:paraId="794A21CA" w14:textId="67DDB400" w:rsidR="002E580E" w:rsidRPr="002E580E" w:rsidRDefault="002E580E"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2E580E">
        <w:rPr>
          <w:rFonts w:ascii="Aptos Narrow" w:hAnsi="Aptos Narrow" w:cs="Verdana"/>
          <w:color w:val="262626"/>
          <w:sz w:val="22"/>
        </w:rPr>
        <w:t>Sabiedrības novecošanās saglabāsies par galveno iedzīvotāju skaita samazināšanās iemeslu – darbspējas vecuma iedzīvotāju skaits būtiski saruks, savukārt gados vecāku iedzīvotāju īpatsvars un demogrāfiskā slodze pieaugs.</w:t>
      </w:r>
    </w:p>
    <w:p w14:paraId="4929858D" w14:textId="1765887D" w:rsidR="00891EB2" w:rsidRPr="004B39FD" w:rsidRDefault="002E580E" w:rsidP="001B57D6">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Pr="002E580E">
        <w:rPr>
          <w:rFonts w:ascii="Aptos Narrow" w:hAnsi="Aptos Narrow" w:cs="Verdana"/>
          <w:color w:val="262626"/>
          <w:sz w:val="22"/>
        </w:rPr>
        <w:t>Dzimstība pakāpeniski atgūsies, taču saglabāsies zem paaudžu nomaiņai nepieciešamā līmeņa, tāpēc noturīga demogrāfiskās situācijas uzlabošanās lielā mērā būs atkarīga no migrācijas plūsmu maiņas un straujākas ekonomikas izaugsmes.</w:t>
      </w:r>
    </w:p>
    <w:p w14:paraId="302090B8" w14:textId="77777777" w:rsidR="00345452" w:rsidRDefault="00345452" w:rsidP="005D4D09">
      <w:pPr>
        <w:spacing w:after="120"/>
        <w:jc w:val="both"/>
        <w:rPr>
          <w:rFonts w:ascii="Source Sans Pro" w:hAnsi="Source Sans Pro"/>
        </w:rPr>
      </w:pPr>
    </w:p>
    <w:p w14:paraId="3CBA55F6" w14:textId="7D4871D0" w:rsidR="005D4D09" w:rsidRPr="00D829F0" w:rsidRDefault="005D4D09" w:rsidP="005D4D09">
      <w:pPr>
        <w:spacing w:after="120"/>
        <w:jc w:val="both"/>
        <w:rPr>
          <w:rFonts w:ascii="Source Sans Pro" w:hAnsi="Source Sans Pro"/>
          <w:color w:val="000000" w:themeColor="text1"/>
        </w:rPr>
      </w:pPr>
      <w:r w:rsidRPr="00D829F0">
        <w:rPr>
          <w:rFonts w:ascii="Source Sans Pro" w:hAnsi="Source Sans Pro"/>
        </w:rPr>
        <w:t>EM izstrādāto demogrāfijas prognožu Mērķa scenārijs parāda, ka iedzīvotāju skaits Latvijā līdz 2040.</w:t>
      </w:r>
      <w:r w:rsidR="00E55977">
        <w:rPr>
          <w:rFonts w:ascii="Source Sans Pro" w:hAnsi="Source Sans Pro"/>
        </w:rPr>
        <w:t> </w:t>
      </w:r>
      <w:r w:rsidRPr="00D829F0">
        <w:rPr>
          <w:rFonts w:ascii="Source Sans Pro" w:hAnsi="Source Sans Pro"/>
        </w:rPr>
        <w:t xml:space="preserve">gadam turpinās samazināties. Iedzīvotāju skaita negatīvās tendences mazināsies, prognozējot iedzīvotāju starptautiskās migrācijas un dabiskā pieauguma rādītāju uzlabošanos. Sabiedrības novecošanās tendences noteiks iedzīvotāju skaita samazināšanos vidējā un ilgtermiņā, mirstības rādītājiem turpinot pārsniegt dzimstības rādītājus. Ievērojamākais iedzīvotāju skaita samazinājums paredzams darbaspējas vecumā, kas mazinās darbaspēka piedāvājumu. </w:t>
      </w:r>
      <w:r w:rsidR="00E55977">
        <w:rPr>
          <w:rFonts w:ascii="Source Sans Pro" w:hAnsi="Source Sans Pro"/>
        </w:rPr>
        <w:t>P</w:t>
      </w:r>
      <w:r w:rsidRPr="00D829F0">
        <w:rPr>
          <w:rFonts w:ascii="Source Sans Pro" w:hAnsi="Source Sans Pro"/>
        </w:rPr>
        <w:t>ozitīvu ietekmi uz iedzīvotāju skaita dinamiku ir atstājusi arī Ukrainas kara bēgļu plūsma Latvijā. 2023.</w:t>
      </w:r>
      <w:r w:rsidR="00E55977">
        <w:rPr>
          <w:rFonts w:ascii="Source Sans Pro" w:hAnsi="Source Sans Pro"/>
        </w:rPr>
        <w:t> </w:t>
      </w:r>
      <w:r w:rsidRPr="00D829F0">
        <w:rPr>
          <w:rFonts w:ascii="Source Sans Pro" w:hAnsi="Source Sans Pro"/>
        </w:rPr>
        <w:t>gada sākumā, salīdzinot ar 2022.</w:t>
      </w:r>
      <w:r w:rsidR="00E55977">
        <w:rPr>
          <w:rFonts w:ascii="Source Sans Pro" w:hAnsi="Source Sans Pro"/>
        </w:rPr>
        <w:t> </w:t>
      </w:r>
      <w:r w:rsidRPr="00D829F0">
        <w:rPr>
          <w:rFonts w:ascii="Source Sans Pro" w:hAnsi="Source Sans Pro"/>
        </w:rPr>
        <w:t xml:space="preserve">gada sākumu, iedzīvotāju skaits Latvijā pieauga par 1,0%, kas ir pirmais iedzīvotāju skaita pieaugums pēdējo 30 gadu laikā. Lai arī ienākošā kara bēgļu plūsma kopumā atstāj pozitīvu ietekmi uz iedzīvotāju skaita dinamiku, tomēr jāņem vērā, ka šis efekts </w:t>
      </w:r>
      <w:r w:rsidR="00E55977">
        <w:rPr>
          <w:rFonts w:ascii="Source Sans Pro" w:hAnsi="Source Sans Pro"/>
        </w:rPr>
        <w:t xml:space="preserve">ar </w:t>
      </w:r>
      <w:r w:rsidRPr="00D829F0">
        <w:rPr>
          <w:rFonts w:ascii="Source Sans Pro" w:hAnsi="Source Sans Pro"/>
        </w:rPr>
        <w:t>laik</w:t>
      </w:r>
      <w:r w:rsidR="00E55977">
        <w:rPr>
          <w:rFonts w:ascii="Source Sans Pro" w:hAnsi="Source Sans Pro"/>
        </w:rPr>
        <w:t>u</w:t>
      </w:r>
      <w:r w:rsidRPr="00D829F0">
        <w:rPr>
          <w:rFonts w:ascii="Source Sans Pro" w:hAnsi="Source Sans Pro"/>
        </w:rPr>
        <w:t xml:space="preserve"> var mazināties, ņemot vērā bēgļu atgriešanos mājās vai dodoties tālāk uz </w:t>
      </w:r>
      <w:r w:rsidR="00E55977">
        <w:rPr>
          <w:rFonts w:ascii="Source Sans Pro" w:hAnsi="Source Sans Pro"/>
        </w:rPr>
        <w:t xml:space="preserve">citām </w:t>
      </w:r>
      <w:r w:rsidRPr="00D829F0">
        <w:rPr>
          <w:rFonts w:ascii="Source Sans Pro" w:hAnsi="Source Sans Pro"/>
        </w:rPr>
        <w:t xml:space="preserve">ES valstīm. </w:t>
      </w:r>
    </w:p>
    <w:p w14:paraId="2840FC45" w14:textId="49E37FA3" w:rsidR="000847B7" w:rsidRPr="002F1510" w:rsidRDefault="000847B7" w:rsidP="000847B7">
      <w:pPr>
        <w:spacing w:after="120"/>
        <w:jc w:val="both"/>
        <w:rPr>
          <w:rFonts w:ascii="Source Sans Pro" w:hAnsi="Source Sans Pro"/>
        </w:rPr>
      </w:pPr>
      <w:r w:rsidRPr="002F1510">
        <w:rPr>
          <w:rFonts w:ascii="Source Sans Pro" w:hAnsi="Source Sans Pro"/>
        </w:rPr>
        <w:t>Mērķa scenārijā iedzīvotāju samazināšanas vidējā termiņā līdz 2030.</w:t>
      </w:r>
      <w:r w:rsidR="00E55977">
        <w:rPr>
          <w:rFonts w:ascii="Source Sans Pro" w:hAnsi="Source Sans Pro"/>
        </w:rPr>
        <w:t> </w:t>
      </w:r>
      <w:r w:rsidRPr="002F1510">
        <w:rPr>
          <w:rFonts w:ascii="Source Sans Pro" w:hAnsi="Source Sans Pro"/>
        </w:rPr>
        <w:t>gadam paredzama kā bāzes scenārijā. Atšķirības sāk parādīties pēc 2030.</w:t>
      </w:r>
      <w:r w:rsidR="00E55977">
        <w:rPr>
          <w:rFonts w:ascii="Source Sans Pro" w:hAnsi="Source Sans Pro"/>
        </w:rPr>
        <w:t> </w:t>
      </w:r>
      <w:r w:rsidRPr="002F1510">
        <w:rPr>
          <w:rFonts w:ascii="Source Sans Pro" w:hAnsi="Source Sans Pro"/>
        </w:rPr>
        <w:t>gada un prognozēts, ka mērķa scenārijā 2040.</w:t>
      </w:r>
      <w:r w:rsidR="00E55977">
        <w:rPr>
          <w:rFonts w:ascii="Source Sans Pro" w:hAnsi="Source Sans Pro"/>
        </w:rPr>
        <w:t> </w:t>
      </w:r>
      <w:r w:rsidRPr="002F1510">
        <w:rPr>
          <w:rFonts w:ascii="Source Sans Pro" w:hAnsi="Source Sans Pro"/>
        </w:rPr>
        <w:t>gadā iedzīvotāju skaits par 29 tūkst. varētu pārsniegt bāzes scenārijā prognozēto. Bāzes scenārijs balstās uz ļoti pakāpenisku konverģenci ES vidējam attīstības līmenim, kamēr mērķa scenārijā tiek prognozēta straujāka tuvošanās ES vidējam līmenim. Mērķa scenārijā 2040.</w:t>
      </w:r>
      <w:r w:rsidR="00CE3263">
        <w:rPr>
          <w:rFonts w:ascii="Source Sans Pro" w:hAnsi="Source Sans Pro"/>
        </w:rPr>
        <w:t> </w:t>
      </w:r>
      <w:r w:rsidRPr="002F1510">
        <w:rPr>
          <w:rFonts w:ascii="Source Sans Pro" w:hAnsi="Source Sans Pro"/>
        </w:rPr>
        <w:t>gadā Latvijas IKP uz iedzīvotāju varētu veidot aptuveni 82% no ES vidējā līmeņa. Šis rādītājs būtu par gandrīz 20 procentpunktiem lielāks kā bāzes scenārijā. Paredzams, ka augstāks labklājības līmenis straujākā tempā mazinās ekonomisko migrāciju un sekmēs iedzīvotāju atgriešanos Latvijā. Mērķa scenārijā pozitīvs migrācijas saldo tiktu sasniegts ātrāk kā bāzes scenārijā.</w:t>
      </w:r>
    </w:p>
    <w:p w14:paraId="601AAD65" w14:textId="319EC130" w:rsidR="000847B7" w:rsidRPr="002F1510" w:rsidRDefault="000847B7" w:rsidP="000847B7">
      <w:pPr>
        <w:spacing w:after="120"/>
        <w:jc w:val="right"/>
        <w:rPr>
          <w:color w:val="000000"/>
          <w:szCs w:val="20"/>
        </w:rPr>
      </w:pPr>
      <w:r w:rsidRPr="002F1510">
        <w:rPr>
          <w:color w:val="000000"/>
          <w:szCs w:val="20"/>
        </w:rPr>
        <w:t>3.</w:t>
      </w:r>
      <w:r w:rsidR="00863DA5">
        <w:rPr>
          <w:color w:val="000000"/>
          <w:szCs w:val="20"/>
        </w:rPr>
        <w:t>5</w:t>
      </w:r>
      <w:r w:rsidRPr="002F1510">
        <w:rPr>
          <w:color w:val="000000"/>
          <w:szCs w:val="20"/>
        </w:rPr>
        <w:t>.</w:t>
      </w:r>
      <w:r w:rsidR="00CE3263">
        <w:rPr>
          <w:color w:val="000000"/>
          <w:szCs w:val="20"/>
        </w:rPr>
        <w:t> </w:t>
      </w:r>
      <w:r w:rsidRPr="002F1510">
        <w:rPr>
          <w:color w:val="000000"/>
          <w:szCs w:val="20"/>
        </w:rPr>
        <w:t>attēls</w:t>
      </w:r>
    </w:p>
    <w:p w14:paraId="7A7ADCB8" w14:textId="77777777" w:rsidR="000847B7" w:rsidRPr="002F1510" w:rsidRDefault="000847B7" w:rsidP="000847B7">
      <w:pPr>
        <w:spacing w:after="120"/>
        <w:jc w:val="center"/>
        <w:rPr>
          <w:rFonts w:ascii="Segoe UI Light" w:hAnsi="Segoe UI Light"/>
          <w:i/>
          <w:color w:val="000000"/>
          <w:sz w:val="16"/>
          <w:szCs w:val="20"/>
        </w:rPr>
      </w:pPr>
      <w:r w:rsidRPr="002F1510">
        <w:rPr>
          <w:rFonts w:ascii="Segoe UI Light" w:hAnsi="Segoe UI Light"/>
          <w:b/>
          <w:color w:val="000000"/>
          <w:sz w:val="18"/>
          <w:szCs w:val="20"/>
        </w:rPr>
        <w:t xml:space="preserve">Iedzīvotāju skaits </w:t>
      </w:r>
      <w:r w:rsidRPr="002F1510">
        <w:rPr>
          <w:rFonts w:ascii="Segoe UI Light" w:hAnsi="Segoe UI Light"/>
          <w:b/>
          <w:color w:val="000000"/>
          <w:sz w:val="18"/>
          <w:szCs w:val="20"/>
        </w:rPr>
        <w:br/>
      </w:r>
      <w:r w:rsidRPr="002F1510">
        <w:rPr>
          <w:rFonts w:ascii="Segoe UI Light" w:hAnsi="Segoe UI Light"/>
          <w:i/>
          <w:color w:val="000000"/>
          <w:sz w:val="16"/>
          <w:szCs w:val="20"/>
        </w:rPr>
        <w:t>tūkst.</w:t>
      </w:r>
    </w:p>
    <w:p w14:paraId="567287A9" w14:textId="77777777" w:rsidR="000847B7" w:rsidRPr="00C220C1" w:rsidRDefault="000847B7" w:rsidP="000847B7">
      <w:pPr>
        <w:spacing w:after="120"/>
        <w:jc w:val="both"/>
        <w:rPr>
          <w:color w:val="000000" w:themeColor="text1"/>
          <w:highlight w:val="green"/>
        </w:rPr>
      </w:pPr>
      <w:r w:rsidRPr="00C220C1">
        <w:rPr>
          <w:b/>
          <w:noProof/>
          <w:color w:val="000000"/>
          <w:szCs w:val="20"/>
          <w:highlight w:val="green"/>
          <w:lang w:eastAsia="lv-LV"/>
        </w:rPr>
        <w:drawing>
          <wp:inline distT="0" distB="0" distL="0" distR="0" wp14:anchorId="4D217A76" wp14:editId="1CF6CC12">
            <wp:extent cx="5759450" cy="2368061"/>
            <wp:effectExtent l="0" t="0" r="0" b="0"/>
            <wp:docPr id="391725171" name="Chart 3917251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02CB5250" w14:textId="242198A4" w:rsidR="000847B7" w:rsidRPr="008D0E0F" w:rsidRDefault="000847B7" w:rsidP="000847B7">
      <w:pPr>
        <w:spacing w:after="120"/>
        <w:jc w:val="both"/>
        <w:rPr>
          <w:rFonts w:cs="Calibri Light"/>
          <w:sz w:val="16"/>
          <w:szCs w:val="14"/>
        </w:rPr>
      </w:pPr>
      <w:r w:rsidRPr="005836DC">
        <w:rPr>
          <w:rFonts w:cs="Calibri Light"/>
          <w:sz w:val="16"/>
          <w:szCs w:val="14"/>
        </w:rPr>
        <w:t>Avots: CSP dati līdz 2026.</w:t>
      </w:r>
      <w:r w:rsidR="00CE3263">
        <w:rPr>
          <w:rFonts w:cs="Calibri Light"/>
          <w:sz w:val="16"/>
          <w:szCs w:val="14"/>
        </w:rPr>
        <w:t> </w:t>
      </w:r>
      <w:r w:rsidRPr="005836DC">
        <w:rPr>
          <w:rFonts w:cs="Calibri Light"/>
          <w:sz w:val="16"/>
          <w:szCs w:val="14"/>
        </w:rPr>
        <w:t>gadam, EM prognozes sākot ar 2027.</w:t>
      </w:r>
      <w:r w:rsidR="00CE3263">
        <w:rPr>
          <w:rFonts w:cs="Calibri Light"/>
          <w:sz w:val="16"/>
          <w:szCs w:val="14"/>
        </w:rPr>
        <w:t> </w:t>
      </w:r>
      <w:r w:rsidRPr="005836DC">
        <w:rPr>
          <w:rFonts w:cs="Calibri Light"/>
          <w:sz w:val="16"/>
          <w:szCs w:val="14"/>
        </w:rPr>
        <w:t>gadu</w:t>
      </w:r>
    </w:p>
    <w:p w14:paraId="27EEF429" w14:textId="77777777" w:rsidR="005D4D09" w:rsidRPr="002E580E" w:rsidRDefault="005D4D09" w:rsidP="005D4D09">
      <w:pPr>
        <w:spacing w:after="120"/>
        <w:jc w:val="both"/>
        <w:rPr>
          <w:rFonts w:ascii="Aptos Narrow" w:hAnsi="Aptos Narrow"/>
          <w:b/>
          <w:color w:val="003E4C"/>
          <w:sz w:val="28"/>
          <w:szCs w:val="28"/>
        </w:rPr>
      </w:pPr>
      <w:r w:rsidRPr="002E580E">
        <w:rPr>
          <w:rFonts w:ascii="Aptos Narrow" w:hAnsi="Aptos Narrow"/>
          <w:b/>
          <w:color w:val="003E4C"/>
          <w:sz w:val="28"/>
          <w:szCs w:val="28"/>
        </w:rPr>
        <w:lastRenderedPageBreak/>
        <w:t>Iedzīvotāju skaita un vecumstruktūras izmaiņas</w:t>
      </w:r>
    </w:p>
    <w:p w14:paraId="15198045" w14:textId="4E467B33" w:rsidR="005D4D09" w:rsidRPr="00D829F0" w:rsidRDefault="005D4D09" w:rsidP="005D4D09">
      <w:pPr>
        <w:spacing w:after="120"/>
        <w:jc w:val="both"/>
        <w:rPr>
          <w:rFonts w:ascii="Source Sans Pro" w:hAnsi="Source Sans Pro"/>
        </w:rPr>
      </w:pPr>
      <w:r w:rsidRPr="00D829F0">
        <w:rPr>
          <w:rFonts w:ascii="Source Sans Pro" w:hAnsi="Source Sans Pro"/>
        </w:rPr>
        <w:t>Latvijas prognozētais iedzīvotāju skaits 2040.</w:t>
      </w:r>
      <w:r w:rsidR="00CE3263">
        <w:rPr>
          <w:rFonts w:ascii="Source Sans Pro" w:hAnsi="Source Sans Pro"/>
        </w:rPr>
        <w:t> </w:t>
      </w:r>
      <w:r w:rsidRPr="00D829F0">
        <w:rPr>
          <w:rFonts w:ascii="Source Sans Pro" w:hAnsi="Source Sans Pro"/>
        </w:rPr>
        <w:t>gadā varētu samazināties līdz 1,75 milj., kas ir par 5,1% jeb 95</w:t>
      </w:r>
      <w:r w:rsidR="00CE3263">
        <w:rPr>
          <w:rFonts w:ascii="Source Sans Pro" w:hAnsi="Source Sans Pro"/>
        </w:rPr>
        <w:t> </w:t>
      </w:r>
      <w:r w:rsidRPr="00D829F0">
        <w:rPr>
          <w:rFonts w:ascii="Source Sans Pro" w:hAnsi="Source Sans Pro"/>
        </w:rPr>
        <w:t>tūkst. mazāk nekā 2026.</w:t>
      </w:r>
      <w:r w:rsidR="00CE3263">
        <w:rPr>
          <w:rFonts w:ascii="Source Sans Pro" w:hAnsi="Source Sans Pro"/>
        </w:rPr>
        <w:t> </w:t>
      </w:r>
      <w:r w:rsidRPr="00D829F0">
        <w:rPr>
          <w:rFonts w:ascii="Source Sans Pro" w:hAnsi="Source Sans Pro"/>
        </w:rPr>
        <w:t xml:space="preserve">gada sākumā. </w:t>
      </w:r>
      <w:r w:rsidR="00CE3263">
        <w:rPr>
          <w:rFonts w:ascii="Source Sans Pro" w:hAnsi="Source Sans Pro"/>
        </w:rPr>
        <w:t>S</w:t>
      </w:r>
      <w:r w:rsidRPr="00D829F0">
        <w:rPr>
          <w:rFonts w:ascii="Source Sans Pro" w:hAnsi="Source Sans Pro"/>
        </w:rPr>
        <w:t>alīdzinot ar 2024.</w:t>
      </w:r>
      <w:r w:rsidR="00CE3263">
        <w:rPr>
          <w:rFonts w:ascii="Source Sans Pro" w:hAnsi="Source Sans Pro"/>
        </w:rPr>
        <w:t> </w:t>
      </w:r>
      <w:r w:rsidRPr="00D829F0">
        <w:rPr>
          <w:rFonts w:ascii="Source Sans Pro" w:hAnsi="Source Sans Pro"/>
        </w:rPr>
        <w:t>gada EM demogrāfijas prognožu mērķa scenāriju, iedzīvotāju skaita prognozes ir pazeminātas (2040.</w:t>
      </w:r>
      <w:r w:rsidR="00CE3263">
        <w:rPr>
          <w:rFonts w:ascii="Source Sans Pro" w:hAnsi="Source Sans Pro"/>
        </w:rPr>
        <w:t> </w:t>
      </w:r>
      <w:r w:rsidRPr="00D829F0">
        <w:rPr>
          <w:rFonts w:ascii="Source Sans Pro" w:hAnsi="Source Sans Pro"/>
        </w:rPr>
        <w:t>gadā par 7,4</w:t>
      </w:r>
      <w:r w:rsidR="00CE3263">
        <w:rPr>
          <w:rFonts w:ascii="Source Sans Pro" w:hAnsi="Source Sans Pro"/>
        </w:rPr>
        <w:t> </w:t>
      </w:r>
      <w:r w:rsidRPr="00D829F0">
        <w:rPr>
          <w:rFonts w:ascii="Source Sans Pro" w:hAnsi="Source Sans Pro"/>
        </w:rPr>
        <w:t>tūkst. mazāk nekā 2022.</w:t>
      </w:r>
      <w:r w:rsidR="00CE3263">
        <w:rPr>
          <w:rFonts w:ascii="Source Sans Pro" w:hAnsi="Source Sans Pro"/>
        </w:rPr>
        <w:t> </w:t>
      </w:r>
      <w:r w:rsidRPr="00D829F0">
        <w:rPr>
          <w:rFonts w:ascii="Source Sans Pro" w:hAnsi="Source Sans Pro"/>
        </w:rPr>
        <w:t xml:space="preserve">gada prognozēs), ko noteica dzimstības rādītāju un migrācijas rādītāju prognožu pasliktināšanās. </w:t>
      </w:r>
    </w:p>
    <w:p w14:paraId="0E5A9376" w14:textId="40B9718F" w:rsidR="005D4D09" w:rsidRPr="00D829F0" w:rsidRDefault="005D4D09" w:rsidP="005D4D09">
      <w:pPr>
        <w:spacing w:after="120"/>
        <w:jc w:val="right"/>
        <w:rPr>
          <w:rFonts w:ascii="Source Sans Pro" w:hAnsi="Source Sans Pro"/>
          <w:szCs w:val="20"/>
        </w:rPr>
      </w:pPr>
      <w:r w:rsidRPr="00D829F0">
        <w:rPr>
          <w:rFonts w:ascii="Source Sans Pro" w:hAnsi="Source Sans Pro"/>
          <w:szCs w:val="20"/>
        </w:rPr>
        <w:t>3.3.</w:t>
      </w:r>
      <w:r w:rsidR="00CE3263">
        <w:rPr>
          <w:rFonts w:ascii="Source Sans Pro" w:hAnsi="Source Sans Pro"/>
          <w:szCs w:val="20"/>
        </w:rPr>
        <w:t> </w:t>
      </w:r>
      <w:r w:rsidRPr="00D829F0">
        <w:rPr>
          <w:rFonts w:ascii="Source Sans Pro" w:hAnsi="Source Sans Pro"/>
          <w:szCs w:val="20"/>
        </w:rPr>
        <w:t>tabula</w:t>
      </w:r>
    </w:p>
    <w:p w14:paraId="43D7D8C7" w14:textId="77777777" w:rsidR="005D4D09" w:rsidRPr="005D4D09" w:rsidRDefault="005D4D09" w:rsidP="005D4D09">
      <w:pPr>
        <w:tabs>
          <w:tab w:val="left" w:pos="720"/>
          <w:tab w:val="left" w:pos="3259"/>
          <w:tab w:val="left" w:pos="4200"/>
          <w:tab w:val="left" w:pos="5141"/>
          <w:tab w:val="left" w:pos="6082"/>
          <w:tab w:val="left" w:pos="7022"/>
          <w:tab w:val="left" w:pos="7963"/>
          <w:tab w:val="left" w:pos="8870"/>
          <w:tab w:val="left" w:pos="9794"/>
          <w:tab w:val="left" w:pos="10718"/>
          <w:tab w:val="left" w:pos="11659"/>
          <w:tab w:val="left" w:pos="13171"/>
        </w:tabs>
        <w:suppressAutoHyphens/>
        <w:spacing w:after="120"/>
        <w:jc w:val="center"/>
        <w:rPr>
          <w:rFonts w:ascii="Segoe UI Light" w:eastAsia="Times New Roman" w:hAnsi="Segoe UI Light"/>
          <w:bCs/>
          <w:i/>
          <w:color w:val="000000"/>
          <w:sz w:val="16"/>
          <w:szCs w:val="18"/>
        </w:rPr>
      </w:pPr>
      <w:r w:rsidRPr="005D4D09">
        <w:rPr>
          <w:rFonts w:ascii="Segoe UI Light" w:eastAsia="Times New Roman" w:hAnsi="Segoe UI Light"/>
          <w:b/>
          <w:bCs/>
          <w:color w:val="000000"/>
          <w:sz w:val="18"/>
          <w:szCs w:val="18"/>
        </w:rPr>
        <w:t>Iedzīvotāju dabiskās kustības galvenie rādītāji</w:t>
      </w:r>
      <w:r w:rsidRPr="005D4D09">
        <w:rPr>
          <w:rFonts w:ascii="Segoe UI Light" w:eastAsia="Times New Roman" w:hAnsi="Segoe UI Light"/>
          <w:b/>
          <w:bCs/>
          <w:color w:val="000000"/>
          <w:sz w:val="18"/>
          <w:szCs w:val="18"/>
        </w:rPr>
        <w:br/>
      </w:r>
      <w:r w:rsidRPr="005D4D09">
        <w:rPr>
          <w:rFonts w:ascii="Segoe UI Light" w:eastAsia="Times New Roman" w:hAnsi="Segoe UI Light"/>
          <w:bCs/>
          <w:i/>
          <w:color w:val="000000"/>
          <w:sz w:val="16"/>
          <w:szCs w:val="18"/>
        </w:rPr>
        <w:t>tūkstošos</w:t>
      </w:r>
    </w:p>
    <w:tbl>
      <w:tblPr>
        <w:tblStyle w:val="GridTable5Dark-Accent313"/>
        <w:tblW w:w="652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972"/>
        <w:gridCol w:w="851"/>
        <w:gridCol w:w="851"/>
        <w:gridCol w:w="851"/>
      </w:tblGrid>
      <w:tr w:rsidR="005D4D09" w:rsidRPr="00D829F0" w14:paraId="1817D247" w14:textId="77777777" w:rsidTr="005714C2">
        <w:trPr>
          <w:cnfStyle w:val="100000000000" w:firstRow="1" w:lastRow="0" w:firstColumn="0" w:lastColumn="0" w:oddVBand="0" w:evenVBand="0" w:oddHBand="0" w:evenHBand="0" w:firstRowFirstColumn="0" w:firstRowLastColumn="0" w:lastRowFirstColumn="0" w:lastRowLastColumn="0"/>
          <w:trHeight w:val="454"/>
          <w:jc w:val="center"/>
        </w:trPr>
        <w:tc>
          <w:tcPr>
            <w:tcW w:w="3969" w:type="dxa"/>
            <w:tcBorders>
              <w:bottom w:val="nil"/>
            </w:tcBorders>
            <w:shd w:val="clear" w:color="auto" w:fill="006666"/>
            <w:vAlign w:val="center"/>
          </w:tcPr>
          <w:p w14:paraId="4AA42C00" w14:textId="77777777" w:rsidR="005D4D09" w:rsidRPr="005D4D09" w:rsidRDefault="005D4D09" w:rsidP="005D4D09">
            <w:pPr>
              <w:numPr>
                <w:ilvl w:val="12"/>
                <w:numId w:val="0"/>
              </w:numPr>
              <w:spacing w:before="40" w:after="40"/>
              <w:jc w:val="center"/>
              <w:rPr>
                <w:rFonts w:ascii="Segoe UI Light" w:hAnsi="Segoe UI Light"/>
                <w:sz w:val="16"/>
                <w:szCs w:val="16"/>
              </w:rPr>
            </w:pPr>
          </w:p>
        </w:tc>
        <w:tc>
          <w:tcPr>
            <w:tcW w:w="850" w:type="dxa"/>
            <w:tcBorders>
              <w:bottom w:val="nil"/>
            </w:tcBorders>
            <w:shd w:val="clear" w:color="auto" w:fill="006666"/>
            <w:vAlign w:val="center"/>
            <w:hideMark/>
          </w:tcPr>
          <w:p w14:paraId="1738D072" w14:textId="77777777" w:rsidR="005D4D09" w:rsidRPr="005D4D09" w:rsidRDefault="005D4D09" w:rsidP="005D4D09">
            <w:pPr>
              <w:keepLines/>
              <w:numPr>
                <w:ilvl w:val="12"/>
                <w:numId w:val="0"/>
              </w:numPr>
              <w:spacing w:before="40" w:after="40"/>
              <w:ind w:left="-79" w:right="-56"/>
              <w:jc w:val="center"/>
              <w:rPr>
                <w:rFonts w:ascii="Segoe UI Light" w:hAnsi="Segoe UI Light"/>
                <w:sz w:val="16"/>
                <w:szCs w:val="16"/>
              </w:rPr>
            </w:pPr>
            <w:r w:rsidRPr="005D4D09">
              <w:rPr>
                <w:rFonts w:ascii="Segoe UI Light" w:hAnsi="Segoe UI Light"/>
                <w:sz w:val="16"/>
                <w:szCs w:val="16"/>
              </w:rPr>
              <w:t>2026</w:t>
            </w:r>
          </w:p>
        </w:tc>
        <w:tc>
          <w:tcPr>
            <w:tcW w:w="850" w:type="dxa"/>
            <w:tcBorders>
              <w:bottom w:val="nil"/>
            </w:tcBorders>
            <w:shd w:val="clear" w:color="auto" w:fill="006666"/>
            <w:vAlign w:val="center"/>
            <w:hideMark/>
          </w:tcPr>
          <w:p w14:paraId="79A17416" w14:textId="77777777" w:rsidR="005D4D09" w:rsidRPr="005D4D09" w:rsidRDefault="005D4D09" w:rsidP="005D4D09">
            <w:pPr>
              <w:keepLines/>
              <w:numPr>
                <w:ilvl w:val="12"/>
                <w:numId w:val="0"/>
              </w:numPr>
              <w:spacing w:before="40" w:after="40"/>
              <w:ind w:left="-79" w:right="-56"/>
              <w:jc w:val="center"/>
              <w:rPr>
                <w:rFonts w:ascii="Segoe UI Light" w:hAnsi="Segoe UI Light"/>
                <w:sz w:val="16"/>
                <w:szCs w:val="16"/>
              </w:rPr>
            </w:pPr>
            <w:r w:rsidRPr="005D4D09">
              <w:rPr>
                <w:rFonts w:ascii="Segoe UI Light" w:hAnsi="Segoe UI Light"/>
                <w:sz w:val="16"/>
                <w:szCs w:val="16"/>
              </w:rPr>
              <w:t>2030</w:t>
            </w:r>
          </w:p>
        </w:tc>
        <w:tc>
          <w:tcPr>
            <w:tcW w:w="850" w:type="dxa"/>
            <w:tcBorders>
              <w:bottom w:val="nil"/>
            </w:tcBorders>
            <w:shd w:val="clear" w:color="auto" w:fill="006666"/>
            <w:vAlign w:val="center"/>
            <w:hideMark/>
          </w:tcPr>
          <w:p w14:paraId="41EF658E" w14:textId="77777777" w:rsidR="005D4D09" w:rsidRPr="005D4D09" w:rsidRDefault="005D4D09" w:rsidP="005D4D09">
            <w:pPr>
              <w:keepLines/>
              <w:numPr>
                <w:ilvl w:val="12"/>
                <w:numId w:val="0"/>
              </w:numPr>
              <w:spacing w:before="40" w:after="40"/>
              <w:ind w:left="-79" w:right="-56"/>
              <w:jc w:val="center"/>
              <w:rPr>
                <w:rFonts w:ascii="Segoe UI Light" w:hAnsi="Segoe UI Light"/>
                <w:sz w:val="16"/>
                <w:szCs w:val="16"/>
              </w:rPr>
            </w:pPr>
            <w:r w:rsidRPr="005D4D09">
              <w:rPr>
                <w:rFonts w:ascii="Segoe UI Light" w:hAnsi="Segoe UI Light"/>
                <w:sz w:val="16"/>
                <w:szCs w:val="16"/>
              </w:rPr>
              <w:t>2040</w:t>
            </w:r>
          </w:p>
        </w:tc>
      </w:tr>
      <w:tr w:rsidR="005D4D09" w:rsidRPr="00D829F0" w14:paraId="4C3B4A2D" w14:textId="77777777" w:rsidTr="005714C2">
        <w:trPr>
          <w:cnfStyle w:val="000000100000" w:firstRow="0" w:lastRow="0" w:firstColumn="0" w:lastColumn="0" w:oddVBand="0" w:evenVBand="0" w:oddHBand="1" w:evenHBand="0" w:firstRowFirstColumn="0" w:firstRowLastColumn="0" w:lastRowFirstColumn="0" w:lastRowLastColumn="0"/>
          <w:jc w:val="center"/>
        </w:trPr>
        <w:tc>
          <w:tcPr>
            <w:tcW w:w="3969" w:type="dxa"/>
            <w:shd w:val="clear" w:color="auto" w:fill="DCE7EB"/>
            <w:hideMark/>
          </w:tcPr>
          <w:p w14:paraId="64EAB187" w14:textId="77777777" w:rsidR="005D4D09" w:rsidRPr="005D4D09" w:rsidRDefault="005D4D09" w:rsidP="005D4D09">
            <w:pPr>
              <w:numPr>
                <w:ilvl w:val="12"/>
                <w:numId w:val="0"/>
              </w:numPr>
              <w:spacing w:before="40" w:after="40"/>
              <w:rPr>
                <w:rFonts w:ascii="Segoe UI Light" w:hAnsi="Segoe UI Light"/>
                <w:sz w:val="16"/>
                <w:szCs w:val="16"/>
              </w:rPr>
            </w:pPr>
            <w:r w:rsidRPr="005D4D09">
              <w:rPr>
                <w:rFonts w:ascii="Segoe UI Light" w:hAnsi="Segoe UI Light"/>
                <w:sz w:val="16"/>
                <w:szCs w:val="16"/>
              </w:rPr>
              <w:t>Iedzīvotāju skaits gada sākumā</w:t>
            </w:r>
          </w:p>
        </w:tc>
        <w:tc>
          <w:tcPr>
            <w:tcW w:w="850" w:type="dxa"/>
            <w:shd w:val="clear" w:color="auto" w:fill="DCE7EB"/>
            <w:hideMark/>
          </w:tcPr>
          <w:p w14:paraId="1AA969AD"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1 845</w:t>
            </w:r>
          </w:p>
        </w:tc>
        <w:tc>
          <w:tcPr>
            <w:tcW w:w="850" w:type="dxa"/>
            <w:shd w:val="clear" w:color="auto" w:fill="DCE7EB"/>
            <w:hideMark/>
          </w:tcPr>
          <w:p w14:paraId="7047DF52"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1 793</w:t>
            </w:r>
          </w:p>
        </w:tc>
        <w:tc>
          <w:tcPr>
            <w:tcW w:w="850" w:type="dxa"/>
            <w:shd w:val="clear" w:color="auto" w:fill="DCE7EB"/>
            <w:hideMark/>
          </w:tcPr>
          <w:p w14:paraId="104F45F4"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1 751</w:t>
            </w:r>
          </w:p>
        </w:tc>
      </w:tr>
      <w:tr w:rsidR="005D4D09" w:rsidRPr="00D829F0" w14:paraId="30DDA170" w14:textId="77777777" w:rsidTr="005714C2">
        <w:trPr>
          <w:jc w:val="center"/>
        </w:trPr>
        <w:tc>
          <w:tcPr>
            <w:tcW w:w="3969" w:type="dxa"/>
            <w:shd w:val="clear" w:color="auto" w:fill="auto"/>
            <w:hideMark/>
          </w:tcPr>
          <w:p w14:paraId="19998474" w14:textId="77777777" w:rsidR="005D4D09" w:rsidRPr="005D4D09" w:rsidRDefault="005D4D09" w:rsidP="005D4D09">
            <w:pPr>
              <w:numPr>
                <w:ilvl w:val="12"/>
                <w:numId w:val="0"/>
              </w:numPr>
              <w:spacing w:before="40" w:after="40"/>
              <w:rPr>
                <w:rFonts w:ascii="Segoe UI Light" w:hAnsi="Segoe UI Light"/>
                <w:sz w:val="16"/>
                <w:szCs w:val="16"/>
              </w:rPr>
            </w:pPr>
            <w:r w:rsidRPr="005D4D09">
              <w:rPr>
                <w:rFonts w:ascii="Segoe UI Light" w:hAnsi="Segoe UI Light"/>
                <w:sz w:val="16"/>
                <w:szCs w:val="16"/>
              </w:rPr>
              <w:t>Iedzīvotāju skaita izmaiņas, salīdzinot ar 2026.gadu</w:t>
            </w:r>
          </w:p>
        </w:tc>
        <w:tc>
          <w:tcPr>
            <w:tcW w:w="850" w:type="dxa"/>
            <w:shd w:val="clear" w:color="auto" w:fill="auto"/>
            <w:hideMark/>
          </w:tcPr>
          <w:p w14:paraId="317B2365" w14:textId="77777777" w:rsidR="005D4D09" w:rsidRPr="005D4D09" w:rsidRDefault="005D4D09" w:rsidP="005D4D09">
            <w:pPr>
              <w:tabs>
                <w:tab w:val="decimal" w:pos="317"/>
              </w:tabs>
              <w:spacing w:before="40" w:after="40"/>
              <w:rPr>
                <w:rFonts w:ascii="Segoe UI Light" w:hAnsi="Segoe UI Light"/>
                <w:sz w:val="16"/>
                <w:szCs w:val="16"/>
              </w:rPr>
            </w:pPr>
            <w:r w:rsidRPr="005D4D09">
              <w:rPr>
                <w:rFonts w:ascii="Segoe UI Light" w:hAnsi="Segoe UI Light"/>
                <w:sz w:val="16"/>
                <w:szCs w:val="16"/>
              </w:rPr>
              <w:t>–</w:t>
            </w:r>
          </w:p>
        </w:tc>
        <w:tc>
          <w:tcPr>
            <w:tcW w:w="850" w:type="dxa"/>
            <w:shd w:val="clear" w:color="auto" w:fill="auto"/>
            <w:hideMark/>
          </w:tcPr>
          <w:p w14:paraId="5C099795"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-52</w:t>
            </w:r>
          </w:p>
        </w:tc>
        <w:tc>
          <w:tcPr>
            <w:tcW w:w="850" w:type="dxa"/>
            <w:shd w:val="clear" w:color="auto" w:fill="auto"/>
            <w:hideMark/>
          </w:tcPr>
          <w:p w14:paraId="77090A50"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-95</w:t>
            </w:r>
          </w:p>
        </w:tc>
      </w:tr>
      <w:tr w:rsidR="005D4D09" w:rsidRPr="00D829F0" w14:paraId="134ECB1E" w14:textId="77777777" w:rsidTr="005714C2">
        <w:trPr>
          <w:cnfStyle w:val="000000100000" w:firstRow="0" w:lastRow="0" w:firstColumn="0" w:lastColumn="0" w:oddVBand="0" w:evenVBand="0" w:oddHBand="1" w:evenHBand="0" w:firstRowFirstColumn="0" w:firstRowLastColumn="0" w:lastRowFirstColumn="0" w:lastRowLastColumn="0"/>
          <w:jc w:val="center"/>
        </w:trPr>
        <w:tc>
          <w:tcPr>
            <w:tcW w:w="3969" w:type="dxa"/>
            <w:shd w:val="clear" w:color="auto" w:fill="DCE7EB"/>
            <w:hideMark/>
          </w:tcPr>
          <w:p w14:paraId="418721A0" w14:textId="77777777" w:rsidR="005D4D09" w:rsidRPr="005D4D09" w:rsidRDefault="005D4D09" w:rsidP="005D4D09">
            <w:pPr>
              <w:numPr>
                <w:ilvl w:val="12"/>
                <w:numId w:val="0"/>
              </w:numPr>
              <w:spacing w:before="40" w:after="40"/>
              <w:ind w:left="199"/>
              <w:rPr>
                <w:rFonts w:ascii="Segoe UI Light" w:hAnsi="Segoe UI Light"/>
                <w:sz w:val="16"/>
                <w:szCs w:val="16"/>
              </w:rPr>
            </w:pPr>
            <w:r w:rsidRPr="005D4D09">
              <w:rPr>
                <w:rFonts w:ascii="Segoe UI Light" w:hAnsi="Segoe UI Light"/>
                <w:sz w:val="16"/>
                <w:szCs w:val="16"/>
              </w:rPr>
              <w:t>t.sk. migrācijas ietekme</w:t>
            </w:r>
          </w:p>
        </w:tc>
        <w:tc>
          <w:tcPr>
            <w:tcW w:w="850" w:type="dxa"/>
            <w:shd w:val="clear" w:color="auto" w:fill="DCE7EB"/>
            <w:hideMark/>
          </w:tcPr>
          <w:p w14:paraId="7821CC17" w14:textId="77777777" w:rsidR="005D4D09" w:rsidRPr="005D4D09" w:rsidRDefault="005D4D09" w:rsidP="005D4D09">
            <w:pPr>
              <w:tabs>
                <w:tab w:val="decimal" w:pos="317"/>
              </w:tabs>
              <w:spacing w:before="40" w:after="40"/>
              <w:rPr>
                <w:rFonts w:ascii="Segoe UI Light" w:hAnsi="Segoe UI Light"/>
                <w:sz w:val="16"/>
                <w:szCs w:val="16"/>
              </w:rPr>
            </w:pPr>
            <w:r w:rsidRPr="005D4D09">
              <w:rPr>
                <w:rFonts w:ascii="Segoe UI Light" w:hAnsi="Segoe UI Light"/>
                <w:sz w:val="16"/>
                <w:szCs w:val="16"/>
              </w:rPr>
              <w:t>–</w:t>
            </w:r>
          </w:p>
        </w:tc>
        <w:tc>
          <w:tcPr>
            <w:tcW w:w="850" w:type="dxa"/>
            <w:shd w:val="clear" w:color="auto" w:fill="DCE7EB"/>
            <w:hideMark/>
          </w:tcPr>
          <w:p w14:paraId="439F8DCF"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-3</w:t>
            </w:r>
          </w:p>
        </w:tc>
        <w:tc>
          <w:tcPr>
            <w:tcW w:w="850" w:type="dxa"/>
            <w:shd w:val="clear" w:color="auto" w:fill="DCE7EB"/>
            <w:hideMark/>
          </w:tcPr>
          <w:p w14:paraId="5B1016FD"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37</w:t>
            </w:r>
          </w:p>
        </w:tc>
      </w:tr>
      <w:tr w:rsidR="005D4D09" w:rsidRPr="00D829F0" w14:paraId="5DFCFF0F" w14:textId="77777777" w:rsidTr="005714C2">
        <w:trPr>
          <w:jc w:val="center"/>
        </w:trPr>
        <w:tc>
          <w:tcPr>
            <w:tcW w:w="3969" w:type="dxa"/>
            <w:shd w:val="clear" w:color="auto" w:fill="auto"/>
            <w:hideMark/>
          </w:tcPr>
          <w:p w14:paraId="50D30441" w14:textId="77777777" w:rsidR="005D4D09" w:rsidRPr="005D4D09" w:rsidRDefault="005D4D09" w:rsidP="005D4D09">
            <w:pPr>
              <w:numPr>
                <w:ilvl w:val="12"/>
                <w:numId w:val="0"/>
              </w:numPr>
              <w:spacing w:before="40" w:after="40"/>
              <w:ind w:left="199"/>
              <w:rPr>
                <w:rFonts w:ascii="Segoe UI Light" w:hAnsi="Segoe UI Light"/>
                <w:sz w:val="16"/>
                <w:szCs w:val="16"/>
              </w:rPr>
            </w:pPr>
            <w:r w:rsidRPr="005D4D09">
              <w:rPr>
                <w:rFonts w:ascii="Segoe UI Light" w:hAnsi="Segoe UI Light"/>
                <w:sz w:val="16"/>
                <w:szCs w:val="16"/>
              </w:rPr>
              <w:t>t.sk. dabiskā pieauguma ietekme</w:t>
            </w:r>
          </w:p>
        </w:tc>
        <w:tc>
          <w:tcPr>
            <w:tcW w:w="850" w:type="dxa"/>
            <w:shd w:val="clear" w:color="auto" w:fill="auto"/>
            <w:hideMark/>
          </w:tcPr>
          <w:p w14:paraId="4A5720F5" w14:textId="77777777" w:rsidR="005D4D09" w:rsidRPr="005D4D09" w:rsidRDefault="005D4D09" w:rsidP="005D4D09">
            <w:pPr>
              <w:tabs>
                <w:tab w:val="decimal" w:pos="317"/>
              </w:tabs>
              <w:spacing w:before="40" w:after="40"/>
              <w:rPr>
                <w:rFonts w:ascii="Segoe UI Light" w:hAnsi="Segoe UI Light"/>
                <w:sz w:val="16"/>
                <w:szCs w:val="16"/>
              </w:rPr>
            </w:pPr>
            <w:r w:rsidRPr="005D4D09">
              <w:rPr>
                <w:rFonts w:ascii="Segoe UI Light" w:hAnsi="Segoe UI Light"/>
                <w:sz w:val="16"/>
                <w:szCs w:val="16"/>
              </w:rPr>
              <w:t>–</w:t>
            </w:r>
          </w:p>
        </w:tc>
        <w:tc>
          <w:tcPr>
            <w:tcW w:w="850" w:type="dxa"/>
            <w:shd w:val="clear" w:color="auto" w:fill="auto"/>
            <w:hideMark/>
          </w:tcPr>
          <w:p w14:paraId="0B982DB3"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-49</w:t>
            </w:r>
          </w:p>
        </w:tc>
        <w:tc>
          <w:tcPr>
            <w:tcW w:w="850" w:type="dxa"/>
            <w:shd w:val="clear" w:color="auto" w:fill="auto"/>
            <w:hideMark/>
          </w:tcPr>
          <w:p w14:paraId="681DE592"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-132</w:t>
            </w:r>
          </w:p>
        </w:tc>
      </w:tr>
    </w:tbl>
    <w:p w14:paraId="4DD1C74D" w14:textId="77777777" w:rsidR="005D4D09" w:rsidRPr="00D829F0" w:rsidRDefault="005D4D09" w:rsidP="005D4D09">
      <w:pPr>
        <w:spacing w:before="120" w:after="120"/>
        <w:ind w:left="720" w:firstLine="697"/>
        <w:jc w:val="both"/>
        <w:rPr>
          <w:rFonts w:ascii="Source Sans Pro" w:hAnsi="Source Sans Pro" w:cs="Calibri Light"/>
          <w:sz w:val="16"/>
          <w:szCs w:val="14"/>
        </w:rPr>
      </w:pPr>
      <w:r w:rsidRPr="00D829F0">
        <w:rPr>
          <w:rFonts w:ascii="Source Sans Pro" w:hAnsi="Source Sans Pro" w:cs="Calibri Light"/>
          <w:sz w:val="16"/>
          <w:szCs w:val="14"/>
        </w:rPr>
        <w:t>Avots: CSP dati 2026.gadam, EM prognozes 2030. un 2040.gadam</w:t>
      </w:r>
    </w:p>
    <w:p w14:paraId="03D7C18C" w14:textId="77777777" w:rsidR="005D4D09" w:rsidRPr="00D829F0" w:rsidRDefault="005D4D09" w:rsidP="005D4D09">
      <w:pPr>
        <w:spacing w:before="120" w:after="120"/>
        <w:jc w:val="both"/>
        <w:rPr>
          <w:rFonts w:ascii="Source Sans Pro" w:hAnsi="Source Sans Pro" w:cs="Segoe UI"/>
        </w:rPr>
      </w:pPr>
    </w:p>
    <w:p w14:paraId="0728D2E8" w14:textId="254660C8" w:rsidR="005D4D09" w:rsidRPr="00D829F0" w:rsidRDefault="005D4D09" w:rsidP="005D4D09">
      <w:pPr>
        <w:spacing w:after="120"/>
        <w:jc w:val="both"/>
        <w:rPr>
          <w:rFonts w:ascii="Source Sans Pro" w:hAnsi="Source Sans Pro"/>
        </w:rPr>
      </w:pPr>
      <w:r w:rsidRPr="00D829F0">
        <w:rPr>
          <w:rFonts w:ascii="Source Sans Pro" w:hAnsi="Source Sans Pro"/>
        </w:rPr>
        <w:t>Latvijā ilgstoši samazinās iedzīvotāju skaits, turklāt būtiskākais iedzīvotāju skaita samazinājums vērojams starp darbaspējas vecuma iedzīvotājiem. Šīs vecuma grupas iedzīvotāju skaita samazinājumu lielā mērā ietekmējusi iedzīvotāju ekonomiskā emigrācija, īpaši pēc 2008.</w:t>
      </w:r>
      <w:r w:rsidR="00CE3263">
        <w:rPr>
          <w:rFonts w:ascii="Source Sans Pro" w:hAnsi="Source Sans Pro"/>
        </w:rPr>
        <w:t> </w:t>
      </w:r>
      <w:r w:rsidRPr="00D829F0">
        <w:rPr>
          <w:rFonts w:ascii="Source Sans Pro" w:hAnsi="Source Sans Pro"/>
        </w:rPr>
        <w:t>gada globālās finanšu krīzes. Jāņem vērā, ka ekonomisko emigrantu plūsmu galvenokārt veido iedzīvotāji ekonomiski aktīvākajās vecuma grupās, līdz ar to pastiprinot sabiedrības novecošanās tendences, gan arī  kopumā negatīvi ietekmēju iedzīvotāju ataudzi.</w:t>
      </w:r>
    </w:p>
    <w:p w14:paraId="442FC6DA" w14:textId="10DCA33B" w:rsidR="005D4D09" w:rsidRPr="00D829F0" w:rsidRDefault="005D4D09" w:rsidP="005D4D09">
      <w:pPr>
        <w:spacing w:after="120"/>
        <w:jc w:val="right"/>
        <w:rPr>
          <w:rFonts w:ascii="Source Sans Pro" w:hAnsi="Source Sans Pro"/>
          <w:color w:val="000000"/>
          <w:szCs w:val="20"/>
        </w:rPr>
      </w:pPr>
      <w:r w:rsidRPr="00D829F0">
        <w:rPr>
          <w:rFonts w:ascii="Source Sans Pro" w:hAnsi="Source Sans Pro"/>
          <w:color w:val="000000"/>
          <w:szCs w:val="20"/>
        </w:rPr>
        <w:t>3.</w:t>
      </w:r>
      <w:r w:rsidR="00863DA5">
        <w:rPr>
          <w:rFonts w:ascii="Source Sans Pro" w:hAnsi="Source Sans Pro"/>
          <w:color w:val="000000"/>
          <w:szCs w:val="20"/>
        </w:rPr>
        <w:t>6</w:t>
      </w:r>
      <w:r w:rsidRPr="00D829F0">
        <w:rPr>
          <w:rFonts w:ascii="Source Sans Pro" w:hAnsi="Source Sans Pro"/>
          <w:color w:val="000000"/>
          <w:szCs w:val="20"/>
        </w:rPr>
        <w:t>.</w:t>
      </w:r>
      <w:r w:rsidR="00CE3263">
        <w:rPr>
          <w:rFonts w:ascii="Source Sans Pro" w:hAnsi="Source Sans Pro"/>
          <w:color w:val="000000"/>
          <w:szCs w:val="20"/>
        </w:rPr>
        <w:t> </w:t>
      </w:r>
      <w:r w:rsidRPr="00D829F0">
        <w:rPr>
          <w:rFonts w:ascii="Source Sans Pro" w:hAnsi="Source Sans Pro"/>
          <w:color w:val="000000"/>
          <w:szCs w:val="20"/>
        </w:rPr>
        <w:t>attēls</w:t>
      </w:r>
    </w:p>
    <w:p w14:paraId="77EC785A" w14:textId="77777777" w:rsidR="005D4D09" w:rsidRPr="005D4D09" w:rsidRDefault="005D4D09" w:rsidP="005D4D09">
      <w:pPr>
        <w:spacing w:after="120"/>
        <w:jc w:val="center"/>
        <w:rPr>
          <w:rFonts w:ascii="Segoe UI Light" w:hAnsi="Segoe UI Light"/>
          <w:color w:val="000000"/>
          <w:sz w:val="16"/>
          <w:szCs w:val="20"/>
        </w:rPr>
      </w:pPr>
      <w:r w:rsidRPr="005D4D09">
        <w:rPr>
          <w:noProof/>
        </w:rPr>
        <mc:AlternateContent>
          <mc:Choice Requires="wps">
            <w:drawing>
              <wp:anchor distT="0" distB="0" distL="114300" distR="114300" simplePos="0" relativeHeight="251658386" behindDoc="0" locked="0" layoutInCell="1" allowOverlap="1" wp14:anchorId="2EBD1B15" wp14:editId="27C4D0DE">
                <wp:simplePos x="0" y="0"/>
                <wp:positionH relativeFrom="column">
                  <wp:posOffset>182245</wp:posOffset>
                </wp:positionH>
                <wp:positionV relativeFrom="paragraph">
                  <wp:posOffset>293370</wp:posOffset>
                </wp:positionV>
                <wp:extent cx="559435" cy="300355"/>
                <wp:effectExtent l="0" t="0" r="0" b="0"/>
                <wp:wrapNone/>
                <wp:docPr id="1489045317" name="Rectangle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300355"/>
                        </a:xfrm>
                        <a:prstGeom prst="rect">
                          <a:avLst/>
                        </a:prstGeom>
                      </wps:spPr>
                      <wps:txbx>
                        <w:txbxContent>
                          <w:p w14:paraId="633FBBBD" w14:textId="77777777" w:rsidR="005D4D09" w:rsidRDefault="005D4D09" w:rsidP="005D4D09">
                            <w:pPr>
                              <w:pStyle w:val="NormalWeb"/>
                              <w:spacing w:before="0" w:beforeAutospacing="0" w:after="0" w:afterAutospacing="0"/>
                              <w:textAlignment w:val="baseline"/>
                              <w:rPr>
                                <w:rFonts w:ascii="Segoe UI Light" w:hAnsi="Segoe UI Light"/>
                                <w:sz w:val="16"/>
                                <w:szCs w:val="16"/>
                              </w:rPr>
                            </w:pPr>
                          </w:p>
                        </w:txbxContent>
                      </wps:txbx>
                      <wps:bodyPr vertOverflow="clip" horzOverflow="clip" wrap="none">
                        <a:noAutofit/>
                      </wps:bodyPr>
                    </wps:wsp>
                  </a:graphicData>
                </a:graphic>
                <wp14:sizeRelH relativeFrom="page">
                  <wp14:pctWidth>0</wp14:pctWidth>
                </wp14:sizeRelH>
                <wp14:sizeRelV relativeFrom="margin">
                  <wp14:pctHeight>0</wp14:pctHeight>
                </wp14:sizeRelV>
              </wp:anchor>
            </w:drawing>
          </mc:Choice>
          <mc:Fallback>
            <w:pict>
              <v:rect w14:anchorId="2EBD1B15" id="Rectangle 1344" o:spid="_x0000_s1246" style="position:absolute;left:0;text-align:left;margin-left:14.35pt;margin-top:23.1pt;width:44.05pt;height:23.65pt;z-index:25165838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x4jQEAABADAAAOAAAAZHJzL2Uyb0RvYy54bWysUk1v2zAMvQ/ofxB0X+Qk89AaUYoBRXcp&#10;1gJdf4AiS7FQWxRENXb260cpblp0t6EXQvzQ4+MjN9fT0LODiejAS75cVJwZr6F1fi/50+/br5ec&#10;YVK+VT14I/nRIL/eXnzZjKExK+igb01kBOKxGYPkXUqhEQJ1ZwaFCwjGU9JCHFQiN+5FG9VI6EMv&#10;VlX1XYwQ2xBBG0SK3pySfFvwrTU63VuLJrFecuKWio3F7rIV241q9lGFzumZhvoPFoNynpqeoW5U&#10;Uuwlun+gBqcjINi00DAIsNZpU2agaZbVh2keOxVMmYXEwXCWCT8PVv86PIaHmKljuAP9jKSIGAM2&#10;50x2cK6ZbBxyLRFnU1HxeFbRTIlpCtb11bd1zZmm1Lqq1nWdVRaqef0cIqafBgaWH5JHWlLRTh3u&#10;MJ1KX0tmLqf2mUiadhNzreSr5WWGzbEdtMeHmK8w3ZOxPYyS694FzjqIfz7GRtq25J7OsXT18OMl&#10;gXWl8xvc3JlkL9znE8l7fe+XqrdD3v4FAAD//wMAUEsDBBQABgAIAAAAIQC/3gal3gAAAAgBAAAP&#10;AAAAZHJzL2Rvd25yZXYueG1sTI/BTsMwEETvSPyDtUjcqNOUhhLiVICEhLhUhBau29gkEfbasp02&#10;/XvcExxHM5p5U60no9lB+TBYEjCfZcAUtVYO1AnYfrzcrICFiCRRW1ICTirAur68qLCU9kjv6tDE&#10;jqUSCiUK6GN0Jeeh7ZXBMLNOUfK+rTcYk/Qdlx6PqdxonmdZwQ0OlBZ6dOq5V+1PMxoB4+Jt0rvm&#10;SbpN9vpljF9+ntAJcX01PT4Ai2qKf2E44yd0qBPT3o4kA9MC8tVdSgq4LXJgZ39epCt7AfeLJfC6&#10;4v8P1L8AAAD//wMAUEsBAi0AFAAGAAgAAAAhALaDOJL+AAAA4QEAABMAAAAAAAAAAAAAAAAAAAAA&#10;AFtDb250ZW50X1R5cGVzXS54bWxQSwECLQAUAAYACAAAACEAOP0h/9YAAACUAQAACwAAAAAAAAAA&#10;AAAAAAAvAQAAX3JlbHMvLnJlbHNQSwECLQAUAAYACAAAACEAG5H8eI0BAAAQAwAADgAAAAAAAAAA&#10;AAAAAAAuAgAAZHJzL2Uyb0RvYy54bWxQSwECLQAUAAYACAAAACEAv94Gpd4AAAAIAQAADwAAAAAA&#10;AAAAAAAAAADnAwAAZHJzL2Rvd25yZXYueG1sUEsFBgAAAAAEAAQA8wAAAPIEAAAAAA==&#10;" filled="f" stroked="f">
                <v:textbox>
                  <w:txbxContent>
                    <w:p w14:paraId="633FBBBD" w14:textId="77777777" w:rsidR="005D4D09" w:rsidRDefault="005D4D09" w:rsidP="005D4D09">
                      <w:pPr>
                        <w:pStyle w:val="NormalWeb"/>
                        <w:spacing w:before="0" w:beforeAutospacing="0" w:after="0" w:afterAutospacing="0"/>
                        <w:textAlignment w:val="baseline"/>
                        <w:rPr>
                          <w:rFonts w:ascii="Segoe UI Light" w:hAnsi="Segoe UI Light"/>
                          <w:sz w:val="16"/>
                          <w:szCs w:val="16"/>
                        </w:rPr>
                      </w:pPr>
                    </w:p>
                  </w:txbxContent>
                </v:textbox>
              </v:rect>
            </w:pict>
          </mc:Fallback>
        </mc:AlternateContent>
      </w:r>
      <w:r w:rsidRPr="005D4D09">
        <w:rPr>
          <w:rFonts w:ascii="Segoe UI Light" w:hAnsi="Segoe UI Light"/>
          <w:b/>
          <w:color w:val="000000"/>
          <w:sz w:val="18"/>
          <w:szCs w:val="20"/>
        </w:rPr>
        <w:t>Iedzīvotāju skaita sadalījums pa vecuma grupām</w:t>
      </w:r>
      <w:r w:rsidRPr="005D4D09">
        <w:rPr>
          <w:rFonts w:ascii="Segoe UI Light" w:hAnsi="Segoe UI Light"/>
          <w:b/>
          <w:color w:val="000000"/>
          <w:sz w:val="18"/>
          <w:szCs w:val="20"/>
        </w:rPr>
        <w:br/>
      </w:r>
      <w:r w:rsidRPr="005D4D09">
        <w:rPr>
          <w:rFonts w:ascii="Segoe UI Light" w:hAnsi="Segoe UI Light"/>
          <w:i/>
          <w:color w:val="000000"/>
          <w:sz w:val="16"/>
          <w:szCs w:val="20"/>
        </w:rPr>
        <w:t>milj. un procentos</w:t>
      </w:r>
    </w:p>
    <w:p w14:paraId="45D208C2" w14:textId="77777777" w:rsidR="005D4D09" w:rsidRPr="005D4D09" w:rsidRDefault="005D4D09" w:rsidP="005D4D09">
      <w:pPr>
        <w:jc w:val="both"/>
        <w:rPr>
          <w:rFonts w:ascii="Segoe UI Light" w:hAnsi="Segoe UI Light" w:cs="Segoe UI"/>
          <w:sz w:val="18"/>
          <w:szCs w:val="18"/>
        </w:rPr>
      </w:pPr>
      <w:r w:rsidRPr="005D4D09">
        <w:rPr>
          <w:noProof/>
        </w:rPr>
        <mc:AlternateContent>
          <mc:Choice Requires="wps">
            <w:drawing>
              <wp:anchor distT="0" distB="0" distL="114299" distR="114299" simplePos="0" relativeHeight="251658385" behindDoc="0" locked="0" layoutInCell="1" allowOverlap="1" wp14:anchorId="448D9F21" wp14:editId="081E7D99">
                <wp:simplePos x="0" y="0"/>
                <wp:positionH relativeFrom="page">
                  <wp:posOffset>4580890</wp:posOffset>
                </wp:positionH>
                <wp:positionV relativeFrom="paragraph">
                  <wp:posOffset>678180</wp:posOffset>
                </wp:positionV>
                <wp:extent cx="9525" cy="1798955"/>
                <wp:effectExtent l="0" t="0" r="28575" b="29845"/>
                <wp:wrapNone/>
                <wp:docPr id="1862464910" name="Straight Connector 13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798955"/>
                        </a:xfrm>
                        <a:prstGeom prst="line">
                          <a:avLst/>
                        </a:prstGeom>
                        <a:noFill/>
                        <a:ln w="19050" cap="flat" cmpd="sng" algn="ctr">
                          <a:solidFill>
                            <a:sysClr val="windowText" lastClr="000000">
                              <a:lumMod val="65000"/>
                              <a:lumOff val="35000"/>
                              <a:alpha val="59000"/>
                            </a:sys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xmlns:w16cei="http://schemas.microsoft.com/office/word/2026/wordml/cei">
            <w:pict w14:anchorId="1CB6EA41">
              <v:line id="Straight Connector 1346" style="position:absolute;flip:x;z-index:2516625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margin;mso-height-relative:margin" o:spid="_x0000_s1026" strokecolor="#595959" strokeweight="1.5pt" from="360.7pt,53.4pt" to="361.45pt,195.05pt" w14:anchorId="07B9D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yj7wEAANADAAAOAAAAZHJzL2Uyb0RvYy54bWysU8lu2zAQvRfoPxC817JdKLUFyznESHtI&#10;2wBJP2BCUhZRbuAwlv33HZKu3eVWVAeCs/DNvJmnze3RGnZQEbV3PV/M5pwpJ7zUbt/zb8/371ac&#10;YQInwXinen5SyG+3b99sptCppR+9kSoyAnHYTaHnY0qhaxoUo7KAMx+Uo+Dgo4VEZtw3MsJE6NY0&#10;y/n8ppl8lCF6oRDJu6tBvi34w6BE+joMqBIzPafeUjljOV/y2Ww30O0jhFGLcxvwD11Y0I6KXqB2&#10;kIC9Rv0XlNUievRDmglvGz8MWqjCgdgs5n+weRohqMKFhoPhMib8f7Diy+HOPcbcuji6p/DgxXek&#10;oTRTwO4SzAaGmnYcomWD0eET7btwJhbsWEZ6uoxUHRMT5Fy3y5YzQYHFh/Vq3bZ54g10GSUXDRHT&#10;R+Uty5eeG+0yYejg8ICppv5MyW7n77UxZWnGsYlQ1/OW9iqAtDMYSHS1QfYc3Z4zMHsSpUixQKI3&#10;WubnGQhPeGciOwDpguQk/fRMLXNmABMFiEf5ykPzaj97WXNvWvJX1ZCbtFXd769uMGGE6m3X52Qi&#10;XAsW7r81ktntAMf6QtKtolud6Mcw2vZ8VVup0zAut6+KtM8jum4n3168PD3GnJwtkk2peZZ41uWv&#10;dsm6/ojbHwAAAP//AwBQSwMEFAAGAAgAAAAhAIA5l2zhAAAACwEAAA8AAABkcnMvZG93bnJldi54&#10;bWxMj8tOwzAQRfdI/IM1SOyonYD6CHGqgoSECJuUfoAbT5NAPI5itw18PcOqLEf36M65+XpyvTjh&#10;GDpPGpKZAoFUe9tRo2H38XK3BBGiIWt6T6jhGwOsi+ur3GTWn6nC0zY2gksoZEZDG+OQSRnqFp0J&#10;Mz8gcXbwozORz7GRdjRnLne9TJWaS2c64g+tGfC5xfpre3Qa6P3w9uSmz9dh6aqq3PyU7a4stb69&#10;mTaPICJO8QLDnz6rQ8FOe38kG0SvYZEmD4xyoOa8gYlFmq5A7DXcr1QCssjl/w3FLwAAAP//AwBQ&#10;SwECLQAUAAYACAAAACEAtoM4kv4AAADhAQAAEwAAAAAAAAAAAAAAAAAAAAAAW0NvbnRlbnRfVHlw&#10;ZXNdLnhtbFBLAQItABQABgAIAAAAIQA4/SH/1gAAAJQBAAALAAAAAAAAAAAAAAAAAC8BAABfcmVs&#10;cy8ucmVsc1BLAQItABQABgAIAAAAIQBqh2yj7wEAANADAAAOAAAAAAAAAAAAAAAAAC4CAABkcnMv&#10;ZTJvRG9jLnhtbFBLAQItABQABgAIAAAAIQCAOZds4QAAAAsBAAAPAAAAAAAAAAAAAAAAAEkEAABk&#10;cnMvZG93bnJldi54bWxQSwUGAAAAAAQABADzAAAAVwUAAAAA&#10;">
                <v:stroke opacity="38550f" joinstyle="miter" dashstyle="dash"/>
                <o:lock v:ext="edit" shapetype="f"/>
                <w10:wrap anchorx="page"/>
              </v:line>
            </w:pict>
          </mc:Fallback>
        </mc:AlternateContent>
      </w:r>
      <w:r w:rsidRPr="005D4D09">
        <w:rPr>
          <w:noProof/>
        </w:rPr>
        <mc:AlternateContent>
          <mc:Choice Requires="wps">
            <w:drawing>
              <wp:anchor distT="0" distB="0" distL="114300" distR="114300" simplePos="0" relativeHeight="251658383" behindDoc="0" locked="0" layoutInCell="1" allowOverlap="1" wp14:anchorId="14C50A6F" wp14:editId="662E1279">
                <wp:simplePos x="0" y="0"/>
                <wp:positionH relativeFrom="page">
                  <wp:posOffset>4446905</wp:posOffset>
                </wp:positionH>
                <wp:positionV relativeFrom="paragraph">
                  <wp:posOffset>341630</wp:posOffset>
                </wp:positionV>
                <wp:extent cx="543560" cy="259080"/>
                <wp:effectExtent l="0" t="0" r="0" b="0"/>
                <wp:wrapNone/>
                <wp:docPr id="667380978" name="Rectangle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560" cy="259080"/>
                        </a:xfrm>
                        <a:prstGeom prst="rect">
                          <a:avLst/>
                        </a:prstGeom>
                      </wps:spPr>
                      <wps:txbx>
                        <w:txbxContent>
                          <w:p w14:paraId="16CC771F" w14:textId="77777777" w:rsidR="005D4D09" w:rsidRDefault="005D4D09" w:rsidP="005D4D09">
                            <w:pPr>
                              <w:pStyle w:val="NormalWeb"/>
                              <w:spacing w:before="0" w:beforeAutospacing="0" w:after="0" w:afterAutospacing="0"/>
                              <w:textAlignment w:val="baseline"/>
                              <w:rPr>
                                <w:rFonts w:ascii="Segoe UI Light" w:hAnsi="Segoe UI Light"/>
                                <w:sz w:val="16"/>
                                <w:szCs w:val="16"/>
                              </w:rPr>
                            </w:pPr>
                          </w:p>
                        </w:txbxContent>
                      </wps:txbx>
                      <wps:bodyPr vertOverflow="clip" horzOverflow="clip" wrap="none">
                        <a:noAutofit/>
                      </wps:bodyPr>
                    </wps:wsp>
                  </a:graphicData>
                </a:graphic>
                <wp14:sizeRelH relativeFrom="page">
                  <wp14:pctWidth>0</wp14:pctWidth>
                </wp14:sizeRelH>
                <wp14:sizeRelV relativeFrom="margin">
                  <wp14:pctHeight>0</wp14:pctHeight>
                </wp14:sizeRelV>
              </wp:anchor>
            </w:drawing>
          </mc:Choice>
          <mc:Fallback>
            <w:pict>
              <v:rect w14:anchorId="14C50A6F" id="Rectangle 1345" o:spid="_x0000_s1247" style="position:absolute;left:0;text-align:left;margin-left:350.15pt;margin-top:26.9pt;width:42.8pt;height:20.4pt;z-index:251658383;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mDdiwEAABADAAAOAAAAZHJzL2Uyb0RvYy54bWysUtFO6zAMfb8S/xDlnaUbDEG1DiEheEGA&#10;xL0fkKXJGtHEURzWjq/HCWVcwRvixWps95zjY68uR9eznY5owTd8Pqs4015Ba/224f/+3hyfc4ZJ&#10;+lb24HXD9xr55froz2oItV5AB32rIyMQj/UQGt6lFGohUHXaSZxB0J6KBqKTiZ5xK9ooB0J3vVhU&#10;1ZkYILYhgtKIlL1+L/J1wTdGq/RgDOrE+oaTtlRiLHGTo1ivZL2NMnRWTTLkD1Q4aT2RHqCuZZLs&#10;JdpvUM6qCAgmzRQ4AcZYpcsMNM28+jLNUyeDLrOQORgONuHvwar73VN4jFk6hjtQz0iOiCFgfajk&#10;B049o4ku95JwNhYX9wcX9ZiYouTy9GR5Rl4rKi2WF9V5cVnI+uPnEDHdanAsfzQ80pKKd3J3hynT&#10;y/qjZdLyTp+FpHEzMtsS8vwiLy/nNtDuH2O+wvRAwfQwNFz1NnDWQXz9mhto2w33dI6F1cPVSwJj&#10;C/Mn3MRMthdB04nkvf7/Ll2fh7x+AwAA//8DAFBLAwQUAAYACAAAACEAWdiXtt4AAAAJAQAADwAA&#10;AGRycy9kb3ducmV2LnhtbEyPy07DMBBF90j8gzVI7KgNIX2ETCpAQkJsEOG1dWOTRPgl22nTv2dY&#10;wXI0R/eeW29na9hexzR6h3C5EMC067waXY/w9vpwsQaWsnRKGu80wlEn2DanJ7WslD+4F71vc88o&#10;xKVKIgw5h4rz1A3ayrTwQTv6ffloZaYz9lxFeaBwa/iVEEtu5eioYZBB3w+6+24nizAVT7N5b+9U&#10;eBaPn9bG8uMoA+L52Xx7AyzrOf/B8KtP6tCQ085PTiVmEFZCFIQilAVNIGC1LjfAdgib6yXwpub/&#10;FzQ/AAAA//8DAFBLAQItABQABgAIAAAAIQC2gziS/gAAAOEBAAATAAAAAAAAAAAAAAAAAAAAAABb&#10;Q29udGVudF9UeXBlc10ueG1sUEsBAi0AFAAGAAgAAAAhADj9If/WAAAAlAEAAAsAAAAAAAAAAAAA&#10;AAAALwEAAF9yZWxzLy5yZWxzUEsBAi0AFAAGAAgAAAAhADk+YN2LAQAAEAMAAA4AAAAAAAAAAAAA&#10;AAAALgIAAGRycy9lMm9Eb2MueG1sUEsBAi0AFAAGAAgAAAAhAFnYl7beAAAACQEAAA8AAAAAAAAA&#10;AAAAAAAA5QMAAGRycy9kb3ducmV2LnhtbFBLBQYAAAAABAAEAPMAAADwBAAAAAA=&#10;" filled="f" stroked="f">
                <v:textbox>
                  <w:txbxContent>
                    <w:p w14:paraId="16CC771F" w14:textId="77777777" w:rsidR="005D4D09" w:rsidRDefault="005D4D09" w:rsidP="005D4D09">
                      <w:pPr>
                        <w:pStyle w:val="NormalWeb"/>
                        <w:spacing w:before="0" w:beforeAutospacing="0" w:after="0" w:afterAutospacing="0"/>
                        <w:textAlignment w:val="baseline"/>
                        <w:rPr>
                          <w:rFonts w:ascii="Segoe UI Light" w:hAnsi="Segoe UI Light"/>
                          <w:sz w:val="16"/>
                          <w:szCs w:val="16"/>
                        </w:rPr>
                      </w:pPr>
                    </w:p>
                  </w:txbxContent>
                </v:textbox>
                <w10:wrap anchorx="page"/>
              </v:rect>
            </w:pict>
          </mc:Fallback>
        </mc:AlternateContent>
      </w:r>
      <w:r w:rsidRPr="005D4D09">
        <w:rPr>
          <w:noProof/>
        </w:rPr>
        <mc:AlternateContent>
          <mc:Choice Requires="wps">
            <w:drawing>
              <wp:anchor distT="0" distB="0" distL="114300" distR="114300" simplePos="0" relativeHeight="251658384" behindDoc="0" locked="0" layoutInCell="1" allowOverlap="1" wp14:anchorId="1087971C" wp14:editId="3CBCB6E8">
                <wp:simplePos x="0" y="0"/>
                <wp:positionH relativeFrom="margin">
                  <wp:posOffset>5183505</wp:posOffset>
                </wp:positionH>
                <wp:positionV relativeFrom="paragraph">
                  <wp:posOffset>406400</wp:posOffset>
                </wp:positionV>
                <wp:extent cx="542290" cy="252730"/>
                <wp:effectExtent l="0" t="0" r="0" b="0"/>
                <wp:wrapNone/>
                <wp:docPr id="831564719" name="Rectangle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 cy="252730"/>
                        </a:xfrm>
                        <a:prstGeom prst="rect">
                          <a:avLst/>
                        </a:prstGeom>
                      </wps:spPr>
                      <wps:txbx>
                        <w:txbxContent>
                          <w:p w14:paraId="26F60AD1" w14:textId="77777777" w:rsidR="005D4D09" w:rsidRDefault="005D4D09" w:rsidP="005D4D09">
                            <w:pPr>
                              <w:pStyle w:val="NormalWeb"/>
                              <w:spacing w:before="0" w:beforeAutospacing="0" w:after="0" w:afterAutospacing="0"/>
                              <w:textAlignment w:val="baseline"/>
                              <w:rPr>
                                <w:rFonts w:ascii="Segoe UI Light" w:hAnsi="Segoe UI Light"/>
                                <w:sz w:val="16"/>
                                <w:szCs w:val="16"/>
                              </w:rPr>
                            </w:pPr>
                          </w:p>
                        </w:txbxContent>
                      </wps:txbx>
                      <wps:bodyPr vertOverflow="clip" horzOverflow="clip" wrap="none">
                        <a:noAutofit/>
                      </wps:bodyPr>
                    </wps:wsp>
                  </a:graphicData>
                </a:graphic>
                <wp14:sizeRelH relativeFrom="page">
                  <wp14:pctWidth>0</wp14:pctWidth>
                </wp14:sizeRelH>
                <wp14:sizeRelV relativeFrom="margin">
                  <wp14:pctHeight>0</wp14:pctHeight>
                </wp14:sizeRelV>
              </wp:anchor>
            </w:drawing>
          </mc:Choice>
          <mc:Fallback>
            <w:pict>
              <v:rect w14:anchorId="1087971C" id="Rectangle 1347" o:spid="_x0000_s1248" style="position:absolute;left:0;text-align:left;margin-left:408.15pt;margin-top:32pt;width:42.7pt;height:19.9pt;z-index:251658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AMjAEAABADAAAOAAAAZHJzL2Uyb0RvYy54bWysUk1v2zAMvQ/ofxB0b5R66z6MOMWAorsU&#10;a4FuP0CRpViYJQqkGjv79aNUNy2627ALYZH0e4+P3FzNYRQHi+QhdvJitZbCRgO9j/tO/vxxc/5Z&#10;Cso69nqEaDt5tCSvtmfvNlNqbQMDjL1FwSCR2il1csg5tUqRGWzQtIJkIxcdYNCZn7hXPeqJ0cOo&#10;mvX6o5oA+4RgLBFnr5+KclvxnbMm3zlHNouxk6wt14g17kpU241u96jT4M0iQ/+DiqB9ZNIT1LXO&#10;Wjyi/wsqeINA4PLKQFDgnDe2zsDTXKzfTPMw6GTrLGwOpZNN9P9gzffDQ7rHIp3SLZhfxI6oKVF7&#10;qpQHLT2zw1B6WbiYq4vHk4t2zsJw8vJD03xhrw2Xmsvm0/vqstLt888JKX+zEET56CTykqp3+nBL&#10;udDr9rll0fJEX4TkeTcL3zNyU2FLbgf98R7LFeY7Dm6EqZNm9EmKAfD329zE2+5k5HOsrBG+PmZw&#10;vjK/wC3MbHsVtJxI2evrd+16OeTtHwAAAP//AwBQSwMEFAAGAAgAAAAhAGEzmJjfAAAACgEAAA8A&#10;AABkcnMvZG93bnJldi54bWxMj8tOwzAQRfdI/IM1SOyoHQIhhDgVICEhNohAy3YamyQifsh22vTv&#10;GVawHM3RvefW68VMbK9DHJ2VkK0EMG07p0bbS/h4f7oogcWEVuHkrJZw1BHWzelJjZVyB/um923q&#10;GYXYWKGEISVfcR67QRuMK+e1pd+XCwYTnaHnKuCBws3EL4UouMHRUsOAXj8OuvtuZyNhzl+WadM+&#10;KP8qnj+NCdfbI3opz8+W+ztgSS/pD4ZffVKHhpx2brYqsklCmRU5oRKKK9pEwK3IboDtiBR5Cbyp&#10;+f8JzQ8AAAD//wMAUEsBAi0AFAAGAAgAAAAhALaDOJL+AAAA4QEAABMAAAAAAAAAAAAAAAAAAAAA&#10;AFtDb250ZW50X1R5cGVzXS54bWxQSwECLQAUAAYACAAAACEAOP0h/9YAAACUAQAACwAAAAAAAAAA&#10;AAAAAAAvAQAAX3JlbHMvLnJlbHNQSwECLQAUAAYACAAAACEARC0gDIwBAAAQAwAADgAAAAAAAAAA&#10;AAAAAAAuAgAAZHJzL2Uyb0RvYy54bWxQSwECLQAUAAYACAAAACEAYTOYmN8AAAAKAQAADwAAAAAA&#10;AAAAAAAAAADmAwAAZHJzL2Rvd25yZXYueG1sUEsFBgAAAAAEAAQA8wAAAPIEAAAAAA==&#10;" filled="f" stroked="f">
                <v:textbox>
                  <w:txbxContent>
                    <w:p w14:paraId="26F60AD1" w14:textId="77777777" w:rsidR="005D4D09" w:rsidRDefault="005D4D09" w:rsidP="005D4D09">
                      <w:pPr>
                        <w:pStyle w:val="NormalWeb"/>
                        <w:spacing w:before="0" w:beforeAutospacing="0" w:after="0" w:afterAutospacing="0"/>
                        <w:textAlignment w:val="baseline"/>
                        <w:rPr>
                          <w:rFonts w:ascii="Segoe UI Light" w:hAnsi="Segoe UI Light"/>
                          <w:sz w:val="16"/>
                          <w:szCs w:val="16"/>
                        </w:rPr>
                      </w:pPr>
                    </w:p>
                  </w:txbxContent>
                </v:textbox>
                <w10:wrap anchorx="margin"/>
              </v:rect>
            </w:pict>
          </mc:Fallback>
        </mc:AlternateContent>
      </w:r>
      <w:r w:rsidRPr="00D829F0">
        <w:rPr>
          <w:rFonts w:ascii="Source Sans Pro" w:hAnsi="Source Sans Pro"/>
          <w:noProof/>
          <w:color w:val="000000"/>
        </w:rPr>
        <w:drawing>
          <wp:inline distT="0" distB="0" distL="0" distR="0" wp14:anchorId="2EC1C2CA" wp14:editId="52D52C35">
            <wp:extent cx="5764530" cy="2728595"/>
            <wp:effectExtent l="0" t="0" r="7620" b="0"/>
            <wp:docPr id="1831925162"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25A6E241" w14:textId="663F57AC" w:rsidR="005D4D09" w:rsidRPr="00D829F0" w:rsidRDefault="005D4D09" w:rsidP="000F6EC9">
      <w:pPr>
        <w:spacing w:after="120"/>
        <w:jc w:val="both"/>
        <w:rPr>
          <w:rFonts w:ascii="Source Sans Pro" w:hAnsi="Source Sans Pro" w:cs="Calibri Light"/>
          <w:sz w:val="16"/>
          <w:szCs w:val="14"/>
        </w:rPr>
      </w:pPr>
      <w:r w:rsidRPr="00D829F0">
        <w:rPr>
          <w:rFonts w:ascii="Source Sans Pro" w:hAnsi="Source Sans Pro" w:cs="Calibri Light"/>
          <w:sz w:val="16"/>
          <w:szCs w:val="14"/>
        </w:rPr>
        <w:t>Avots: CSP dati līdz 2026.</w:t>
      </w:r>
      <w:r w:rsidR="00CE3263">
        <w:rPr>
          <w:rFonts w:ascii="Source Sans Pro" w:hAnsi="Source Sans Pro" w:cs="Calibri Light"/>
          <w:sz w:val="16"/>
          <w:szCs w:val="14"/>
        </w:rPr>
        <w:t> </w:t>
      </w:r>
      <w:r w:rsidRPr="00D829F0">
        <w:rPr>
          <w:rFonts w:ascii="Source Sans Pro" w:hAnsi="Source Sans Pro" w:cs="Calibri Light"/>
          <w:sz w:val="16"/>
          <w:szCs w:val="14"/>
        </w:rPr>
        <w:t>gadam, EM prognozes no 2027.</w:t>
      </w:r>
      <w:r w:rsidR="00CE3263">
        <w:rPr>
          <w:rFonts w:ascii="Source Sans Pro" w:hAnsi="Source Sans Pro" w:cs="Calibri Light"/>
          <w:sz w:val="16"/>
          <w:szCs w:val="14"/>
        </w:rPr>
        <w:t> </w:t>
      </w:r>
      <w:r w:rsidRPr="00D829F0">
        <w:rPr>
          <w:rFonts w:ascii="Source Sans Pro" w:hAnsi="Source Sans Pro" w:cs="Calibri Light"/>
          <w:sz w:val="16"/>
          <w:szCs w:val="14"/>
        </w:rPr>
        <w:t>gada</w:t>
      </w:r>
    </w:p>
    <w:p w14:paraId="0E42A10C" w14:textId="77777777" w:rsidR="005D4D09" w:rsidRPr="00D829F0" w:rsidRDefault="005D4D09" w:rsidP="005D4D09">
      <w:pPr>
        <w:spacing w:before="120" w:after="120"/>
        <w:jc w:val="both"/>
        <w:rPr>
          <w:rFonts w:ascii="Source Sans Pro" w:hAnsi="Source Sans Pro" w:cs="Segoe UI"/>
        </w:rPr>
      </w:pPr>
    </w:p>
    <w:p w14:paraId="2D28FD23" w14:textId="0223D809" w:rsidR="005D4D09" w:rsidRPr="00D829F0" w:rsidRDefault="005D4D09" w:rsidP="005D4D09">
      <w:pPr>
        <w:spacing w:before="120" w:after="120"/>
        <w:jc w:val="both"/>
        <w:rPr>
          <w:rFonts w:ascii="Source Sans Pro" w:hAnsi="Source Sans Pro" w:cs="Segoe UI"/>
        </w:rPr>
      </w:pPr>
      <w:r w:rsidRPr="00D829F0">
        <w:rPr>
          <w:rFonts w:ascii="Source Sans Pro" w:hAnsi="Source Sans Pro" w:cs="Segoe UI"/>
        </w:rPr>
        <w:t>Prognozes liecina, ka iedzīvotāju skaits vecuma grupā no 15 līdz 64 gadiem līdz 2040.</w:t>
      </w:r>
      <w:r w:rsidR="00CE3263">
        <w:rPr>
          <w:rFonts w:ascii="Source Sans Pro" w:hAnsi="Source Sans Pro" w:cs="Segoe UI"/>
        </w:rPr>
        <w:t> </w:t>
      </w:r>
      <w:r w:rsidRPr="00D829F0">
        <w:rPr>
          <w:rFonts w:ascii="Source Sans Pro" w:hAnsi="Source Sans Pro" w:cs="Segoe UI"/>
        </w:rPr>
        <w:t>gadam samazināsies par 108</w:t>
      </w:r>
      <w:r w:rsidR="00CE3263">
        <w:rPr>
          <w:rFonts w:ascii="Source Sans Pro" w:hAnsi="Source Sans Pro" w:cs="Segoe UI"/>
        </w:rPr>
        <w:t> </w:t>
      </w:r>
      <w:r w:rsidRPr="00D829F0">
        <w:rPr>
          <w:rFonts w:ascii="Source Sans Pro" w:hAnsi="Source Sans Pro" w:cs="Segoe UI"/>
        </w:rPr>
        <w:t>tūkst. jeb 9,4%, salīdzinot ar 2026.</w:t>
      </w:r>
      <w:r w:rsidR="00CE3263">
        <w:rPr>
          <w:rFonts w:ascii="Source Sans Pro" w:hAnsi="Source Sans Pro" w:cs="Segoe UI"/>
        </w:rPr>
        <w:t> </w:t>
      </w:r>
      <w:r w:rsidRPr="00D829F0">
        <w:rPr>
          <w:rFonts w:ascii="Source Sans Pro" w:hAnsi="Source Sans Pro" w:cs="Segoe UI"/>
        </w:rPr>
        <w:t>gada sākumu, vienlaikus iedzīvotāju skaits vecumā no 65 gadiem palielināsies par 62</w:t>
      </w:r>
      <w:r w:rsidR="006C40AC">
        <w:rPr>
          <w:rFonts w:ascii="Source Sans Pro" w:hAnsi="Source Sans Pro" w:cs="Segoe UI"/>
        </w:rPr>
        <w:t> </w:t>
      </w:r>
      <w:r w:rsidRPr="00D829F0">
        <w:rPr>
          <w:rFonts w:ascii="Source Sans Pro" w:hAnsi="Source Sans Pro" w:cs="Segoe UI"/>
        </w:rPr>
        <w:t>tūkst. jeb 15,0%. Šīs tendences kopumā noteiks, ka iedzīvotāju īpatsvars vecumā no 15 līdz 64 gadiem iedzīvotāju kopskaitā samazināsies no 62,8% 2026.</w:t>
      </w:r>
      <w:r w:rsidR="006C40AC">
        <w:rPr>
          <w:rFonts w:ascii="Source Sans Pro" w:hAnsi="Source Sans Pro" w:cs="Segoe UI"/>
        </w:rPr>
        <w:t> </w:t>
      </w:r>
      <w:r w:rsidRPr="00D829F0">
        <w:rPr>
          <w:rFonts w:ascii="Source Sans Pro" w:hAnsi="Source Sans Pro" w:cs="Segoe UI"/>
        </w:rPr>
        <w:t>gadā līdz 60,0% 2040.</w:t>
      </w:r>
      <w:r w:rsidR="006C40AC">
        <w:rPr>
          <w:rFonts w:ascii="Source Sans Pro" w:hAnsi="Source Sans Pro" w:cs="Segoe UI"/>
        </w:rPr>
        <w:t> </w:t>
      </w:r>
      <w:r w:rsidRPr="00D829F0">
        <w:rPr>
          <w:rFonts w:ascii="Source Sans Pro" w:hAnsi="Source Sans Pro" w:cs="Segoe UI"/>
        </w:rPr>
        <w:t>gadā.</w:t>
      </w:r>
    </w:p>
    <w:p w14:paraId="1883EEE6" w14:textId="4FAE7BD2" w:rsidR="005D4D09" w:rsidRPr="00D829F0" w:rsidRDefault="005D4D09" w:rsidP="005D4D09">
      <w:pPr>
        <w:spacing w:after="120"/>
        <w:jc w:val="both"/>
        <w:rPr>
          <w:rFonts w:ascii="Source Sans Pro" w:hAnsi="Source Sans Pro"/>
          <w:szCs w:val="26"/>
        </w:rPr>
      </w:pPr>
      <w:r w:rsidRPr="00D829F0">
        <w:rPr>
          <w:rFonts w:ascii="Source Sans Pro" w:hAnsi="Source Sans Pro"/>
          <w:szCs w:val="26"/>
        </w:rPr>
        <w:t>Sabiedrības novecošanās tendences ietekmēs arī iedzīvotāju vidējo vecumu, kas līdz 2040.</w:t>
      </w:r>
      <w:r w:rsidR="006C40AC">
        <w:rPr>
          <w:rFonts w:ascii="Source Sans Pro" w:hAnsi="Source Sans Pro"/>
          <w:szCs w:val="26"/>
        </w:rPr>
        <w:t> </w:t>
      </w:r>
      <w:r w:rsidRPr="00D829F0">
        <w:rPr>
          <w:rFonts w:ascii="Source Sans Pro" w:hAnsi="Source Sans Pro"/>
          <w:szCs w:val="26"/>
        </w:rPr>
        <w:t xml:space="preserve">gada varētu pieaugt līdz 46,4 gadiem </w:t>
      </w:r>
      <w:r w:rsidRPr="005D4D09">
        <w:rPr>
          <w:rFonts w:ascii="Segoe UI Light" w:hAnsi="Segoe UI Light"/>
          <w:sz w:val="16"/>
          <w:szCs w:val="16"/>
        </w:rPr>
        <w:t xml:space="preserve">– </w:t>
      </w:r>
      <w:r w:rsidRPr="00D829F0">
        <w:rPr>
          <w:rFonts w:ascii="Source Sans Pro" w:hAnsi="Source Sans Pro"/>
          <w:szCs w:val="26"/>
        </w:rPr>
        <w:t>par vidēji 2,7 gadiem, salīdzinot ar 2023.</w:t>
      </w:r>
      <w:r w:rsidR="006C40AC">
        <w:rPr>
          <w:rFonts w:ascii="Source Sans Pro" w:hAnsi="Source Sans Pro"/>
          <w:szCs w:val="26"/>
        </w:rPr>
        <w:t> </w:t>
      </w:r>
      <w:r w:rsidRPr="00D829F0">
        <w:rPr>
          <w:rFonts w:ascii="Source Sans Pro" w:hAnsi="Source Sans Pro"/>
          <w:szCs w:val="26"/>
        </w:rPr>
        <w:t>gada sākumu (43,7 gadi).</w:t>
      </w:r>
    </w:p>
    <w:p w14:paraId="65564519" w14:textId="77777777" w:rsidR="002E580E" w:rsidRDefault="002E580E">
      <w:pPr>
        <w:spacing w:after="0"/>
        <w:rPr>
          <w:rFonts w:ascii="Source Sans Pro" w:hAnsi="Source Sans Pro"/>
          <w:color w:val="000000"/>
          <w:szCs w:val="20"/>
        </w:rPr>
      </w:pPr>
      <w:r>
        <w:rPr>
          <w:rFonts w:ascii="Source Sans Pro" w:hAnsi="Source Sans Pro"/>
          <w:color w:val="000000"/>
          <w:szCs w:val="20"/>
        </w:rPr>
        <w:br w:type="page"/>
      </w:r>
    </w:p>
    <w:p w14:paraId="1870B676" w14:textId="6486FAFE" w:rsidR="005D4D09" w:rsidRPr="00D829F0" w:rsidRDefault="005D4D09" w:rsidP="005D4D09">
      <w:pPr>
        <w:spacing w:after="120"/>
        <w:jc w:val="right"/>
        <w:rPr>
          <w:rFonts w:ascii="Source Sans Pro" w:hAnsi="Source Sans Pro"/>
          <w:color w:val="000000"/>
          <w:szCs w:val="20"/>
        </w:rPr>
      </w:pPr>
      <w:r w:rsidRPr="00D829F0">
        <w:rPr>
          <w:rFonts w:ascii="Source Sans Pro" w:hAnsi="Source Sans Pro"/>
          <w:color w:val="000000"/>
          <w:szCs w:val="20"/>
        </w:rPr>
        <w:lastRenderedPageBreak/>
        <w:t>3.</w:t>
      </w:r>
      <w:r w:rsidR="00243780">
        <w:rPr>
          <w:rFonts w:ascii="Source Sans Pro" w:hAnsi="Source Sans Pro"/>
          <w:color w:val="000000"/>
          <w:szCs w:val="20"/>
        </w:rPr>
        <w:t>7</w:t>
      </w:r>
      <w:r w:rsidRPr="00D829F0">
        <w:rPr>
          <w:rFonts w:ascii="Source Sans Pro" w:hAnsi="Source Sans Pro"/>
          <w:color w:val="000000"/>
          <w:szCs w:val="20"/>
        </w:rPr>
        <w:t>.</w:t>
      </w:r>
      <w:r w:rsidR="006C40AC">
        <w:rPr>
          <w:rFonts w:ascii="Source Sans Pro" w:hAnsi="Source Sans Pro"/>
          <w:color w:val="000000"/>
          <w:szCs w:val="20"/>
        </w:rPr>
        <w:t> </w:t>
      </w:r>
      <w:r w:rsidRPr="00D829F0">
        <w:rPr>
          <w:rFonts w:ascii="Source Sans Pro" w:hAnsi="Source Sans Pro"/>
          <w:color w:val="000000"/>
          <w:szCs w:val="20"/>
        </w:rPr>
        <w:t>attēls</w:t>
      </w:r>
    </w:p>
    <w:p w14:paraId="37149C97" w14:textId="77777777" w:rsidR="005D4D09" w:rsidRPr="005D4D09" w:rsidRDefault="005D4D09" w:rsidP="005D4D09">
      <w:pPr>
        <w:spacing w:after="120"/>
        <w:jc w:val="center"/>
        <w:rPr>
          <w:rFonts w:ascii="Segoe UI Light" w:hAnsi="Segoe UI Light"/>
          <w:color w:val="000000"/>
          <w:sz w:val="16"/>
          <w:szCs w:val="20"/>
        </w:rPr>
      </w:pPr>
      <w:r w:rsidRPr="005D4D09">
        <w:rPr>
          <w:rFonts w:ascii="Segoe UI Light" w:hAnsi="Segoe UI Light"/>
          <w:b/>
          <w:color w:val="000000"/>
          <w:sz w:val="18"/>
          <w:szCs w:val="20"/>
        </w:rPr>
        <w:t xml:space="preserve">Iedzīvotāju vecuma un dzimuma struktūra </w:t>
      </w:r>
      <w:r w:rsidRPr="005D4D09">
        <w:rPr>
          <w:rFonts w:ascii="Segoe UI Light" w:hAnsi="Segoe UI Light"/>
          <w:b/>
          <w:color w:val="000000"/>
          <w:sz w:val="18"/>
          <w:szCs w:val="20"/>
        </w:rPr>
        <w:br/>
      </w:r>
      <w:r w:rsidRPr="005D4D09">
        <w:rPr>
          <w:rFonts w:ascii="Segoe UI Light" w:hAnsi="Segoe UI Light"/>
          <w:i/>
          <w:color w:val="000000"/>
          <w:sz w:val="16"/>
          <w:szCs w:val="20"/>
        </w:rPr>
        <w:t>tūkstošos</w:t>
      </w:r>
    </w:p>
    <w:tbl>
      <w:tblPr>
        <w:tblStyle w:val="TableGrid8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60"/>
      </w:tblGrid>
      <w:tr w:rsidR="005D4D09" w:rsidRPr="005D4D09" w14:paraId="31C299C3" w14:textId="77777777">
        <w:tc>
          <w:tcPr>
            <w:tcW w:w="4526" w:type="dxa"/>
            <w:tcMar>
              <w:top w:w="0" w:type="dxa"/>
              <w:left w:w="0" w:type="dxa"/>
              <w:bottom w:w="0" w:type="dxa"/>
              <w:right w:w="0" w:type="dxa"/>
            </w:tcMar>
            <w:vAlign w:val="center"/>
            <w:hideMark/>
          </w:tcPr>
          <w:p w14:paraId="2CC830E3" w14:textId="77777777" w:rsidR="005D4D09" w:rsidRPr="005D4D09" w:rsidRDefault="005D4D09" w:rsidP="005D4D09">
            <w:pPr>
              <w:spacing w:after="0"/>
              <w:jc w:val="center"/>
              <w:rPr>
                <w:rFonts w:cs="Segoe UI"/>
                <w:b/>
                <w:bCs/>
                <w:szCs w:val="20"/>
              </w:rPr>
            </w:pPr>
            <w:r w:rsidRPr="00D829F0">
              <w:rPr>
                <w:rFonts w:ascii="Source Sans Pro" w:hAnsi="Source Sans Pro" w:cs="Segoe UI"/>
                <w:b/>
                <w:szCs w:val="20"/>
              </w:rPr>
              <w:t xml:space="preserve">           2026. gads</w:t>
            </w:r>
          </w:p>
        </w:tc>
        <w:tc>
          <w:tcPr>
            <w:tcW w:w="4545" w:type="dxa"/>
            <w:tcMar>
              <w:top w:w="0" w:type="dxa"/>
              <w:left w:w="0" w:type="dxa"/>
              <w:bottom w:w="0" w:type="dxa"/>
              <w:right w:w="0" w:type="dxa"/>
            </w:tcMar>
            <w:vAlign w:val="center"/>
            <w:hideMark/>
          </w:tcPr>
          <w:p w14:paraId="17083AC0" w14:textId="77777777" w:rsidR="005D4D09" w:rsidRPr="005D4D09" w:rsidRDefault="005D4D09" w:rsidP="005D4D09">
            <w:pPr>
              <w:spacing w:after="0"/>
              <w:jc w:val="center"/>
              <w:rPr>
                <w:rFonts w:cs="Segoe UI"/>
                <w:szCs w:val="20"/>
              </w:rPr>
            </w:pPr>
            <w:r w:rsidRPr="00D829F0">
              <w:rPr>
                <w:rFonts w:ascii="Source Sans Pro" w:hAnsi="Source Sans Pro" w:cs="Segoe UI"/>
                <w:b/>
                <w:szCs w:val="20"/>
              </w:rPr>
              <w:t xml:space="preserve">          2040. gads</w:t>
            </w:r>
          </w:p>
        </w:tc>
      </w:tr>
      <w:tr w:rsidR="005D4D09" w:rsidRPr="00D829F0" w14:paraId="44620B12" w14:textId="77777777">
        <w:tc>
          <w:tcPr>
            <w:tcW w:w="4526" w:type="dxa"/>
            <w:tcMar>
              <w:top w:w="0" w:type="dxa"/>
              <w:left w:w="0" w:type="dxa"/>
              <w:bottom w:w="0" w:type="dxa"/>
              <w:right w:w="0" w:type="dxa"/>
            </w:tcMar>
            <w:vAlign w:val="center"/>
            <w:hideMark/>
          </w:tcPr>
          <w:p w14:paraId="1191A8A8" w14:textId="77777777" w:rsidR="005D4D09" w:rsidRPr="007B02C6" w:rsidRDefault="005D4D09" w:rsidP="005D4D09">
            <w:pPr>
              <w:spacing w:after="0"/>
              <w:jc w:val="center"/>
              <w:rPr>
                <w:rFonts w:cs="Segoe UI"/>
                <w:color w:val="000000" w:themeColor="text1"/>
              </w:rPr>
            </w:pPr>
            <w:r w:rsidRPr="007B02C6">
              <w:rPr>
                <w:rFonts w:ascii="Source Sans Pro" w:hAnsi="Source Sans Pro"/>
                <w:noProof/>
                <w:color w:val="000000" w:themeColor="text1"/>
              </w:rPr>
              <w:drawing>
                <wp:inline distT="0" distB="0" distL="0" distR="0" wp14:anchorId="606FF47B" wp14:editId="1BE75536">
                  <wp:extent cx="2750820" cy="2165350"/>
                  <wp:effectExtent l="0" t="0" r="0" b="6350"/>
                  <wp:docPr id="1211756874" name="Chart 1400">
                    <a:extLst xmlns:a="http://schemas.openxmlformats.org/drawingml/2006/main">
                      <a:ext uri="{FF2B5EF4-FFF2-40B4-BE49-F238E27FC236}">
                        <a16:creationId xmlns:a16="http://schemas.microsoft.com/office/drawing/2014/main" id="{7C774218-6D46-46BD-83EB-A6E93F07A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c>
        <w:tc>
          <w:tcPr>
            <w:tcW w:w="4545" w:type="dxa"/>
            <w:tcMar>
              <w:top w:w="0" w:type="dxa"/>
              <w:left w:w="0" w:type="dxa"/>
              <w:bottom w:w="0" w:type="dxa"/>
              <w:right w:w="0" w:type="dxa"/>
            </w:tcMar>
            <w:vAlign w:val="center"/>
            <w:hideMark/>
          </w:tcPr>
          <w:p w14:paraId="1BFFEE34" w14:textId="77777777" w:rsidR="005D4D09" w:rsidRPr="00D829F0" w:rsidRDefault="005D4D09" w:rsidP="005D4D09">
            <w:pPr>
              <w:spacing w:after="0"/>
              <w:jc w:val="center"/>
              <w:rPr>
                <w:rFonts w:ascii="Source Sans Pro" w:hAnsi="Source Sans Pro" w:cs="Segoe UI"/>
              </w:rPr>
            </w:pPr>
            <w:r w:rsidRPr="005D4D09">
              <w:rPr>
                <w:noProof/>
              </w:rPr>
              <mc:AlternateContent>
                <mc:Choice Requires="wps">
                  <w:drawing>
                    <wp:anchor distT="0" distB="0" distL="114300" distR="114300" simplePos="0" relativeHeight="251658388" behindDoc="0" locked="0" layoutInCell="1" allowOverlap="1" wp14:anchorId="087A3CDA" wp14:editId="6B5C3C2D">
                      <wp:simplePos x="0" y="0"/>
                      <wp:positionH relativeFrom="column">
                        <wp:posOffset>1737995</wp:posOffset>
                      </wp:positionH>
                      <wp:positionV relativeFrom="paragraph">
                        <wp:posOffset>864235</wp:posOffset>
                      </wp:positionV>
                      <wp:extent cx="806450" cy="361315"/>
                      <wp:effectExtent l="0" t="0" r="0" b="0"/>
                      <wp:wrapNone/>
                      <wp:docPr id="187870509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50" cy="361315"/>
                              </a:xfrm>
                              <a:prstGeom prst="rect">
                                <a:avLst/>
                              </a:prstGeom>
                            </wps:spPr>
                            <wps:txbx>
                              <w:txbxContent>
                                <w:p w14:paraId="389E071A" w14:textId="0E4CD062" w:rsidR="005D4D09" w:rsidRPr="007B02C6" w:rsidRDefault="00A82C5A" w:rsidP="005D4D09">
                                  <w:pPr>
                                    <w:rPr>
                                      <w:rFonts w:ascii="Segoe UI Light" w:hAnsi="Segoe UI Light" w:cs="Segoe UI Light"/>
                                      <w:color w:val="000000" w:themeColor="text1"/>
                                      <w:sz w:val="16"/>
                                      <w:szCs w:val="16"/>
                                    </w:rPr>
                                  </w:pPr>
                                  <w:r w:rsidRPr="007B02C6">
                                    <w:rPr>
                                      <w:rFonts w:ascii="Segoe UI Light" w:hAnsi="Segoe UI Light" w:cs="Segoe UI Light"/>
                                      <w:color w:val="000000" w:themeColor="text1"/>
                                      <w:sz w:val="16"/>
                                      <w:szCs w:val="16"/>
                                    </w:rPr>
                                    <w:t>927,1 tūkst.</w:t>
                                  </w:r>
                                </w:p>
                              </w:txbxContent>
                            </wps:txbx>
                            <wps:bodyPr vertOverflow="clip" horz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087A3CDA" id="Text Box 27" o:spid="_x0000_s1249" type="#_x0000_t202" style="position:absolute;left:0;text-align:left;margin-left:136.85pt;margin-top:68.05pt;width:63.5pt;height:28.45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2nngEAACcDAAAOAAAAZHJzL2Uyb0RvYy54bWysUsFu2zAMvQ/oPwi6N7LTNSiMKMXWYrsU&#10;64BuH6DIUizMFlVRiZ19/SjFS4buNuxCWyT19N4j1/fT0LODiejAS14vKs6M19A6v5P8+7dP13ec&#10;YVK+VT14I/nRIL/fXL1bj6ExS+igb01kBOKxGYPkXUqhEQJ1ZwaFCwjGU9FCHFSiY9yJNqqR0Ide&#10;LKtqJUaIbYigDSJlH09Fvin41hqdnq1Fk1gvOXFLJcYStzmKzVo1u6hC5/RMQ/0Di0E5T4+eoR5V&#10;Umwf3V9Qg9MREGxaaBgEWOu0KRpITV29UfPSqWCKFjIHw9km/H+w+svhJXyNLE0fYaIBFhEYnkD/&#10;QPJGjAGbuSd7ig1SdxY62TjkL0lgdJG8PZ79NFNimpJ31er9LVU0lW5W9U19m/0Wl8shYvpsYGD5&#10;R/JI4yoE1OEJ06n1d8vM5fR8JpKm7cRcK/lyWWfYnNtCeyQxtI/pmYLtYZRc9y5w1kH8+TY30twl&#10;x9e9ioazmPoHKGuSdXn4sE9gXaFxwZ5p0DSKkHlz8rj/PJeuy35vfgEAAP//AwBQSwMEFAAGAAgA&#10;AAAhAL5yw83eAAAACwEAAA8AAABkcnMvZG93bnJldi54bWxMj81OwzAQhO9IvIO1SNyo3aa0NMSp&#10;EIgriPIjcdvG2yQiXkex24S3ZznBcWc+zc4U28l36kRDbANbmM8MKOIquJZrC2+vj1c3oGJCdtgF&#10;JgvfFGFbnp8VmLsw8guddqlWEsIxRwtNSn2udawa8hhnoScW7xAGj0nOodZuwFHCfacXxqy0x5bl&#10;Q4M93TdUfe2O3sL70+HzY2me6wd/3Y9hMpr9Rlt7eTHd3YJKNKU/GH7rS3UopdM+HNlF1VlYrLO1&#10;oGJkqzkoIZbGiLIXZZMZ0GWh/28ofwAAAP//AwBQSwECLQAUAAYACAAAACEAtoM4kv4AAADhAQAA&#10;EwAAAAAAAAAAAAAAAAAAAAAAW0NvbnRlbnRfVHlwZXNdLnhtbFBLAQItABQABgAIAAAAIQA4/SH/&#10;1gAAAJQBAAALAAAAAAAAAAAAAAAAAC8BAABfcmVscy8ucmVsc1BLAQItABQABgAIAAAAIQDVPE2n&#10;ngEAACcDAAAOAAAAAAAAAAAAAAAAAC4CAABkcnMvZTJvRG9jLnhtbFBLAQItABQABgAIAAAAIQC+&#10;csPN3gAAAAsBAAAPAAAAAAAAAAAAAAAAAPgDAABkcnMvZG93bnJldi54bWxQSwUGAAAAAAQABADz&#10;AAAAAwUAAAAA&#10;" filled="f" stroked="f">
                      <v:textbox>
                        <w:txbxContent>
                          <w:p w14:paraId="389E071A" w14:textId="0E4CD062" w:rsidR="005D4D09" w:rsidRPr="007B02C6" w:rsidRDefault="00A82C5A" w:rsidP="005D4D09">
                            <w:pPr>
                              <w:rPr>
                                <w:rFonts w:ascii="Segoe UI Light" w:hAnsi="Segoe UI Light" w:cs="Segoe UI Light"/>
                                <w:color w:val="000000" w:themeColor="text1"/>
                                <w:sz w:val="16"/>
                                <w:szCs w:val="16"/>
                              </w:rPr>
                            </w:pPr>
                            <w:r w:rsidRPr="007B02C6">
                              <w:rPr>
                                <w:rFonts w:ascii="Segoe UI Light" w:hAnsi="Segoe UI Light" w:cs="Segoe UI Light"/>
                                <w:color w:val="000000" w:themeColor="text1"/>
                                <w:sz w:val="16"/>
                                <w:szCs w:val="16"/>
                              </w:rPr>
                              <w:t>927,1 tūkst.</w:t>
                            </w:r>
                          </w:p>
                        </w:txbxContent>
                      </v:textbox>
                    </v:shape>
                  </w:pict>
                </mc:Fallback>
              </mc:AlternateContent>
            </w:r>
            <w:r w:rsidRPr="00D829F0">
              <w:rPr>
                <w:rFonts w:ascii="Source Sans Pro" w:hAnsi="Source Sans Pro"/>
                <w:noProof/>
              </w:rPr>
              <w:drawing>
                <wp:inline distT="0" distB="0" distL="0" distR="0" wp14:anchorId="5FE96505" wp14:editId="33F0A629">
                  <wp:extent cx="2889250" cy="2165350"/>
                  <wp:effectExtent l="0" t="0" r="6350" b="6350"/>
                  <wp:docPr id="435428472" name="Chart 1402">
                    <a:extLst xmlns:a="http://schemas.openxmlformats.org/drawingml/2006/main">
                      <a:ext uri="{FF2B5EF4-FFF2-40B4-BE49-F238E27FC236}">
                        <a16:creationId xmlns:a16="http://schemas.microsoft.com/office/drawing/2014/main" id="{7C774218-6D46-46BD-83EB-A6E93F07A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c>
      </w:tr>
    </w:tbl>
    <w:p w14:paraId="004F84A4" w14:textId="1EC52C6B" w:rsidR="005D4D09" w:rsidRPr="00D829F0" w:rsidRDefault="005D4D09" w:rsidP="005D4D09">
      <w:pPr>
        <w:spacing w:before="120" w:after="120"/>
        <w:rPr>
          <w:rFonts w:ascii="Source Sans Pro" w:hAnsi="Source Sans Pro" w:cs="Calibri Light"/>
          <w:sz w:val="16"/>
          <w:szCs w:val="14"/>
        </w:rPr>
      </w:pPr>
      <w:r w:rsidRPr="00D829F0">
        <w:rPr>
          <w:rFonts w:ascii="Source Sans Pro" w:hAnsi="Source Sans Pro" w:cs="Calibri Light"/>
          <w:sz w:val="16"/>
          <w:szCs w:val="14"/>
        </w:rPr>
        <w:t>Avots: CSP dati 2026.</w:t>
      </w:r>
      <w:r w:rsidR="006C40AC">
        <w:rPr>
          <w:rFonts w:ascii="Source Sans Pro" w:hAnsi="Source Sans Pro" w:cs="Calibri Light"/>
          <w:sz w:val="16"/>
          <w:szCs w:val="14"/>
        </w:rPr>
        <w:t> </w:t>
      </w:r>
      <w:r w:rsidRPr="00D829F0">
        <w:rPr>
          <w:rFonts w:ascii="Source Sans Pro" w:hAnsi="Source Sans Pro" w:cs="Calibri Light"/>
          <w:sz w:val="16"/>
          <w:szCs w:val="14"/>
        </w:rPr>
        <w:t>gadam, EM prognozes 2040.</w:t>
      </w:r>
      <w:r w:rsidR="006C40AC">
        <w:rPr>
          <w:rFonts w:ascii="Source Sans Pro" w:hAnsi="Source Sans Pro" w:cs="Calibri Light"/>
          <w:sz w:val="16"/>
          <w:szCs w:val="14"/>
        </w:rPr>
        <w:t> </w:t>
      </w:r>
      <w:r w:rsidRPr="00D829F0">
        <w:rPr>
          <w:rFonts w:ascii="Source Sans Pro" w:hAnsi="Source Sans Pro" w:cs="Calibri Light"/>
          <w:sz w:val="16"/>
          <w:szCs w:val="14"/>
        </w:rPr>
        <w:t>gadam</w:t>
      </w:r>
    </w:p>
    <w:p w14:paraId="05A0258E" w14:textId="77777777" w:rsidR="005D4D09" w:rsidRPr="00D829F0" w:rsidRDefault="005D4D09" w:rsidP="005D4D09">
      <w:pPr>
        <w:spacing w:after="120"/>
        <w:jc w:val="both"/>
        <w:rPr>
          <w:rFonts w:ascii="Source Sans Pro" w:hAnsi="Source Sans Pro" w:cs="Segoe UI"/>
          <w:szCs w:val="20"/>
        </w:rPr>
      </w:pPr>
    </w:p>
    <w:p w14:paraId="6BCD5EE0" w14:textId="4878AC16" w:rsidR="005D4D09" w:rsidRPr="00D829F0" w:rsidRDefault="005D4D09" w:rsidP="005D4D09">
      <w:pPr>
        <w:spacing w:after="120"/>
        <w:jc w:val="both"/>
        <w:rPr>
          <w:rFonts w:ascii="Source Sans Pro" w:hAnsi="Source Sans Pro" w:cs="Segoe UI"/>
          <w:szCs w:val="20"/>
        </w:rPr>
      </w:pPr>
      <w:r w:rsidRPr="00D829F0">
        <w:rPr>
          <w:rFonts w:ascii="Source Sans Pro" w:hAnsi="Source Sans Pro" w:cs="Segoe UI"/>
          <w:szCs w:val="20"/>
        </w:rPr>
        <w:t>Līdz ar sabiedrības novecošanos, arī turpmāk demogrāfiskās slodzes rādītāji Latvijā pieaugs. Paredzams, ka demogrāfiskās slodzes līmenis līdz 2040. gadam pieaugs par 12%, salīdzinot ar 2026.</w:t>
      </w:r>
      <w:r w:rsidR="006C40AC">
        <w:rPr>
          <w:rFonts w:ascii="Source Sans Pro" w:hAnsi="Source Sans Pro" w:cs="Segoe UI"/>
          <w:szCs w:val="20"/>
        </w:rPr>
        <w:t> </w:t>
      </w:r>
      <w:r w:rsidRPr="00D829F0">
        <w:rPr>
          <w:rFonts w:ascii="Source Sans Pro" w:hAnsi="Source Sans Pro" w:cs="Segoe UI"/>
          <w:szCs w:val="20"/>
        </w:rPr>
        <w:t>gadu. Tātad 2040.</w:t>
      </w:r>
      <w:r w:rsidR="006C40AC">
        <w:rPr>
          <w:rFonts w:ascii="Source Sans Pro" w:hAnsi="Source Sans Pro" w:cs="Segoe UI"/>
          <w:szCs w:val="20"/>
        </w:rPr>
        <w:t> </w:t>
      </w:r>
      <w:r w:rsidRPr="00D829F0">
        <w:rPr>
          <w:rFonts w:ascii="Source Sans Pro" w:hAnsi="Source Sans Pro" w:cs="Segoe UI"/>
          <w:szCs w:val="20"/>
        </w:rPr>
        <w:t>gadā uz katriem 1000 iedzīvotājiem darbaspējas vecumā būs 667 iedzīvotāji ārpus darbaspējas, turklāt 68% no tiem būs vecumā virs 65 gadiem.</w:t>
      </w:r>
    </w:p>
    <w:p w14:paraId="40BD989E" w14:textId="21194480" w:rsidR="005D4D09" w:rsidRPr="00D829F0" w:rsidRDefault="005D4D09" w:rsidP="005D4D09">
      <w:pPr>
        <w:spacing w:after="120"/>
        <w:jc w:val="right"/>
        <w:rPr>
          <w:rFonts w:ascii="Source Sans Pro" w:hAnsi="Source Sans Pro"/>
          <w:color w:val="000000"/>
          <w:szCs w:val="20"/>
        </w:rPr>
      </w:pPr>
      <w:r w:rsidRPr="00D829F0">
        <w:rPr>
          <w:rFonts w:ascii="Source Sans Pro" w:hAnsi="Source Sans Pro"/>
          <w:color w:val="000000"/>
          <w:szCs w:val="20"/>
        </w:rPr>
        <w:t>3.</w:t>
      </w:r>
      <w:r w:rsidR="00243780">
        <w:rPr>
          <w:rFonts w:ascii="Source Sans Pro" w:hAnsi="Source Sans Pro"/>
          <w:color w:val="000000"/>
          <w:szCs w:val="20"/>
        </w:rPr>
        <w:t>8</w:t>
      </w:r>
      <w:r w:rsidRPr="00D829F0">
        <w:rPr>
          <w:rFonts w:ascii="Source Sans Pro" w:hAnsi="Source Sans Pro"/>
          <w:color w:val="000000"/>
          <w:szCs w:val="20"/>
        </w:rPr>
        <w:t>.</w:t>
      </w:r>
      <w:r w:rsidR="006C40AC">
        <w:rPr>
          <w:rFonts w:ascii="Source Sans Pro" w:hAnsi="Source Sans Pro"/>
          <w:color w:val="000000"/>
          <w:szCs w:val="20"/>
        </w:rPr>
        <w:t> </w:t>
      </w:r>
      <w:r w:rsidRPr="00D829F0">
        <w:rPr>
          <w:rFonts w:ascii="Source Sans Pro" w:hAnsi="Source Sans Pro"/>
          <w:color w:val="000000"/>
          <w:szCs w:val="20"/>
        </w:rPr>
        <w:t>attēls</w:t>
      </w:r>
    </w:p>
    <w:p w14:paraId="4494C5FB" w14:textId="77777777" w:rsidR="005D4D09" w:rsidRPr="005D4D09" w:rsidRDefault="005D4D09" w:rsidP="005D4D09">
      <w:pPr>
        <w:spacing w:after="120"/>
        <w:jc w:val="center"/>
        <w:rPr>
          <w:rFonts w:ascii="Segoe UI Light" w:hAnsi="Segoe UI Light"/>
          <w:bCs/>
          <w:i/>
          <w:color w:val="000000"/>
          <w:sz w:val="16"/>
          <w:szCs w:val="20"/>
        </w:rPr>
      </w:pPr>
      <w:r w:rsidRPr="005D4D09">
        <w:rPr>
          <w:rFonts w:ascii="Segoe UI Light" w:hAnsi="Segoe UI Light"/>
          <w:b/>
          <w:color w:val="000000"/>
          <w:sz w:val="18"/>
          <w:szCs w:val="20"/>
        </w:rPr>
        <w:t>Demogrāfiskā slodze</w:t>
      </w:r>
      <w:r w:rsidRPr="005D4D09">
        <w:rPr>
          <w:rFonts w:ascii="Segoe UI Light" w:hAnsi="Segoe UI Light"/>
          <w:b/>
          <w:color w:val="000000"/>
          <w:sz w:val="18"/>
          <w:szCs w:val="20"/>
        </w:rPr>
        <w:br/>
      </w:r>
      <w:r w:rsidRPr="005D4D09">
        <w:rPr>
          <w:rFonts w:ascii="Segoe UI Light" w:hAnsi="Segoe UI Light"/>
          <w:bCs/>
          <w:i/>
          <w:color w:val="000000"/>
          <w:sz w:val="16"/>
          <w:szCs w:val="20"/>
        </w:rPr>
        <w:t>Darbspējas vecumu nesasniegušo un pārsniegušo personu skaits vidēji uz 1000 iedzīvotājiem darbspējas vecumā (15-64 gadi)</w:t>
      </w:r>
      <w:r w:rsidRPr="005D4D09">
        <w:rPr>
          <w:rFonts w:ascii="Segoe UI Light" w:hAnsi="Segoe UI Light"/>
          <w:bCs/>
          <w:i/>
          <w:color w:val="000000"/>
          <w:sz w:val="16"/>
          <w:szCs w:val="20"/>
          <w:vertAlign w:val="superscript"/>
        </w:rPr>
        <w:t>*</w:t>
      </w:r>
    </w:p>
    <w:p w14:paraId="1A7C0D32" w14:textId="77777777" w:rsidR="005D4D09" w:rsidRPr="00D829F0" w:rsidRDefault="005D4D09" w:rsidP="005D4D09">
      <w:pPr>
        <w:jc w:val="center"/>
        <w:rPr>
          <w:rFonts w:ascii="Source Sans Pro" w:hAnsi="Source Sans Pro"/>
          <w:color w:val="000000"/>
        </w:rPr>
      </w:pPr>
      <w:r w:rsidRPr="005D4D09">
        <w:rPr>
          <w:noProof/>
        </w:rPr>
        <mc:AlternateContent>
          <mc:Choice Requires="wps">
            <w:drawing>
              <wp:anchor distT="0" distB="0" distL="114300" distR="114300" simplePos="0" relativeHeight="251658387" behindDoc="0" locked="0" layoutInCell="1" allowOverlap="1" wp14:anchorId="6CAF1FED" wp14:editId="1568AE21">
                <wp:simplePos x="0" y="0"/>
                <wp:positionH relativeFrom="page">
                  <wp:posOffset>4599940</wp:posOffset>
                </wp:positionH>
                <wp:positionV relativeFrom="paragraph">
                  <wp:posOffset>89535</wp:posOffset>
                </wp:positionV>
                <wp:extent cx="9525" cy="1819275"/>
                <wp:effectExtent l="0" t="0" r="28575" b="28575"/>
                <wp:wrapNone/>
                <wp:docPr id="200228758" name="Straight Connector 1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819275"/>
                        </a:xfrm>
                        <a:prstGeom prst="line">
                          <a:avLst/>
                        </a:prstGeom>
                        <a:noFill/>
                        <a:ln w="19050" cap="flat" cmpd="sng" algn="ctr">
                          <a:solidFill>
                            <a:sysClr val="windowText" lastClr="000000">
                              <a:lumMod val="65000"/>
                              <a:lumOff val="35000"/>
                              <a:alpha val="59000"/>
                            </a:sys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xmlns:w16cei="http://schemas.microsoft.com/office/word/2026/wordml/cei">
            <w:pict w14:anchorId="27564E58">
              <v:line id="Straight Connector 1349" style="position:absolute;z-index:2516646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595959" strokeweight="1.5pt" from="362.2pt,7.05pt" to="362.95pt,150.3pt" w14:anchorId="1076DD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jW45gEAAMYDAAAOAAAAZHJzL2Uyb0RvYy54bWysU8tu2zAQvBfoPxC817JdKLUFyznESC9p&#10;GyDpB2xIyiLKF7iMZf99l6Rj93ErqgPBfXA4sxxtbo/WsIOKqL3r+WI250w54aV2+55/f77/sOIM&#10;EzgJxjvV85NCfrt9/24zhU4t/eiNVJERiMNuCj0fUwpd06AYlQWc+aAcFQcfLSQK476RESZCt6ZZ&#10;zuc3zeSjDNELhUjZXS3ybcEfBiXSt2FAlZjpOXFLZY1lfclrs91At48QRi3ONOAfWFjQji69QO0g&#10;AXuN+i8oq0X06Ic0E942fhi0UEUDqVnM/1DzNEJQRQsNB8NlTPj/YMXXw517jJm6OLqn8ODFD6Sh&#10;NFPA7lLMAYbadhyize3EnR3LIE+XQapjYoKS63bZciaosFgt1stPbZ5zA93b2RAxfVbesrzpudEu&#10;y4QODg+YautbS047f6+NKU9lHJsIdT1v6TUFkGMGA4m2Nsieo9tzBmZPVhQpFkj0Rst8PAPhCe9M&#10;ZAcgN5CJpJ+eiTJnBjBRgXSUrxw0r/aLl7X3pqV89QqlyVE1/fGaBhNGqNl2fW4mwfXCov03Ilnd&#10;DnCsJyTtKrrViX4Ho23PV5VKnYZxmb4qhj6P6Pomeffi5ekx5uYckVnKnWdjZzf+Gpeu6++3/QkA&#10;AP//AwBQSwMEFAAGAAgAAAAhABHqif7hAAAACgEAAA8AAABkcnMvZG93bnJldi54bWxMj8tOwzAQ&#10;RfdI/IM1SGwQtRMChRCnikBdUPEQhQ9w4yGJiO0odlOnX8+wguXoHt17plhF07MJR985KyFZCGBo&#10;a6c720j4/Fhf3gLzQVmtemdRwoweVuXpSaFy7Q72HadtaBiVWJ8rCW0IQ865r1s0yi/cgJayLzca&#10;FegcG65HdaBy0/NUiBtuVGdpoVUDPrRYf2/3RsI6xkm8HN+O1eapSp5n8TpfPKKU52exugcWMIY/&#10;GH71SR1Kctq5vdWe9RKWaZYRSkGWACNgmV7fAdtJuKJd4GXB/79Q/gAAAP//AwBQSwECLQAUAAYA&#10;CAAAACEAtoM4kv4AAADhAQAAEwAAAAAAAAAAAAAAAAAAAAAAW0NvbnRlbnRfVHlwZXNdLnhtbFBL&#10;AQItABQABgAIAAAAIQA4/SH/1gAAAJQBAAALAAAAAAAAAAAAAAAAAC8BAABfcmVscy8ucmVsc1BL&#10;AQItABQABgAIAAAAIQCz6jW45gEAAMYDAAAOAAAAAAAAAAAAAAAAAC4CAABkcnMvZTJvRG9jLnht&#10;bFBLAQItABQABgAIAAAAIQAR6on+4QAAAAoBAAAPAAAAAAAAAAAAAAAAAEAEAABkcnMvZG93bnJl&#10;di54bWxQSwUGAAAAAAQABADzAAAATgUAAAAA&#10;">
                <v:stroke opacity="38550f" joinstyle="miter" dashstyle="dash"/>
                <o:lock v:ext="edit" shapetype="f"/>
                <w10:wrap anchorx="page"/>
              </v:line>
            </w:pict>
          </mc:Fallback>
        </mc:AlternateContent>
      </w:r>
      <w:r w:rsidRPr="00D829F0">
        <w:rPr>
          <w:rFonts w:ascii="Source Sans Pro" w:hAnsi="Source Sans Pro"/>
          <w:b/>
          <w:noProof/>
          <w:color w:val="000000"/>
        </w:rPr>
        <w:drawing>
          <wp:inline distT="0" distB="0" distL="0" distR="0" wp14:anchorId="6BECD22C" wp14:editId="6782FF8B">
            <wp:extent cx="5764530" cy="2165350"/>
            <wp:effectExtent l="0" t="0" r="7620" b="6350"/>
            <wp:docPr id="415030781" name="Chart 2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2412F6EE" w14:textId="4D4B3AFE" w:rsidR="005D4D09" w:rsidRPr="00D829F0" w:rsidRDefault="005D4D09" w:rsidP="005D4D09">
      <w:pPr>
        <w:spacing w:after="120"/>
        <w:jc w:val="both"/>
        <w:rPr>
          <w:rFonts w:ascii="Source Sans Pro" w:hAnsi="Source Sans Pro" w:cs="Calibri Light"/>
          <w:sz w:val="16"/>
          <w:szCs w:val="14"/>
        </w:rPr>
      </w:pPr>
      <w:r w:rsidRPr="00D829F0">
        <w:rPr>
          <w:rFonts w:ascii="Source Sans Pro" w:hAnsi="Source Sans Pro" w:cs="Calibri Light"/>
          <w:sz w:val="16"/>
          <w:szCs w:val="14"/>
        </w:rPr>
        <w:t>Avots: CSP dati līdz 2026.</w:t>
      </w:r>
      <w:r w:rsidR="006C40AC">
        <w:rPr>
          <w:rFonts w:ascii="Source Sans Pro" w:hAnsi="Source Sans Pro" w:cs="Calibri Light"/>
          <w:sz w:val="16"/>
          <w:szCs w:val="14"/>
        </w:rPr>
        <w:t> </w:t>
      </w:r>
      <w:r w:rsidRPr="00D829F0">
        <w:rPr>
          <w:rFonts w:ascii="Source Sans Pro" w:hAnsi="Source Sans Pro" w:cs="Calibri Light"/>
          <w:sz w:val="16"/>
          <w:szCs w:val="14"/>
        </w:rPr>
        <w:t>gadam, EM prognozes sākot ar 2027.</w:t>
      </w:r>
      <w:r w:rsidR="006C40AC">
        <w:rPr>
          <w:rFonts w:ascii="Source Sans Pro" w:hAnsi="Source Sans Pro" w:cs="Calibri Light"/>
          <w:sz w:val="16"/>
          <w:szCs w:val="14"/>
        </w:rPr>
        <w:t> </w:t>
      </w:r>
      <w:r w:rsidRPr="00D829F0">
        <w:rPr>
          <w:rFonts w:ascii="Source Sans Pro" w:hAnsi="Source Sans Pro" w:cs="Calibri Light"/>
          <w:sz w:val="16"/>
          <w:szCs w:val="14"/>
        </w:rPr>
        <w:t>gadu</w:t>
      </w:r>
    </w:p>
    <w:p w14:paraId="0697D20B" w14:textId="77777777" w:rsidR="005D4D09" w:rsidRPr="00D829F0" w:rsidRDefault="005D4D09" w:rsidP="005D4D09">
      <w:pPr>
        <w:spacing w:after="120"/>
        <w:jc w:val="both"/>
        <w:rPr>
          <w:rFonts w:ascii="Source Sans Pro" w:hAnsi="Source Sans Pro"/>
          <w:color w:val="000000"/>
          <w:spacing w:val="-2"/>
        </w:rPr>
      </w:pPr>
    </w:p>
    <w:p w14:paraId="0961B1B6" w14:textId="0979C9DE" w:rsidR="005D4D09" w:rsidRPr="00D829F0" w:rsidRDefault="006C40AC" w:rsidP="005D4D09">
      <w:pPr>
        <w:spacing w:after="120"/>
        <w:jc w:val="both"/>
        <w:rPr>
          <w:rFonts w:ascii="Source Sans Pro" w:hAnsi="Source Sans Pro"/>
          <w:color w:val="000000"/>
          <w:spacing w:val="-2"/>
        </w:rPr>
      </w:pPr>
      <w:r>
        <w:rPr>
          <w:rFonts w:ascii="Source Sans Pro" w:hAnsi="Source Sans Pro"/>
          <w:color w:val="000000"/>
          <w:spacing w:val="-2"/>
        </w:rPr>
        <w:t>N</w:t>
      </w:r>
      <w:r w:rsidR="005D4D09" w:rsidRPr="00D829F0">
        <w:rPr>
          <w:rFonts w:ascii="Source Sans Pro" w:hAnsi="Source Sans Pro"/>
          <w:color w:val="000000"/>
          <w:spacing w:val="-2"/>
        </w:rPr>
        <w:t>egatīvās demogrāfijas tendences atstāj būtisku ietekmi uz darba tirgu. Darbaspēka rezerves Latvijā ilgstoši samazinās negatīvo demogrāfijas tendenču ietekmē. Lai mazinātu iedzīvotāju novecošanās negatīvo ietekmi uz darba tirgu un sociālo apdrošināšanas sistēmu, vidējā termiņā būtiski ir pasākumi iedzīvotāju ekonomiskās aktivitātes veicināšanai, kā arī nepieciešams mazināt šķēršļus jauno speciālistu ātrākai ienākšanai darba tirgū. Vienlaikus ilgtermiņā jāturpina koncentrēties uz negatīvās demogrāfiskās bilances izlīdzināšanu.</w:t>
      </w:r>
    </w:p>
    <w:p w14:paraId="22D63DF2" w14:textId="77777777" w:rsidR="000F6EC9" w:rsidRPr="00D829F0" w:rsidRDefault="000F6EC9" w:rsidP="005D4D09">
      <w:pPr>
        <w:spacing w:after="120"/>
        <w:jc w:val="both"/>
        <w:rPr>
          <w:rFonts w:ascii="Source Sans Pro" w:hAnsi="Source Sans Pro"/>
          <w:color w:val="000000"/>
          <w:spacing w:val="-2"/>
        </w:rPr>
      </w:pPr>
    </w:p>
    <w:p w14:paraId="14C1D07E" w14:textId="77777777" w:rsidR="002E580E" w:rsidRDefault="002E580E">
      <w:pPr>
        <w:spacing w:after="0"/>
        <w:rPr>
          <w:rFonts w:ascii="Aptos Narrow" w:hAnsi="Aptos Narrow"/>
          <w:b/>
          <w:color w:val="003E4C"/>
          <w:sz w:val="28"/>
          <w:szCs w:val="28"/>
        </w:rPr>
      </w:pPr>
      <w:r>
        <w:rPr>
          <w:rFonts w:ascii="Aptos Narrow" w:hAnsi="Aptos Narrow"/>
          <w:b/>
          <w:color w:val="003E4C"/>
          <w:sz w:val="28"/>
          <w:szCs w:val="28"/>
        </w:rPr>
        <w:br w:type="page"/>
      </w:r>
    </w:p>
    <w:p w14:paraId="75B7D31A" w14:textId="77777777" w:rsidR="005D4D09" w:rsidRPr="002E580E" w:rsidRDefault="005D4D09" w:rsidP="005D4D09">
      <w:pPr>
        <w:spacing w:after="120"/>
        <w:jc w:val="both"/>
        <w:rPr>
          <w:rFonts w:ascii="Aptos Narrow" w:hAnsi="Aptos Narrow"/>
          <w:b/>
          <w:color w:val="003E4C"/>
          <w:sz w:val="28"/>
          <w:szCs w:val="28"/>
        </w:rPr>
      </w:pPr>
      <w:r w:rsidRPr="002E580E">
        <w:rPr>
          <w:rFonts w:ascii="Aptos Narrow" w:hAnsi="Aptos Narrow"/>
          <w:b/>
          <w:color w:val="003E4C"/>
          <w:sz w:val="28"/>
          <w:szCs w:val="28"/>
        </w:rPr>
        <w:lastRenderedPageBreak/>
        <w:t>Iedzīvotāju dabiskais pieaugums</w:t>
      </w:r>
    </w:p>
    <w:p w14:paraId="282A7B7E" w14:textId="1266975B" w:rsidR="005D4D09" w:rsidRPr="00D829F0" w:rsidRDefault="005D4D09" w:rsidP="005D4D09">
      <w:pPr>
        <w:spacing w:after="120"/>
        <w:jc w:val="both"/>
        <w:rPr>
          <w:rFonts w:ascii="Source Sans Pro" w:hAnsi="Source Sans Pro"/>
          <w:color w:val="000000"/>
          <w:szCs w:val="20"/>
        </w:rPr>
      </w:pPr>
      <w:r w:rsidRPr="00D829F0">
        <w:rPr>
          <w:rFonts w:ascii="Source Sans Pro" w:hAnsi="Source Sans Pro"/>
          <w:color w:val="000000"/>
          <w:szCs w:val="20"/>
        </w:rPr>
        <w:t xml:space="preserve">Relatīvā izteiksmē galvenās dabiskā pieauguma rādītāja pozīcijas gan dzimstības, gan mirstības pusē nākamajos gados uzlabosies. </w:t>
      </w:r>
      <w:r w:rsidRPr="00D829F0">
        <w:rPr>
          <w:rFonts w:ascii="Source Sans Pro" w:hAnsi="Source Sans Pro"/>
          <w:color w:val="000000" w:themeColor="text1"/>
        </w:rPr>
        <w:t>Sagaidāms, ka dzimstības rādītāju bāzes tendences kopumā gan vidēja, gan ilgtermiņā uzlabosies – summārais dzimstības koeficients līdz 2040.</w:t>
      </w:r>
      <w:r w:rsidR="0066471A">
        <w:rPr>
          <w:rFonts w:ascii="Source Sans Pro" w:hAnsi="Source Sans Pro"/>
          <w:color w:val="000000" w:themeColor="text1"/>
        </w:rPr>
        <w:t> </w:t>
      </w:r>
      <w:r w:rsidRPr="00D829F0">
        <w:rPr>
          <w:rFonts w:ascii="Source Sans Pro" w:hAnsi="Source Sans Pro"/>
          <w:color w:val="000000" w:themeColor="text1"/>
        </w:rPr>
        <w:t>gadam varētu palielināties ievērojami, salīdzinot ar ļoti zemo bāzi 2025.</w:t>
      </w:r>
      <w:r w:rsidR="0066471A">
        <w:rPr>
          <w:rFonts w:ascii="Source Sans Pro" w:hAnsi="Source Sans Pro"/>
          <w:color w:val="000000" w:themeColor="text1"/>
        </w:rPr>
        <w:t> </w:t>
      </w:r>
      <w:r w:rsidRPr="00D829F0">
        <w:rPr>
          <w:rFonts w:ascii="Source Sans Pro" w:hAnsi="Source Sans Pro"/>
          <w:color w:val="000000" w:themeColor="text1"/>
        </w:rPr>
        <w:t>gadā, un sasniegt 1,90 punktu līmeni, kāds bija vērojams Latvijā pagājušā gadsimta 90-to gadu sākumā. Vienlaikus sieviešu skaits reproduktīvā vecumā (no 15 līdz 49 gadiem) turpinās samazināties (līdz 2040.gadam par 14%), tādēļ kopumā jaundzimušo skaita pieaugums absolūtā izteiksmē būs diezgan ievērojams. Salīdzinot ar dzimstības ziņā zemo 2025.</w:t>
      </w:r>
      <w:r w:rsidR="0066471A">
        <w:rPr>
          <w:rFonts w:ascii="Source Sans Pro" w:hAnsi="Source Sans Pro"/>
          <w:color w:val="000000" w:themeColor="text1"/>
        </w:rPr>
        <w:t> </w:t>
      </w:r>
      <w:r w:rsidRPr="00D829F0">
        <w:rPr>
          <w:rFonts w:ascii="Source Sans Pro" w:hAnsi="Source Sans Pro"/>
          <w:color w:val="000000" w:themeColor="text1"/>
        </w:rPr>
        <w:t>gadu, paredzams, ka jaundzimušo skaits 2030.</w:t>
      </w:r>
      <w:r w:rsidR="00FE2D12">
        <w:rPr>
          <w:rFonts w:ascii="Source Sans Pro" w:hAnsi="Source Sans Pro"/>
          <w:color w:val="000000" w:themeColor="text1"/>
        </w:rPr>
        <w:t> </w:t>
      </w:r>
      <w:r w:rsidRPr="00D829F0">
        <w:rPr>
          <w:rFonts w:ascii="Source Sans Pro" w:hAnsi="Source Sans Pro"/>
          <w:color w:val="000000" w:themeColor="text1"/>
        </w:rPr>
        <w:t>gadā varētu pieaugt par 2,7</w:t>
      </w:r>
      <w:r w:rsidR="0066471A">
        <w:rPr>
          <w:rFonts w:ascii="Source Sans Pro" w:hAnsi="Source Sans Pro"/>
          <w:color w:val="000000" w:themeColor="text1"/>
        </w:rPr>
        <w:t> </w:t>
      </w:r>
      <w:r w:rsidRPr="00D829F0">
        <w:rPr>
          <w:rFonts w:ascii="Source Sans Pro" w:hAnsi="Source Sans Pro"/>
          <w:color w:val="000000" w:themeColor="text1"/>
        </w:rPr>
        <w:t>tūkst, savukārt 2040.</w:t>
      </w:r>
      <w:r w:rsidR="0066471A">
        <w:rPr>
          <w:rFonts w:ascii="Source Sans Pro" w:hAnsi="Source Sans Pro"/>
          <w:color w:val="000000" w:themeColor="text1"/>
        </w:rPr>
        <w:t> </w:t>
      </w:r>
      <w:r w:rsidRPr="00D829F0">
        <w:rPr>
          <w:rFonts w:ascii="Source Sans Pro" w:hAnsi="Source Sans Pro"/>
          <w:color w:val="000000" w:themeColor="text1"/>
        </w:rPr>
        <w:t>gadā par 5,2</w:t>
      </w:r>
      <w:r w:rsidR="0066471A">
        <w:rPr>
          <w:rFonts w:ascii="Source Sans Pro" w:hAnsi="Source Sans Pro"/>
          <w:color w:val="000000" w:themeColor="text1"/>
        </w:rPr>
        <w:t> </w:t>
      </w:r>
      <w:r w:rsidRPr="00D829F0">
        <w:rPr>
          <w:rFonts w:ascii="Source Sans Pro" w:hAnsi="Source Sans Pro"/>
          <w:color w:val="000000" w:themeColor="text1"/>
        </w:rPr>
        <w:t>tūkst.</w:t>
      </w:r>
    </w:p>
    <w:p w14:paraId="00D04BBF" w14:textId="37C88C0F" w:rsidR="005D4D09" w:rsidRPr="00D829F0" w:rsidRDefault="005D4D09" w:rsidP="005D4D09">
      <w:pPr>
        <w:spacing w:after="120"/>
        <w:jc w:val="right"/>
        <w:rPr>
          <w:rFonts w:ascii="Source Sans Pro" w:hAnsi="Source Sans Pro"/>
          <w:color w:val="000000"/>
          <w:szCs w:val="20"/>
        </w:rPr>
      </w:pPr>
      <w:r w:rsidRPr="00D829F0">
        <w:rPr>
          <w:rFonts w:ascii="Source Sans Pro" w:hAnsi="Source Sans Pro"/>
          <w:color w:val="000000"/>
          <w:szCs w:val="20"/>
        </w:rPr>
        <w:t>3.4.</w:t>
      </w:r>
      <w:r w:rsidR="00FE2D12">
        <w:rPr>
          <w:rFonts w:ascii="Source Sans Pro" w:hAnsi="Source Sans Pro"/>
          <w:color w:val="000000"/>
          <w:szCs w:val="20"/>
        </w:rPr>
        <w:t> </w:t>
      </w:r>
      <w:r w:rsidRPr="00D829F0">
        <w:rPr>
          <w:rFonts w:ascii="Source Sans Pro" w:hAnsi="Source Sans Pro"/>
          <w:color w:val="000000"/>
          <w:szCs w:val="20"/>
        </w:rPr>
        <w:t>tabula</w:t>
      </w:r>
    </w:p>
    <w:p w14:paraId="51F68FFD" w14:textId="77777777" w:rsidR="005D4D09" w:rsidRPr="005D4D09" w:rsidRDefault="005D4D09" w:rsidP="005D4D09">
      <w:pPr>
        <w:spacing w:after="120"/>
        <w:jc w:val="center"/>
        <w:rPr>
          <w:rFonts w:ascii="Segoe UI Light" w:hAnsi="Segoe UI Light"/>
          <w:b/>
          <w:color w:val="000000"/>
          <w:sz w:val="18"/>
          <w:szCs w:val="18"/>
        </w:rPr>
      </w:pPr>
      <w:r w:rsidRPr="005D4D09">
        <w:rPr>
          <w:rFonts w:ascii="Segoe UI Light" w:hAnsi="Segoe UI Light"/>
          <w:b/>
          <w:color w:val="000000"/>
          <w:sz w:val="18"/>
          <w:szCs w:val="18"/>
        </w:rPr>
        <w:t>Iedzīvotāju dabiskās kustības galvenie rādītāji</w:t>
      </w:r>
    </w:p>
    <w:tbl>
      <w:tblPr>
        <w:tblStyle w:val="GridTable5Dark-Accent313"/>
        <w:tblW w:w="5008"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5334"/>
        <w:gridCol w:w="1247"/>
        <w:gridCol w:w="1245"/>
        <w:gridCol w:w="1249"/>
      </w:tblGrid>
      <w:tr w:rsidR="005D4D09" w:rsidRPr="00D829F0" w14:paraId="63D4700A" w14:textId="77777777" w:rsidTr="00A773E8">
        <w:trPr>
          <w:cnfStyle w:val="100000000000" w:firstRow="1" w:lastRow="0" w:firstColumn="0" w:lastColumn="0" w:oddVBand="0" w:evenVBand="0" w:oddHBand="0" w:evenHBand="0" w:firstRowFirstColumn="0" w:firstRowLastColumn="0" w:lastRowFirstColumn="0" w:lastRowLastColumn="0"/>
          <w:trHeight w:val="269"/>
        </w:trPr>
        <w:tc>
          <w:tcPr>
            <w:tcW w:w="2939" w:type="pct"/>
            <w:tcBorders>
              <w:bottom w:val="nil"/>
            </w:tcBorders>
            <w:shd w:val="clear" w:color="auto" w:fill="006666"/>
            <w:noWrap/>
          </w:tcPr>
          <w:p w14:paraId="7AFEC030" w14:textId="77777777" w:rsidR="005D4D09" w:rsidRPr="005D4D09" w:rsidRDefault="005D4D09" w:rsidP="005D4D09">
            <w:pPr>
              <w:spacing w:before="40" w:after="40"/>
              <w:jc w:val="center"/>
              <w:rPr>
                <w:rFonts w:ascii="Segoe UI Light" w:eastAsia="Arial Unicode MS" w:hAnsi="Segoe UI Light"/>
                <w:sz w:val="16"/>
                <w:szCs w:val="16"/>
              </w:rPr>
            </w:pPr>
          </w:p>
        </w:tc>
        <w:tc>
          <w:tcPr>
            <w:tcW w:w="687" w:type="pct"/>
            <w:tcBorders>
              <w:bottom w:val="nil"/>
            </w:tcBorders>
            <w:shd w:val="clear" w:color="auto" w:fill="006666"/>
            <w:hideMark/>
          </w:tcPr>
          <w:p w14:paraId="1A1FF098"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Fakts</w:t>
            </w:r>
          </w:p>
        </w:tc>
        <w:tc>
          <w:tcPr>
            <w:tcW w:w="1374" w:type="pct"/>
            <w:gridSpan w:val="2"/>
            <w:tcBorders>
              <w:bottom w:val="nil"/>
            </w:tcBorders>
            <w:shd w:val="clear" w:color="auto" w:fill="006666"/>
            <w:hideMark/>
          </w:tcPr>
          <w:p w14:paraId="565DB422"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Prognoze</w:t>
            </w:r>
          </w:p>
        </w:tc>
      </w:tr>
      <w:tr w:rsidR="005D4D09" w:rsidRPr="00D829F0" w14:paraId="5059E717" w14:textId="77777777" w:rsidTr="00A773E8">
        <w:trPr>
          <w:cnfStyle w:val="000000100000" w:firstRow="0" w:lastRow="0" w:firstColumn="0" w:lastColumn="0" w:oddVBand="0" w:evenVBand="0" w:oddHBand="1" w:evenHBand="0" w:firstRowFirstColumn="0" w:firstRowLastColumn="0" w:lastRowFirstColumn="0" w:lastRowLastColumn="0"/>
          <w:trHeight w:val="129"/>
        </w:trPr>
        <w:tc>
          <w:tcPr>
            <w:tcW w:w="2939" w:type="pct"/>
            <w:shd w:val="clear" w:color="auto" w:fill="006666"/>
            <w:noWrap/>
          </w:tcPr>
          <w:p w14:paraId="67DB1ADA" w14:textId="77777777" w:rsidR="005D4D09" w:rsidRPr="005D4D09" w:rsidRDefault="005D4D09" w:rsidP="005D4D09">
            <w:pPr>
              <w:spacing w:before="40" w:after="40"/>
              <w:rPr>
                <w:rFonts w:ascii="Segoe UI Light" w:eastAsia="Arial Unicode MS" w:hAnsi="Segoe UI Light"/>
                <w:color w:val="FFFFFF"/>
                <w:sz w:val="16"/>
                <w:szCs w:val="16"/>
              </w:rPr>
            </w:pPr>
          </w:p>
        </w:tc>
        <w:tc>
          <w:tcPr>
            <w:tcW w:w="687" w:type="pct"/>
            <w:shd w:val="clear" w:color="auto" w:fill="006666"/>
            <w:hideMark/>
          </w:tcPr>
          <w:p w14:paraId="5BA21AA0" w14:textId="77777777" w:rsidR="005D4D09" w:rsidRPr="005D4D09" w:rsidRDefault="005D4D09" w:rsidP="005D4D09">
            <w:pPr>
              <w:tabs>
                <w:tab w:val="left" w:pos="213"/>
              </w:tabs>
              <w:spacing w:before="40" w:after="40"/>
              <w:jc w:val="center"/>
              <w:rPr>
                <w:rFonts w:ascii="Segoe UI Light" w:hAnsi="Segoe UI Light"/>
                <w:b/>
                <w:color w:val="FFFFFF"/>
                <w:sz w:val="16"/>
                <w:szCs w:val="16"/>
              </w:rPr>
            </w:pPr>
            <w:r w:rsidRPr="005D4D09">
              <w:rPr>
                <w:rFonts w:ascii="Segoe UI Light" w:hAnsi="Segoe UI Light"/>
                <w:b/>
                <w:color w:val="FFFFFF"/>
                <w:sz w:val="16"/>
                <w:szCs w:val="16"/>
              </w:rPr>
              <w:t>2025</w:t>
            </w:r>
          </w:p>
        </w:tc>
        <w:tc>
          <w:tcPr>
            <w:tcW w:w="686" w:type="pct"/>
            <w:shd w:val="clear" w:color="auto" w:fill="006666"/>
            <w:hideMark/>
          </w:tcPr>
          <w:p w14:paraId="74E44882" w14:textId="77777777" w:rsidR="005D4D09" w:rsidRPr="005D4D09" w:rsidRDefault="005D4D09" w:rsidP="005D4D09">
            <w:pPr>
              <w:tabs>
                <w:tab w:val="left" w:pos="161"/>
              </w:tabs>
              <w:spacing w:before="40" w:after="40"/>
              <w:jc w:val="center"/>
              <w:rPr>
                <w:rFonts w:ascii="Segoe UI Light" w:hAnsi="Segoe UI Light"/>
                <w:b/>
                <w:color w:val="FFFFFF"/>
                <w:sz w:val="16"/>
                <w:szCs w:val="16"/>
              </w:rPr>
            </w:pPr>
            <w:r w:rsidRPr="005D4D09">
              <w:rPr>
                <w:rFonts w:ascii="Segoe UI Light" w:hAnsi="Segoe UI Light"/>
                <w:b/>
                <w:color w:val="FFFFFF"/>
                <w:sz w:val="16"/>
                <w:szCs w:val="16"/>
              </w:rPr>
              <w:t>2030</w:t>
            </w:r>
          </w:p>
        </w:tc>
        <w:tc>
          <w:tcPr>
            <w:tcW w:w="688" w:type="pct"/>
            <w:shd w:val="clear" w:color="auto" w:fill="006666"/>
            <w:hideMark/>
          </w:tcPr>
          <w:p w14:paraId="74BEA201" w14:textId="77777777" w:rsidR="005D4D09" w:rsidRPr="005D4D09" w:rsidRDefault="005D4D09" w:rsidP="005D4D09">
            <w:pPr>
              <w:spacing w:before="40" w:after="40"/>
              <w:jc w:val="center"/>
              <w:rPr>
                <w:rFonts w:ascii="Segoe UI Light" w:hAnsi="Segoe UI Light"/>
                <w:b/>
                <w:color w:val="FFFFFF"/>
                <w:sz w:val="16"/>
                <w:szCs w:val="16"/>
              </w:rPr>
            </w:pPr>
            <w:r w:rsidRPr="005D4D09">
              <w:rPr>
                <w:rFonts w:ascii="Segoe UI Light" w:hAnsi="Segoe UI Light"/>
                <w:b/>
                <w:color w:val="FFFFFF"/>
                <w:sz w:val="16"/>
                <w:szCs w:val="16"/>
              </w:rPr>
              <w:t>2040</w:t>
            </w:r>
          </w:p>
        </w:tc>
      </w:tr>
      <w:tr w:rsidR="005D4D09" w:rsidRPr="00D829F0" w14:paraId="6B76F26B" w14:textId="77777777" w:rsidTr="00A773E8">
        <w:trPr>
          <w:trHeight w:val="257"/>
        </w:trPr>
        <w:tc>
          <w:tcPr>
            <w:tcW w:w="2939" w:type="pct"/>
            <w:shd w:val="clear" w:color="auto" w:fill="DCE7EB"/>
            <w:hideMark/>
          </w:tcPr>
          <w:p w14:paraId="24033865" w14:textId="77777777" w:rsidR="005D4D09" w:rsidRPr="005D4D09" w:rsidRDefault="005D4D09" w:rsidP="005D4D09">
            <w:pPr>
              <w:spacing w:before="40" w:after="40"/>
              <w:rPr>
                <w:rFonts w:ascii="Segoe UI Light" w:hAnsi="Segoe UI Light"/>
                <w:sz w:val="16"/>
                <w:szCs w:val="16"/>
              </w:rPr>
            </w:pPr>
            <w:r w:rsidRPr="005D4D09">
              <w:rPr>
                <w:rFonts w:ascii="Segoe UI Light" w:hAnsi="Segoe UI Light"/>
                <w:bCs/>
                <w:sz w:val="16"/>
                <w:szCs w:val="16"/>
              </w:rPr>
              <w:t>Jaundzimušo skaits uz 1000 iedzīvotājiem (vispārīgais dzimstības koeficients)</w:t>
            </w:r>
          </w:p>
        </w:tc>
        <w:tc>
          <w:tcPr>
            <w:tcW w:w="687" w:type="pct"/>
            <w:shd w:val="clear" w:color="auto" w:fill="DCE7EB"/>
            <w:hideMark/>
          </w:tcPr>
          <w:p w14:paraId="2A9748C5"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6,4</w:t>
            </w:r>
          </w:p>
        </w:tc>
        <w:tc>
          <w:tcPr>
            <w:tcW w:w="686" w:type="pct"/>
            <w:shd w:val="clear" w:color="auto" w:fill="DCE7EB"/>
            <w:hideMark/>
          </w:tcPr>
          <w:p w14:paraId="08CF6B63"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8,2</w:t>
            </w:r>
          </w:p>
        </w:tc>
        <w:tc>
          <w:tcPr>
            <w:tcW w:w="688" w:type="pct"/>
            <w:shd w:val="clear" w:color="auto" w:fill="DCE7EB"/>
            <w:hideMark/>
          </w:tcPr>
          <w:p w14:paraId="185762D3"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9,9</w:t>
            </w:r>
          </w:p>
        </w:tc>
      </w:tr>
      <w:tr w:rsidR="005D4D09" w:rsidRPr="00D829F0" w14:paraId="5771771B" w14:textId="77777777" w:rsidTr="00A773E8">
        <w:trPr>
          <w:cnfStyle w:val="000000100000" w:firstRow="0" w:lastRow="0" w:firstColumn="0" w:lastColumn="0" w:oddVBand="0" w:evenVBand="0" w:oddHBand="1" w:evenHBand="0" w:firstRowFirstColumn="0" w:firstRowLastColumn="0" w:lastRowFirstColumn="0" w:lastRowLastColumn="0"/>
          <w:trHeight w:val="201"/>
        </w:trPr>
        <w:tc>
          <w:tcPr>
            <w:tcW w:w="2939" w:type="pct"/>
            <w:shd w:val="clear" w:color="auto" w:fill="auto"/>
            <w:hideMark/>
          </w:tcPr>
          <w:p w14:paraId="4D3EF4CC" w14:textId="77777777" w:rsidR="005D4D09" w:rsidRPr="005D4D09" w:rsidRDefault="005D4D09" w:rsidP="005D4D09">
            <w:pPr>
              <w:spacing w:before="40" w:after="40"/>
              <w:rPr>
                <w:rFonts w:ascii="Segoe UI Light" w:hAnsi="Segoe UI Light"/>
                <w:sz w:val="16"/>
                <w:szCs w:val="16"/>
              </w:rPr>
            </w:pPr>
            <w:r w:rsidRPr="005D4D09">
              <w:rPr>
                <w:rFonts w:ascii="Segoe UI Light" w:hAnsi="Segoe UI Light"/>
                <w:bCs/>
                <w:sz w:val="16"/>
                <w:szCs w:val="16"/>
              </w:rPr>
              <w:t>Mirstība uz 1000 iedzīvotājiem (vispārīgais mirstības koeficients)</w:t>
            </w:r>
          </w:p>
        </w:tc>
        <w:tc>
          <w:tcPr>
            <w:tcW w:w="687" w:type="pct"/>
            <w:shd w:val="clear" w:color="auto" w:fill="auto"/>
            <w:hideMark/>
          </w:tcPr>
          <w:p w14:paraId="03420EC1"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14,1</w:t>
            </w:r>
          </w:p>
        </w:tc>
        <w:tc>
          <w:tcPr>
            <w:tcW w:w="686" w:type="pct"/>
            <w:shd w:val="clear" w:color="auto" w:fill="auto"/>
            <w:hideMark/>
          </w:tcPr>
          <w:p w14:paraId="183CB105"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13,9</w:t>
            </w:r>
          </w:p>
        </w:tc>
        <w:tc>
          <w:tcPr>
            <w:tcW w:w="688" w:type="pct"/>
            <w:shd w:val="clear" w:color="auto" w:fill="auto"/>
            <w:hideMark/>
          </w:tcPr>
          <w:p w14:paraId="6B5FDB6B"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13,7</w:t>
            </w:r>
          </w:p>
        </w:tc>
      </w:tr>
      <w:tr w:rsidR="005D4D09" w:rsidRPr="00D829F0" w14:paraId="03FB8B22" w14:textId="77777777" w:rsidTr="00A773E8">
        <w:trPr>
          <w:trHeight w:val="309"/>
        </w:trPr>
        <w:tc>
          <w:tcPr>
            <w:tcW w:w="2939" w:type="pct"/>
            <w:shd w:val="clear" w:color="auto" w:fill="DCE7EB"/>
            <w:hideMark/>
          </w:tcPr>
          <w:p w14:paraId="36F31B8E" w14:textId="77777777" w:rsidR="005D4D09" w:rsidRPr="005D4D09" w:rsidRDefault="005D4D09" w:rsidP="005D4D09">
            <w:pPr>
              <w:spacing w:before="40" w:after="40"/>
              <w:rPr>
                <w:rFonts w:ascii="Segoe UI Light" w:hAnsi="Segoe UI Light"/>
                <w:sz w:val="16"/>
                <w:szCs w:val="16"/>
              </w:rPr>
            </w:pPr>
            <w:r w:rsidRPr="005D4D09">
              <w:rPr>
                <w:rFonts w:ascii="Segoe UI Light" w:hAnsi="Segoe UI Light"/>
                <w:bCs/>
                <w:sz w:val="16"/>
                <w:szCs w:val="16"/>
              </w:rPr>
              <w:t>Dabiskais pieaugums uz 1000 iedzīvotājiem</w:t>
            </w:r>
          </w:p>
        </w:tc>
        <w:tc>
          <w:tcPr>
            <w:tcW w:w="687" w:type="pct"/>
            <w:shd w:val="clear" w:color="auto" w:fill="DCE7EB"/>
            <w:hideMark/>
          </w:tcPr>
          <w:p w14:paraId="2774DAC6"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-7,7</w:t>
            </w:r>
          </w:p>
        </w:tc>
        <w:tc>
          <w:tcPr>
            <w:tcW w:w="686" w:type="pct"/>
            <w:shd w:val="clear" w:color="auto" w:fill="DCE7EB"/>
            <w:hideMark/>
          </w:tcPr>
          <w:p w14:paraId="48F99CA5"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-4,7</w:t>
            </w:r>
          </w:p>
        </w:tc>
        <w:tc>
          <w:tcPr>
            <w:tcW w:w="688" w:type="pct"/>
            <w:shd w:val="clear" w:color="auto" w:fill="DCE7EB"/>
            <w:hideMark/>
          </w:tcPr>
          <w:p w14:paraId="2AFB410E"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-3,7</w:t>
            </w:r>
          </w:p>
        </w:tc>
      </w:tr>
      <w:tr w:rsidR="005D4D09" w:rsidRPr="00D829F0" w14:paraId="31778567" w14:textId="77777777" w:rsidTr="00A773E8">
        <w:trPr>
          <w:cnfStyle w:val="000000100000" w:firstRow="0" w:lastRow="0" w:firstColumn="0" w:lastColumn="0" w:oddVBand="0" w:evenVBand="0" w:oddHBand="1" w:evenHBand="0" w:firstRowFirstColumn="0" w:firstRowLastColumn="0" w:lastRowFirstColumn="0" w:lastRowLastColumn="0"/>
          <w:trHeight w:val="315"/>
        </w:trPr>
        <w:tc>
          <w:tcPr>
            <w:tcW w:w="2939" w:type="pct"/>
            <w:shd w:val="clear" w:color="auto" w:fill="auto"/>
            <w:hideMark/>
          </w:tcPr>
          <w:p w14:paraId="6415510B" w14:textId="77777777" w:rsidR="005D4D09" w:rsidRPr="005D4D09" w:rsidRDefault="005D4D09" w:rsidP="005D4D09">
            <w:pPr>
              <w:spacing w:before="40" w:after="40"/>
              <w:rPr>
                <w:rFonts w:ascii="Segoe UI Light" w:hAnsi="Segoe UI Light"/>
                <w:sz w:val="16"/>
                <w:szCs w:val="16"/>
              </w:rPr>
            </w:pPr>
            <w:r w:rsidRPr="005D4D09">
              <w:rPr>
                <w:rFonts w:ascii="Segoe UI Light" w:hAnsi="Segoe UI Light"/>
                <w:bCs/>
                <w:sz w:val="16"/>
                <w:szCs w:val="16"/>
              </w:rPr>
              <w:t>Summārais dzimstības koeficients</w:t>
            </w:r>
          </w:p>
        </w:tc>
        <w:tc>
          <w:tcPr>
            <w:tcW w:w="687" w:type="pct"/>
            <w:shd w:val="clear" w:color="auto" w:fill="auto"/>
            <w:hideMark/>
          </w:tcPr>
          <w:p w14:paraId="20D30DF5"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1,16</w:t>
            </w:r>
          </w:p>
        </w:tc>
        <w:tc>
          <w:tcPr>
            <w:tcW w:w="686" w:type="pct"/>
            <w:shd w:val="clear" w:color="auto" w:fill="auto"/>
            <w:hideMark/>
          </w:tcPr>
          <w:p w14:paraId="5BCB2640"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1,59</w:t>
            </w:r>
          </w:p>
        </w:tc>
        <w:tc>
          <w:tcPr>
            <w:tcW w:w="688" w:type="pct"/>
            <w:shd w:val="clear" w:color="auto" w:fill="auto"/>
            <w:hideMark/>
          </w:tcPr>
          <w:p w14:paraId="1B875293"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1,90</w:t>
            </w:r>
          </w:p>
        </w:tc>
      </w:tr>
      <w:tr w:rsidR="005D4D09" w:rsidRPr="00D829F0" w14:paraId="5B53E985" w14:textId="77777777" w:rsidTr="00A773E8">
        <w:trPr>
          <w:trHeight w:val="261"/>
        </w:trPr>
        <w:tc>
          <w:tcPr>
            <w:tcW w:w="2939" w:type="pct"/>
            <w:shd w:val="clear" w:color="auto" w:fill="DCE7EB"/>
            <w:hideMark/>
          </w:tcPr>
          <w:p w14:paraId="51459C81" w14:textId="77777777" w:rsidR="005D4D09" w:rsidRPr="005D4D09" w:rsidRDefault="005D4D09" w:rsidP="005D4D09">
            <w:pPr>
              <w:spacing w:before="40" w:after="40"/>
              <w:rPr>
                <w:rFonts w:ascii="Segoe UI Light" w:hAnsi="Segoe UI Light"/>
                <w:sz w:val="16"/>
                <w:szCs w:val="16"/>
              </w:rPr>
            </w:pPr>
            <w:r w:rsidRPr="005D4D09">
              <w:rPr>
                <w:rFonts w:ascii="Segoe UI Light" w:hAnsi="Segoe UI Light"/>
                <w:bCs/>
                <w:sz w:val="16"/>
                <w:szCs w:val="16"/>
              </w:rPr>
              <w:t>Jaundzimušo vidējais paredzamais mūža ilgums (gados)</w:t>
            </w:r>
          </w:p>
        </w:tc>
        <w:tc>
          <w:tcPr>
            <w:tcW w:w="687" w:type="pct"/>
            <w:shd w:val="clear" w:color="auto" w:fill="DCE7EB"/>
            <w:hideMark/>
          </w:tcPr>
          <w:p w14:paraId="7691E3C4" w14:textId="77777777" w:rsidR="005D4D09" w:rsidRPr="005D4D09" w:rsidRDefault="005D4D09" w:rsidP="005D4D09">
            <w:pPr>
              <w:tabs>
                <w:tab w:val="left" w:pos="213"/>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76,8</w:t>
            </w:r>
          </w:p>
        </w:tc>
        <w:tc>
          <w:tcPr>
            <w:tcW w:w="686" w:type="pct"/>
            <w:shd w:val="clear" w:color="auto" w:fill="DCE7EB"/>
            <w:hideMark/>
          </w:tcPr>
          <w:p w14:paraId="55DBCD6A" w14:textId="77777777" w:rsidR="005D4D09" w:rsidRPr="005D4D09" w:rsidRDefault="005D4D09" w:rsidP="005D4D09">
            <w:pPr>
              <w:tabs>
                <w:tab w:val="left" w:pos="161"/>
                <w:tab w:val="decimal" w:pos="607"/>
              </w:tabs>
              <w:spacing w:before="40" w:after="40"/>
              <w:jc w:val="center"/>
              <w:rPr>
                <w:rFonts w:ascii="Segoe UI Light" w:hAnsi="Segoe UI Light"/>
                <w:bCs/>
                <w:sz w:val="16"/>
                <w:szCs w:val="16"/>
              </w:rPr>
            </w:pPr>
            <w:r w:rsidRPr="005D4D09">
              <w:rPr>
                <w:rFonts w:ascii="Segoe UI Light" w:hAnsi="Segoe UI Light"/>
                <w:bCs/>
                <w:sz w:val="16"/>
                <w:szCs w:val="16"/>
              </w:rPr>
              <w:t>79,2</w:t>
            </w:r>
          </w:p>
        </w:tc>
        <w:tc>
          <w:tcPr>
            <w:tcW w:w="688" w:type="pct"/>
            <w:shd w:val="clear" w:color="auto" w:fill="DCE7EB"/>
            <w:hideMark/>
          </w:tcPr>
          <w:p w14:paraId="6C64350B" w14:textId="77777777" w:rsidR="005D4D09" w:rsidRPr="005D4D09" w:rsidRDefault="005D4D09" w:rsidP="005D4D09">
            <w:pPr>
              <w:tabs>
                <w:tab w:val="left" w:pos="171"/>
                <w:tab w:val="decimal" w:pos="552"/>
              </w:tabs>
              <w:spacing w:before="40" w:after="40"/>
              <w:jc w:val="center"/>
              <w:rPr>
                <w:rFonts w:ascii="Segoe UI Light" w:hAnsi="Segoe UI Light"/>
                <w:bCs/>
                <w:sz w:val="16"/>
                <w:szCs w:val="16"/>
              </w:rPr>
            </w:pPr>
            <w:r w:rsidRPr="005D4D09">
              <w:rPr>
                <w:rFonts w:ascii="Segoe UI Light" w:hAnsi="Segoe UI Light"/>
                <w:bCs/>
                <w:sz w:val="16"/>
                <w:szCs w:val="16"/>
              </w:rPr>
              <w:t>81,4</w:t>
            </w:r>
          </w:p>
        </w:tc>
      </w:tr>
    </w:tbl>
    <w:p w14:paraId="3D327D57" w14:textId="7D8924A3" w:rsidR="005D4D09" w:rsidRPr="00D829F0" w:rsidRDefault="005D4D09" w:rsidP="005D4D09">
      <w:pPr>
        <w:spacing w:before="120" w:after="120"/>
        <w:ind w:left="284" w:hanging="284"/>
        <w:jc w:val="both"/>
        <w:rPr>
          <w:rFonts w:ascii="Source Sans Pro" w:hAnsi="Source Sans Pro" w:cs="Calibri Light"/>
          <w:sz w:val="16"/>
          <w:szCs w:val="16"/>
        </w:rPr>
      </w:pPr>
      <w:r w:rsidRPr="00D829F0">
        <w:rPr>
          <w:rFonts w:ascii="Source Sans Pro" w:hAnsi="Source Sans Pro" w:cs="Calibri Light"/>
          <w:sz w:val="16"/>
          <w:szCs w:val="16"/>
        </w:rPr>
        <w:t>Avots: CSP dati par 2025.</w:t>
      </w:r>
      <w:r w:rsidR="00FE2D12">
        <w:rPr>
          <w:rFonts w:ascii="Source Sans Pro" w:hAnsi="Source Sans Pro" w:cs="Calibri Light"/>
          <w:sz w:val="16"/>
          <w:szCs w:val="16"/>
        </w:rPr>
        <w:t> </w:t>
      </w:r>
      <w:r w:rsidRPr="00D829F0">
        <w:rPr>
          <w:rFonts w:ascii="Source Sans Pro" w:hAnsi="Source Sans Pro" w:cs="Calibri Light"/>
          <w:sz w:val="16"/>
          <w:szCs w:val="16"/>
        </w:rPr>
        <w:t>gadu, EM prognozes 2030. un 2040.</w:t>
      </w:r>
      <w:r w:rsidR="00FE2D12">
        <w:rPr>
          <w:rFonts w:ascii="Source Sans Pro" w:hAnsi="Source Sans Pro" w:cs="Calibri Light"/>
          <w:sz w:val="16"/>
          <w:szCs w:val="16"/>
        </w:rPr>
        <w:t> </w:t>
      </w:r>
      <w:r w:rsidRPr="00D829F0">
        <w:rPr>
          <w:rFonts w:ascii="Source Sans Pro" w:hAnsi="Source Sans Pro" w:cs="Calibri Light"/>
          <w:sz w:val="16"/>
          <w:szCs w:val="16"/>
        </w:rPr>
        <w:t>gadam</w:t>
      </w:r>
    </w:p>
    <w:p w14:paraId="54FF4D45" w14:textId="77777777" w:rsidR="005D4D09" w:rsidRPr="00D829F0" w:rsidRDefault="005D4D09" w:rsidP="005D4D09">
      <w:pPr>
        <w:spacing w:after="120"/>
        <w:jc w:val="both"/>
        <w:rPr>
          <w:rFonts w:ascii="Source Sans Pro" w:hAnsi="Source Sans Pro"/>
          <w:color w:val="000000"/>
          <w:szCs w:val="20"/>
        </w:rPr>
      </w:pPr>
    </w:p>
    <w:p w14:paraId="614421A9" w14:textId="03432254" w:rsidR="005D4D09" w:rsidRPr="00D829F0" w:rsidRDefault="005D4D09" w:rsidP="005D4D09">
      <w:pPr>
        <w:spacing w:after="120"/>
        <w:jc w:val="both"/>
        <w:rPr>
          <w:rFonts w:ascii="Source Sans Pro" w:hAnsi="Source Sans Pro"/>
          <w:color w:val="000000"/>
          <w:szCs w:val="20"/>
        </w:rPr>
      </w:pPr>
      <w:r w:rsidRPr="00D829F0">
        <w:rPr>
          <w:rFonts w:ascii="Source Sans Pro" w:hAnsi="Source Sans Pro"/>
          <w:color w:val="000000"/>
          <w:szCs w:val="20"/>
        </w:rPr>
        <w:t>Lai notiktu normāla paaudžu nomaiņa, summārajam dzimstības rādītājam vajadzētu būt ne mazākam par 2. Pēdējo reizi Latvijā summārais dzimstības koeficients pārsniedza šo līmeni pagājušā gadsimta 80.</w:t>
      </w:r>
      <w:r w:rsidR="00C91F0E">
        <w:rPr>
          <w:rFonts w:ascii="Source Sans Pro" w:hAnsi="Source Sans Pro"/>
          <w:color w:val="000000"/>
          <w:szCs w:val="20"/>
        </w:rPr>
        <w:t> </w:t>
      </w:r>
      <w:r w:rsidRPr="00D829F0">
        <w:rPr>
          <w:rFonts w:ascii="Source Sans Pro" w:hAnsi="Source Sans Pro"/>
          <w:color w:val="000000"/>
          <w:szCs w:val="20"/>
        </w:rPr>
        <w:t>gadu beigās.</w:t>
      </w:r>
    </w:p>
    <w:p w14:paraId="0DCC492F" w14:textId="4188A1E5" w:rsidR="005D4D09" w:rsidRPr="00D829F0" w:rsidRDefault="005D4D09" w:rsidP="005D4D09">
      <w:pPr>
        <w:spacing w:after="120"/>
        <w:jc w:val="both"/>
        <w:rPr>
          <w:rFonts w:ascii="Source Sans Pro" w:hAnsi="Source Sans Pro"/>
          <w:color w:val="000000"/>
          <w:szCs w:val="20"/>
        </w:rPr>
      </w:pPr>
      <w:r w:rsidRPr="00D829F0">
        <w:rPr>
          <w:rFonts w:ascii="Source Sans Pro" w:hAnsi="Source Sans Pro"/>
          <w:color w:val="000000"/>
          <w:szCs w:val="20"/>
        </w:rPr>
        <w:t>Līdz ar uzlabojumiem iedzīvotāju labklājības līmenī un plašākai pieejai veselības aprūpes pakalpojumiem, kopumā iedzīvotāju mirstības rādītāji gan vidējā, gan ilgtermiņā samazināsies. Paredzams, ka līdz 2040.</w:t>
      </w:r>
      <w:r w:rsidR="00FE2D12">
        <w:rPr>
          <w:rFonts w:ascii="Source Sans Pro" w:hAnsi="Source Sans Pro"/>
          <w:color w:val="000000"/>
          <w:szCs w:val="20"/>
        </w:rPr>
        <w:t> </w:t>
      </w:r>
      <w:r w:rsidRPr="00D829F0">
        <w:rPr>
          <w:rFonts w:ascii="Source Sans Pro" w:hAnsi="Source Sans Pro"/>
          <w:color w:val="000000"/>
          <w:szCs w:val="20"/>
        </w:rPr>
        <w:t>gadam iedzīvotāju relatīvie mirstības rādītāji samazināsies gandrīz visās vecuma grupās, kas noteiks arī pakāpenisku mirušo skaita uz 1000 iedzīvotājiem samazināšanos. Tāpat pieaugs jaundzimušo vidējais paredzamais mūža ilgums no 76,8 gadiem 2025.</w:t>
      </w:r>
      <w:r w:rsidR="00C91F0E">
        <w:rPr>
          <w:rFonts w:ascii="Source Sans Pro" w:hAnsi="Source Sans Pro"/>
          <w:color w:val="000000"/>
          <w:szCs w:val="20"/>
        </w:rPr>
        <w:t> </w:t>
      </w:r>
      <w:r w:rsidRPr="00D829F0">
        <w:rPr>
          <w:rFonts w:ascii="Source Sans Pro" w:hAnsi="Source Sans Pro"/>
          <w:color w:val="000000"/>
          <w:szCs w:val="20"/>
        </w:rPr>
        <w:t>gadā līdz 81,4 gadiem 2040.gadā.</w:t>
      </w:r>
    </w:p>
    <w:p w14:paraId="71203C0E" w14:textId="77777777" w:rsidR="005D4D09" w:rsidRPr="00D829F0" w:rsidRDefault="005D4D09" w:rsidP="005D4D09">
      <w:pPr>
        <w:spacing w:after="120"/>
        <w:jc w:val="both"/>
        <w:rPr>
          <w:rFonts w:ascii="Source Sans Pro" w:hAnsi="Source Sans Pro"/>
          <w:color w:val="000000"/>
          <w:szCs w:val="20"/>
        </w:rPr>
      </w:pPr>
      <w:r w:rsidRPr="00D829F0">
        <w:rPr>
          <w:rFonts w:ascii="Source Sans Pro" w:hAnsi="Source Sans Pro"/>
          <w:color w:val="000000"/>
          <w:szCs w:val="20"/>
        </w:rPr>
        <w:t xml:space="preserve">Ņemot vērā augstāk minēto, sagaidāms, ka plaisa starp jaundzimušo un mirušo skaitu nākamajos gados pakāpeniski saruks, tomēr tā joprojām saglabāsies negatīva, ņemot vērā acīmredzami zemākus iedzīvotāju dzimstības rādītājus iepretim mirstības rādītājiem. </w:t>
      </w:r>
    </w:p>
    <w:p w14:paraId="7CACD6D3" w14:textId="77777777" w:rsidR="005D4D09" w:rsidRPr="00D829F0" w:rsidRDefault="005D4D09" w:rsidP="005D4D09">
      <w:pPr>
        <w:spacing w:after="120"/>
        <w:jc w:val="both"/>
        <w:rPr>
          <w:rFonts w:ascii="Source Sans Pro" w:hAnsi="Source Sans Pro"/>
          <w:color w:val="000000"/>
          <w:szCs w:val="20"/>
        </w:rPr>
      </w:pPr>
    </w:p>
    <w:p w14:paraId="0DBA52AB" w14:textId="77777777" w:rsidR="005D4D09" w:rsidRPr="002E580E" w:rsidRDefault="005D4D09" w:rsidP="005D4D09">
      <w:pPr>
        <w:spacing w:after="120"/>
        <w:jc w:val="both"/>
        <w:rPr>
          <w:rFonts w:ascii="Aptos Narrow" w:hAnsi="Aptos Narrow"/>
          <w:b/>
          <w:color w:val="003E4C"/>
          <w:sz w:val="28"/>
          <w:szCs w:val="28"/>
        </w:rPr>
      </w:pPr>
      <w:r w:rsidRPr="002E580E">
        <w:rPr>
          <w:rFonts w:ascii="Aptos Narrow" w:hAnsi="Aptos Narrow"/>
          <w:b/>
          <w:color w:val="003E4C"/>
          <w:sz w:val="28"/>
          <w:szCs w:val="28"/>
        </w:rPr>
        <w:t>Starptautiskā iedzīvotāju ilgtermiņa migrācija</w:t>
      </w:r>
    </w:p>
    <w:p w14:paraId="400220E5" w14:textId="77777777" w:rsidR="005D4D09" w:rsidRPr="00D829F0" w:rsidRDefault="005D4D09" w:rsidP="005D4D09">
      <w:pPr>
        <w:spacing w:after="120"/>
        <w:jc w:val="both"/>
        <w:rPr>
          <w:rFonts w:ascii="Source Sans Pro" w:hAnsi="Source Sans Pro"/>
          <w:color w:val="000000"/>
          <w:szCs w:val="20"/>
        </w:rPr>
      </w:pPr>
      <w:r w:rsidRPr="00D829F0">
        <w:rPr>
          <w:rFonts w:ascii="Source Sans Pro" w:hAnsi="Source Sans Pro"/>
          <w:color w:val="000000"/>
          <w:szCs w:val="20"/>
        </w:rPr>
        <w:t>Iedzīvotāju starptautiskās migrācijas scenārija pieņēmumu pamatā ir ekonomikas izaugsmes mērķa scenārijs, kas paredz, ka nākamajos gados Latvijas IKP uz 1 iedzīvotāju turpinās pakāpeniski pietuvoties ES vidējam līmenim, tādejādi kopumā mazinot ienākumu plaisu ar ekonomiski attīstītākām ES dalībvalstīm.</w:t>
      </w:r>
    </w:p>
    <w:p w14:paraId="2CB4C291" w14:textId="6BFE575E" w:rsidR="005D4D09" w:rsidRPr="00D829F0" w:rsidRDefault="005D4D09" w:rsidP="005D4D09">
      <w:pPr>
        <w:spacing w:after="120"/>
        <w:jc w:val="both"/>
        <w:rPr>
          <w:rFonts w:ascii="Source Sans Pro" w:hAnsi="Source Sans Pro"/>
        </w:rPr>
      </w:pPr>
      <w:r w:rsidRPr="00D829F0">
        <w:rPr>
          <w:rFonts w:ascii="Source Sans Pro" w:hAnsi="Source Sans Pro"/>
        </w:rPr>
        <w:t>Lai gan 2022.</w:t>
      </w:r>
      <w:r w:rsidR="00C91F0E">
        <w:rPr>
          <w:rFonts w:ascii="Source Sans Pro" w:hAnsi="Source Sans Pro"/>
        </w:rPr>
        <w:t> </w:t>
      </w:r>
      <w:r w:rsidRPr="00D829F0">
        <w:rPr>
          <w:rFonts w:ascii="Source Sans Pro" w:hAnsi="Source Sans Pro"/>
        </w:rPr>
        <w:t>gadā Latvijā bija vērojams būtisks imigrācijas pieaugums, kas pirmo reizi kopš Latvijas neatkarības atgūšanas rezultējās pozitīvā migrācijas bilancē, tomēr šāda tendence bija īslaicīga un jau 2024.</w:t>
      </w:r>
      <w:r w:rsidR="00C91F0E">
        <w:rPr>
          <w:rFonts w:ascii="Source Sans Pro" w:hAnsi="Source Sans Pro"/>
        </w:rPr>
        <w:t> </w:t>
      </w:r>
      <w:r w:rsidRPr="00D829F0">
        <w:rPr>
          <w:rFonts w:ascii="Source Sans Pro" w:hAnsi="Source Sans Pro"/>
        </w:rPr>
        <w:t xml:space="preserve">gadā emigrējošo skaits atkal pārsniedza imigrāciju. Daļa no Ukrainas bēgļiem pakāpeniski atgriežas mājās, vai arī, ņemot vērā Latvijas darba tirgus nelielos izmērus, dodas tālāk uz valstīm ar plašākām nodarbinātības iespējām. </w:t>
      </w:r>
    </w:p>
    <w:p w14:paraId="2D98F232" w14:textId="5848EEAB" w:rsidR="005D4D09" w:rsidRPr="00D829F0" w:rsidRDefault="00C91F0E" w:rsidP="005D4D09">
      <w:pPr>
        <w:spacing w:after="120"/>
        <w:jc w:val="both"/>
        <w:rPr>
          <w:rFonts w:ascii="Source Sans Pro" w:hAnsi="Source Sans Pro"/>
          <w:color w:val="000000"/>
        </w:rPr>
      </w:pPr>
      <w:r>
        <w:rPr>
          <w:rFonts w:ascii="Source Sans Pro" w:hAnsi="Source Sans Pro"/>
          <w:color w:val="000000" w:themeColor="text1"/>
        </w:rPr>
        <w:t>B</w:t>
      </w:r>
      <w:r w:rsidR="005D4D09" w:rsidRPr="00D829F0">
        <w:rPr>
          <w:rFonts w:ascii="Source Sans Pro" w:hAnsi="Source Sans Pro"/>
          <w:color w:val="000000" w:themeColor="text1"/>
        </w:rPr>
        <w:t>ūtisks priekšnosacījums noturīgai migrācijas plūsmu maiņai ir straujāka ekonomikas izaugsme (ekonomikas izrāviens) un vairāk kvalitatīvu un labi apmaksātu darbavietu darba tirgū. Lai atturētu iedzīvotāju aizceļošanu labāku nodarbinātības iespēju meklējumos ārpus valsts robežām, kā arī radītu pamatu pārdomām par atgriešanos tiem, kas emigrējuši no Latvijas iepriekšējos gados, vidējai darba algai Latvijā būtu jābūt vismaz minimālās algas līmenī galvenajās Latvijas migrantu mērķa valstīs. 2025.</w:t>
      </w:r>
      <w:r>
        <w:rPr>
          <w:rFonts w:ascii="Source Sans Pro" w:hAnsi="Source Sans Pro"/>
          <w:color w:val="000000" w:themeColor="text1"/>
        </w:rPr>
        <w:t> </w:t>
      </w:r>
      <w:r w:rsidR="005D4D09" w:rsidRPr="00D829F0">
        <w:rPr>
          <w:rFonts w:ascii="Source Sans Pro" w:hAnsi="Source Sans Pro"/>
          <w:color w:val="000000" w:themeColor="text1"/>
        </w:rPr>
        <w:t>gada decembrī vidējā darba alga Latvijā bija 1955</w:t>
      </w:r>
      <w:r>
        <w:rPr>
          <w:rFonts w:ascii="Source Sans Pro" w:hAnsi="Source Sans Pro"/>
          <w:color w:val="000000" w:themeColor="text1"/>
        </w:rPr>
        <w:t> </w:t>
      </w:r>
      <w:r w:rsidR="00244C7B">
        <w:rPr>
          <w:rFonts w:ascii="Source Sans Pro" w:hAnsi="Source Sans Pro" w:cs="Calibri Light"/>
          <w:szCs w:val="20"/>
        </w:rPr>
        <w:t>eiro</w:t>
      </w:r>
      <w:r w:rsidR="005D4D09" w:rsidRPr="00D829F0">
        <w:rPr>
          <w:rFonts w:ascii="Source Sans Pro" w:hAnsi="Source Sans Pro" w:cs="Calibri Light"/>
          <w:szCs w:val="20"/>
        </w:rPr>
        <w:t xml:space="preserve"> </w:t>
      </w:r>
      <w:r w:rsidR="005D4D09" w:rsidRPr="00D829F0">
        <w:rPr>
          <w:rFonts w:ascii="Source Sans Pro" w:hAnsi="Source Sans Pro"/>
          <w:color w:val="000000" w:themeColor="text1"/>
        </w:rPr>
        <w:t>mēnesī, kas joprojām bija par 10% mazāk nekā minimālās darba algas likme šajā laikā Vācijā (2161</w:t>
      </w:r>
      <w:r>
        <w:rPr>
          <w:rFonts w:ascii="Source Sans Pro" w:hAnsi="Source Sans Pro"/>
          <w:color w:val="000000" w:themeColor="text1"/>
        </w:rPr>
        <w:t> </w:t>
      </w:r>
      <w:r w:rsidR="00244C7B">
        <w:rPr>
          <w:rFonts w:ascii="Source Sans Pro" w:hAnsi="Source Sans Pro" w:cs="Calibri Light"/>
          <w:szCs w:val="20"/>
        </w:rPr>
        <w:t>eiro</w:t>
      </w:r>
      <w:r w:rsidR="005D4D09" w:rsidRPr="00D829F0">
        <w:rPr>
          <w:rFonts w:ascii="Source Sans Pro" w:hAnsi="Source Sans Pro" w:cs="Calibri Light"/>
          <w:szCs w:val="20"/>
        </w:rPr>
        <w:t xml:space="preserve"> </w:t>
      </w:r>
      <w:r w:rsidR="005D4D09" w:rsidRPr="00D829F0">
        <w:rPr>
          <w:rFonts w:ascii="Source Sans Pro" w:hAnsi="Source Sans Pro"/>
          <w:color w:val="000000" w:themeColor="text1"/>
        </w:rPr>
        <w:t>mēnesī), un par 14% mazāk nekā</w:t>
      </w:r>
      <w:r w:rsidR="005D4D09" w:rsidRPr="00D829F0">
        <w:rPr>
          <w:rFonts w:ascii="Source Sans Pro" w:hAnsi="Source Sans Pro"/>
        </w:rPr>
        <w:t xml:space="preserve"> Īri</w:t>
      </w:r>
      <w:r w:rsidR="005D4D09" w:rsidRPr="00D829F0">
        <w:rPr>
          <w:rFonts w:ascii="Source Sans Pro" w:hAnsi="Source Sans Pro"/>
          <w:color w:val="000000" w:themeColor="text1"/>
        </w:rPr>
        <w:t xml:space="preserve">jā (2282 </w:t>
      </w:r>
      <w:r w:rsidR="00244C7B">
        <w:rPr>
          <w:rFonts w:ascii="Source Sans Pro" w:hAnsi="Source Sans Pro" w:cs="Calibri Light"/>
          <w:szCs w:val="20"/>
        </w:rPr>
        <w:t>eiro</w:t>
      </w:r>
      <w:r w:rsidR="005D4D09" w:rsidRPr="00D829F0">
        <w:rPr>
          <w:rFonts w:ascii="Source Sans Pro" w:hAnsi="Source Sans Pro" w:cs="Calibri Light"/>
          <w:szCs w:val="20"/>
        </w:rPr>
        <w:t xml:space="preserve"> </w:t>
      </w:r>
      <w:r w:rsidR="005D4D09" w:rsidRPr="00D829F0">
        <w:rPr>
          <w:rFonts w:ascii="Source Sans Pro" w:hAnsi="Source Sans Pro"/>
          <w:color w:val="000000" w:themeColor="text1"/>
        </w:rPr>
        <w:t xml:space="preserve">mēnesī). Ņemot vērā to, būtiski ir paātrināt </w:t>
      </w:r>
      <w:r w:rsidR="005D4D09" w:rsidRPr="00D829F0">
        <w:rPr>
          <w:rFonts w:ascii="Source Sans Pro" w:hAnsi="Source Sans Pro"/>
          <w:color w:val="000000" w:themeColor="text1"/>
        </w:rPr>
        <w:lastRenderedPageBreak/>
        <w:t>Latvijas pietuvošanos ES attīstītāko valstu ekonomikām, kas ļautu ātrāk izlīdzināt ienākumu plaisu starp Latviju un Latvijas emigrantu mērķa valstīm.</w:t>
      </w:r>
    </w:p>
    <w:p w14:paraId="5F902082" w14:textId="6C3C7DF4" w:rsidR="005D4D09" w:rsidRPr="00D829F0" w:rsidRDefault="005D4D09" w:rsidP="005D4D09">
      <w:pPr>
        <w:spacing w:after="120"/>
        <w:jc w:val="right"/>
        <w:rPr>
          <w:rFonts w:ascii="Source Sans Pro" w:hAnsi="Source Sans Pro"/>
          <w:color w:val="000000"/>
          <w:szCs w:val="20"/>
        </w:rPr>
      </w:pPr>
      <w:r w:rsidRPr="00D829F0">
        <w:rPr>
          <w:rFonts w:ascii="Source Sans Pro" w:hAnsi="Source Sans Pro"/>
          <w:color w:val="000000"/>
          <w:szCs w:val="20"/>
        </w:rPr>
        <w:t>3.5.</w:t>
      </w:r>
      <w:r w:rsidR="00C91F0E">
        <w:rPr>
          <w:rFonts w:ascii="Source Sans Pro" w:hAnsi="Source Sans Pro"/>
          <w:color w:val="000000"/>
          <w:szCs w:val="20"/>
        </w:rPr>
        <w:t> </w:t>
      </w:r>
      <w:r w:rsidRPr="00D829F0">
        <w:rPr>
          <w:rFonts w:ascii="Source Sans Pro" w:hAnsi="Source Sans Pro"/>
          <w:color w:val="000000"/>
          <w:szCs w:val="20"/>
        </w:rPr>
        <w:t>tabula</w:t>
      </w:r>
    </w:p>
    <w:p w14:paraId="373C0BD8" w14:textId="77777777" w:rsidR="005D4D09" w:rsidRPr="005D4D09" w:rsidRDefault="005D4D09" w:rsidP="005D4D09">
      <w:pPr>
        <w:spacing w:after="120"/>
        <w:jc w:val="center"/>
        <w:rPr>
          <w:rFonts w:ascii="Segoe UI Light" w:hAnsi="Segoe UI Light"/>
          <w:b/>
          <w:color w:val="000000"/>
          <w:sz w:val="18"/>
          <w:szCs w:val="20"/>
        </w:rPr>
      </w:pPr>
      <w:r w:rsidRPr="005D4D09">
        <w:rPr>
          <w:rFonts w:ascii="Segoe UI Light" w:hAnsi="Segoe UI Light"/>
          <w:b/>
          <w:color w:val="000000"/>
          <w:sz w:val="18"/>
          <w:szCs w:val="20"/>
        </w:rPr>
        <w:t>Iedzīvotāju starptautiskās migrācijas galvenie rādītāji</w:t>
      </w:r>
    </w:p>
    <w:tbl>
      <w:tblPr>
        <w:tblStyle w:val="GridTable5Dark-Accent313"/>
        <w:tblW w:w="3659"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20" w:firstRow="1" w:lastRow="0" w:firstColumn="0" w:lastColumn="0" w:noHBand="0" w:noVBand="1"/>
      </w:tblPr>
      <w:tblGrid>
        <w:gridCol w:w="3315"/>
        <w:gridCol w:w="1658"/>
        <w:gridCol w:w="1658"/>
      </w:tblGrid>
      <w:tr w:rsidR="005D4D09" w:rsidRPr="00D829F0" w14:paraId="7980F8C0" w14:textId="77777777" w:rsidTr="00A773E8">
        <w:trPr>
          <w:cnfStyle w:val="100000000000" w:firstRow="1" w:lastRow="0" w:firstColumn="0" w:lastColumn="0" w:oddVBand="0" w:evenVBand="0" w:oddHBand="0" w:evenHBand="0" w:firstRowFirstColumn="0" w:firstRowLastColumn="0" w:lastRowFirstColumn="0" w:lastRowLastColumn="0"/>
          <w:trHeight w:val="454"/>
          <w:jc w:val="center"/>
        </w:trPr>
        <w:tc>
          <w:tcPr>
            <w:tcW w:w="2499" w:type="pct"/>
            <w:tcBorders>
              <w:bottom w:val="nil"/>
            </w:tcBorders>
            <w:shd w:val="clear" w:color="auto" w:fill="006666"/>
            <w:noWrap/>
            <w:vAlign w:val="center"/>
          </w:tcPr>
          <w:p w14:paraId="159F3789" w14:textId="77777777" w:rsidR="005D4D09" w:rsidRPr="005D4D09" w:rsidRDefault="005D4D09" w:rsidP="00A773E8">
            <w:pPr>
              <w:spacing w:before="40" w:after="40"/>
              <w:jc w:val="center"/>
              <w:rPr>
                <w:rFonts w:ascii="Segoe UI Light" w:eastAsia="Arial Unicode MS" w:hAnsi="Segoe UI Light"/>
                <w:sz w:val="16"/>
                <w:szCs w:val="16"/>
              </w:rPr>
            </w:pPr>
          </w:p>
        </w:tc>
        <w:tc>
          <w:tcPr>
            <w:tcW w:w="1250" w:type="pct"/>
            <w:tcBorders>
              <w:bottom w:val="nil"/>
            </w:tcBorders>
            <w:shd w:val="clear" w:color="auto" w:fill="006666"/>
            <w:vAlign w:val="center"/>
            <w:hideMark/>
          </w:tcPr>
          <w:p w14:paraId="182242FC"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2026-2029</w:t>
            </w:r>
          </w:p>
        </w:tc>
        <w:tc>
          <w:tcPr>
            <w:tcW w:w="1250" w:type="pct"/>
            <w:tcBorders>
              <w:bottom w:val="nil"/>
            </w:tcBorders>
            <w:shd w:val="clear" w:color="auto" w:fill="006666"/>
            <w:vAlign w:val="center"/>
            <w:hideMark/>
          </w:tcPr>
          <w:p w14:paraId="75708A92" w14:textId="77777777" w:rsidR="005D4D09" w:rsidRPr="005D4D09" w:rsidRDefault="005D4D09" w:rsidP="005D4D09">
            <w:pPr>
              <w:spacing w:before="40" w:after="40"/>
              <w:jc w:val="center"/>
              <w:rPr>
                <w:rFonts w:ascii="Segoe UI Light" w:hAnsi="Segoe UI Light"/>
                <w:sz w:val="16"/>
                <w:szCs w:val="16"/>
              </w:rPr>
            </w:pPr>
            <w:r w:rsidRPr="005D4D09">
              <w:rPr>
                <w:rFonts w:ascii="Segoe UI Light" w:hAnsi="Segoe UI Light"/>
                <w:sz w:val="16"/>
                <w:szCs w:val="16"/>
              </w:rPr>
              <w:t>2030-2039</w:t>
            </w:r>
          </w:p>
        </w:tc>
      </w:tr>
      <w:tr w:rsidR="005D4D09" w:rsidRPr="00D829F0" w14:paraId="6352D8BF" w14:textId="77777777" w:rsidTr="00A773E8">
        <w:trPr>
          <w:cnfStyle w:val="000000100000" w:firstRow="0" w:lastRow="0" w:firstColumn="0" w:lastColumn="0" w:oddVBand="0" w:evenVBand="0" w:oddHBand="1" w:evenHBand="0" w:firstRowFirstColumn="0" w:firstRowLastColumn="0" w:lastRowFirstColumn="0" w:lastRowLastColumn="0"/>
          <w:jc w:val="center"/>
        </w:trPr>
        <w:tc>
          <w:tcPr>
            <w:tcW w:w="2499" w:type="pct"/>
            <w:shd w:val="clear" w:color="auto" w:fill="DCE7EB"/>
            <w:hideMark/>
          </w:tcPr>
          <w:p w14:paraId="63D3C560" w14:textId="77777777" w:rsidR="005D4D09" w:rsidRPr="005D4D09" w:rsidRDefault="005D4D09" w:rsidP="005D4D09">
            <w:pPr>
              <w:spacing w:before="40" w:after="40"/>
              <w:rPr>
                <w:rFonts w:ascii="Segoe UI Light" w:hAnsi="Segoe UI Light"/>
                <w:sz w:val="16"/>
                <w:szCs w:val="16"/>
              </w:rPr>
            </w:pPr>
            <w:r w:rsidRPr="005D4D09">
              <w:rPr>
                <w:rFonts w:ascii="Segoe UI Light" w:hAnsi="Segoe UI Light"/>
                <w:bCs/>
                <w:sz w:val="16"/>
                <w:szCs w:val="16"/>
              </w:rPr>
              <w:t>Emigrācija, tūkst.</w:t>
            </w:r>
          </w:p>
        </w:tc>
        <w:tc>
          <w:tcPr>
            <w:tcW w:w="1250" w:type="pct"/>
            <w:shd w:val="clear" w:color="auto" w:fill="DCE7EB"/>
            <w:hideMark/>
          </w:tcPr>
          <w:p w14:paraId="4E47D5CE" w14:textId="77777777" w:rsidR="005D4D09" w:rsidRPr="005D4D09" w:rsidRDefault="005D4D09" w:rsidP="005D4D09">
            <w:pPr>
              <w:spacing w:before="40" w:after="40"/>
              <w:jc w:val="center"/>
              <w:rPr>
                <w:rFonts w:ascii="Segoe UI Light" w:hAnsi="Segoe UI Light"/>
                <w:bCs/>
                <w:sz w:val="16"/>
                <w:szCs w:val="16"/>
              </w:rPr>
            </w:pPr>
            <w:r w:rsidRPr="005D4D09">
              <w:rPr>
                <w:rFonts w:ascii="Segoe UI Light" w:hAnsi="Segoe UI Light"/>
                <w:bCs/>
                <w:sz w:val="16"/>
                <w:szCs w:val="16"/>
              </w:rPr>
              <w:t>58,8</w:t>
            </w:r>
          </w:p>
        </w:tc>
        <w:tc>
          <w:tcPr>
            <w:tcW w:w="1250" w:type="pct"/>
            <w:shd w:val="clear" w:color="auto" w:fill="DCE7EB"/>
            <w:hideMark/>
          </w:tcPr>
          <w:p w14:paraId="34E22930" w14:textId="77777777" w:rsidR="005D4D09" w:rsidRPr="005D4D09" w:rsidRDefault="005D4D09" w:rsidP="005D4D09">
            <w:pPr>
              <w:spacing w:before="40" w:after="40"/>
              <w:jc w:val="center"/>
              <w:rPr>
                <w:rFonts w:ascii="Segoe UI Light" w:hAnsi="Segoe UI Light"/>
                <w:bCs/>
                <w:sz w:val="16"/>
                <w:szCs w:val="16"/>
              </w:rPr>
            </w:pPr>
            <w:r w:rsidRPr="005D4D09">
              <w:rPr>
                <w:rFonts w:ascii="Segoe UI Light" w:hAnsi="Segoe UI Light"/>
                <w:bCs/>
                <w:sz w:val="16"/>
                <w:szCs w:val="16"/>
              </w:rPr>
              <w:t>132,3</w:t>
            </w:r>
          </w:p>
        </w:tc>
      </w:tr>
      <w:tr w:rsidR="005D4D09" w:rsidRPr="00D829F0" w14:paraId="48D1BFBE" w14:textId="77777777" w:rsidTr="00A773E8">
        <w:trPr>
          <w:jc w:val="center"/>
        </w:trPr>
        <w:tc>
          <w:tcPr>
            <w:tcW w:w="2499" w:type="pct"/>
            <w:shd w:val="clear" w:color="auto" w:fill="auto"/>
            <w:hideMark/>
          </w:tcPr>
          <w:p w14:paraId="7C520E12" w14:textId="77777777" w:rsidR="005D4D09" w:rsidRPr="005D4D09" w:rsidRDefault="005D4D09" w:rsidP="005D4D09">
            <w:pPr>
              <w:spacing w:before="40" w:after="40"/>
              <w:rPr>
                <w:rFonts w:ascii="Segoe UI Light" w:hAnsi="Segoe UI Light"/>
                <w:sz w:val="16"/>
                <w:szCs w:val="16"/>
              </w:rPr>
            </w:pPr>
            <w:r w:rsidRPr="005D4D09">
              <w:rPr>
                <w:rFonts w:ascii="Segoe UI Light" w:hAnsi="Segoe UI Light"/>
                <w:bCs/>
                <w:sz w:val="16"/>
                <w:szCs w:val="16"/>
              </w:rPr>
              <w:t>Imigrācija tūkst.</w:t>
            </w:r>
          </w:p>
        </w:tc>
        <w:tc>
          <w:tcPr>
            <w:tcW w:w="1250" w:type="pct"/>
            <w:shd w:val="clear" w:color="auto" w:fill="auto"/>
            <w:hideMark/>
          </w:tcPr>
          <w:p w14:paraId="72F2BDF3" w14:textId="77777777" w:rsidR="005D4D09" w:rsidRPr="005D4D09" w:rsidRDefault="005D4D09" w:rsidP="005D4D09">
            <w:pPr>
              <w:spacing w:before="40" w:after="40"/>
              <w:jc w:val="center"/>
              <w:rPr>
                <w:rFonts w:ascii="Segoe UI Light" w:hAnsi="Segoe UI Light"/>
                <w:bCs/>
                <w:sz w:val="16"/>
                <w:szCs w:val="16"/>
              </w:rPr>
            </w:pPr>
            <w:r w:rsidRPr="005D4D09">
              <w:rPr>
                <w:rFonts w:ascii="Segoe UI Light" w:hAnsi="Segoe UI Light"/>
                <w:bCs/>
                <w:sz w:val="16"/>
                <w:szCs w:val="16"/>
              </w:rPr>
              <w:t>56,5</w:t>
            </w:r>
          </w:p>
        </w:tc>
        <w:tc>
          <w:tcPr>
            <w:tcW w:w="1250" w:type="pct"/>
            <w:shd w:val="clear" w:color="auto" w:fill="auto"/>
            <w:hideMark/>
          </w:tcPr>
          <w:p w14:paraId="656E0564" w14:textId="77777777" w:rsidR="005D4D09" w:rsidRPr="005D4D09" w:rsidRDefault="005D4D09" w:rsidP="005D4D09">
            <w:pPr>
              <w:spacing w:before="40" w:after="40"/>
              <w:jc w:val="center"/>
              <w:rPr>
                <w:rFonts w:ascii="Segoe UI Light" w:hAnsi="Segoe UI Light"/>
                <w:bCs/>
                <w:sz w:val="16"/>
                <w:szCs w:val="16"/>
              </w:rPr>
            </w:pPr>
            <w:r w:rsidRPr="005D4D09">
              <w:rPr>
                <w:rFonts w:ascii="Segoe UI Light" w:hAnsi="Segoe UI Light"/>
                <w:bCs/>
                <w:sz w:val="16"/>
                <w:szCs w:val="16"/>
              </w:rPr>
              <w:t>172,4</w:t>
            </w:r>
          </w:p>
        </w:tc>
      </w:tr>
      <w:tr w:rsidR="005D4D09" w:rsidRPr="00D829F0" w14:paraId="6EB406D5" w14:textId="77777777" w:rsidTr="00A773E8">
        <w:trPr>
          <w:cnfStyle w:val="000000100000" w:firstRow="0" w:lastRow="0" w:firstColumn="0" w:lastColumn="0" w:oddVBand="0" w:evenVBand="0" w:oddHBand="1" w:evenHBand="0" w:firstRowFirstColumn="0" w:firstRowLastColumn="0" w:lastRowFirstColumn="0" w:lastRowLastColumn="0"/>
          <w:jc w:val="center"/>
        </w:trPr>
        <w:tc>
          <w:tcPr>
            <w:tcW w:w="2499" w:type="pct"/>
            <w:shd w:val="clear" w:color="auto" w:fill="DCE7EB"/>
            <w:hideMark/>
          </w:tcPr>
          <w:p w14:paraId="31B5C3E0" w14:textId="77777777" w:rsidR="005D4D09" w:rsidRPr="005D4D09" w:rsidRDefault="005D4D09" w:rsidP="005D4D09">
            <w:pPr>
              <w:spacing w:before="40" w:after="40"/>
              <w:rPr>
                <w:rFonts w:ascii="Segoe UI Light" w:hAnsi="Segoe UI Light"/>
                <w:b/>
                <w:bCs/>
                <w:sz w:val="16"/>
                <w:szCs w:val="16"/>
              </w:rPr>
            </w:pPr>
            <w:r w:rsidRPr="005D4D09">
              <w:rPr>
                <w:rFonts w:ascii="Segoe UI Light" w:hAnsi="Segoe UI Light"/>
                <w:b/>
                <w:bCs/>
                <w:sz w:val="16"/>
                <w:szCs w:val="16"/>
              </w:rPr>
              <w:t>Migrācijas saldo, tūkst.</w:t>
            </w:r>
          </w:p>
        </w:tc>
        <w:tc>
          <w:tcPr>
            <w:tcW w:w="1250" w:type="pct"/>
            <w:shd w:val="clear" w:color="auto" w:fill="DCE7EB"/>
            <w:hideMark/>
          </w:tcPr>
          <w:p w14:paraId="252838C6" w14:textId="77777777" w:rsidR="005D4D09" w:rsidRPr="005D4D09" w:rsidRDefault="005D4D09" w:rsidP="005D4D09">
            <w:pPr>
              <w:spacing w:before="40" w:after="40"/>
              <w:jc w:val="center"/>
              <w:rPr>
                <w:rFonts w:ascii="Segoe UI Light" w:hAnsi="Segoe UI Light"/>
                <w:b/>
                <w:sz w:val="16"/>
                <w:szCs w:val="16"/>
              </w:rPr>
            </w:pPr>
            <w:r w:rsidRPr="005D4D09">
              <w:rPr>
                <w:rFonts w:ascii="Segoe UI Light" w:hAnsi="Segoe UI Light"/>
                <w:b/>
                <w:sz w:val="16"/>
                <w:szCs w:val="16"/>
              </w:rPr>
              <w:t>-2,3</w:t>
            </w:r>
          </w:p>
        </w:tc>
        <w:tc>
          <w:tcPr>
            <w:tcW w:w="1250" w:type="pct"/>
            <w:shd w:val="clear" w:color="auto" w:fill="DCE7EB"/>
            <w:hideMark/>
          </w:tcPr>
          <w:p w14:paraId="1316D9F3" w14:textId="77777777" w:rsidR="005D4D09" w:rsidRPr="005D4D09" w:rsidRDefault="005D4D09" w:rsidP="005D4D09">
            <w:pPr>
              <w:spacing w:before="40" w:after="40"/>
              <w:jc w:val="center"/>
              <w:rPr>
                <w:rFonts w:ascii="Segoe UI Light" w:hAnsi="Segoe UI Light"/>
                <w:b/>
                <w:sz w:val="16"/>
                <w:szCs w:val="16"/>
              </w:rPr>
            </w:pPr>
            <w:r w:rsidRPr="005D4D09">
              <w:rPr>
                <w:rFonts w:ascii="Segoe UI Light" w:hAnsi="Segoe UI Light"/>
                <w:b/>
                <w:sz w:val="16"/>
                <w:szCs w:val="16"/>
              </w:rPr>
              <w:t>40,1</w:t>
            </w:r>
          </w:p>
        </w:tc>
      </w:tr>
    </w:tbl>
    <w:p w14:paraId="0B770521" w14:textId="77777777" w:rsidR="005D4D09" w:rsidRPr="00D829F0" w:rsidRDefault="005D4D09" w:rsidP="005D4D09">
      <w:pPr>
        <w:spacing w:before="120" w:after="120"/>
        <w:ind w:left="720" w:firstLine="596"/>
        <w:jc w:val="both"/>
        <w:rPr>
          <w:rFonts w:ascii="Source Sans Pro" w:hAnsi="Source Sans Pro" w:cs="Calibri Light"/>
          <w:sz w:val="16"/>
          <w:szCs w:val="14"/>
        </w:rPr>
      </w:pPr>
      <w:r w:rsidRPr="00D829F0">
        <w:rPr>
          <w:rFonts w:ascii="Source Sans Pro" w:hAnsi="Source Sans Pro" w:cs="Calibri Light"/>
          <w:sz w:val="16"/>
          <w:szCs w:val="14"/>
        </w:rPr>
        <w:t>Avots: EM prognozes</w:t>
      </w:r>
    </w:p>
    <w:p w14:paraId="700C7E41" w14:textId="77777777" w:rsidR="005D4D09" w:rsidRPr="00D829F0" w:rsidRDefault="005D4D09" w:rsidP="005D4D09">
      <w:pPr>
        <w:spacing w:after="120"/>
        <w:jc w:val="both"/>
        <w:rPr>
          <w:rFonts w:ascii="Source Sans Pro" w:hAnsi="Source Sans Pro"/>
          <w:color w:val="000000"/>
          <w:szCs w:val="20"/>
        </w:rPr>
      </w:pPr>
    </w:p>
    <w:p w14:paraId="2A547774" w14:textId="32172C05" w:rsidR="005D4D09" w:rsidRPr="00D829F0" w:rsidRDefault="005D4D09" w:rsidP="005D4D09">
      <w:pPr>
        <w:spacing w:after="120"/>
        <w:jc w:val="both"/>
        <w:rPr>
          <w:rFonts w:ascii="Source Sans Pro" w:hAnsi="Source Sans Pro"/>
          <w:color w:val="000000" w:themeColor="text1"/>
        </w:rPr>
      </w:pPr>
      <w:r w:rsidRPr="00D829F0">
        <w:rPr>
          <w:rFonts w:ascii="Source Sans Pro" w:hAnsi="Source Sans Pro"/>
          <w:color w:val="000000"/>
          <w:szCs w:val="20"/>
        </w:rPr>
        <w:t>Sagaidāms, ka periodā līdz 2029.</w:t>
      </w:r>
      <w:r w:rsidR="00BA6EBD">
        <w:rPr>
          <w:rFonts w:ascii="Source Sans Pro" w:hAnsi="Source Sans Pro"/>
          <w:color w:val="000000"/>
          <w:szCs w:val="20"/>
        </w:rPr>
        <w:t> </w:t>
      </w:r>
      <w:r w:rsidRPr="00D829F0">
        <w:rPr>
          <w:rFonts w:ascii="Source Sans Pro" w:hAnsi="Source Sans Pro"/>
          <w:color w:val="000000"/>
          <w:szCs w:val="20"/>
        </w:rPr>
        <w:t xml:space="preserve">gadam </w:t>
      </w:r>
      <w:r w:rsidRPr="00D829F0">
        <w:rPr>
          <w:rFonts w:ascii="Source Sans Pro" w:hAnsi="Source Sans Pro"/>
          <w:color w:val="000000" w:themeColor="text1"/>
        </w:rPr>
        <w:t xml:space="preserve">emigrējušo valsts iedzīvotāju skaits kopumā varētu pārsniegt imigrējušo skaitu Latvijā. </w:t>
      </w:r>
      <w:r w:rsidRPr="00D829F0">
        <w:rPr>
          <w:rFonts w:ascii="Source Sans Pro" w:hAnsi="Source Sans Pro"/>
          <w:color w:val="000000"/>
          <w:szCs w:val="20"/>
        </w:rPr>
        <w:t xml:space="preserve">Mazināsies Ukrainas kara bēgļu pieplūduma Latvijā ietekme, un daļa bēgļu pakāpeniski atgriezīsies mājās. Tāpat </w:t>
      </w:r>
      <w:r w:rsidRPr="00D829F0">
        <w:rPr>
          <w:rFonts w:ascii="Source Sans Pro" w:hAnsi="Source Sans Pro"/>
          <w:color w:val="000000" w:themeColor="text1"/>
        </w:rPr>
        <w:t xml:space="preserve">jāņem vērā, ka Krievijas agresīvā politika reģionā visdrīzāk tuvākajos gados atturēs strauju Latvijas valstpiederīgo atgriešanos dzimtenē vai ekonomisko imigrantu ieplūšanu valstī, kā arī potenciālie konflikta eskalācijas riski reģionā var palielināt iedzīvotāju emigrācijas varbūtību. </w:t>
      </w:r>
    </w:p>
    <w:p w14:paraId="05777017" w14:textId="232EBF46" w:rsidR="005D4D09" w:rsidRPr="00D829F0" w:rsidRDefault="005D4D09" w:rsidP="005D4D09">
      <w:pPr>
        <w:jc w:val="both"/>
        <w:rPr>
          <w:rFonts w:ascii="Source Sans Pro" w:hAnsi="Source Sans Pro"/>
          <w:color w:val="000000"/>
          <w:szCs w:val="20"/>
        </w:rPr>
      </w:pPr>
      <w:r w:rsidRPr="00D829F0">
        <w:rPr>
          <w:rFonts w:ascii="Source Sans Pro" w:hAnsi="Source Sans Pro"/>
          <w:color w:val="000000"/>
          <w:szCs w:val="20"/>
        </w:rPr>
        <w:t>Vienlaikus, stabilizējoties ģeopolitiskajai situācijai, kā arī pieaugot ekonomiskās migrācijas stimuliem, iedzīvotāju migrācijas plūsmas Latvijā varētu atgriezties pie pozitīvas tendences 2029.</w:t>
      </w:r>
      <w:r w:rsidR="00574FB9">
        <w:rPr>
          <w:rFonts w:ascii="Source Sans Pro" w:hAnsi="Source Sans Pro"/>
          <w:color w:val="000000"/>
          <w:szCs w:val="20"/>
        </w:rPr>
        <w:t> </w:t>
      </w:r>
      <w:r w:rsidRPr="00D829F0">
        <w:rPr>
          <w:rFonts w:ascii="Source Sans Pro" w:hAnsi="Source Sans Pro"/>
          <w:color w:val="000000"/>
          <w:szCs w:val="20"/>
        </w:rPr>
        <w:t>gadā. Savukārt noturīgs pozitīvo migrācijas saldo varētu būt vērojamas ap 2032.</w:t>
      </w:r>
      <w:r w:rsidR="00BA6EBD">
        <w:rPr>
          <w:rFonts w:ascii="Source Sans Pro" w:hAnsi="Source Sans Pro"/>
          <w:color w:val="000000"/>
          <w:szCs w:val="20"/>
        </w:rPr>
        <w:t> </w:t>
      </w:r>
      <w:r w:rsidRPr="00D829F0">
        <w:rPr>
          <w:rFonts w:ascii="Source Sans Pro" w:hAnsi="Source Sans Pro"/>
          <w:color w:val="000000"/>
          <w:szCs w:val="20"/>
        </w:rPr>
        <w:t>gadu, kad politiskā situācija reģionā būtu nostabilizējusies un plaisas starp Latvijas un ES veco valstu darba tirgiem mazinājušās.</w:t>
      </w:r>
      <w:r w:rsidRPr="00D829F0">
        <w:rPr>
          <w:rFonts w:ascii="Source Sans Pro" w:hAnsi="Source Sans Pro"/>
          <w:szCs w:val="26"/>
        </w:rPr>
        <w:t xml:space="preserve"> Uzlabojumi starptautiskās migrācijas bilancē būs viens no noteicošiem faktoriem iedzīvotāju vecumstruktūras nesabalansētību mazināšanā ilgtermiņā, kas kopumā varētu mazināt arī demogrāfijas tendenču negatīvo ietekmi uz darba tirgu.</w:t>
      </w:r>
    </w:p>
    <w:p w14:paraId="5213D8C1" w14:textId="427C9690" w:rsidR="005D4D09" w:rsidRPr="00D829F0" w:rsidRDefault="005D4D09" w:rsidP="005D4D09">
      <w:pPr>
        <w:spacing w:after="120"/>
        <w:jc w:val="right"/>
        <w:rPr>
          <w:rFonts w:ascii="Source Sans Pro" w:hAnsi="Source Sans Pro"/>
          <w:color w:val="000000"/>
          <w:szCs w:val="20"/>
        </w:rPr>
      </w:pPr>
      <w:r w:rsidRPr="00D829F0">
        <w:rPr>
          <w:rFonts w:ascii="Source Sans Pro" w:hAnsi="Source Sans Pro"/>
          <w:color w:val="000000"/>
          <w:szCs w:val="20"/>
        </w:rPr>
        <w:t>3.</w:t>
      </w:r>
      <w:r w:rsidR="009733E4">
        <w:rPr>
          <w:rFonts w:ascii="Source Sans Pro" w:hAnsi="Source Sans Pro"/>
          <w:color w:val="000000"/>
          <w:szCs w:val="20"/>
        </w:rPr>
        <w:t>9</w:t>
      </w:r>
      <w:r w:rsidRPr="00D829F0">
        <w:rPr>
          <w:rFonts w:ascii="Source Sans Pro" w:hAnsi="Source Sans Pro"/>
          <w:color w:val="000000"/>
          <w:szCs w:val="20"/>
        </w:rPr>
        <w:t>.</w:t>
      </w:r>
      <w:r w:rsidR="00574FB9">
        <w:rPr>
          <w:rFonts w:ascii="Source Sans Pro" w:hAnsi="Source Sans Pro"/>
          <w:color w:val="000000"/>
          <w:szCs w:val="20"/>
        </w:rPr>
        <w:t> </w:t>
      </w:r>
      <w:r w:rsidRPr="00D829F0">
        <w:rPr>
          <w:rFonts w:ascii="Source Sans Pro" w:hAnsi="Source Sans Pro"/>
          <w:color w:val="000000"/>
          <w:szCs w:val="20"/>
        </w:rPr>
        <w:t>attēls</w:t>
      </w:r>
    </w:p>
    <w:p w14:paraId="5E6F3901" w14:textId="77777777" w:rsidR="005D4D09" w:rsidRPr="005D4D09" w:rsidRDefault="005D4D09" w:rsidP="005D4D09">
      <w:pPr>
        <w:spacing w:after="120"/>
        <w:jc w:val="center"/>
        <w:rPr>
          <w:rFonts w:ascii="Segoe UI Light" w:hAnsi="Segoe UI Light"/>
          <w:i/>
          <w:color w:val="000000"/>
          <w:sz w:val="16"/>
          <w:szCs w:val="20"/>
        </w:rPr>
      </w:pPr>
      <w:r w:rsidRPr="005D4D09">
        <w:rPr>
          <w:rFonts w:ascii="Segoe UI Light" w:hAnsi="Segoe UI Light"/>
          <w:b/>
          <w:color w:val="000000"/>
          <w:sz w:val="18"/>
          <w:szCs w:val="20"/>
        </w:rPr>
        <w:t>Iedzīvotāju starptautiskās migrācijas saldo</w:t>
      </w:r>
      <w:r w:rsidRPr="005D4D09">
        <w:rPr>
          <w:rFonts w:ascii="Segoe UI Light" w:hAnsi="Segoe UI Light"/>
          <w:b/>
          <w:color w:val="000000"/>
          <w:sz w:val="18"/>
          <w:szCs w:val="20"/>
        </w:rPr>
        <w:br/>
      </w:r>
      <w:r w:rsidRPr="005D4D09">
        <w:rPr>
          <w:rFonts w:ascii="Segoe UI Light" w:hAnsi="Segoe UI Light"/>
          <w:i/>
          <w:color w:val="000000"/>
          <w:sz w:val="16"/>
          <w:szCs w:val="20"/>
        </w:rPr>
        <w:t>tūkstošos</w:t>
      </w:r>
    </w:p>
    <w:p w14:paraId="6BEAD3D8" w14:textId="77777777" w:rsidR="005D4D09" w:rsidRPr="00D829F0" w:rsidRDefault="005D4D09" w:rsidP="005D4D09">
      <w:pPr>
        <w:jc w:val="center"/>
        <w:rPr>
          <w:rFonts w:ascii="Source Sans Pro" w:hAnsi="Source Sans Pro"/>
          <w:color w:val="000000"/>
          <w:szCs w:val="20"/>
        </w:rPr>
      </w:pPr>
      <w:r w:rsidRPr="00D829F0">
        <w:rPr>
          <w:rFonts w:ascii="Source Sans Pro" w:hAnsi="Source Sans Pro"/>
          <w:noProof/>
          <w:color w:val="000000"/>
        </w:rPr>
        <w:drawing>
          <wp:inline distT="0" distB="0" distL="0" distR="0" wp14:anchorId="17816E05" wp14:editId="762E8B8B">
            <wp:extent cx="5764530" cy="2626360"/>
            <wp:effectExtent l="0" t="0" r="7620" b="2540"/>
            <wp:docPr id="40"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2ACE08AB" w14:textId="166E7E80" w:rsidR="005D4D09" w:rsidRPr="00D829F0" w:rsidRDefault="005D4D09" w:rsidP="005D4D09">
      <w:pPr>
        <w:spacing w:after="120"/>
        <w:jc w:val="both"/>
        <w:rPr>
          <w:rFonts w:ascii="Source Sans Pro" w:hAnsi="Source Sans Pro" w:cs="Calibri Light"/>
          <w:sz w:val="16"/>
          <w:szCs w:val="14"/>
        </w:rPr>
      </w:pPr>
      <w:r w:rsidRPr="00D829F0">
        <w:rPr>
          <w:rFonts w:ascii="Source Sans Pro" w:hAnsi="Source Sans Pro" w:cs="Calibri Light"/>
          <w:sz w:val="16"/>
          <w:szCs w:val="14"/>
        </w:rPr>
        <w:t>Avots: CSP dati līdz 2025.</w:t>
      </w:r>
      <w:r w:rsidR="00574FB9">
        <w:rPr>
          <w:rFonts w:ascii="Source Sans Pro" w:hAnsi="Source Sans Pro" w:cs="Calibri Light"/>
          <w:sz w:val="16"/>
          <w:szCs w:val="14"/>
        </w:rPr>
        <w:t> </w:t>
      </w:r>
      <w:r w:rsidRPr="00D829F0">
        <w:rPr>
          <w:rFonts w:ascii="Source Sans Pro" w:hAnsi="Source Sans Pro" w:cs="Calibri Light"/>
          <w:sz w:val="16"/>
          <w:szCs w:val="14"/>
        </w:rPr>
        <w:t>gadam, EM prognozes sākot ar 2026.</w:t>
      </w:r>
      <w:r w:rsidR="00574FB9">
        <w:rPr>
          <w:rFonts w:ascii="Source Sans Pro" w:hAnsi="Source Sans Pro" w:cs="Calibri Light"/>
          <w:sz w:val="16"/>
          <w:szCs w:val="14"/>
        </w:rPr>
        <w:t> </w:t>
      </w:r>
      <w:r w:rsidRPr="00D829F0">
        <w:rPr>
          <w:rFonts w:ascii="Source Sans Pro" w:hAnsi="Source Sans Pro" w:cs="Calibri Light"/>
          <w:sz w:val="16"/>
          <w:szCs w:val="14"/>
        </w:rPr>
        <w:t>gadu</w:t>
      </w:r>
    </w:p>
    <w:p w14:paraId="3D2F640F" w14:textId="77777777" w:rsidR="005D4D09" w:rsidRPr="00D829F0" w:rsidRDefault="005D4D09" w:rsidP="005D4D09">
      <w:pPr>
        <w:spacing w:after="120"/>
        <w:jc w:val="both"/>
        <w:rPr>
          <w:rFonts w:ascii="Source Sans Pro" w:hAnsi="Source Sans Pro"/>
          <w:color w:val="000000"/>
          <w:szCs w:val="20"/>
        </w:rPr>
      </w:pPr>
    </w:p>
    <w:p w14:paraId="5E1E686B" w14:textId="2AEC3E34" w:rsidR="005D4D09" w:rsidRPr="00D829F0" w:rsidRDefault="00574FB9" w:rsidP="005D4D09">
      <w:pPr>
        <w:spacing w:after="120"/>
        <w:jc w:val="both"/>
        <w:rPr>
          <w:rFonts w:ascii="Source Sans Pro" w:hAnsi="Source Sans Pro"/>
          <w:color w:val="000000"/>
        </w:rPr>
      </w:pPr>
      <w:r>
        <w:rPr>
          <w:rFonts w:ascii="Source Sans Pro" w:hAnsi="Source Sans Pro"/>
          <w:color w:val="000000" w:themeColor="text1"/>
        </w:rPr>
        <w:t>M</w:t>
      </w:r>
      <w:r w:rsidR="005D4D09" w:rsidRPr="00D829F0">
        <w:rPr>
          <w:rFonts w:ascii="Source Sans Pro" w:hAnsi="Source Sans Pro"/>
          <w:color w:val="000000" w:themeColor="text1"/>
        </w:rPr>
        <w:t>igrācijas mērķa scenārijs paredz, ka kopumā līdz 2040. gadam Latvijas darba tirgus turpinās tuvoties ES attīstītāko valstu darba tirgiem, jo īpaši darba algu izteiksmē, kas mazinās ekonomisko faktoru rosinātu iedzīvotāju emigrāciju</w:t>
      </w:r>
      <w:r w:rsidR="008A4808">
        <w:rPr>
          <w:rFonts w:ascii="Source Sans Pro" w:hAnsi="Source Sans Pro"/>
          <w:color w:val="000000" w:themeColor="text1"/>
        </w:rPr>
        <w:t>.</w:t>
      </w:r>
      <w:r w:rsidR="005D4D09" w:rsidRPr="00D829F0">
        <w:rPr>
          <w:rFonts w:ascii="Source Sans Pro" w:hAnsi="Source Sans Pro"/>
          <w:color w:val="000000" w:themeColor="text1"/>
        </w:rPr>
        <w:t xml:space="preserve"> </w:t>
      </w:r>
      <w:r w:rsidR="008A4808">
        <w:rPr>
          <w:rFonts w:ascii="Source Sans Pro" w:hAnsi="Source Sans Pro"/>
          <w:color w:val="000000" w:themeColor="text1"/>
        </w:rPr>
        <w:t>S</w:t>
      </w:r>
      <w:r w:rsidR="005D4D09" w:rsidRPr="00D829F0">
        <w:rPr>
          <w:rFonts w:ascii="Source Sans Pro" w:hAnsi="Source Sans Pro"/>
          <w:color w:val="000000" w:themeColor="text1"/>
        </w:rPr>
        <w:t xml:space="preserve">avukārt arvien redzamāk dos pamatu darbaspēka imigrācijas pieaugumam. Vidējā termiņā darbaspēka imigrācijai būs nozīmīga loma sabalansētas darba tirgus attīstības nodrošināšanā, tāpēc migrācijas politikai jābūt pārdomātai, kas no vienas puses nodrošinātu balstu ekonomikas izaugsmei vidējā termiņā, bet neradītu riskus valsts attīstībai ilgtermiņā. Ilgtermiņā jāturpina mazināt šķēršļus Latvijas </w:t>
      </w:r>
      <w:r w:rsidR="005D4D09" w:rsidRPr="00D829F0">
        <w:rPr>
          <w:rFonts w:ascii="Source Sans Pro" w:hAnsi="Source Sans Pro"/>
          <w:color w:val="000000" w:themeColor="text1"/>
        </w:rPr>
        <w:lastRenderedPageBreak/>
        <w:t>valstspiederīgo remigrācijai, nodrošinot mājokļa pieejamību, prasmēm atbilstošas nodarbinātības iespējas un ātru piekļuvi izglītības un veselības sistēmai.</w:t>
      </w:r>
    </w:p>
    <w:p w14:paraId="4F98A9F6" w14:textId="77777777" w:rsidR="005D4D09" w:rsidRPr="00D829F0" w:rsidRDefault="005D4D09" w:rsidP="005D4D09">
      <w:pPr>
        <w:spacing w:after="120"/>
        <w:jc w:val="both"/>
        <w:rPr>
          <w:rFonts w:ascii="Source Sans Pro" w:hAnsi="Source Sans Pro"/>
          <w:color w:val="000000"/>
          <w:szCs w:val="20"/>
        </w:rPr>
      </w:pPr>
      <w:r w:rsidRPr="00D829F0">
        <w:rPr>
          <w:rFonts w:ascii="Source Sans Pro" w:hAnsi="Source Sans Pro"/>
          <w:color w:val="000000"/>
          <w:szCs w:val="20"/>
        </w:rPr>
        <w:t>Vienlaikus, pieaugot trešo valstu nodarbināto skaitam Latvijā, būtiski ir mazināt riskus darba tirgū šai mērķa grupai. Kaut arī kopumā spēkā esošais regulējums paredz, ka darba algai, ko izmaksā darba devējs, ir jābūt ne mazākai par Latvijas Republikā strādājošo mēneša vidējo bruto darba samaksu nozarē (saskaņā ar CSP pēdējo publicēto informāciju) vai ar nozares ģenerālvienošanos noteikto minimālo algu, viens no riskiem varētu būt saistīts ar to, ka darba devēji neievēro šos nosacījumus, un tad zemākas atalgojuma likmes piemērošana viesstrādniekiem un ilgākas darba stundas kopumā var samazināt Latvijas darba tirgus konkurētspēju pret citām ES valstīm attiecībā uz darbaspēka piesaisti. Kopumā zemākas stundas atalgojuma likmes par līdzīga apjoma un satura darbu viesstrādniekiem, salīdzinot ar vietējiem nodarbinātajiem, kopumā var negatīvi ietekmēt vidējo atalgojumu tautsaimniecībā, jo īpaši nozarēs un profesijās ar augstu viesstrādnieku īpatsvaru, kas potenciāli var sekmēt vietējā darbaspēka aizplūšanu uz augstāka atalgojuma zonām citās ES valstīs.</w:t>
      </w:r>
    </w:p>
    <w:p w14:paraId="6FB7CD61" w14:textId="77777777" w:rsidR="000A6F5F" w:rsidRPr="00D829F0" w:rsidRDefault="000A6F5F" w:rsidP="000A6F5F">
      <w:pPr>
        <w:spacing w:after="120"/>
        <w:jc w:val="both"/>
        <w:rPr>
          <w:rFonts w:ascii="Source Sans Pro" w:hAnsi="Source Sans Pro" w:cs="Calibri Light"/>
        </w:rPr>
      </w:pPr>
    </w:p>
    <w:p w14:paraId="0239290B" w14:textId="77777777" w:rsidR="00A773E8" w:rsidRPr="00D829F0" w:rsidRDefault="00A773E8" w:rsidP="000A6F5F">
      <w:pPr>
        <w:spacing w:after="120"/>
        <w:jc w:val="both"/>
        <w:rPr>
          <w:rFonts w:ascii="Source Sans Pro" w:hAnsi="Source Sans Pro" w:cs="Calibri Light"/>
        </w:rPr>
      </w:pPr>
    </w:p>
    <w:p w14:paraId="39F58C4F" w14:textId="755C5814" w:rsidR="003751AF" w:rsidRPr="00A82C5A" w:rsidRDefault="003751AF" w:rsidP="00080A71">
      <w:pPr>
        <w:pStyle w:val="Heading2"/>
      </w:pPr>
      <w:bookmarkStart w:id="55" w:name="_Toc517876441"/>
      <w:bookmarkStart w:id="56" w:name="_Toc756754001"/>
      <w:bookmarkEnd w:id="53"/>
      <w:r w:rsidRPr="00A82C5A">
        <w:t>3.</w:t>
      </w:r>
      <w:r w:rsidR="005E42E4" w:rsidRPr="00A82C5A">
        <w:t>2</w:t>
      </w:r>
      <w:r w:rsidRPr="00A82C5A">
        <w:t>. Darbaspēka pieprasījums un piedāvājums</w:t>
      </w:r>
      <w:bookmarkEnd w:id="55"/>
      <w:bookmarkEnd w:id="56"/>
    </w:p>
    <w:p w14:paraId="767FB95B" w14:textId="46D1EFEA" w:rsidR="009A0130" w:rsidRPr="006D2015" w:rsidRDefault="009A0130" w:rsidP="00080A71">
      <w:pPr>
        <w:pStyle w:val="Heading3"/>
      </w:pPr>
      <w:bookmarkStart w:id="57" w:name="_Toc1746005313"/>
      <w:r w:rsidRPr="006D2015">
        <w:t>3.</w:t>
      </w:r>
      <w:r w:rsidR="005E42E4" w:rsidRPr="006D2015">
        <w:t>2</w:t>
      </w:r>
      <w:r w:rsidRPr="006D2015">
        <w:t>.1. Darbaspēka pieprasījuma prognozes</w:t>
      </w:r>
      <w:bookmarkEnd w:id="57"/>
    </w:p>
    <w:p w14:paraId="072E03D3" w14:textId="77777777" w:rsidR="005D1CEB" w:rsidRPr="001C156B" w:rsidRDefault="005D1CEB" w:rsidP="005D1CEB">
      <w:pPr>
        <w:spacing w:after="120"/>
        <w:jc w:val="both"/>
        <w:rPr>
          <w:rFonts w:ascii="Source Sans Pro" w:hAnsi="Source Sans Pro"/>
          <w:szCs w:val="20"/>
        </w:rPr>
      </w:pPr>
    </w:p>
    <w:p w14:paraId="33DA88FE" w14:textId="77777777" w:rsidR="005D1CEB" w:rsidRPr="004B39FD" w:rsidRDefault="005D1CEB" w:rsidP="000D3075">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7C33685F" w14:textId="77777777" w:rsidR="00CC2FD5" w:rsidRPr="00CC2FD5" w:rsidRDefault="005D1CEB" w:rsidP="000D3075">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CC2FD5" w:rsidRPr="00CC2FD5">
        <w:rPr>
          <w:rFonts w:ascii="Aptos Narrow" w:hAnsi="Aptos Narrow" w:cs="Verdana"/>
          <w:color w:val="262626"/>
          <w:sz w:val="22"/>
        </w:rPr>
        <w:t>Vidējā termiņā nodarbinātība pieaugs mēreni, taču ilgtermiņā darbaspēka pieprasījumu arvien vairāk ierobežos demogrāfija, produktivitātes pieaugums un darba automatizācija.</w:t>
      </w:r>
    </w:p>
    <w:p w14:paraId="5B3808FC" w14:textId="2D8F6E9B" w:rsidR="00CC2FD5" w:rsidRPr="00CC2FD5" w:rsidRDefault="00CC2FD5" w:rsidP="000D3075">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CC2FD5">
        <w:rPr>
          <w:rFonts w:ascii="Aptos Narrow" w:hAnsi="Aptos Narrow" w:cs="Verdana"/>
          <w:color w:val="262626"/>
          <w:sz w:val="22"/>
        </w:rPr>
        <w:t>Pieprasījums augs galvenokārt pēc augstas kvalifikācijas speciālistiem, savukārt pēc zemas kvalifikācijas darbaspēka tas strauji saruks, un nozaru griezumā izaugsmi vadīs būvniecība un komercpakalpojumi.</w:t>
      </w:r>
    </w:p>
    <w:p w14:paraId="3E916437" w14:textId="499A393A" w:rsidR="005D1CEB" w:rsidRPr="004B39FD" w:rsidRDefault="00CC2FD5" w:rsidP="000D3075">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Pr="00CC2FD5">
        <w:rPr>
          <w:rFonts w:ascii="Aptos Narrow" w:hAnsi="Aptos Narrow" w:cs="Verdana"/>
          <w:color w:val="262626"/>
          <w:sz w:val="22"/>
        </w:rPr>
        <w:t>Lielākā daļa darba iespēju veidosies nevis jaunu darbavietu radīšanas, bet aizvietojošā pieprasījuma dēļ, esošajam darbaspēkam pakāpeniski aizejot no darba tirgus.</w:t>
      </w:r>
    </w:p>
    <w:p w14:paraId="7B3D32A3" w14:textId="77777777" w:rsidR="005D1CEB" w:rsidRPr="001C156B" w:rsidRDefault="005D1CEB" w:rsidP="005D1CEB">
      <w:pPr>
        <w:spacing w:after="120"/>
        <w:jc w:val="both"/>
        <w:rPr>
          <w:rFonts w:ascii="Source Sans Pro" w:hAnsi="Source Sans Pro"/>
          <w:szCs w:val="20"/>
        </w:rPr>
      </w:pPr>
    </w:p>
    <w:p w14:paraId="42DBEBF3" w14:textId="77777777" w:rsidR="00F61F73" w:rsidRDefault="00B30C77" w:rsidP="00F362C1">
      <w:pPr>
        <w:spacing w:after="120"/>
        <w:jc w:val="both"/>
        <w:rPr>
          <w:rFonts w:ascii="Source Sans Pro" w:hAnsi="Source Sans Pro"/>
          <w:szCs w:val="20"/>
        </w:rPr>
      </w:pPr>
      <w:r w:rsidRPr="00D829F0">
        <w:rPr>
          <w:rFonts w:ascii="Source Sans Pro" w:hAnsi="Source Sans Pro"/>
          <w:szCs w:val="20"/>
        </w:rPr>
        <w:t xml:space="preserve">Viens no svarīgākajiem ekonomiskās paradigmas maiņas jautājumiem ir ražošanas nozaru attīstības iespējas, kas savukārt ir atkarīgas no spējas veikt strukturālās izmaiņas nozarē. Tas ir nepieciešams priekšnosacījums, lai stiprinātu Latvijas konkurētspējīgās pozīcijas globālajos tirgos, vienlaikus palielinot eksporta groza ienesīgumu. </w:t>
      </w:r>
    </w:p>
    <w:p w14:paraId="3C6C0843" w14:textId="77777777" w:rsidR="00A835AA" w:rsidRDefault="00B30C77" w:rsidP="00F362C1">
      <w:pPr>
        <w:spacing w:after="120"/>
        <w:jc w:val="both"/>
        <w:rPr>
          <w:rFonts w:ascii="Source Sans Pro" w:hAnsi="Source Sans Pro"/>
          <w:szCs w:val="20"/>
        </w:rPr>
      </w:pPr>
      <w:r w:rsidRPr="00D829F0">
        <w:rPr>
          <w:rFonts w:ascii="Source Sans Pro" w:hAnsi="Source Sans Pro"/>
          <w:szCs w:val="20"/>
        </w:rPr>
        <w:t xml:space="preserve">Nozīmīgs faktors straujākas izaugsmes nodrošināšanā ir efektīviem darbaspēka pieejamības problēmas risinājumiem. </w:t>
      </w:r>
      <w:r w:rsidR="00B93C46" w:rsidRPr="00D829F0">
        <w:rPr>
          <w:rFonts w:ascii="Source Sans Pro" w:hAnsi="Source Sans Pro"/>
          <w:szCs w:val="20"/>
        </w:rPr>
        <w:t xml:space="preserve">Kritiski svarīgi ir nodrošināt augošās un produktīvās nozares ar izaugsmei nepieciešamo darbaspēku, veicinot darbaspēka pārkārtošanos no mazāk produktīviem darbiem uz profesijām ar augstāku produktivitāti un ienesīgumu. </w:t>
      </w:r>
    </w:p>
    <w:p w14:paraId="50492924" w14:textId="77777777" w:rsidR="00A835AA" w:rsidRDefault="00B93C46" w:rsidP="00F362C1">
      <w:pPr>
        <w:spacing w:after="120"/>
        <w:jc w:val="both"/>
        <w:rPr>
          <w:rFonts w:ascii="Source Sans Pro" w:hAnsi="Source Sans Pro"/>
          <w:szCs w:val="20"/>
        </w:rPr>
      </w:pPr>
      <w:r w:rsidRPr="00D829F0">
        <w:rPr>
          <w:rFonts w:ascii="Source Sans Pro" w:hAnsi="Source Sans Pro"/>
          <w:szCs w:val="20"/>
        </w:rPr>
        <w:t xml:space="preserve">Tāpat būtiski ir sekmēt darbaspēka produktivitātes pieaugumu un pieejamo darbaspēka resursu efektīvāku izmantošanu tradicionālās tautsaimniecības nozarēs, līdz ar to būtiska nozīme ir Ieguldījumiem cilvēkkapitālā un efektīvas pieaugušo izglītības sistēmas pieejamībai. </w:t>
      </w:r>
    </w:p>
    <w:p w14:paraId="64065E78" w14:textId="0119A7DB" w:rsidR="00B30C77" w:rsidRPr="00D829F0" w:rsidRDefault="00B30C77" w:rsidP="00F362C1">
      <w:pPr>
        <w:spacing w:after="120"/>
        <w:jc w:val="both"/>
        <w:rPr>
          <w:rFonts w:ascii="Source Sans Pro" w:hAnsi="Source Sans Pro"/>
          <w:szCs w:val="20"/>
        </w:rPr>
      </w:pPr>
      <w:r w:rsidRPr="00D829F0">
        <w:rPr>
          <w:rFonts w:ascii="Source Sans Pro" w:hAnsi="Source Sans Pro"/>
          <w:szCs w:val="20"/>
        </w:rPr>
        <w:t>Turpmākā izaugsmē arvien lielāka nozīme būs darba tirgus kvalitatīviem uzlabojumiem, lai reaģētu uz galvenajiem tautsaimniecības attīstības izaicinājumiem – demogrāfiju, darbaspēka izmaksu kāpumu, kā arī prasmju piedāvājuma neatbilstību pieprasījumam.</w:t>
      </w:r>
    </w:p>
    <w:p w14:paraId="525E288B" w14:textId="437360AF" w:rsidR="003F161B" w:rsidRPr="00D829F0" w:rsidRDefault="007645AB" w:rsidP="00F27CC8">
      <w:pPr>
        <w:spacing w:after="120"/>
        <w:jc w:val="both"/>
        <w:rPr>
          <w:rFonts w:ascii="Source Sans Pro" w:hAnsi="Source Sans Pro"/>
          <w:szCs w:val="20"/>
        </w:rPr>
      </w:pPr>
      <w:r w:rsidRPr="00D829F0">
        <w:rPr>
          <w:rFonts w:ascii="Source Sans Pro" w:hAnsi="Source Sans Pro"/>
        </w:rPr>
        <w:t>Ņemot vērā augsto nenoteiktību ārējos tirgos, saspringto ģeopolitisko situāciju un joprojām vājo ārējo pieprasījumu, sagaidāms, ka arī 2026.</w:t>
      </w:r>
      <w:r w:rsidR="00A835AA">
        <w:rPr>
          <w:rFonts w:ascii="Source Sans Pro" w:hAnsi="Source Sans Pro"/>
        </w:rPr>
        <w:t> </w:t>
      </w:r>
      <w:r w:rsidRPr="00D829F0">
        <w:rPr>
          <w:rFonts w:ascii="Source Sans Pro" w:hAnsi="Source Sans Pro"/>
        </w:rPr>
        <w:t>gadā darba tirgus attīstība saglabāsies piesardzīga. Būtisks nodarbinātības pieaugums tautsaimniecībā kopumā nav gaidāms, tomēr nodarbināto skaits varētu nedaudz palielināties un saglabāties tuvu 2025.</w:t>
      </w:r>
      <w:r w:rsidR="00A835AA">
        <w:rPr>
          <w:rFonts w:ascii="Source Sans Pro" w:hAnsi="Source Sans Pro"/>
        </w:rPr>
        <w:t> </w:t>
      </w:r>
      <w:r w:rsidRPr="00D829F0">
        <w:rPr>
          <w:rFonts w:ascii="Source Sans Pro" w:hAnsi="Source Sans Pro"/>
        </w:rPr>
        <w:t xml:space="preserve">gada līmenim. Situāciju darba tirgū arvien vairāk ietekmēs piedāvājuma puses faktori – iedzīvotāju skaita samazināšanās, negatīvs dabiskais pieaugums un darbspējas vecuma iedzīvotāju skaita sarukums. Tādēļ, neskatoties uz mērenu nodarbinātības kāpumu, bezdarba līmenis </w:t>
      </w:r>
      <w:r w:rsidRPr="00D829F0">
        <w:rPr>
          <w:rFonts w:ascii="Source Sans Pro" w:hAnsi="Source Sans Pro"/>
        </w:rPr>
        <w:lastRenderedPageBreak/>
        <w:t>2026.</w:t>
      </w:r>
      <w:r w:rsidR="00A835AA">
        <w:rPr>
          <w:rFonts w:ascii="Source Sans Pro" w:hAnsi="Source Sans Pro"/>
        </w:rPr>
        <w:t> </w:t>
      </w:r>
      <w:r w:rsidRPr="00D829F0">
        <w:rPr>
          <w:rFonts w:ascii="Source Sans Pro" w:hAnsi="Source Sans Pro"/>
        </w:rPr>
        <w:t>gadā varētu samazināties līdz vidēji 6,5%, bet ilgākā termiņā pakāpeniski sarukt līdz 5,6% 2030.</w:t>
      </w:r>
      <w:r w:rsidR="00A835AA">
        <w:rPr>
          <w:rFonts w:ascii="Source Sans Pro" w:hAnsi="Source Sans Pro"/>
        </w:rPr>
        <w:t> </w:t>
      </w:r>
      <w:r w:rsidRPr="00D829F0">
        <w:rPr>
          <w:rFonts w:ascii="Source Sans Pro" w:hAnsi="Source Sans Pro"/>
        </w:rPr>
        <w:t>gadā un 5,0% 2040.</w:t>
      </w:r>
      <w:r w:rsidR="00A835AA">
        <w:rPr>
          <w:rFonts w:ascii="Source Sans Pro" w:hAnsi="Source Sans Pro"/>
        </w:rPr>
        <w:t> </w:t>
      </w:r>
      <w:r w:rsidRPr="00D829F0">
        <w:rPr>
          <w:rFonts w:ascii="Source Sans Pro" w:hAnsi="Source Sans Pro"/>
        </w:rPr>
        <w:t>gadā. Nozaru griezumā 2026.</w:t>
      </w:r>
      <w:r w:rsidR="00A835AA">
        <w:rPr>
          <w:rFonts w:ascii="Source Sans Pro" w:hAnsi="Source Sans Pro"/>
        </w:rPr>
        <w:t> </w:t>
      </w:r>
      <w:r w:rsidRPr="00D829F0">
        <w:rPr>
          <w:rFonts w:ascii="Source Sans Pro" w:hAnsi="Source Sans Pro"/>
        </w:rPr>
        <w:t>gadā nodarbināto skaita pieaugums galvenokārt sagaidāms būvniecībā, izmitināšanas un ēdināšanas pakalpojumos, profesionālajos, zinātniskajos un tehniskajos pakalpojumos, valsts pārvaldē, kā arī mākslas, izklaides un atpūtas nozarē. Mērens pieaugums prognozēts arī informācijas un komunikācijas pakalpojumos, finanšu un apdrošināšanas darbībās un citos komercpakalpojumos. Savukārt nodarbināto skaits varētu samazināties lauksaimniecībā, apstrādes rūpniecībā, tirdzniecībā, transportā un uzglabāšanā, kā arī izglītībā. Šo nozaru dinamiku turpinās ietekmēt ārējā pieprasījuma svārstības, izmaksu spiediens un nepieciešamība palielināt produktivitāti. Ilgākā termiņā darbaspēka pieprasījuma kāpums būs ierobežots, jo ekonomikas izaugsmei arvien lielākā mērā būs jābalstās uz produktivitātes pieaugumu, tehnoloģiju ieviešanu un efektīvāku pieejamo darbaspēka resursu izmantošanu. Saskaņā ar prognozēm kopējais nodarbināto skaits līdz 2030.</w:t>
      </w:r>
      <w:r w:rsidR="00A835AA">
        <w:rPr>
          <w:rFonts w:ascii="Source Sans Pro" w:hAnsi="Source Sans Pro"/>
        </w:rPr>
        <w:t> </w:t>
      </w:r>
      <w:r w:rsidRPr="00D829F0">
        <w:rPr>
          <w:rFonts w:ascii="Source Sans Pro" w:hAnsi="Source Sans Pro"/>
        </w:rPr>
        <w:t>gadam pakāpeniski pieaugs, tomēr būs par aptuveni 1,0% zemāks nekā 2019.</w:t>
      </w:r>
      <w:r w:rsidR="00A835AA">
        <w:rPr>
          <w:rFonts w:ascii="Source Sans Pro" w:hAnsi="Source Sans Pro"/>
        </w:rPr>
        <w:t> </w:t>
      </w:r>
      <w:r w:rsidRPr="00D829F0">
        <w:rPr>
          <w:rFonts w:ascii="Source Sans Pro" w:hAnsi="Source Sans Pro"/>
        </w:rPr>
        <w:t>gadā, kad nodarbināto skaits bija augstākajā līmenī, bet par aptuveni 2,0% augstāks nekā 2025.</w:t>
      </w:r>
      <w:r w:rsidR="00A835AA">
        <w:rPr>
          <w:rFonts w:ascii="Source Sans Pro" w:hAnsi="Source Sans Pro"/>
        </w:rPr>
        <w:t> </w:t>
      </w:r>
      <w:r w:rsidRPr="00D829F0">
        <w:rPr>
          <w:rFonts w:ascii="Source Sans Pro" w:hAnsi="Source Sans Pro"/>
        </w:rPr>
        <w:t>gadā. Savukārt 2040.</w:t>
      </w:r>
      <w:r w:rsidR="00A835AA">
        <w:rPr>
          <w:rFonts w:ascii="Source Sans Pro" w:hAnsi="Source Sans Pro"/>
        </w:rPr>
        <w:t> </w:t>
      </w:r>
      <w:r w:rsidRPr="00D829F0">
        <w:rPr>
          <w:rFonts w:ascii="Source Sans Pro" w:hAnsi="Source Sans Pro"/>
        </w:rPr>
        <w:t>gadā, salīdzinot ar 2019.</w:t>
      </w:r>
      <w:r w:rsidR="00A835AA">
        <w:rPr>
          <w:rFonts w:ascii="Source Sans Pro" w:hAnsi="Source Sans Pro"/>
        </w:rPr>
        <w:t> </w:t>
      </w:r>
      <w:r w:rsidRPr="00D829F0">
        <w:rPr>
          <w:rFonts w:ascii="Source Sans Pro" w:hAnsi="Source Sans Pro"/>
        </w:rPr>
        <w:t>gadu, nodarbināto skaits varētu būt par aptuveni 2,3% zemāks, bet, salīdzinot ar 2025.</w:t>
      </w:r>
      <w:r w:rsidR="00A835AA">
        <w:rPr>
          <w:rFonts w:ascii="Source Sans Pro" w:hAnsi="Source Sans Pro"/>
        </w:rPr>
        <w:t> </w:t>
      </w:r>
      <w:r w:rsidRPr="00D829F0">
        <w:rPr>
          <w:rFonts w:ascii="Source Sans Pro" w:hAnsi="Source Sans Pro"/>
        </w:rPr>
        <w:t>gadu, – par aptuveni 0,7% augstāks. Tas nozīmē, ka pēc mērena pieauguma līdz 2030.</w:t>
      </w:r>
      <w:r w:rsidR="00A835AA">
        <w:rPr>
          <w:rFonts w:ascii="Source Sans Pro" w:hAnsi="Source Sans Pro"/>
        </w:rPr>
        <w:t> </w:t>
      </w:r>
      <w:r w:rsidRPr="00D829F0">
        <w:rPr>
          <w:rFonts w:ascii="Source Sans Pro" w:hAnsi="Source Sans Pro"/>
        </w:rPr>
        <w:t>gadam nodarbinātības dinamiku arvien vairāk ierobežos demogrāfiskie faktori un darbspējas vecuma iedzīvotāju skaita samazināšanās. Darba iespējas arī turpmāk lielā mērā veidosies ne tikai jaunu darbavietu radīšanas rezultātā, bet galvenokārt aizvietojošā pieprasījuma dēļ, esošajam darbaspēkam pensionējoties vai atstājot darba tirgu. Demogrāfiskās tendences, darbspējas vecuma iedzīvotāju skaita samazināšanās un pensionēšanās vecums būs galvenie faktori, kas noteiks darba tirgu pametušo iedzīvotāju skaita izmaiņas un aizvietojošā darbaspēka pieprasījumu.</w:t>
      </w:r>
    </w:p>
    <w:p w14:paraId="44DBF3C6" w14:textId="2C89798E" w:rsidR="009A0130" w:rsidRPr="00D829F0" w:rsidRDefault="009A0130" w:rsidP="00B30C77">
      <w:pPr>
        <w:spacing w:after="120"/>
        <w:jc w:val="right"/>
        <w:rPr>
          <w:rFonts w:ascii="Source Sans Pro" w:hAnsi="Source Sans Pro"/>
          <w:szCs w:val="20"/>
        </w:rPr>
      </w:pPr>
      <w:r w:rsidRPr="00D829F0">
        <w:rPr>
          <w:rFonts w:ascii="Source Sans Pro" w:hAnsi="Source Sans Pro"/>
          <w:szCs w:val="20"/>
        </w:rPr>
        <w:t>3.</w:t>
      </w:r>
      <w:r w:rsidR="00FB39D1">
        <w:rPr>
          <w:rFonts w:ascii="Source Sans Pro" w:hAnsi="Source Sans Pro"/>
          <w:szCs w:val="20"/>
        </w:rPr>
        <w:t>1</w:t>
      </w:r>
      <w:r w:rsidR="009733E4">
        <w:rPr>
          <w:rFonts w:ascii="Source Sans Pro" w:hAnsi="Source Sans Pro"/>
          <w:szCs w:val="20"/>
        </w:rPr>
        <w:t>0</w:t>
      </w:r>
      <w:r w:rsidRPr="00D829F0">
        <w:rPr>
          <w:rFonts w:ascii="Source Sans Pro" w:hAnsi="Source Sans Pro"/>
          <w:szCs w:val="20"/>
        </w:rPr>
        <w:t>.</w:t>
      </w:r>
      <w:r w:rsidR="00834758">
        <w:rPr>
          <w:rFonts w:ascii="Source Sans Pro" w:hAnsi="Source Sans Pro"/>
          <w:szCs w:val="20"/>
        </w:rPr>
        <w:t> </w:t>
      </w:r>
      <w:r w:rsidRPr="00D829F0">
        <w:rPr>
          <w:rFonts w:ascii="Source Sans Pro" w:hAnsi="Source Sans Pro"/>
          <w:szCs w:val="20"/>
        </w:rPr>
        <w:t>attēls</w:t>
      </w:r>
    </w:p>
    <w:p w14:paraId="4523CDE5" w14:textId="4F073218" w:rsidR="009A0130" w:rsidRDefault="009A0130" w:rsidP="009A0130">
      <w:pPr>
        <w:spacing w:after="120"/>
        <w:jc w:val="center"/>
        <w:rPr>
          <w:rFonts w:ascii="Segoe UI Light" w:hAnsi="Segoe UI Light"/>
          <w:i/>
          <w:sz w:val="16"/>
          <w:szCs w:val="28"/>
        </w:rPr>
      </w:pPr>
      <w:r w:rsidRPr="00F27CC8">
        <w:rPr>
          <w:rFonts w:ascii="Segoe UI Light" w:hAnsi="Segoe UI Light"/>
          <w:b/>
          <w:sz w:val="18"/>
          <w:szCs w:val="26"/>
        </w:rPr>
        <w:t>IKP, produktivitātes un darbaspēka pieprasījuma izmaiņas</w:t>
      </w:r>
      <w:r w:rsidRPr="00F27CC8">
        <w:rPr>
          <w:rFonts w:ascii="Segoe UI Light" w:hAnsi="Segoe UI Light"/>
          <w:b/>
          <w:sz w:val="18"/>
          <w:szCs w:val="26"/>
        </w:rPr>
        <w:br/>
      </w:r>
      <w:r w:rsidRPr="00F27CC8">
        <w:rPr>
          <w:rFonts w:ascii="Segoe UI Light" w:hAnsi="Segoe UI Light"/>
          <w:i/>
          <w:sz w:val="16"/>
          <w:szCs w:val="28"/>
        </w:rPr>
        <w:t>2030.</w:t>
      </w:r>
      <w:r w:rsidR="00834758">
        <w:rPr>
          <w:rFonts w:ascii="Segoe UI Light" w:hAnsi="Segoe UI Light"/>
          <w:i/>
          <w:sz w:val="16"/>
          <w:szCs w:val="28"/>
        </w:rPr>
        <w:t> </w:t>
      </w:r>
      <w:r w:rsidR="0080669C" w:rsidRPr="00F27CC8">
        <w:rPr>
          <w:rFonts w:ascii="Segoe UI Light" w:hAnsi="Segoe UI Light"/>
          <w:i/>
          <w:sz w:val="16"/>
          <w:szCs w:val="28"/>
        </w:rPr>
        <w:t>gad</w:t>
      </w:r>
      <w:r w:rsidRPr="00F27CC8">
        <w:rPr>
          <w:rFonts w:ascii="Segoe UI Light" w:hAnsi="Segoe UI Light"/>
          <w:i/>
          <w:sz w:val="16"/>
          <w:szCs w:val="28"/>
        </w:rPr>
        <w:t>s salīdzinājumā ar 202</w:t>
      </w:r>
      <w:r w:rsidR="00F27CC8">
        <w:rPr>
          <w:rFonts w:ascii="Segoe UI Light" w:hAnsi="Segoe UI Light"/>
          <w:i/>
          <w:sz w:val="16"/>
          <w:szCs w:val="28"/>
        </w:rPr>
        <w:t>5</w:t>
      </w:r>
      <w:r w:rsidRPr="00F27CC8">
        <w:rPr>
          <w:rFonts w:ascii="Segoe UI Light" w:hAnsi="Segoe UI Light"/>
          <w:i/>
          <w:sz w:val="16"/>
          <w:szCs w:val="28"/>
        </w:rPr>
        <w:t>.</w:t>
      </w:r>
      <w:r w:rsidR="00834758">
        <w:rPr>
          <w:rFonts w:ascii="Segoe UI Light" w:hAnsi="Segoe UI Light"/>
          <w:i/>
          <w:sz w:val="16"/>
          <w:szCs w:val="28"/>
        </w:rPr>
        <w:t> </w:t>
      </w:r>
      <w:r w:rsidR="0080669C" w:rsidRPr="00F27CC8">
        <w:rPr>
          <w:rFonts w:ascii="Segoe UI Light" w:hAnsi="Segoe UI Light"/>
          <w:i/>
          <w:sz w:val="16"/>
          <w:szCs w:val="28"/>
        </w:rPr>
        <w:t>gad</w:t>
      </w:r>
      <w:r w:rsidRPr="00F27CC8">
        <w:rPr>
          <w:rFonts w:ascii="Segoe UI Light" w:hAnsi="Segoe UI Light"/>
          <w:i/>
          <w:sz w:val="16"/>
          <w:szCs w:val="28"/>
        </w:rPr>
        <w:t>u, vidēji</w:t>
      </w:r>
      <w:r w:rsidR="00F362C1" w:rsidRPr="00F27CC8">
        <w:rPr>
          <w:rFonts w:ascii="Segoe UI Light" w:hAnsi="Segoe UI Light"/>
          <w:i/>
          <w:sz w:val="16"/>
          <w:szCs w:val="28"/>
        </w:rPr>
        <w:t xml:space="preserve"> </w:t>
      </w:r>
      <w:r w:rsidR="0080669C" w:rsidRPr="00F27CC8">
        <w:rPr>
          <w:rFonts w:ascii="Segoe UI Light" w:hAnsi="Segoe UI Light"/>
          <w:i/>
          <w:sz w:val="16"/>
          <w:szCs w:val="28"/>
        </w:rPr>
        <w:t>gad</w:t>
      </w:r>
      <w:r w:rsidRPr="00F27CC8">
        <w:rPr>
          <w:rFonts w:ascii="Segoe UI Light" w:hAnsi="Segoe UI Light"/>
          <w:i/>
          <w:sz w:val="16"/>
          <w:szCs w:val="28"/>
        </w:rPr>
        <w:t>ā, procentos</w:t>
      </w:r>
    </w:p>
    <w:tbl>
      <w:tblPr>
        <w:tblStyle w:val="TableGrid1"/>
        <w:tblW w:w="96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6"/>
        <w:gridCol w:w="2291"/>
        <w:gridCol w:w="184"/>
        <w:gridCol w:w="241"/>
        <w:gridCol w:w="1985"/>
        <w:gridCol w:w="250"/>
        <w:gridCol w:w="175"/>
        <w:gridCol w:w="2301"/>
      </w:tblGrid>
      <w:tr w:rsidR="001E2DAD" w:rsidRPr="00D829F0" w14:paraId="7C023870" w14:textId="77777777">
        <w:tc>
          <w:tcPr>
            <w:tcW w:w="2246" w:type="dxa"/>
          </w:tcPr>
          <w:p w14:paraId="4638D57A" w14:textId="77777777" w:rsidR="001E2DAD" w:rsidRPr="00985AA3" w:rsidRDefault="001E2DAD">
            <w:pPr>
              <w:jc w:val="center"/>
              <w:rPr>
                <w:rFonts w:ascii="Segoe UI Light" w:hAnsi="Segoe UI Light"/>
                <w:bCs/>
                <w:sz w:val="16"/>
                <w:szCs w:val="18"/>
              </w:rPr>
            </w:pPr>
          </w:p>
        </w:tc>
        <w:tc>
          <w:tcPr>
            <w:tcW w:w="2291" w:type="dxa"/>
            <w:vAlign w:val="center"/>
          </w:tcPr>
          <w:p w14:paraId="0D627AC5" w14:textId="77777777" w:rsidR="001E2DAD" w:rsidRPr="00985AA3" w:rsidRDefault="001E2DAD">
            <w:pPr>
              <w:spacing w:after="120"/>
              <w:jc w:val="center"/>
              <w:rPr>
                <w:rFonts w:ascii="Segoe UI Light" w:hAnsi="Segoe UI Light"/>
                <w:sz w:val="16"/>
                <w:szCs w:val="18"/>
              </w:rPr>
            </w:pPr>
            <w:r w:rsidRPr="00985AA3">
              <w:rPr>
                <w:rFonts w:ascii="Segoe UI Light" w:hAnsi="Segoe UI Light"/>
                <w:bCs/>
                <w:sz w:val="16"/>
                <w:szCs w:val="18"/>
              </w:rPr>
              <w:t>Nodarbinātības pieaugums</w:t>
            </w:r>
          </w:p>
        </w:tc>
        <w:tc>
          <w:tcPr>
            <w:tcW w:w="425" w:type="dxa"/>
            <w:gridSpan w:val="2"/>
            <w:vAlign w:val="center"/>
          </w:tcPr>
          <w:p w14:paraId="160C9C0E" w14:textId="77777777" w:rsidR="001E2DAD" w:rsidRPr="00985AA3" w:rsidRDefault="001E2DAD">
            <w:pPr>
              <w:spacing w:after="120"/>
              <w:jc w:val="center"/>
              <w:rPr>
                <w:rFonts w:ascii="Segoe UI Light" w:hAnsi="Segoe UI Light"/>
                <w:sz w:val="16"/>
                <w:szCs w:val="18"/>
              </w:rPr>
            </w:pPr>
            <w:r w:rsidRPr="00985AA3">
              <w:rPr>
                <w:rFonts w:ascii="Segoe UI Light" w:hAnsi="Segoe UI Light"/>
                <w:sz w:val="16"/>
                <w:szCs w:val="18"/>
              </w:rPr>
              <w:t>+</w:t>
            </w:r>
          </w:p>
        </w:tc>
        <w:tc>
          <w:tcPr>
            <w:tcW w:w="1985" w:type="dxa"/>
            <w:vAlign w:val="center"/>
          </w:tcPr>
          <w:p w14:paraId="7CCB794F" w14:textId="77777777" w:rsidR="001E2DAD" w:rsidRPr="00985AA3" w:rsidRDefault="001E2DAD">
            <w:pPr>
              <w:spacing w:after="120"/>
              <w:jc w:val="center"/>
              <w:rPr>
                <w:rFonts w:ascii="Segoe UI Light" w:hAnsi="Segoe UI Light"/>
                <w:sz w:val="16"/>
                <w:szCs w:val="18"/>
              </w:rPr>
            </w:pPr>
            <w:r w:rsidRPr="00985AA3">
              <w:rPr>
                <w:rFonts w:ascii="Segoe UI Light" w:hAnsi="Segoe UI Light"/>
                <w:bCs/>
                <w:sz w:val="16"/>
                <w:szCs w:val="18"/>
              </w:rPr>
              <w:t>Produktivitātes pieaugums</w:t>
            </w:r>
          </w:p>
        </w:tc>
        <w:tc>
          <w:tcPr>
            <w:tcW w:w="425" w:type="dxa"/>
            <w:gridSpan w:val="2"/>
            <w:vAlign w:val="center"/>
          </w:tcPr>
          <w:p w14:paraId="24F9BCB1" w14:textId="77777777" w:rsidR="001E2DAD" w:rsidRPr="00985AA3" w:rsidRDefault="001E2DAD">
            <w:pPr>
              <w:spacing w:after="120"/>
              <w:jc w:val="center"/>
              <w:rPr>
                <w:rFonts w:ascii="Segoe UI Light" w:hAnsi="Segoe UI Light"/>
                <w:sz w:val="16"/>
                <w:szCs w:val="18"/>
              </w:rPr>
            </w:pPr>
            <w:r w:rsidRPr="00985AA3">
              <w:rPr>
                <w:rFonts w:ascii="Segoe UI Light" w:hAnsi="Segoe UI Light"/>
                <w:sz w:val="16"/>
                <w:szCs w:val="18"/>
              </w:rPr>
              <w:t>=</w:t>
            </w:r>
          </w:p>
        </w:tc>
        <w:tc>
          <w:tcPr>
            <w:tcW w:w="2301" w:type="dxa"/>
            <w:vAlign w:val="center"/>
          </w:tcPr>
          <w:p w14:paraId="1BC8A8D8" w14:textId="77777777" w:rsidR="001E2DAD" w:rsidRPr="00985AA3" w:rsidRDefault="001E2DAD">
            <w:pPr>
              <w:spacing w:after="120"/>
              <w:jc w:val="center"/>
              <w:rPr>
                <w:rFonts w:ascii="Segoe UI Light" w:hAnsi="Segoe UI Light"/>
                <w:sz w:val="16"/>
                <w:szCs w:val="18"/>
              </w:rPr>
            </w:pPr>
            <w:r w:rsidRPr="00985AA3">
              <w:rPr>
                <w:rFonts w:ascii="Segoe UI Light" w:hAnsi="Segoe UI Light"/>
                <w:bCs/>
                <w:sz w:val="16"/>
                <w:szCs w:val="18"/>
              </w:rPr>
              <w:t>IKP pieaugums</w:t>
            </w:r>
          </w:p>
        </w:tc>
      </w:tr>
      <w:tr w:rsidR="001E2DAD" w:rsidRPr="00D829F0" w14:paraId="6FD38F97" w14:textId="77777777">
        <w:trPr>
          <w:trHeight w:val="3815"/>
        </w:trPr>
        <w:tc>
          <w:tcPr>
            <w:tcW w:w="2246" w:type="dxa"/>
          </w:tcPr>
          <w:p w14:paraId="7C3C15F2" w14:textId="77777777" w:rsidR="001E2DAD" w:rsidRPr="00985AA3" w:rsidRDefault="001E2DAD">
            <w:pPr>
              <w:spacing w:before="60" w:after="0"/>
              <w:ind w:left="-113" w:right="-57"/>
              <w:jc w:val="right"/>
              <w:rPr>
                <w:rFonts w:ascii="Segoe UI Light" w:hAnsi="Segoe UI Light"/>
                <w:sz w:val="16"/>
                <w:szCs w:val="18"/>
              </w:rPr>
            </w:pPr>
            <w:r w:rsidRPr="00985AA3">
              <w:rPr>
                <w:rFonts w:ascii="Segoe UI Light" w:hAnsi="Segoe UI Light"/>
                <w:sz w:val="16"/>
                <w:szCs w:val="18"/>
              </w:rPr>
              <w:t>Kopā</w:t>
            </w:r>
          </w:p>
          <w:p w14:paraId="2822EF75" w14:textId="77777777" w:rsidR="001E2DAD" w:rsidRPr="00985AA3" w:rsidRDefault="001E2DAD">
            <w:pPr>
              <w:spacing w:after="0"/>
              <w:ind w:left="-113" w:right="-57"/>
              <w:jc w:val="right"/>
              <w:rPr>
                <w:rFonts w:ascii="Segoe UI Light" w:hAnsi="Segoe UI Light"/>
                <w:sz w:val="16"/>
                <w:szCs w:val="18"/>
              </w:rPr>
            </w:pPr>
          </w:p>
          <w:p w14:paraId="5F492FCC" w14:textId="77777777" w:rsidR="001E2DAD" w:rsidRPr="00985AA3" w:rsidRDefault="001E2DAD">
            <w:pPr>
              <w:spacing w:before="104" w:after="0"/>
              <w:ind w:left="-113" w:right="-57"/>
              <w:jc w:val="right"/>
              <w:rPr>
                <w:rFonts w:ascii="Segoe UI Light" w:hAnsi="Segoe UI Light"/>
                <w:sz w:val="16"/>
                <w:szCs w:val="18"/>
              </w:rPr>
            </w:pPr>
            <w:r w:rsidRPr="00985AA3">
              <w:rPr>
                <w:rFonts w:ascii="Segoe UI Light" w:hAnsi="Segoe UI Light"/>
                <w:sz w:val="16"/>
                <w:szCs w:val="18"/>
              </w:rPr>
              <w:t>Lauksaimniecība, mežsaimniecība, zivsaimniecība</w:t>
            </w:r>
          </w:p>
          <w:p w14:paraId="15BB8C37" w14:textId="77777777" w:rsidR="001E2DAD" w:rsidRPr="00985AA3" w:rsidRDefault="001E2DAD">
            <w:pPr>
              <w:spacing w:before="104" w:after="0"/>
              <w:ind w:left="-113" w:right="-57"/>
              <w:jc w:val="right"/>
              <w:rPr>
                <w:rFonts w:ascii="Segoe UI Light" w:hAnsi="Segoe UI Light"/>
                <w:sz w:val="16"/>
                <w:szCs w:val="18"/>
              </w:rPr>
            </w:pPr>
            <w:r w:rsidRPr="00985AA3">
              <w:rPr>
                <w:rFonts w:ascii="Segoe UI Light" w:hAnsi="Segoe UI Light"/>
                <w:sz w:val="16"/>
                <w:szCs w:val="18"/>
              </w:rPr>
              <w:t>Apstrādes rūpniecība</w:t>
            </w:r>
          </w:p>
          <w:p w14:paraId="56FECB0F" w14:textId="77777777" w:rsidR="001E2DAD" w:rsidRPr="00985AA3" w:rsidRDefault="001E2DAD">
            <w:pPr>
              <w:spacing w:before="104" w:after="0"/>
              <w:ind w:left="-113" w:right="-57"/>
              <w:jc w:val="right"/>
              <w:rPr>
                <w:rFonts w:ascii="Segoe UI Light" w:hAnsi="Segoe UI Light"/>
                <w:sz w:val="16"/>
                <w:szCs w:val="18"/>
              </w:rPr>
            </w:pPr>
            <w:r w:rsidRPr="00985AA3">
              <w:rPr>
                <w:rFonts w:ascii="Segoe UI Light" w:hAnsi="Segoe UI Light"/>
                <w:sz w:val="16"/>
                <w:szCs w:val="18"/>
              </w:rPr>
              <w:t>Pārējā rūpniecība</w:t>
            </w:r>
          </w:p>
          <w:p w14:paraId="07C0D751" w14:textId="77777777" w:rsidR="001E2DAD" w:rsidRPr="00985AA3" w:rsidRDefault="001E2DAD">
            <w:pPr>
              <w:spacing w:before="104" w:after="0"/>
              <w:ind w:left="-113" w:right="-57"/>
              <w:jc w:val="right"/>
              <w:rPr>
                <w:rFonts w:ascii="Segoe UI Light" w:hAnsi="Segoe UI Light"/>
                <w:sz w:val="16"/>
                <w:szCs w:val="18"/>
              </w:rPr>
            </w:pPr>
            <w:r w:rsidRPr="00985AA3">
              <w:rPr>
                <w:rFonts w:ascii="Segoe UI Light" w:hAnsi="Segoe UI Light"/>
                <w:sz w:val="16"/>
                <w:szCs w:val="18"/>
              </w:rPr>
              <w:t>Būvniecība</w:t>
            </w:r>
          </w:p>
          <w:p w14:paraId="0C11023D" w14:textId="77777777" w:rsidR="001E2DAD" w:rsidRPr="00985AA3" w:rsidRDefault="001E2DAD">
            <w:pPr>
              <w:spacing w:before="104" w:after="0"/>
              <w:ind w:left="-113" w:right="-57"/>
              <w:jc w:val="right"/>
              <w:rPr>
                <w:rFonts w:ascii="Segoe UI Light" w:hAnsi="Segoe UI Light"/>
                <w:sz w:val="16"/>
                <w:szCs w:val="18"/>
              </w:rPr>
            </w:pPr>
            <w:r w:rsidRPr="00985AA3">
              <w:rPr>
                <w:rFonts w:ascii="Segoe UI Light" w:hAnsi="Segoe UI Light"/>
                <w:sz w:val="16"/>
                <w:szCs w:val="18"/>
              </w:rPr>
              <w:t>Tirdzniecība un izmitināšana</w:t>
            </w:r>
          </w:p>
          <w:p w14:paraId="038FA067" w14:textId="77777777" w:rsidR="001E2DAD" w:rsidRPr="00985AA3" w:rsidRDefault="001E2DAD">
            <w:pPr>
              <w:spacing w:before="104" w:after="0"/>
              <w:ind w:left="-113" w:right="-57"/>
              <w:jc w:val="right"/>
              <w:rPr>
                <w:rFonts w:ascii="Segoe UI Light" w:hAnsi="Segoe UI Light"/>
                <w:sz w:val="16"/>
                <w:szCs w:val="18"/>
              </w:rPr>
            </w:pPr>
            <w:r w:rsidRPr="00985AA3">
              <w:rPr>
                <w:rFonts w:ascii="Segoe UI Light" w:hAnsi="Segoe UI Light"/>
                <w:sz w:val="16"/>
                <w:szCs w:val="18"/>
              </w:rPr>
              <w:t>Transports un uzglabāšana</w:t>
            </w:r>
          </w:p>
          <w:p w14:paraId="38093269" w14:textId="77777777" w:rsidR="001E2DAD" w:rsidRPr="00985AA3" w:rsidRDefault="001E2DAD">
            <w:pPr>
              <w:spacing w:before="104" w:after="0"/>
              <w:ind w:left="-113" w:right="-57"/>
              <w:jc w:val="right"/>
              <w:rPr>
                <w:rFonts w:ascii="Segoe UI Light" w:hAnsi="Segoe UI Light"/>
                <w:sz w:val="16"/>
                <w:szCs w:val="18"/>
              </w:rPr>
            </w:pPr>
            <w:r w:rsidRPr="00985AA3">
              <w:rPr>
                <w:rFonts w:ascii="Segoe UI Light" w:hAnsi="Segoe UI Light"/>
                <w:sz w:val="16"/>
                <w:szCs w:val="18"/>
              </w:rPr>
              <w:t>Citi komercpakalpojumi</w:t>
            </w:r>
          </w:p>
          <w:p w14:paraId="53DFB950" w14:textId="77777777" w:rsidR="001E2DAD" w:rsidRPr="00985AA3" w:rsidRDefault="001E2DAD">
            <w:pPr>
              <w:spacing w:before="104" w:after="0"/>
              <w:ind w:left="-113" w:right="-57"/>
              <w:jc w:val="right"/>
              <w:rPr>
                <w:rFonts w:ascii="Segoe UI Light" w:hAnsi="Segoe UI Light"/>
                <w:sz w:val="16"/>
                <w:szCs w:val="18"/>
              </w:rPr>
            </w:pPr>
            <w:r w:rsidRPr="00985AA3">
              <w:rPr>
                <w:rFonts w:ascii="Segoe UI Light" w:hAnsi="Segoe UI Light"/>
                <w:sz w:val="16"/>
                <w:szCs w:val="18"/>
              </w:rPr>
              <w:t>Sabiedriskie pakalpojumi</w:t>
            </w:r>
          </w:p>
        </w:tc>
        <w:tc>
          <w:tcPr>
            <w:tcW w:w="2475" w:type="dxa"/>
            <w:gridSpan w:val="2"/>
          </w:tcPr>
          <w:p w14:paraId="48D523BA" w14:textId="77777777" w:rsidR="001E2DAD" w:rsidRPr="00985AA3" w:rsidRDefault="001E2DAD">
            <w:pPr>
              <w:ind w:left="-113" w:right="-113"/>
              <w:rPr>
                <w:rFonts w:ascii="Segoe UI Light" w:hAnsi="Segoe UI Light"/>
                <w:sz w:val="16"/>
                <w:szCs w:val="18"/>
              </w:rPr>
            </w:pPr>
            <w:r w:rsidRPr="00985AA3">
              <w:rPr>
                <w:rFonts w:ascii="Segoe UI Light" w:hAnsi="Segoe UI Light"/>
                <w:noProof/>
                <w:sz w:val="16"/>
                <w:szCs w:val="18"/>
                <w:lang w:eastAsia="lv-LV"/>
              </w:rPr>
              <w:drawing>
                <wp:inline distT="0" distB="0" distL="0" distR="0" wp14:anchorId="22387EA1" wp14:editId="30EB3C36">
                  <wp:extent cx="1619885" cy="2353586"/>
                  <wp:effectExtent l="0" t="0" r="0" b="8890"/>
                  <wp:docPr id="208391787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tc>
        <w:tc>
          <w:tcPr>
            <w:tcW w:w="2476" w:type="dxa"/>
            <w:gridSpan w:val="3"/>
          </w:tcPr>
          <w:p w14:paraId="33C88577" w14:textId="77777777" w:rsidR="001E2DAD" w:rsidRPr="00985AA3" w:rsidRDefault="001E2DAD">
            <w:pPr>
              <w:ind w:left="-113" w:right="-113"/>
              <w:rPr>
                <w:rFonts w:ascii="Segoe UI Light" w:hAnsi="Segoe UI Light"/>
                <w:sz w:val="16"/>
                <w:szCs w:val="18"/>
              </w:rPr>
            </w:pPr>
            <w:r w:rsidRPr="00985AA3">
              <w:rPr>
                <w:rFonts w:ascii="Segoe UI Light" w:hAnsi="Segoe UI Light"/>
                <w:noProof/>
                <w:sz w:val="16"/>
                <w:szCs w:val="18"/>
                <w:lang w:eastAsia="lv-LV"/>
              </w:rPr>
              <w:drawing>
                <wp:inline distT="0" distB="0" distL="0" distR="0" wp14:anchorId="091972CC" wp14:editId="3548477C">
                  <wp:extent cx="1619885" cy="2361537"/>
                  <wp:effectExtent l="0" t="0" r="0" b="1270"/>
                  <wp:docPr id="6931142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c>
        <w:tc>
          <w:tcPr>
            <w:tcW w:w="2476" w:type="dxa"/>
            <w:gridSpan w:val="2"/>
          </w:tcPr>
          <w:p w14:paraId="2EB4F97A" w14:textId="77777777" w:rsidR="001E2DAD" w:rsidRPr="00985AA3" w:rsidRDefault="001E2DAD">
            <w:pPr>
              <w:ind w:left="-113" w:right="-113"/>
              <w:jc w:val="center"/>
              <w:rPr>
                <w:rFonts w:ascii="Segoe UI Light" w:hAnsi="Segoe UI Light"/>
                <w:sz w:val="16"/>
                <w:szCs w:val="18"/>
              </w:rPr>
            </w:pPr>
            <w:r w:rsidRPr="00985AA3">
              <w:rPr>
                <w:rFonts w:ascii="Segoe UI Light" w:hAnsi="Segoe UI Light"/>
                <w:noProof/>
                <w:sz w:val="16"/>
                <w:szCs w:val="18"/>
                <w:lang w:eastAsia="lv-LV"/>
              </w:rPr>
              <w:drawing>
                <wp:inline distT="0" distB="0" distL="0" distR="0" wp14:anchorId="6112EC9D" wp14:editId="007C229B">
                  <wp:extent cx="1656080" cy="2353310"/>
                  <wp:effectExtent l="0" t="0" r="1270" b="8890"/>
                  <wp:docPr id="830396980" name="Chart 8303969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tc>
      </w:tr>
    </w:tbl>
    <w:p w14:paraId="6EC576D1" w14:textId="10343EA9" w:rsidR="009A0130" w:rsidRPr="00D829F0" w:rsidRDefault="009A0130" w:rsidP="00272687">
      <w:pPr>
        <w:spacing w:after="120"/>
        <w:jc w:val="both"/>
        <w:rPr>
          <w:rFonts w:ascii="Source Sans Pro" w:hAnsi="Source Sans Pro" w:cs="Calibri Light"/>
          <w:sz w:val="16"/>
          <w:szCs w:val="14"/>
        </w:rPr>
      </w:pPr>
      <w:r w:rsidRPr="00D829F0">
        <w:rPr>
          <w:rFonts w:ascii="Source Sans Pro" w:hAnsi="Source Sans Pro" w:cs="Calibri Light"/>
          <w:sz w:val="16"/>
          <w:szCs w:val="14"/>
        </w:rPr>
        <w:t>Avots: EM prognozes</w:t>
      </w:r>
    </w:p>
    <w:p w14:paraId="28E5945C" w14:textId="77777777" w:rsidR="001239D1" w:rsidRPr="001239D1" w:rsidRDefault="001239D1" w:rsidP="001239D1">
      <w:pPr>
        <w:spacing w:after="120"/>
        <w:jc w:val="both"/>
        <w:rPr>
          <w:rFonts w:ascii="Source Sans Pro" w:hAnsi="Source Sans Pro"/>
        </w:rPr>
      </w:pPr>
    </w:p>
    <w:p w14:paraId="79EB0DF6" w14:textId="7791DBD2" w:rsidR="00B30C77" w:rsidRPr="00213F13" w:rsidRDefault="00B30C77" w:rsidP="00A773E8">
      <w:pPr>
        <w:pBdr>
          <w:top w:val="single" w:sz="4" w:space="6" w:color="auto" w:shadow="1"/>
          <w:left w:val="single" w:sz="4" w:space="6" w:color="auto" w:shadow="1"/>
          <w:bottom w:val="single" w:sz="4" w:space="6" w:color="auto" w:shadow="1"/>
          <w:right w:val="single" w:sz="4" w:space="6" w:color="auto" w:shadow="1"/>
        </w:pBdr>
        <w:shd w:val="clear" w:color="auto" w:fill="DCE7EB"/>
        <w:jc w:val="right"/>
        <w:rPr>
          <w:rFonts w:ascii="Segoe UI Light" w:hAnsi="Segoe UI Light"/>
          <w:b/>
          <w:sz w:val="16"/>
          <w:szCs w:val="16"/>
        </w:rPr>
      </w:pPr>
      <w:r w:rsidRPr="00213F13">
        <w:rPr>
          <w:rFonts w:ascii="Segoe UI Light" w:hAnsi="Segoe UI Light"/>
          <w:b/>
          <w:sz w:val="16"/>
          <w:szCs w:val="16"/>
        </w:rPr>
        <w:t>Prasmju pieprasījuma prognozes Eiropā</w:t>
      </w:r>
      <w:r w:rsidR="008F2F6B" w:rsidRPr="00213F13">
        <w:rPr>
          <w:rFonts w:ascii="Segoe UI Light" w:hAnsi="Segoe UI Light"/>
          <w:b/>
          <w:sz w:val="16"/>
          <w:szCs w:val="16"/>
        </w:rPr>
        <w:t xml:space="preserve"> (</w:t>
      </w:r>
      <w:r w:rsidR="008F2F6B" w:rsidRPr="00213F13">
        <w:rPr>
          <w:rFonts w:ascii="Segoe UI Light" w:hAnsi="Segoe UI Light"/>
          <w:b/>
          <w:i/>
          <w:iCs/>
          <w:sz w:val="16"/>
          <w:szCs w:val="16"/>
        </w:rPr>
        <w:t xml:space="preserve">Cedefop </w:t>
      </w:r>
      <w:r w:rsidR="008F2F6B" w:rsidRPr="00213F13">
        <w:rPr>
          <w:rFonts w:ascii="Segoe UI Light" w:hAnsi="Segoe UI Light"/>
          <w:b/>
          <w:sz w:val="16"/>
          <w:szCs w:val="16"/>
        </w:rPr>
        <w:t>prognoze)</w:t>
      </w:r>
    </w:p>
    <w:p w14:paraId="49839D03" w14:textId="3B83C903" w:rsidR="00B30C77" w:rsidRDefault="0074204A"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74204A">
        <w:rPr>
          <w:rFonts w:ascii="Segoe UI Light" w:hAnsi="Segoe UI Light"/>
          <w:sz w:val="16"/>
          <w:szCs w:val="16"/>
        </w:rPr>
        <w:t>Saskaņā ar Cedefop prognozēm, turpmāko situāciju ES darba tirgū ietekmēs nenoteiktība saistībā ar esošo ģeopolitisko stāvokli, Krievijai turpinot karadarbību Ukrainā. Izmaiņas būs saistītas ar bēgļu migrāciju, piegāžu ķēžu pārrāvumiem, pārtikas pietiekamības jautājumiem un nestabilitāti enerģijas tirgū, kas ietekmēs ne tikai ekonomiku kopumā, bet arī darba tirgu. Izmaiņas veicinās arī straujā tehnoloģiju attīstība, globalizācija, demogrāfijas izmaiņas (novecošanās un iedzīvotāju izglītības līmeņa kāpums) un kurss uz pakalpojumiem balstītu ekonomiku.</w:t>
      </w:r>
    </w:p>
    <w:p w14:paraId="1D152A2C" w14:textId="7F57C14A" w:rsidR="001239D1" w:rsidRDefault="00357EC8" w:rsidP="00357EC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281D56">
        <w:rPr>
          <w:rFonts w:ascii="Segoe UI Light" w:hAnsi="Segoe UI Light"/>
          <w:sz w:val="16"/>
          <w:szCs w:val="16"/>
        </w:rPr>
        <w:t>ES 2035.</w:t>
      </w:r>
      <w:r w:rsidR="00834758">
        <w:rPr>
          <w:rFonts w:ascii="Segoe UI Light" w:hAnsi="Segoe UI Light"/>
          <w:sz w:val="16"/>
          <w:szCs w:val="16"/>
        </w:rPr>
        <w:t> </w:t>
      </w:r>
      <w:r w:rsidRPr="00281D56">
        <w:rPr>
          <w:rFonts w:ascii="Segoe UI Light" w:hAnsi="Segoe UI Light"/>
          <w:sz w:val="16"/>
          <w:szCs w:val="16"/>
        </w:rPr>
        <w:t>gadā, salīdzinot ar 2023.</w:t>
      </w:r>
      <w:r w:rsidR="00834758">
        <w:rPr>
          <w:rFonts w:ascii="Segoe UI Light" w:hAnsi="Segoe UI Light"/>
          <w:sz w:val="16"/>
          <w:szCs w:val="16"/>
        </w:rPr>
        <w:t> </w:t>
      </w:r>
      <w:r w:rsidRPr="00281D56">
        <w:rPr>
          <w:rFonts w:ascii="Segoe UI Light" w:hAnsi="Segoe UI Light"/>
          <w:sz w:val="16"/>
          <w:szCs w:val="16"/>
        </w:rPr>
        <w:t xml:space="preserve">gadu, nodarbinātība pieaugs par 4,2%. </w:t>
      </w:r>
      <w:r w:rsidRPr="002D23B9">
        <w:rPr>
          <w:rFonts w:ascii="Segoe UI Light" w:hAnsi="Segoe UI Light"/>
          <w:sz w:val="16"/>
          <w:szCs w:val="16"/>
        </w:rPr>
        <w:t>Paredzams, ka nākotnes nodarbinātības pieaugumu noteiks galvenokārt pakalpojumu nozares, kurās līdz 2035.</w:t>
      </w:r>
      <w:r w:rsidR="00834758">
        <w:rPr>
          <w:rFonts w:ascii="Segoe UI Light" w:hAnsi="Segoe UI Light"/>
          <w:sz w:val="16"/>
          <w:szCs w:val="16"/>
        </w:rPr>
        <w:t> </w:t>
      </w:r>
      <w:r w:rsidRPr="002D23B9">
        <w:rPr>
          <w:rFonts w:ascii="Segoe UI Light" w:hAnsi="Segoe UI Light"/>
          <w:sz w:val="16"/>
          <w:szCs w:val="16"/>
        </w:rPr>
        <w:t xml:space="preserve">gadam strādās apmēram puse no nodarbinātajiem. Pieaugums veidosies zaļās ekonomikas un automatizācijas dēļ. Tomēr, jāņem vērā arī piedāvājuma puses tendences – iedzīvotāju novecošanās un pieaugošais izglītības līmenis. </w:t>
      </w:r>
      <w:r w:rsidRPr="008C23B7">
        <w:rPr>
          <w:rFonts w:ascii="Segoe UI Light" w:hAnsi="Segoe UI Light"/>
          <w:sz w:val="16"/>
          <w:szCs w:val="16"/>
        </w:rPr>
        <w:t>Visstraujākais nodarbinātības pieaugums paredzams IKT pakalpojumu (</w:t>
      </w:r>
      <w:r>
        <w:rPr>
          <w:rFonts w:ascii="Segoe UI Light" w:hAnsi="Segoe UI Light"/>
          <w:sz w:val="16"/>
          <w:szCs w:val="16"/>
        </w:rPr>
        <w:t>17,1</w:t>
      </w:r>
      <w:r w:rsidRPr="008C23B7">
        <w:rPr>
          <w:rFonts w:ascii="Segoe UI Light" w:hAnsi="Segoe UI Light"/>
          <w:sz w:val="16"/>
          <w:szCs w:val="16"/>
        </w:rPr>
        <w:t>%), profesionālo pakalpojumu (</w:t>
      </w:r>
      <w:r>
        <w:rPr>
          <w:rFonts w:ascii="Segoe UI Light" w:hAnsi="Segoe UI Light"/>
          <w:sz w:val="16"/>
          <w:szCs w:val="16"/>
        </w:rPr>
        <w:t>14,9</w:t>
      </w:r>
      <w:r w:rsidRPr="008C23B7">
        <w:rPr>
          <w:rFonts w:ascii="Segoe UI Light" w:hAnsi="Segoe UI Light"/>
          <w:sz w:val="16"/>
          <w:szCs w:val="16"/>
        </w:rPr>
        <w:t>%), energoapgādes pakalpojumu (</w:t>
      </w:r>
      <w:r>
        <w:rPr>
          <w:rFonts w:ascii="Segoe UI Light" w:hAnsi="Segoe UI Light"/>
          <w:sz w:val="16"/>
          <w:szCs w:val="16"/>
        </w:rPr>
        <w:t>13,8</w:t>
      </w:r>
      <w:r w:rsidRPr="008C23B7">
        <w:rPr>
          <w:rFonts w:ascii="Segoe UI Light" w:hAnsi="Segoe UI Light"/>
          <w:sz w:val="16"/>
          <w:szCs w:val="16"/>
        </w:rPr>
        <w:t xml:space="preserve">%), kā arī veselības un sociālās aprūpes </w:t>
      </w:r>
      <w:r>
        <w:rPr>
          <w:rFonts w:ascii="Segoe UI Light" w:hAnsi="Segoe UI Light"/>
          <w:sz w:val="16"/>
          <w:szCs w:val="16"/>
        </w:rPr>
        <w:t>nozarēs</w:t>
      </w:r>
      <w:r w:rsidRPr="008C23B7">
        <w:rPr>
          <w:rFonts w:ascii="Segoe UI Light" w:hAnsi="Segoe UI Light"/>
          <w:sz w:val="16"/>
          <w:szCs w:val="16"/>
        </w:rPr>
        <w:t xml:space="preserve"> (10,</w:t>
      </w:r>
      <w:r>
        <w:rPr>
          <w:rFonts w:ascii="Segoe UI Light" w:hAnsi="Segoe UI Light"/>
          <w:sz w:val="16"/>
          <w:szCs w:val="16"/>
        </w:rPr>
        <w:t>7</w:t>
      </w:r>
      <w:r w:rsidRPr="008C23B7">
        <w:rPr>
          <w:rFonts w:ascii="Segoe UI Light" w:hAnsi="Segoe UI Light"/>
          <w:sz w:val="16"/>
          <w:szCs w:val="16"/>
        </w:rPr>
        <w:t>%).</w:t>
      </w:r>
    </w:p>
    <w:p w14:paraId="36059861" w14:textId="77777777" w:rsidR="001239D1" w:rsidRDefault="001239D1">
      <w:pPr>
        <w:spacing w:after="0"/>
        <w:rPr>
          <w:rFonts w:ascii="Segoe UI Light" w:hAnsi="Segoe UI Light"/>
          <w:sz w:val="16"/>
          <w:szCs w:val="16"/>
        </w:rPr>
      </w:pPr>
      <w:r>
        <w:rPr>
          <w:rFonts w:ascii="Segoe UI Light" w:hAnsi="Segoe UI Light"/>
          <w:sz w:val="16"/>
          <w:szCs w:val="16"/>
        </w:rPr>
        <w:br w:type="page"/>
      </w:r>
    </w:p>
    <w:p w14:paraId="4FFF9973" w14:textId="77777777" w:rsidR="00357EC8" w:rsidRDefault="00357EC8" w:rsidP="00357EC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352788">
        <w:rPr>
          <w:rFonts w:ascii="Segoe UI Light" w:hAnsi="Segoe UI Light"/>
          <w:sz w:val="16"/>
          <w:szCs w:val="16"/>
        </w:rPr>
        <w:lastRenderedPageBreak/>
        <w:t xml:space="preserve">Darbaspēka pieprasījuma pieaugums tiek prognozēts arī </w:t>
      </w:r>
      <w:r>
        <w:rPr>
          <w:rFonts w:ascii="Segoe UI Light" w:hAnsi="Segoe UI Light"/>
          <w:sz w:val="16"/>
          <w:szCs w:val="16"/>
        </w:rPr>
        <w:t xml:space="preserve">citu pakalpojumu (2,5%), </w:t>
      </w:r>
      <w:r w:rsidRPr="00352788">
        <w:rPr>
          <w:rFonts w:ascii="Segoe UI Light" w:hAnsi="Segoe UI Light"/>
          <w:sz w:val="16"/>
          <w:szCs w:val="16"/>
        </w:rPr>
        <w:t>finanšu un apdrošināšanas pakalpojumos (3,5%), administratīvajos pakalpojumos (</w:t>
      </w:r>
      <w:r>
        <w:rPr>
          <w:rFonts w:ascii="Segoe UI Light" w:hAnsi="Segoe UI Light"/>
          <w:sz w:val="16"/>
          <w:szCs w:val="16"/>
        </w:rPr>
        <w:t>6,2</w:t>
      </w:r>
      <w:r w:rsidRPr="00352788">
        <w:rPr>
          <w:rFonts w:ascii="Segoe UI Light" w:hAnsi="Segoe UI Light"/>
          <w:sz w:val="16"/>
          <w:szCs w:val="16"/>
        </w:rPr>
        <w:t>%), un izmitināšanā un ēdināšanā (10,</w:t>
      </w:r>
      <w:r>
        <w:rPr>
          <w:rFonts w:ascii="Segoe UI Light" w:hAnsi="Segoe UI Light"/>
          <w:sz w:val="16"/>
          <w:szCs w:val="16"/>
        </w:rPr>
        <w:t>1</w:t>
      </w:r>
      <w:r w:rsidRPr="00352788">
        <w:rPr>
          <w:rFonts w:ascii="Segoe UI Light" w:hAnsi="Segoe UI Light"/>
          <w:sz w:val="16"/>
          <w:szCs w:val="16"/>
        </w:rPr>
        <w:t>%).</w:t>
      </w:r>
    </w:p>
    <w:p w14:paraId="4F68C401" w14:textId="24FE7EC0" w:rsidR="00357EC8" w:rsidRDefault="00357EC8" w:rsidP="00357EC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8235C3">
        <w:rPr>
          <w:rFonts w:ascii="Segoe UI Light" w:hAnsi="Segoe UI Light"/>
          <w:sz w:val="16"/>
          <w:szCs w:val="16"/>
        </w:rPr>
        <w:t>Straujākais nodarbināto skaita sarukums ir paredzams lauksaimniecības sektorā (par gandrīz 1/3 līdz 2035.</w:t>
      </w:r>
      <w:r w:rsidR="00834758">
        <w:rPr>
          <w:rFonts w:ascii="Segoe UI Light" w:hAnsi="Segoe UI Light"/>
          <w:sz w:val="16"/>
          <w:szCs w:val="16"/>
        </w:rPr>
        <w:t> </w:t>
      </w:r>
      <w:r w:rsidRPr="008235C3">
        <w:rPr>
          <w:rFonts w:ascii="Segoe UI Light" w:hAnsi="Segoe UI Light"/>
          <w:sz w:val="16"/>
          <w:szCs w:val="16"/>
        </w:rPr>
        <w:t xml:space="preserve">gadam), tomēr situācija ir atšķirīga dažādās ES valstīs. Nodarbināto skaita sarukums paredzams arī rūpniecības nozarēs, no </w:t>
      </w:r>
      <w:r w:rsidRPr="003463A1">
        <w:rPr>
          <w:rFonts w:ascii="Segoe UI Light" w:hAnsi="Segoe UI Light"/>
          <w:sz w:val="16"/>
          <w:szCs w:val="16"/>
        </w:rPr>
        <w:t xml:space="preserve">kurām visstraujākais sarukums sagaidāms ieguves rūpniecībā un karjeru izstrādē (par 20%). </w:t>
      </w:r>
      <w:r w:rsidRPr="00D320D0">
        <w:rPr>
          <w:rFonts w:ascii="Segoe UI Light" w:hAnsi="Segoe UI Light"/>
          <w:sz w:val="16"/>
          <w:szCs w:val="16"/>
        </w:rPr>
        <w:t>Arī apstrādes rūpniecībā paredzams neliels nodarbināto skaita sarukums (par 0,3%). Rūpniecības tendences noteiks robotizācijas attīstība un investīcijas ražošanā. Pieprasījums strauji augs jomās, kas saistītas ar progresīvo rūpniecību un aktivitātēs ar augstu pievienoto vērtību (galvenokārt nanotehnoloģijās, materiālajās zinātnēs, elektronikā, IKT un biotehnoloģijās. Līdz ar to pieaugs darba devēju interese rekrutēt jaunos darbiniekus ar zināšanām digitālajās tehnoloģijās, datorzinātnēs, cilvēkus ar analītisku domāšanu.</w:t>
      </w:r>
    </w:p>
    <w:p w14:paraId="592B65AA" w14:textId="52515900" w:rsidR="00B30C77" w:rsidRPr="0084481B" w:rsidRDefault="00B30C77"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sz w:val="16"/>
          <w:szCs w:val="16"/>
        </w:rPr>
      </w:pPr>
      <w:r w:rsidRPr="0084481B">
        <w:rPr>
          <w:rFonts w:ascii="Segoe UI Light" w:hAnsi="Segoe UI Light"/>
          <w:b/>
          <w:bCs/>
          <w:sz w:val="16"/>
          <w:szCs w:val="16"/>
        </w:rPr>
        <w:t>Nodarbināto skaita izmaiņas ES sadalījumā pa nozarēm</w:t>
      </w:r>
      <w:r w:rsidRPr="0084481B">
        <w:rPr>
          <w:rFonts w:ascii="Segoe UI Light" w:hAnsi="Segoe UI Light"/>
          <w:sz w:val="16"/>
          <w:szCs w:val="16"/>
        </w:rPr>
        <w:br/>
        <w:t>2035.</w:t>
      </w:r>
      <w:r w:rsidR="00834758">
        <w:rPr>
          <w:rFonts w:ascii="Segoe UI Light" w:hAnsi="Segoe UI Light"/>
          <w:sz w:val="16"/>
          <w:szCs w:val="16"/>
        </w:rPr>
        <w:t> </w:t>
      </w:r>
      <w:r w:rsidRPr="0084481B">
        <w:rPr>
          <w:rFonts w:ascii="Segoe UI Light" w:hAnsi="Segoe UI Light"/>
          <w:sz w:val="16"/>
          <w:szCs w:val="16"/>
        </w:rPr>
        <w:t>gads salīdzinājumā ar 202</w:t>
      </w:r>
      <w:r w:rsidR="00807699">
        <w:rPr>
          <w:rFonts w:ascii="Segoe UI Light" w:hAnsi="Segoe UI Light"/>
          <w:sz w:val="16"/>
          <w:szCs w:val="16"/>
        </w:rPr>
        <w:t>5</w:t>
      </w:r>
      <w:r w:rsidR="00846B77" w:rsidRPr="0084481B">
        <w:rPr>
          <w:rFonts w:ascii="Segoe UI Light" w:hAnsi="Segoe UI Light"/>
          <w:sz w:val="16"/>
          <w:szCs w:val="16"/>
        </w:rPr>
        <w:t>.</w:t>
      </w:r>
      <w:r w:rsidRPr="0084481B">
        <w:rPr>
          <w:rFonts w:ascii="Segoe UI Light" w:hAnsi="Segoe UI Light"/>
          <w:sz w:val="16"/>
          <w:szCs w:val="16"/>
        </w:rPr>
        <w:t> gadu, procentos</w:t>
      </w:r>
    </w:p>
    <w:p w14:paraId="70E801F9" w14:textId="1E7D16EB" w:rsidR="00B30C77" w:rsidRPr="0084481B" w:rsidRDefault="00745EF2"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center"/>
        <w:rPr>
          <w:rFonts w:ascii="Segoe UI Light" w:hAnsi="Segoe UI Light"/>
          <w:sz w:val="16"/>
          <w:szCs w:val="16"/>
        </w:rPr>
      </w:pPr>
      <w:r>
        <w:rPr>
          <w:rFonts w:ascii="Segoe UI Light" w:hAnsi="Segoe UI Light"/>
          <w:noProof/>
          <w:sz w:val="16"/>
          <w:szCs w:val="16"/>
        </w:rPr>
        <w:drawing>
          <wp:inline distT="0" distB="0" distL="0" distR="0" wp14:anchorId="59AF6328" wp14:editId="0E2D5CB1">
            <wp:extent cx="5760000" cy="2880000"/>
            <wp:effectExtent l="0" t="0" r="0" b="0"/>
            <wp:docPr id="448125006"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1EEBA3E8" w14:textId="6F17D6F8" w:rsidR="00B30C77" w:rsidRDefault="00B30C77"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before="60" w:after="60"/>
        <w:rPr>
          <w:rFonts w:ascii="Segoe UI Light" w:hAnsi="Segoe UI Light"/>
          <w:i/>
          <w:sz w:val="12"/>
          <w:szCs w:val="12"/>
        </w:rPr>
      </w:pPr>
      <w:r w:rsidRPr="0084481B">
        <w:rPr>
          <w:rFonts w:ascii="Segoe UI Light" w:hAnsi="Segoe UI Light"/>
          <w:sz w:val="12"/>
          <w:szCs w:val="12"/>
        </w:rPr>
        <w:t xml:space="preserve">Avots: </w:t>
      </w:r>
      <w:r w:rsidRPr="0084481B">
        <w:rPr>
          <w:rFonts w:ascii="Segoe UI Light" w:hAnsi="Segoe UI Light"/>
          <w:i/>
          <w:sz w:val="12"/>
          <w:szCs w:val="12"/>
        </w:rPr>
        <w:t>Cedefop</w:t>
      </w:r>
    </w:p>
    <w:p w14:paraId="73EA8844" w14:textId="77777777" w:rsidR="00F51DFA" w:rsidRDefault="00F51DFA"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before="60" w:after="60"/>
        <w:rPr>
          <w:rFonts w:ascii="Segoe UI Light" w:hAnsi="Segoe UI Light"/>
          <w:i/>
          <w:sz w:val="12"/>
          <w:szCs w:val="12"/>
        </w:rPr>
      </w:pPr>
    </w:p>
    <w:p w14:paraId="1C3EE09B" w14:textId="4FAB55CB" w:rsidR="00B30C77" w:rsidRPr="00187680" w:rsidRDefault="00B30C77"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
          <w:bCs/>
          <w:sz w:val="16"/>
          <w:szCs w:val="16"/>
        </w:rPr>
      </w:pPr>
      <w:r w:rsidRPr="00187680">
        <w:rPr>
          <w:rFonts w:ascii="Segoe UI Light" w:hAnsi="Segoe UI Light"/>
          <w:b/>
          <w:bCs/>
          <w:sz w:val="16"/>
          <w:szCs w:val="16"/>
        </w:rPr>
        <w:t>Lielākā daļa jaunas darba iespējas veidosies aizvietojošā pieprasījuma</w:t>
      </w:r>
      <w:r w:rsidR="005D3EC9" w:rsidRPr="00187680">
        <w:rPr>
          <w:rFonts w:ascii="Segoe UI Light" w:hAnsi="Segoe UI Light"/>
          <w:b/>
          <w:bCs/>
          <w:sz w:val="16"/>
          <w:szCs w:val="16"/>
        </w:rPr>
        <w:t xml:space="preserve"> dēļ</w:t>
      </w:r>
    </w:p>
    <w:p w14:paraId="333B555A" w14:textId="4DB99BC4" w:rsidR="00B30C77" w:rsidRPr="00EF7F3C" w:rsidRDefault="00B30C77"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highlight w:val="yellow"/>
        </w:rPr>
      </w:pPr>
      <w:r w:rsidRPr="00D01E37">
        <w:rPr>
          <w:rFonts w:ascii="Segoe UI Light" w:hAnsi="Segoe UI Light"/>
          <w:sz w:val="16"/>
          <w:szCs w:val="16"/>
        </w:rPr>
        <w:t xml:space="preserve">Iepriekšējie tehnoloģiju attīstības viļņi ir noveduši pie darba tirgus transformācijas, padarot dažus darba uzdevumus vai profesijas novecojušas un radot arī jaunas darba vietas. </w:t>
      </w:r>
      <w:r w:rsidRPr="006B716D">
        <w:rPr>
          <w:rFonts w:ascii="Segoe UI Light" w:hAnsi="Segoe UI Light"/>
          <w:sz w:val="16"/>
          <w:szCs w:val="16"/>
        </w:rPr>
        <w:t>Summējot gan aizvietojošo pieprasījumu, gan paplašinošo pieprasījumu, līdz 2035.</w:t>
      </w:r>
      <w:r w:rsidR="00834758">
        <w:rPr>
          <w:rFonts w:ascii="Segoe UI Light" w:hAnsi="Segoe UI Light"/>
          <w:sz w:val="16"/>
          <w:szCs w:val="16"/>
        </w:rPr>
        <w:t> </w:t>
      </w:r>
      <w:r w:rsidRPr="006B716D">
        <w:rPr>
          <w:rFonts w:ascii="Segoe UI Light" w:hAnsi="Segoe UI Light"/>
          <w:sz w:val="16"/>
          <w:szCs w:val="16"/>
        </w:rPr>
        <w:t>gadam tiks aizpildītas aptuveni 1</w:t>
      </w:r>
      <w:r w:rsidR="006B716D" w:rsidRPr="006B716D">
        <w:rPr>
          <w:rFonts w:ascii="Segoe UI Light" w:hAnsi="Segoe UI Light"/>
          <w:sz w:val="16"/>
          <w:szCs w:val="16"/>
        </w:rPr>
        <w:t>37</w:t>
      </w:r>
      <w:r w:rsidR="00834758">
        <w:rPr>
          <w:rFonts w:ascii="Segoe UI Light" w:hAnsi="Segoe UI Light"/>
          <w:sz w:val="16"/>
          <w:szCs w:val="16"/>
        </w:rPr>
        <w:t> </w:t>
      </w:r>
      <w:r w:rsidRPr="006B716D">
        <w:rPr>
          <w:rFonts w:ascii="Segoe UI Light" w:hAnsi="Segoe UI Light"/>
          <w:sz w:val="16"/>
          <w:szCs w:val="16"/>
        </w:rPr>
        <w:t>milj. vakances</w:t>
      </w:r>
      <w:r w:rsidRPr="00961CBC">
        <w:rPr>
          <w:rFonts w:ascii="Segoe UI Light" w:hAnsi="Segoe UI Light"/>
          <w:sz w:val="16"/>
          <w:szCs w:val="16"/>
        </w:rPr>
        <w:t xml:space="preserve">. </w:t>
      </w:r>
      <w:r w:rsidR="00FF1962" w:rsidRPr="00961CBC">
        <w:rPr>
          <w:rFonts w:ascii="Segoe UI Light" w:hAnsi="Segoe UI Light"/>
          <w:sz w:val="16"/>
          <w:szCs w:val="16"/>
        </w:rPr>
        <w:t>Aptuveni p</w:t>
      </w:r>
      <w:r w:rsidRPr="00961CBC">
        <w:rPr>
          <w:rFonts w:ascii="Segoe UI Light" w:hAnsi="Segoe UI Light"/>
          <w:sz w:val="16"/>
          <w:szCs w:val="16"/>
        </w:rPr>
        <w:t xml:space="preserve">use no jaunajām darba vietām veidosies augstas kvalifikācijas darbos, nedaudz mazāk (40%) vidējas kvalifikācijas darbos un tikai </w:t>
      </w:r>
      <w:r w:rsidR="00961CBC" w:rsidRPr="00961CBC">
        <w:rPr>
          <w:rFonts w:ascii="Segoe UI Light" w:hAnsi="Segoe UI Light"/>
          <w:sz w:val="16"/>
          <w:szCs w:val="16"/>
        </w:rPr>
        <w:t>7</w:t>
      </w:r>
      <w:r w:rsidRPr="00961CBC">
        <w:rPr>
          <w:rFonts w:ascii="Segoe UI Light" w:hAnsi="Segoe UI Light"/>
          <w:sz w:val="16"/>
          <w:szCs w:val="16"/>
        </w:rPr>
        <w:t>% zemas kvalifikācijas darbos. Jaunas darba vietas dēļ paplašinošā pieprasījuma galvenokārt veidosies augstas kvalifikācijas profesijās.</w:t>
      </w:r>
    </w:p>
    <w:p w14:paraId="4F810EFF" w14:textId="77777777" w:rsidR="00177E9D" w:rsidRPr="00EF7F3C" w:rsidRDefault="00177E9D"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highlight w:val="yellow"/>
        </w:rPr>
      </w:pPr>
    </w:p>
    <w:p w14:paraId="1E577065" w14:textId="71A5D86C" w:rsidR="007D669A" w:rsidRPr="00530794" w:rsidRDefault="00B30C77"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sz w:val="14"/>
          <w:szCs w:val="14"/>
        </w:rPr>
      </w:pPr>
      <w:r w:rsidRPr="00530794">
        <w:rPr>
          <w:rFonts w:ascii="Segoe UI Light" w:hAnsi="Segoe UI Light"/>
          <w:b/>
          <w:bCs/>
          <w:sz w:val="16"/>
          <w:szCs w:val="16"/>
        </w:rPr>
        <w:t>Nākotnes darba iespējas ES līdz 2035.</w:t>
      </w:r>
      <w:r w:rsidR="00834758">
        <w:rPr>
          <w:rFonts w:ascii="Segoe UI Light" w:hAnsi="Segoe UI Light"/>
          <w:b/>
          <w:bCs/>
          <w:sz w:val="16"/>
          <w:szCs w:val="16"/>
        </w:rPr>
        <w:t> </w:t>
      </w:r>
      <w:r w:rsidRPr="00530794">
        <w:rPr>
          <w:rFonts w:ascii="Segoe UI Light" w:hAnsi="Segoe UI Light"/>
          <w:b/>
          <w:bCs/>
          <w:sz w:val="16"/>
          <w:szCs w:val="16"/>
        </w:rPr>
        <w:t>gadam pa profesiju grupām</w:t>
      </w:r>
      <w:r w:rsidRPr="00530794">
        <w:rPr>
          <w:rFonts w:ascii="Segoe UI Light" w:hAnsi="Segoe UI Light"/>
          <w:b/>
          <w:bCs/>
          <w:sz w:val="16"/>
          <w:szCs w:val="16"/>
        </w:rPr>
        <w:br/>
      </w:r>
      <w:r w:rsidRPr="00530794">
        <w:rPr>
          <w:rFonts w:ascii="Segoe UI Light" w:hAnsi="Segoe UI Light"/>
          <w:sz w:val="14"/>
          <w:szCs w:val="14"/>
        </w:rPr>
        <w:t>milj.</w:t>
      </w:r>
    </w:p>
    <w:p w14:paraId="4F90CBA6" w14:textId="58B335F7" w:rsidR="00B30C77" w:rsidRPr="00530794" w:rsidRDefault="00C51F31"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center"/>
        <w:rPr>
          <w:rFonts w:ascii="Segoe UI Light" w:hAnsi="Segoe UI Light"/>
          <w:sz w:val="16"/>
          <w:szCs w:val="16"/>
        </w:rPr>
      </w:pPr>
      <w:r>
        <w:rPr>
          <w:noProof/>
        </w:rPr>
        <w:drawing>
          <wp:inline distT="0" distB="0" distL="0" distR="0" wp14:anchorId="1A2F34E1" wp14:editId="4C224ACD">
            <wp:extent cx="5760085" cy="2160000"/>
            <wp:effectExtent l="0" t="0" r="0" b="0"/>
            <wp:docPr id="1408715042" name="Chart 1">
              <a:extLst xmlns:a="http://schemas.openxmlformats.org/drawingml/2006/main">
                <a:ext uri="{FF2B5EF4-FFF2-40B4-BE49-F238E27FC236}">
                  <a16:creationId xmlns:a16="http://schemas.microsoft.com/office/drawing/2014/main" id="{A9989DDD-2A66-3605-0C30-4437D06938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02493499" w14:textId="1AA98859" w:rsidR="007E2B7E" w:rsidRDefault="002E7FAC"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before="60" w:after="0"/>
        <w:jc w:val="both"/>
        <w:rPr>
          <w:rFonts w:ascii="Segoe UI Light" w:hAnsi="Segoe UI Light"/>
          <w:sz w:val="16"/>
          <w:szCs w:val="16"/>
        </w:rPr>
      </w:pPr>
      <w:r w:rsidRPr="00530794">
        <w:rPr>
          <w:rFonts w:ascii="Segoe UI Light" w:hAnsi="Segoe UI Light"/>
          <w:sz w:val="12"/>
          <w:szCs w:val="12"/>
        </w:rPr>
        <w:t xml:space="preserve">Avots: </w:t>
      </w:r>
      <w:r w:rsidRPr="00530794">
        <w:rPr>
          <w:rFonts w:ascii="Segoe UI Light" w:hAnsi="Segoe UI Light"/>
          <w:i/>
          <w:sz w:val="12"/>
          <w:szCs w:val="12"/>
        </w:rPr>
        <w:t>Cedefop</w:t>
      </w:r>
    </w:p>
    <w:p w14:paraId="62441AD1" w14:textId="3444E212" w:rsidR="007C3085" w:rsidRPr="007C3085" w:rsidRDefault="007C3085"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before="60" w:after="0"/>
        <w:jc w:val="both"/>
        <w:rPr>
          <w:rFonts w:ascii="Segoe UI Light" w:hAnsi="Segoe UI Light"/>
          <w:sz w:val="16"/>
          <w:szCs w:val="16"/>
        </w:rPr>
      </w:pPr>
    </w:p>
    <w:p w14:paraId="5BE49D9A" w14:textId="77777777" w:rsidR="00593649" w:rsidRDefault="00593649">
      <w:pPr>
        <w:spacing w:after="0"/>
        <w:rPr>
          <w:rFonts w:ascii="Segoe UI Light" w:hAnsi="Segoe UI Light"/>
          <w:sz w:val="16"/>
          <w:szCs w:val="16"/>
        </w:rPr>
      </w:pPr>
      <w:r>
        <w:rPr>
          <w:rFonts w:ascii="Segoe UI Light" w:hAnsi="Segoe UI Light"/>
          <w:sz w:val="16"/>
          <w:szCs w:val="16"/>
        </w:rPr>
        <w:br w:type="page"/>
      </w:r>
    </w:p>
    <w:p w14:paraId="3FA35377" w14:textId="4247E9E4" w:rsidR="006F0968" w:rsidRDefault="006F0968" w:rsidP="00A773E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6F0968">
        <w:rPr>
          <w:rFonts w:ascii="Segoe UI Light" w:hAnsi="Segoe UI Light"/>
          <w:sz w:val="16"/>
          <w:szCs w:val="16"/>
        </w:rPr>
        <w:lastRenderedPageBreak/>
        <w:t xml:space="preserve">Lielākais jaunu darba iespēju īpatsvars veidosies dažādu </w:t>
      </w:r>
      <w:r w:rsidR="007C3085" w:rsidRPr="007C3085">
        <w:rPr>
          <w:rFonts w:ascii="Segoe UI Light" w:hAnsi="Segoe UI Light"/>
          <w:sz w:val="16"/>
          <w:szCs w:val="16"/>
        </w:rPr>
        <w:t>vecāko speciālistu profesiju grupās (juridiskās un sociālās jomas vecākie speciālisti, informācijas un komunikāciju tehnoloģiju vecākie speciālisti)</w:t>
      </w:r>
      <w:r w:rsidR="007C3085">
        <w:rPr>
          <w:rFonts w:ascii="Segoe UI Light" w:hAnsi="Segoe UI Light"/>
          <w:sz w:val="16"/>
          <w:szCs w:val="16"/>
        </w:rPr>
        <w:t xml:space="preserve"> un</w:t>
      </w:r>
      <w:r w:rsidR="007C3085" w:rsidRPr="007C3085">
        <w:rPr>
          <w:rFonts w:ascii="Segoe UI Light" w:hAnsi="Segoe UI Light"/>
          <w:sz w:val="16"/>
          <w:szCs w:val="16"/>
        </w:rPr>
        <w:t xml:space="preserve"> </w:t>
      </w:r>
      <w:r w:rsidRPr="006F0968">
        <w:rPr>
          <w:rFonts w:ascii="Segoe UI Light" w:hAnsi="Segoe UI Light"/>
          <w:sz w:val="16"/>
          <w:szCs w:val="16"/>
        </w:rPr>
        <w:t xml:space="preserve">speciālistu profesiju grupās (informācijas un komunikāciju tehnoloģiju speciālisti, biroja speciālisti, pētnieki un inženieri, veselības aprūpes speciālisti) un </w:t>
      </w:r>
      <w:r w:rsidR="007C3085">
        <w:rPr>
          <w:rFonts w:ascii="Segoe UI Light" w:hAnsi="Segoe UI Light"/>
          <w:sz w:val="16"/>
          <w:szCs w:val="16"/>
        </w:rPr>
        <w:t>pakalpojumu un tirdzniecības darbinieku grupā</w:t>
      </w:r>
      <w:r w:rsidRPr="006F0968">
        <w:rPr>
          <w:rFonts w:ascii="Segoe UI Light" w:hAnsi="Segoe UI Light"/>
          <w:sz w:val="16"/>
          <w:szCs w:val="16"/>
        </w:rPr>
        <w:t>. Atsevišķās profesiju grupās jaunās darba vietas veidosies lielākoties aizvietojošā pieprasījuma dēļ –</w:t>
      </w:r>
      <w:r w:rsidR="00FC4FDB">
        <w:rPr>
          <w:rFonts w:ascii="Segoe UI Light" w:hAnsi="Segoe UI Light"/>
          <w:sz w:val="16"/>
          <w:szCs w:val="16"/>
        </w:rPr>
        <w:t xml:space="preserve"> </w:t>
      </w:r>
      <w:r w:rsidRPr="006F0968">
        <w:rPr>
          <w:rFonts w:ascii="Segoe UI Light" w:hAnsi="Segoe UI Light"/>
          <w:sz w:val="16"/>
          <w:szCs w:val="16"/>
        </w:rPr>
        <w:t>kvalificēti lauksaimniecības, mežsaimniecības un zivsaimniecības darbinieki un kvalificēti strādnieki un amatnieki</w:t>
      </w:r>
      <w:r w:rsidR="00FC4FDB">
        <w:rPr>
          <w:rFonts w:ascii="Segoe UI Light" w:hAnsi="Segoe UI Light"/>
          <w:sz w:val="16"/>
          <w:szCs w:val="16"/>
        </w:rPr>
        <w:t>, vienkāršo profesiju darbinieki un operatori un montieri</w:t>
      </w:r>
      <w:r>
        <w:rPr>
          <w:rFonts w:ascii="Segoe UI Light" w:hAnsi="Segoe UI Light"/>
          <w:sz w:val="16"/>
          <w:szCs w:val="16"/>
        </w:rPr>
        <w:t>.</w:t>
      </w:r>
    </w:p>
    <w:p w14:paraId="365C5B8B" w14:textId="77777777" w:rsidR="003F161B" w:rsidRPr="00D829F0" w:rsidRDefault="003F161B" w:rsidP="00343F74">
      <w:pPr>
        <w:spacing w:after="120"/>
        <w:jc w:val="both"/>
        <w:rPr>
          <w:rFonts w:ascii="Source Sans Pro" w:hAnsi="Source Sans Pro"/>
        </w:rPr>
      </w:pPr>
    </w:p>
    <w:p w14:paraId="5FF0F107" w14:textId="7F3B0B75" w:rsidR="00672539" w:rsidRPr="00D829F0" w:rsidRDefault="00B30C77" w:rsidP="00343F74">
      <w:pPr>
        <w:spacing w:after="120"/>
        <w:jc w:val="both"/>
        <w:rPr>
          <w:rFonts w:ascii="Source Sans Pro" w:hAnsi="Source Sans Pro"/>
        </w:rPr>
      </w:pPr>
      <w:r w:rsidRPr="00D829F0">
        <w:rPr>
          <w:rFonts w:ascii="Source Sans Pro" w:hAnsi="Source Sans Pro"/>
        </w:rPr>
        <w:t xml:space="preserve">Lielu ietekmi uz nodarbinātību </w:t>
      </w:r>
      <w:r w:rsidR="000F50A4" w:rsidRPr="00D829F0">
        <w:rPr>
          <w:rFonts w:ascii="Source Sans Pro" w:hAnsi="Source Sans Pro"/>
        </w:rPr>
        <w:t xml:space="preserve">un prasmju pieprasījumu turpinās atstāt </w:t>
      </w:r>
      <w:r w:rsidRPr="00D829F0">
        <w:rPr>
          <w:rFonts w:ascii="Source Sans Pro" w:hAnsi="Source Sans Pro"/>
        </w:rPr>
        <w:t xml:space="preserve">tehnoloģiskais progress, </w:t>
      </w:r>
      <w:r w:rsidR="000F50A4" w:rsidRPr="00D829F0">
        <w:rPr>
          <w:rFonts w:ascii="Source Sans Pro" w:hAnsi="Source Sans Pro"/>
        </w:rPr>
        <w:t>digitalizācija un automatizācija. Iepriekšējos</w:t>
      </w:r>
      <w:r w:rsidRPr="00D829F0">
        <w:rPr>
          <w:rFonts w:ascii="Source Sans Pro" w:hAnsi="Source Sans Pro"/>
        </w:rPr>
        <w:t xml:space="preserve"> gados inovāciju cikli ir kļuvuši </w:t>
      </w:r>
      <w:r w:rsidR="000F50A4" w:rsidRPr="00D829F0">
        <w:rPr>
          <w:rFonts w:ascii="Source Sans Pro" w:hAnsi="Source Sans Pro"/>
        </w:rPr>
        <w:t>arvien īsāki, un tādas tehnoloģijas kā mākslīgais intelekts</w:t>
      </w:r>
      <w:r w:rsidRPr="00D829F0">
        <w:rPr>
          <w:rFonts w:ascii="Source Sans Pro" w:hAnsi="Source Sans Pro"/>
        </w:rPr>
        <w:t>, lielie dati</w:t>
      </w:r>
      <w:r w:rsidR="000F50A4" w:rsidRPr="00D829F0">
        <w:rPr>
          <w:rFonts w:ascii="Source Sans Pro" w:hAnsi="Source Sans Pro"/>
        </w:rPr>
        <w:t xml:space="preserve">, </w:t>
      </w:r>
      <w:r w:rsidRPr="00D829F0">
        <w:rPr>
          <w:rFonts w:ascii="Source Sans Pro" w:hAnsi="Source Sans Pro"/>
        </w:rPr>
        <w:t xml:space="preserve">mākoņskaitļošana, </w:t>
      </w:r>
      <w:r w:rsidR="000F50A4" w:rsidRPr="00D829F0">
        <w:rPr>
          <w:rFonts w:ascii="Source Sans Pro" w:hAnsi="Source Sans Pro"/>
        </w:rPr>
        <w:t xml:space="preserve">robotizācija, </w:t>
      </w:r>
      <w:r w:rsidRPr="00D829F0">
        <w:rPr>
          <w:rFonts w:ascii="Source Sans Pro" w:hAnsi="Source Sans Pro"/>
        </w:rPr>
        <w:t xml:space="preserve">3D </w:t>
      </w:r>
      <w:r w:rsidR="000F50A4" w:rsidRPr="00D829F0">
        <w:rPr>
          <w:rFonts w:ascii="Source Sans Pro" w:hAnsi="Source Sans Pro"/>
        </w:rPr>
        <w:t>drukāšana</w:t>
      </w:r>
      <w:r w:rsidRPr="00D829F0">
        <w:rPr>
          <w:rFonts w:ascii="Source Sans Pro" w:hAnsi="Source Sans Pro"/>
        </w:rPr>
        <w:t xml:space="preserve">, autonomie </w:t>
      </w:r>
      <w:r w:rsidR="000F50A4" w:rsidRPr="00D829F0">
        <w:rPr>
          <w:rFonts w:ascii="Source Sans Pro" w:hAnsi="Source Sans Pro"/>
        </w:rPr>
        <w:t>risinājumi</w:t>
      </w:r>
      <w:r w:rsidRPr="00D829F0">
        <w:rPr>
          <w:rFonts w:ascii="Source Sans Pro" w:hAnsi="Source Sans Pro"/>
        </w:rPr>
        <w:t xml:space="preserve"> un platformu ekonomika </w:t>
      </w:r>
      <w:r w:rsidR="000F50A4" w:rsidRPr="00D829F0">
        <w:rPr>
          <w:rFonts w:ascii="Source Sans Pro" w:hAnsi="Source Sans Pro"/>
        </w:rPr>
        <w:t>pakāpeniski maina</w:t>
      </w:r>
      <w:r w:rsidRPr="00D829F0">
        <w:rPr>
          <w:rFonts w:ascii="Source Sans Pro" w:hAnsi="Source Sans Pro"/>
        </w:rPr>
        <w:t xml:space="preserve"> tradicionālos produktu un pakalpojumu tirgus</w:t>
      </w:r>
      <w:r w:rsidR="000F50A4" w:rsidRPr="00D829F0">
        <w:rPr>
          <w:rFonts w:ascii="Source Sans Pro" w:hAnsi="Source Sans Pro"/>
        </w:rPr>
        <w:t>. Šīs pārmaiņas ietekmē ne tikai uzņēmumu biznesa modeļus</w:t>
      </w:r>
      <w:r w:rsidRPr="00D829F0">
        <w:rPr>
          <w:rFonts w:ascii="Source Sans Pro" w:hAnsi="Source Sans Pro"/>
        </w:rPr>
        <w:t xml:space="preserve">, bet arī darbaspēka </w:t>
      </w:r>
      <w:r w:rsidR="000F50A4" w:rsidRPr="00D829F0">
        <w:rPr>
          <w:rFonts w:ascii="Source Sans Pro" w:hAnsi="Source Sans Pro"/>
        </w:rPr>
        <w:t>pieprasījuma struktūru un nepieciešamās prasmes.</w:t>
      </w:r>
      <w:r w:rsidRPr="00D829F0">
        <w:rPr>
          <w:rFonts w:ascii="Source Sans Pro" w:hAnsi="Source Sans Pro"/>
        </w:rPr>
        <w:t xml:space="preserve"> Paredzams, ka turpmākajos gados arvien vairāk </w:t>
      </w:r>
      <w:r w:rsidR="000F50A4" w:rsidRPr="00D829F0">
        <w:rPr>
          <w:rFonts w:ascii="Source Sans Pro" w:hAnsi="Source Sans Pro"/>
        </w:rPr>
        <w:t xml:space="preserve">darbavietu </w:t>
      </w:r>
      <w:r w:rsidRPr="00D829F0">
        <w:rPr>
          <w:rFonts w:ascii="Source Sans Pro" w:hAnsi="Source Sans Pro"/>
        </w:rPr>
        <w:t xml:space="preserve">saskarsies ar automatizācijas </w:t>
      </w:r>
      <w:r w:rsidR="000F50A4" w:rsidRPr="00D829F0">
        <w:rPr>
          <w:rFonts w:ascii="Source Sans Pro" w:hAnsi="Source Sans Pro"/>
        </w:rPr>
        <w:t>un digitālo risinājumu ieviešanu. Lielākais darbavietu samazinājuma risks saglabāsies</w:t>
      </w:r>
      <w:r w:rsidRPr="00D829F0">
        <w:rPr>
          <w:rFonts w:ascii="Source Sans Pro" w:hAnsi="Source Sans Pro"/>
        </w:rPr>
        <w:t xml:space="preserve"> profesijās ar </w:t>
      </w:r>
      <w:r w:rsidR="000F50A4" w:rsidRPr="00D829F0">
        <w:rPr>
          <w:rFonts w:ascii="Source Sans Pro" w:hAnsi="Source Sans Pro"/>
        </w:rPr>
        <w:t>augstu rutīnas,</w:t>
      </w:r>
      <w:r w:rsidRPr="00D829F0">
        <w:rPr>
          <w:rFonts w:ascii="Source Sans Pro" w:hAnsi="Source Sans Pro"/>
        </w:rPr>
        <w:t xml:space="preserve"> manuālo </w:t>
      </w:r>
      <w:r w:rsidR="000F50A4" w:rsidRPr="00D829F0">
        <w:rPr>
          <w:rFonts w:ascii="Source Sans Pro" w:hAnsi="Source Sans Pro"/>
        </w:rPr>
        <w:t>vai atkārtojamo</w:t>
      </w:r>
      <w:r w:rsidRPr="00D829F0">
        <w:rPr>
          <w:rFonts w:ascii="Source Sans Pro" w:hAnsi="Source Sans Pro"/>
        </w:rPr>
        <w:t xml:space="preserve"> darbību īpatsvaru, kā arī </w:t>
      </w:r>
      <w:r w:rsidR="000F50A4" w:rsidRPr="00D829F0">
        <w:rPr>
          <w:rFonts w:ascii="Source Sans Pro" w:hAnsi="Source Sans Pro"/>
        </w:rPr>
        <w:t>amatos, kuros daļu uzdevumu iespējams standartizēt vai automatizēt, piemēram, atsevišķās administratīvā darba, tirdzniecības, klientu apkalpošanas, ražošanas un transporta funkcijās. Vienlaikus tehnoloģiju attīstība radīs arī jaunas darba iespējas profesijās</w:t>
      </w:r>
      <w:r w:rsidRPr="00D829F0">
        <w:rPr>
          <w:rFonts w:ascii="Source Sans Pro" w:hAnsi="Source Sans Pro"/>
        </w:rPr>
        <w:t xml:space="preserve">, kas saistītas ar </w:t>
      </w:r>
      <w:r w:rsidR="000F50A4" w:rsidRPr="00D829F0">
        <w:rPr>
          <w:rFonts w:ascii="Source Sans Pro" w:hAnsi="Source Sans Pro"/>
        </w:rPr>
        <w:t>digitālo risinājumu izstrādi un uzturēšanu, datu analīzi, procesu vadību, inženiertehniskajām prasmēm un tehnoloģiju ieviešanu uzņēmumos.</w:t>
      </w:r>
      <w:r w:rsidRPr="00D829F0">
        <w:rPr>
          <w:rFonts w:ascii="Source Sans Pro" w:hAnsi="Source Sans Pro"/>
        </w:rPr>
        <w:t xml:space="preserve"> Automatizācijas tendences ilgtermiņā visvairāk varētu ietekmēt vidējās kvalifikācijas </w:t>
      </w:r>
      <w:r w:rsidR="000F50A4" w:rsidRPr="00D829F0">
        <w:rPr>
          <w:rFonts w:ascii="Source Sans Pro" w:hAnsi="Source Sans Pro"/>
        </w:rPr>
        <w:t>darbavietas, īpaši tajās profesijās, kurās dominē standartizējami un atkārtojami darba uzdevumi. Vienlaikus mazāk pakļautas automatizācijai būs profesijas, kurās nepieciešams augsts izglītības līmenis, analītiskās un radošās prasmes, sarežģītu procesu vadība, kā arī sociālā mijiedarbība, plānošana un koordinācija. Tādēļ turpmāk arvien lielāka nozīme būs ne tikai formālajai izglītībai, bet arī pastāvīgai prasmju pilnveidei, pārkvalifikācijai un pieaugušo izglītības pieejamībai, lai darbaspēks spētu pielāgoties mainīgajam darba tirgus pieprasījumam.</w:t>
      </w:r>
    </w:p>
    <w:p w14:paraId="74B44AFD" w14:textId="1030BF23" w:rsidR="003553F1" w:rsidRPr="005E3388" w:rsidRDefault="003553F1" w:rsidP="009C5150">
      <w:pPr>
        <w:pBdr>
          <w:top w:val="single" w:sz="4" w:space="6" w:color="auto" w:shadow="1"/>
          <w:left w:val="single" w:sz="4" w:space="6" w:color="auto" w:shadow="1"/>
          <w:bottom w:val="single" w:sz="4" w:space="6" w:color="auto" w:shadow="1"/>
          <w:right w:val="single" w:sz="4" w:space="6" w:color="auto" w:shadow="1"/>
        </w:pBdr>
        <w:shd w:val="clear" w:color="auto" w:fill="DCE7EB"/>
        <w:jc w:val="right"/>
        <w:rPr>
          <w:rFonts w:ascii="Segoe UI Light" w:hAnsi="Segoe UI Light"/>
          <w:b/>
          <w:sz w:val="16"/>
          <w:szCs w:val="16"/>
        </w:rPr>
      </w:pPr>
      <w:r w:rsidRPr="005E3388">
        <w:rPr>
          <w:rFonts w:ascii="Segoe UI Light" w:hAnsi="Segoe UI Light"/>
          <w:b/>
          <w:sz w:val="16"/>
          <w:szCs w:val="16"/>
        </w:rPr>
        <w:t>Darbavietu automatizācijas ietekme uz darba tirgu</w:t>
      </w:r>
    </w:p>
    <w:p w14:paraId="53A2E84E" w14:textId="3D4149FD" w:rsidR="003D13BA" w:rsidRPr="00353A5D" w:rsidRDefault="009E6BE0" w:rsidP="00672539">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sidRPr="009E6BE0">
        <w:rPr>
          <w:rFonts w:ascii="Segoe UI Light" w:hAnsi="Segoe UI Light"/>
          <w:sz w:val="16"/>
          <w:szCs w:val="16"/>
        </w:rPr>
        <w:t>Vēsturiski tehnoloģiju attīstībai kopumā ir bijusi pozitīva ietekme uz nodarbinātību. Lai gan daudzus darbus pašlaik ir iespējams paveikt efektīvāk un ar mazāk darbaspēka ieguldījumu, tehnoloģiskā attīstība ir atnesusi arī daudz jaunu darba iespēju un specializāciju. Vienlaikus bažas rada tas, ka inovāciju cikli ir kļuvuši daudz ātrāki, kas maina produktu tirgus, biznesa modeļus un darbu, un attiecīgi arī nepieciešamās prasmes visās nozarēs.</w:t>
      </w:r>
      <w:r w:rsidR="00353A5D">
        <w:rPr>
          <w:rFonts w:ascii="Segoe UI Light" w:hAnsi="Segoe UI Light"/>
          <w:sz w:val="16"/>
          <w:szCs w:val="16"/>
        </w:rPr>
        <w:t xml:space="preserve"> </w:t>
      </w:r>
      <w:r w:rsidRPr="001562F0">
        <w:rPr>
          <w:rFonts w:ascii="Segoe UI Light" w:hAnsi="Segoe UI Light"/>
          <w:b/>
          <w:bCs/>
          <w:sz w:val="16"/>
          <w:szCs w:val="16"/>
        </w:rPr>
        <w:t>Tehnoloģiju attīstība var veicināt darba tirgus polarizāciju, radot augstas kvalifikācijas, labi apmaksātus darbus no vienas puses un zemas kvalifikācijas, zemi apmaksātus darbus no otras puses, mazinot pieprasījumu pēc daļas rutīnas darbu, tādējādi izstumjot no darba tirgus vidējas kvalifikācijas darbus.</w:t>
      </w:r>
    </w:p>
    <w:p w14:paraId="61521BAE" w14:textId="74D83B9F" w:rsidR="00A21326" w:rsidRDefault="00E70C9F" w:rsidP="009C5150">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cs="Segoe UI Light"/>
          <w:sz w:val="16"/>
          <w:szCs w:val="16"/>
        </w:rPr>
      </w:pPr>
      <w:r w:rsidRPr="00E70C9F">
        <w:rPr>
          <w:rFonts w:ascii="Segoe UI Light" w:hAnsi="Segoe UI Light" w:cs="Segoe UI Light"/>
          <w:sz w:val="16"/>
          <w:szCs w:val="16"/>
        </w:rPr>
        <w:t>Saskaņā ar Cedefop prognozēm 2035.</w:t>
      </w:r>
      <w:r w:rsidR="00A43CD1">
        <w:rPr>
          <w:rFonts w:ascii="Segoe UI Light" w:hAnsi="Segoe UI Light" w:cs="Segoe UI Light"/>
          <w:sz w:val="16"/>
          <w:szCs w:val="16"/>
        </w:rPr>
        <w:t> </w:t>
      </w:r>
      <w:r w:rsidRPr="00E70C9F">
        <w:rPr>
          <w:rFonts w:ascii="Segoe UI Light" w:hAnsi="Segoe UI Light" w:cs="Segoe UI Light"/>
          <w:sz w:val="16"/>
          <w:szCs w:val="16"/>
        </w:rPr>
        <w:t>gadā lielākais augstam automatizācijas riskam pakļauto nodarbināto īpatsvars būs lauksaimniecības, speciālistu un vecāko speciālistu profesiju grupās</w:t>
      </w:r>
      <w:r w:rsidR="003F161B" w:rsidRPr="000C328D">
        <w:rPr>
          <w:rFonts w:ascii="Segoe UI Light" w:hAnsi="Segoe UI Light" w:cs="Segoe UI Light"/>
          <w:sz w:val="16"/>
          <w:szCs w:val="16"/>
        </w:rPr>
        <w:t xml:space="preserve">. </w:t>
      </w:r>
      <w:r w:rsidR="00A21326">
        <w:rPr>
          <w:rFonts w:ascii="Segoe UI Light" w:hAnsi="Segoe UI Light" w:cs="Segoe UI Light"/>
          <w:sz w:val="16"/>
          <w:szCs w:val="16"/>
        </w:rPr>
        <w:t>Ar</w:t>
      </w:r>
      <w:r w:rsidR="00A21326" w:rsidRPr="00A21326">
        <w:rPr>
          <w:rFonts w:ascii="Segoe UI Light" w:hAnsi="Segoe UI Light" w:cs="Segoe UI Light"/>
          <w:sz w:val="16"/>
          <w:szCs w:val="16"/>
        </w:rPr>
        <w:t>ī OECD novērtējums norāda uz augstu automatizācijas potenciālu būvniecības, ieguves, lauksaimniecības, ražošanas un transporta profesijās.</w:t>
      </w:r>
      <w:r w:rsidR="00A21326">
        <w:rPr>
          <w:rFonts w:ascii="Segoe UI Light" w:hAnsi="Segoe UI Light" w:cs="Segoe UI Light"/>
          <w:sz w:val="16"/>
          <w:szCs w:val="16"/>
        </w:rPr>
        <w:t xml:space="preserve"> </w:t>
      </w:r>
      <w:r>
        <w:rPr>
          <w:rFonts w:ascii="Segoe UI Light" w:hAnsi="Segoe UI Light" w:cs="Segoe UI Light"/>
          <w:sz w:val="16"/>
          <w:szCs w:val="16"/>
        </w:rPr>
        <w:t>Liecinot</w:t>
      </w:r>
      <w:r w:rsidR="000C328D" w:rsidRPr="000C328D">
        <w:rPr>
          <w:rFonts w:ascii="Segoe UI Light" w:hAnsi="Segoe UI Light" w:cs="Segoe UI Light"/>
          <w:sz w:val="16"/>
          <w:szCs w:val="16"/>
        </w:rPr>
        <w:t xml:space="preserve">, ka automatizācijas potenciāls nav saistāms tikai ar zemas kvalifikācijas darbu, bet lielā mērā ir atkarīgs no konkrēto darba uzdevumu rakstura. </w:t>
      </w:r>
    </w:p>
    <w:p w14:paraId="760DE86C" w14:textId="048F347C" w:rsidR="00672539" w:rsidRDefault="009A4BDB" w:rsidP="00672539">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b/>
          <w:sz w:val="16"/>
          <w:szCs w:val="16"/>
        </w:rPr>
      </w:pPr>
      <w:r w:rsidRPr="009A4BDB">
        <w:rPr>
          <w:rFonts w:ascii="Segoe UI Light" w:hAnsi="Segoe UI Light" w:cs="Segoe UI Light"/>
          <w:sz w:val="16"/>
          <w:szCs w:val="16"/>
        </w:rPr>
        <w:t>Salīdzinoši augsts risks sagaidāms arī profesijās ar standartizējamiem un digitalizējamiem uzdevumiem</w:t>
      </w:r>
      <w:r>
        <w:rPr>
          <w:rFonts w:ascii="Segoe UI Light" w:hAnsi="Segoe UI Light" w:cs="Segoe UI Light"/>
          <w:sz w:val="16"/>
          <w:szCs w:val="16"/>
        </w:rPr>
        <w:t>, piemēram,</w:t>
      </w:r>
      <w:r w:rsidRPr="009A4BDB">
        <w:rPr>
          <w:rFonts w:ascii="Segoe UI Light" w:hAnsi="Segoe UI Light" w:cs="Segoe UI Light"/>
          <w:sz w:val="16"/>
          <w:szCs w:val="16"/>
        </w:rPr>
        <w:t xml:space="preserve"> IKT speciālistu vidū augstam automatizācijas riskam būs pakļauti 23% nodarbināto, vadītāju vidū – 18,5%, bet pētnieku un inženieru vidū – 14,8%. Savukārt zemāks risks ir profesijās, kurās būtisk</w:t>
      </w:r>
      <w:r w:rsidR="00E52750">
        <w:rPr>
          <w:rFonts w:ascii="Segoe UI Light" w:hAnsi="Segoe UI Light" w:cs="Segoe UI Light"/>
          <w:sz w:val="16"/>
          <w:szCs w:val="16"/>
        </w:rPr>
        <w:t>āks</w:t>
      </w:r>
      <w:r w:rsidRPr="009A4BDB">
        <w:rPr>
          <w:rFonts w:ascii="Segoe UI Light" w:hAnsi="Segoe UI Light" w:cs="Segoe UI Light"/>
          <w:sz w:val="16"/>
          <w:szCs w:val="16"/>
        </w:rPr>
        <w:t xml:space="preserve"> ir fizisk</w:t>
      </w:r>
      <w:r w:rsidR="00E52750">
        <w:rPr>
          <w:rFonts w:ascii="Segoe UI Light" w:hAnsi="Segoe UI Light" w:cs="Segoe UI Light"/>
          <w:sz w:val="16"/>
          <w:szCs w:val="16"/>
        </w:rPr>
        <w:t>s darbs, kā</w:t>
      </w:r>
      <w:r w:rsidRPr="009A4BDB">
        <w:rPr>
          <w:rFonts w:ascii="Segoe UI Light" w:hAnsi="Segoe UI Light" w:cs="Segoe UI Light"/>
          <w:sz w:val="16"/>
          <w:szCs w:val="16"/>
        </w:rPr>
        <w:t xml:space="preserve"> tīrītājiem, pārtikas sagatavošanas palīgstrādniekiem un tehniskajiem palīgstrādniekiem</w:t>
      </w:r>
      <w:r w:rsidR="003A32F0" w:rsidRPr="003A32F0">
        <w:rPr>
          <w:rFonts w:ascii="Segoe UI Light" w:hAnsi="Segoe UI Light" w:cs="Segoe UI Light"/>
          <w:sz w:val="16"/>
          <w:szCs w:val="16"/>
        </w:rPr>
        <w:t>.</w:t>
      </w:r>
    </w:p>
    <w:p w14:paraId="0DFF2DE6" w14:textId="77777777" w:rsidR="00593649" w:rsidRDefault="00593649">
      <w:pPr>
        <w:spacing w:after="0"/>
        <w:rPr>
          <w:rFonts w:ascii="Segoe UI Light" w:hAnsi="Segoe UI Light"/>
          <w:b/>
          <w:bCs/>
          <w:sz w:val="16"/>
          <w:szCs w:val="16"/>
        </w:rPr>
      </w:pPr>
      <w:r>
        <w:rPr>
          <w:rFonts w:ascii="Segoe UI Light" w:hAnsi="Segoe UI Light"/>
          <w:b/>
          <w:bCs/>
          <w:sz w:val="16"/>
          <w:szCs w:val="16"/>
        </w:rPr>
        <w:br w:type="page"/>
      </w:r>
    </w:p>
    <w:p w14:paraId="3AA2F050" w14:textId="0F24B34C" w:rsidR="00157A84" w:rsidRPr="00672539" w:rsidRDefault="00157A84" w:rsidP="00353A5D">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center"/>
        <w:rPr>
          <w:rFonts w:ascii="Segoe UI Light" w:hAnsi="Segoe UI Light" w:cs="Segoe UI Light"/>
          <w:sz w:val="16"/>
          <w:szCs w:val="16"/>
          <w:highlight w:val="yellow"/>
        </w:rPr>
      </w:pPr>
      <w:r w:rsidRPr="00157A84">
        <w:rPr>
          <w:rFonts w:ascii="Segoe UI Light" w:hAnsi="Segoe UI Light"/>
          <w:b/>
          <w:bCs/>
          <w:sz w:val="16"/>
          <w:szCs w:val="16"/>
        </w:rPr>
        <w:lastRenderedPageBreak/>
        <w:t>Darbinieku īpatsvars ES ar augstu automatizācijas risku pa profesiju pamatgrupām 2035.</w:t>
      </w:r>
      <w:r w:rsidR="00A43CD1">
        <w:rPr>
          <w:rFonts w:ascii="Segoe UI Light" w:hAnsi="Segoe UI Light"/>
          <w:b/>
          <w:bCs/>
          <w:sz w:val="16"/>
          <w:szCs w:val="16"/>
        </w:rPr>
        <w:t> </w:t>
      </w:r>
      <w:r w:rsidRPr="00157A84">
        <w:rPr>
          <w:rFonts w:ascii="Segoe UI Light" w:hAnsi="Segoe UI Light"/>
          <w:b/>
          <w:bCs/>
          <w:sz w:val="16"/>
          <w:szCs w:val="16"/>
        </w:rPr>
        <w:t>gadā,</w:t>
      </w:r>
    </w:p>
    <w:p w14:paraId="39D84718" w14:textId="17E9FAB1" w:rsidR="00157A84" w:rsidRPr="00EF12E6" w:rsidRDefault="00157A84" w:rsidP="00353A5D">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center"/>
        <w:rPr>
          <w:rFonts w:ascii="Segoe UI Light" w:hAnsi="Segoe UI Light"/>
          <w:sz w:val="16"/>
          <w:szCs w:val="16"/>
        </w:rPr>
      </w:pPr>
      <w:r w:rsidRPr="00157A84">
        <w:rPr>
          <w:rFonts w:ascii="Segoe UI Light" w:hAnsi="Segoe UI Light"/>
          <w:sz w:val="16"/>
          <w:szCs w:val="16"/>
        </w:rPr>
        <w:t>procentos no kopējā nodarbināto skaita profesijā</w:t>
      </w:r>
    </w:p>
    <w:p w14:paraId="71269D90" w14:textId="26B0E1A8" w:rsidR="00157A84" w:rsidRDefault="00157A84" w:rsidP="009C5150">
      <w:pPr>
        <w:pBdr>
          <w:top w:val="single" w:sz="4" w:space="6" w:color="auto" w:shadow="1"/>
          <w:left w:val="single" w:sz="4" w:space="6" w:color="auto" w:shadow="1"/>
          <w:bottom w:val="single" w:sz="4" w:space="6" w:color="auto" w:shadow="1"/>
          <w:right w:val="single" w:sz="4" w:space="6" w:color="auto" w:shadow="1"/>
        </w:pBdr>
        <w:shd w:val="clear" w:color="auto" w:fill="DCE7EB"/>
        <w:spacing w:after="60"/>
        <w:rPr>
          <w:rFonts w:ascii="Source Sans Pro" w:hAnsi="Source Sans Pro"/>
          <w:sz w:val="12"/>
          <w:szCs w:val="12"/>
        </w:rPr>
      </w:pPr>
      <w:r>
        <w:rPr>
          <w:noProof/>
        </w:rPr>
        <w:drawing>
          <wp:inline distT="0" distB="0" distL="0" distR="0" wp14:anchorId="7DC7E90B" wp14:editId="5F1F6331">
            <wp:extent cx="5760085" cy="3194613"/>
            <wp:effectExtent l="0" t="0" r="0" b="0"/>
            <wp:docPr id="28390909" name="Chart 1">
              <a:extLst xmlns:a="http://schemas.openxmlformats.org/drawingml/2006/main">
                <a:ext uri="{FF2B5EF4-FFF2-40B4-BE49-F238E27FC236}">
                  <a16:creationId xmlns:a16="http://schemas.microsoft.com/office/drawing/2014/main" id="{8491A79A-FA71-493E-9935-73313A7BD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4BFCA2E2" w14:textId="54AC4D84" w:rsidR="003553F1" w:rsidRPr="00EF12E6" w:rsidRDefault="003553F1" w:rsidP="009C5150">
      <w:pPr>
        <w:pBdr>
          <w:top w:val="single" w:sz="4" w:space="6" w:color="auto" w:shadow="1"/>
          <w:left w:val="single" w:sz="4" w:space="6" w:color="auto" w:shadow="1"/>
          <w:bottom w:val="single" w:sz="4" w:space="6" w:color="auto" w:shadow="1"/>
          <w:right w:val="single" w:sz="4" w:space="6" w:color="auto" w:shadow="1"/>
        </w:pBdr>
        <w:shd w:val="clear" w:color="auto" w:fill="DCE7EB"/>
        <w:spacing w:after="60"/>
        <w:rPr>
          <w:rFonts w:ascii="Segoe UI Light" w:hAnsi="Segoe UI Light"/>
          <w:sz w:val="16"/>
          <w:szCs w:val="16"/>
        </w:rPr>
      </w:pPr>
      <w:r w:rsidRPr="00D829F0">
        <w:rPr>
          <w:rFonts w:ascii="Source Sans Pro" w:hAnsi="Source Sans Pro"/>
          <w:sz w:val="12"/>
          <w:szCs w:val="12"/>
        </w:rPr>
        <w:t>Avots:</w:t>
      </w:r>
      <w:r w:rsidR="00EF12E6" w:rsidRPr="00D829F0">
        <w:rPr>
          <w:rFonts w:ascii="Source Sans Pro" w:hAnsi="Source Sans Pro"/>
          <w:sz w:val="12"/>
          <w:szCs w:val="12"/>
        </w:rPr>
        <w:t xml:space="preserve"> Cedefop</w:t>
      </w:r>
    </w:p>
    <w:p w14:paraId="5C0082BF" w14:textId="77777777" w:rsidR="00593649" w:rsidRDefault="00593649" w:rsidP="006C2991">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p>
    <w:p w14:paraId="0172A0B3" w14:textId="61E2FC93" w:rsidR="006C2991" w:rsidRPr="006C2991" w:rsidRDefault="00E52750" w:rsidP="006C2991">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rPr>
      </w:pPr>
      <w:r>
        <w:rPr>
          <w:rFonts w:ascii="Segoe UI Light" w:hAnsi="Segoe UI Light"/>
          <w:sz w:val="16"/>
          <w:szCs w:val="16"/>
        </w:rPr>
        <w:t>Nozaru griezumā</w:t>
      </w:r>
      <w:r w:rsidR="006C2991" w:rsidRPr="006C2991">
        <w:rPr>
          <w:rFonts w:ascii="Segoe UI Light" w:hAnsi="Segoe UI Light"/>
          <w:sz w:val="16"/>
          <w:szCs w:val="16"/>
        </w:rPr>
        <w:t xml:space="preserve"> augstam automatizācijas riskam</w:t>
      </w:r>
      <w:r w:rsidR="009A7AC2">
        <w:rPr>
          <w:rFonts w:ascii="Segoe UI Light" w:hAnsi="Segoe UI Light"/>
          <w:sz w:val="16"/>
          <w:szCs w:val="16"/>
        </w:rPr>
        <w:t xml:space="preserve"> pakļauto darbinieku īpatsvars 2035.</w:t>
      </w:r>
      <w:r w:rsidR="00A43CD1">
        <w:rPr>
          <w:rFonts w:ascii="Segoe UI Light" w:hAnsi="Segoe UI Light"/>
          <w:sz w:val="16"/>
          <w:szCs w:val="16"/>
        </w:rPr>
        <w:t> </w:t>
      </w:r>
      <w:r w:rsidR="009A7AC2">
        <w:rPr>
          <w:rFonts w:ascii="Segoe UI Light" w:hAnsi="Segoe UI Light"/>
          <w:sz w:val="16"/>
          <w:szCs w:val="16"/>
        </w:rPr>
        <w:t>gadā</w:t>
      </w:r>
      <w:r w:rsidR="006C2991" w:rsidRPr="006C2991">
        <w:rPr>
          <w:rFonts w:ascii="Segoe UI Light" w:hAnsi="Segoe UI Light"/>
          <w:sz w:val="16"/>
          <w:szCs w:val="16"/>
        </w:rPr>
        <w:t xml:space="preserve"> </w:t>
      </w:r>
      <w:r w:rsidR="009A7AC2">
        <w:rPr>
          <w:rFonts w:ascii="Segoe UI Light" w:hAnsi="Segoe UI Light"/>
          <w:sz w:val="16"/>
          <w:szCs w:val="16"/>
        </w:rPr>
        <w:t xml:space="preserve">būs </w:t>
      </w:r>
      <w:r w:rsidR="006C2991" w:rsidRPr="006C2991">
        <w:rPr>
          <w:rFonts w:ascii="Segoe UI Light" w:hAnsi="Segoe UI Light"/>
          <w:sz w:val="16"/>
          <w:szCs w:val="16"/>
        </w:rPr>
        <w:t>finanšu un apdrošināšanas nozarē (28%), ūdens un atkritumu attīrīšanā (22%), un IKT pakalpojumos (20%), bet zemākais risks – mākslas un citu pakalpojumu darbībā (5%) un izmitināšanā un ēdināšanā un veselības aprūpē (10%).</w:t>
      </w:r>
    </w:p>
    <w:p w14:paraId="435C3F9A" w14:textId="1A6EB385" w:rsidR="003553F1" w:rsidRPr="00EF7F3C" w:rsidRDefault="000B02A9" w:rsidP="006C2991">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highlight w:val="yellow"/>
        </w:rPr>
      </w:pPr>
      <w:r>
        <w:rPr>
          <w:rFonts w:ascii="Segoe UI Light" w:hAnsi="Segoe UI Light"/>
          <w:sz w:val="16"/>
          <w:szCs w:val="16"/>
        </w:rPr>
        <w:t>Automatizācijas ieviešanas temps būs atkarīgs no uzņēmumu gatavības ieguldīt pētniecība un attīstībā, tehnoloģiju izmaksām salīdzinājumā ar darbaspēka izmaksām, pieejamajām prasmēm, sociālo partneru iesaistes</w:t>
      </w:r>
      <w:r w:rsidR="000D4351">
        <w:rPr>
          <w:rFonts w:ascii="Segoe UI Light" w:hAnsi="Segoe UI Light"/>
          <w:sz w:val="16"/>
          <w:szCs w:val="16"/>
        </w:rPr>
        <w:t xml:space="preserve"> darbinieku prasmju pilnveidē un regulējuma prasībām.</w:t>
      </w:r>
      <w:r w:rsidR="006C2991" w:rsidRPr="006C2991">
        <w:rPr>
          <w:rFonts w:ascii="Segoe UI Light" w:hAnsi="Segoe UI Light"/>
          <w:sz w:val="16"/>
          <w:szCs w:val="16"/>
        </w:rPr>
        <w:t xml:space="preserve"> Lai gan tendence rāda, ka automatizēti tiks aizvien vairāk darbi, tomēr automatizācijas rezultātā veidosies arī jaunas darba vietas un jaunas profesijas.</w:t>
      </w:r>
    </w:p>
    <w:p w14:paraId="643B0AEA" w14:textId="6BFDAD2F" w:rsidR="005B149B" w:rsidRPr="003D13BA" w:rsidRDefault="005B149B" w:rsidP="003D13BA">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sz w:val="16"/>
          <w:szCs w:val="16"/>
          <w:highlight w:val="yellow"/>
        </w:rPr>
      </w:pPr>
    </w:p>
    <w:p w14:paraId="4500D3C8" w14:textId="5FF6C11F" w:rsidR="003553F1" w:rsidRPr="00EF7F3C" w:rsidRDefault="003553F1" w:rsidP="00390A49">
      <w:pPr>
        <w:pBdr>
          <w:top w:val="single" w:sz="4" w:space="6" w:color="auto" w:shadow="1"/>
          <w:left w:val="single" w:sz="4" w:space="6" w:color="auto" w:shadow="1"/>
          <w:bottom w:val="single" w:sz="4" w:space="6" w:color="auto" w:shadow="1"/>
          <w:right w:val="single" w:sz="4" w:space="6" w:color="auto" w:shadow="1"/>
        </w:pBdr>
        <w:shd w:val="clear" w:color="auto" w:fill="DCE7EB"/>
        <w:tabs>
          <w:tab w:val="center" w:pos="2268"/>
          <w:tab w:val="center" w:pos="6804"/>
        </w:tabs>
        <w:spacing w:after="60"/>
        <w:jc w:val="center"/>
        <w:rPr>
          <w:rFonts w:ascii="Segoe UI Light" w:hAnsi="Segoe UI Light" w:cstheme="minorBidi"/>
          <w:sz w:val="16"/>
          <w:szCs w:val="16"/>
          <w:highlight w:val="yellow"/>
        </w:rPr>
      </w:pPr>
      <w:r w:rsidRPr="00DC5DA0">
        <w:rPr>
          <w:rFonts w:ascii="Segoe UI Light" w:hAnsi="Segoe UI Light" w:cstheme="minorBidi"/>
          <w:b/>
          <w:bCs/>
          <w:sz w:val="16"/>
          <w:szCs w:val="16"/>
        </w:rPr>
        <w:t>Nozares ar augstu automatizācijas risku</w:t>
      </w:r>
      <w:r w:rsidR="007E2B52" w:rsidRPr="00DC5DA0">
        <w:rPr>
          <w:rFonts w:ascii="Segoe UI Light" w:hAnsi="Segoe UI Light" w:cstheme="minorBidi"/>
          <w:b/>
          <w:bCs/>
          <w:sz w:val="16"/>
          <w:szCs w:val="16"/>
        </w:rPr>
        <w:t xml:space="preserve"> 203</w:t>
      </w:r>
      <w:r w:rsidR="0035508F">
        <w:rPr>
          <w:rFonts w:ascii="Segoe UI Light" w:hAnsi="Segoe UI Light" w:cstheme="minorBidi"/>
          <w:b/>
          <w:bCs/>
          <w:sz w:val="16"/>
          <w:szCs w:val="16"/>
        </w:rPr>
        <w:t>5</w:t>
      </w:r>
      <w:r w:rsidR="007E2B52" w:rsidRPr="00DC5DA0">
        <w:rPr>
          <w:rFonts w:ascii="Segoe UI Light" w:hAnsi="Segoe UI Light" w:cstheme="minorBidi"/>
          <w:b/>
          <w:bCs/>
          <w:sz w:val="16"/>
          <w:szCs w:val="16"/>
        </w:rPr>
        <w:t>.</w:t>
      </w:r>
      <w:r w:rsidR="00A43CD1">
        <w:rPr>
          <w:rFonts w:ascii="Segoe UI Light" w:hAnsi="Segoe UI Light" w:cstheme="minorBidi"/>
          <w:b/>
          <w:sz w:val="16"/>
          <w:szCs w:val="16"/>
        </w:rPr>
        <w:t> </w:t>
      </w:r>
      <w:r w:rsidR="007E2B52" w:rsidRPr="00DC5DA0">
        <w:rPr>
          <w:rFonts w:ascii="Segoe UI Light" w:hAnsi="Segoe UI Light" w:cstheme="minorBidi"/>
          <w:b/>
          <w:bCs/>
          <w:sz w:val="16"/>
          <w:szCs w:val="16"/>
        </w:rPr>
        <w:t>gadā</w:t>
      </w:r>
      <w:r w:rsidRPr="00DC5DA0">
        <w:rPr>
          <w:rFonts w:ascii="Segoe UI Light" w:hAnsi="Segoe UI Light" w:cstheme="minorBidi"/>
          <w:b/>
          <w:bCs/>
          <w:sz w:val="16"/>
          <w:szCs w:val="16"/>
        </w:rPr>
        <w:t xml:space="preserve"> </w:t>
      </w:r>
      <w:r w:rsidRPr="00EF7F3C">
        <w:rPr>
          <w:rFonts w:ascii="Segoe UI Light" w:hAnsi="Segoe UI Light" w:cstheme="minorBidi"/>
          <w:b/>
          <w:bCs/>
          <w:sz w:val="16"/>
          <w:szCs w:val="16"/>
          <w:highlight w:val="yellow"/>
        </w:rPr>
        <w:br/>
      </w:r>
      <w:r w:rsidRPr="00DC5DA0">
        <w:rPr>
          <w:rFonts w:ascii="Segoe UI Light" w:hAnsi="Segoe UI Light" w:cstheme="minorBidi"/>
          <w:sz w:val="16"/>
          <w:szCs w:val="16"/>
        </w:rPr>
        <w:t>procentos no nodarbinātajiem attiecīgajā nozarē</w:t>
      </w:r>
    </w:p>
    <w:p w14:paraId="4BC97B85" w14:textId="6F8DD7B7" w:rsidR="003553F1" w:rsidRPr="00EF7F3C" w:rsidRDefault="003553F1" w:rsidP="009C5150">
      <w:pPr>
        <w:pBdr>
          <w:top w:val="single" w:sz="4" w:space="6" w:color="auto" w:shadow="1"/>
          <w:left w:val="single" w:sz="4" w:space="6" w:color="auto" w:shadow="1"/>
          <w:bottom w:val="single" w:sz="4" w:space="6" w:color="auto" w:shadow="1"/>
          <w:right w:val="single" w:sz="4" w:space="6" w:color="auto" w:shadow="1"/>
        </w:pBdr>
        <w:shd w:val="clear" w:color="auto" w:fill="DCE7EB"/>
        <w:spacing w:after="60"/>
        <w:rPr>
          <w:rFonts w:ascii="Segoe UI Light" w:hAnsi="Segoe UI Light" w:cstheme="minorBidi"/>
          <w:sz w:val="16"/>
          <w:szCs w:val="16"/>
          <w:highlight w:val="yellow"/>
        </w:rPr>
      </w:pPr>
    </w:p>
    <w:p w14:paraId="08293FCE" w14:textId="6EAF9A89" w:rsidR="00390A49" w:rsidRDefault="009523E7" w:rsidP="000E5569">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center"/>
        <w:rPr>
          <w:rFonts w:ascii="Segoe UI Light" w:hAnsi="Segoe UI Light" w:cstheme="minorBidi"/>
          <w:sz w:val="16"/>
          <w:szCs w:val="16"/>
          <w:highlight w:val="yellow"/>
        </w:rPr>
      </w:pPr>
      <w:r>
        <w:rPr>
          <w:noProof/>
        </w:rPr>
        <w:drawing>
          <wp:inline distT="0" distB="0" distL="0" distR="0" wp14:anchorId="61C87121" wp14:editId="06763E0C">
            <wp:extent cx="5760085" cy="1892259"/>
            <wp:effectExtent l="0" t="0" r="0" b="0"/>
            <wp:docPr id="1605492183" name="Chart 1">
              <a:extLst xmlns:a="http://schemas.openxmlformats.org/drawingml/2006/main">
                <a:ext uri="{FF2B5EF4-FFF2-40B4-BE49-F238E27FC236}">
                  <a16:creationId xmlns:a16="http://schemas.microsoft.com/office/drawing/2014/main" id="{357FE69C-473E-6533-4C69-6A4D472D38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01CC17EF" w14:textId="3B5BBAD9" w:rsidR="00E52750" w:rsidRPr="00E52750" w:rsidRDefault="00E52750" w:rsidP="00E52750">
      <w:pPr>
        <w:pBdr>
          <w:top w:val="single" w:sz="4" w:space="6" w:color="auto" w:shadow="1"/>
          <w:left w:val="single" w:sz="4" w:space="6" w:color="auto" w:shadow="1"/>
          <w:bottom w:val="single" w:sz="4" w:space="6" w:color="auto" w:shadow="1"/>
          <w:right w:val="single" w:sz="4" w:space="6" w:color="auto" w:shadow="1"/>
        </w:pBdr>
        <w:shd w:val="clear" w:color="auto" w:fill="DCE7EB"/>
        <w:spacing w:after="60"/>
        <w:rPr>
          <w:rFonts w:ascii="Source Sans Pro" w:hAnsi="Source Sans Pro" w:cstheme="minorBidi"/>
          <w:sz w:val="12"/>
          <w:szCs w:val="12"/>
          <w:highlight w:val="yellow"/>
        </w:rPr>
      </w:pPr>
      <w:r w:rsidRPr="00E52750">
        <w:rPr>
          <w:rFonts w:ascii="Source Sans Pro" w:hAnsi="Source Sans Pro" w:cstheme="minorBidi"/>
          <w:sz w:val="12"/>
          <w:szCs w:val="12"/>
        </w:rPr>
        <w:t>Avots: Cedef</w:t>
      </w:r>
      <w:r w:rsidR="000D4351">
        <w:rPr>
          <w:rFonts w:ascii="Source Sans Pro" w:hAnsi="Source Sans Pro" w:cstheme="minorBidi"/>
          <w:sz w:val="12"/>
          <w:szCs w:val="12"/>
        </w:rPr>
        <w:t>op</w:t>
      </w:r>
    </w:p>
    <w:p w14:paraId="5D33AB20" w14:textId="0BFCA9F9" w:rsidR="007C6908" w:rsidRDefault="007C6908" w:rsidP="000D2D8D">
      <w:pPr>
        <w:spacing w:after="120"/>
        <w:jc w:val="both"/>
        <w:rPr>
          <w:rFonts w:ascii="Source Sans Pro" w:hAnsi="Source Sans Pro"/>
          <w:szCs w:val="20"/>
        </w:rPr>
      </w:pPr>
    </w:p>
    <w:p w14:paraId="10C5878C" w14:textId="39CB3418" w:rsidR="000D2D8D" w:rsidRPr="00D829F0" w:rsidRDefault="000D2D8D" w:rsidP="000D2D8D">
      <w:pPr>
        <w:spacing w:after="120"/>
        <w:jc w:val="both"/>
        <w:rPr>
          <w:rFonts w:ascii="Source Sans Pro" w:hAnsi="Source Sans Pro"/>
          <w:szCs w:val="20"/>
        </w:rPr>
      </w:pPr>
      <w:r w:rsidRPr="00D829F0">
        <w:rPr>
          <w:rFonts w:ascii="Source Sans Pro" w:hAnsi="Source Sans Pro"/>
          <w:szCs w:val="20"/>
        </w:rPr>
        <w:t>Darbaspēka pieprasījums līdz 2030.</w:t>
      </w:r>
      <w:r w:rsidR="00D56ED4">
        <w:rPr>
          <w:rFonts w:ascii="Source Sans Pro" w:hAnsi="Source Sans Pro"/>
          <w:szCs w:val="20"/>
        </w:rPr>
        <w:t> </w:t>
      </w:r>
      <w:r w:rsidRPr="00D829F0">
        <w:rPr>
          <w:rFonts w:ascii="Source Sans Pro" w:hAnsi="Source Sans Pro"/>
          <w:szCs w:val="20"/>
        </w:rPr>
        <w:t>gadam pieaugs lielākajā daļā nozaru, izņemot tirdzniecību, lauksaimniecību un sabiedriskos pakalpojumus, kur nodarbināto skaits varētu samazināties. Savukārt ilgākā termiņā pieaugums galvenokārt sagaidāms komercpakalpojumos, būvniecībā, pārējā rūpniecībā, apstrādes rūpniecībā un transportā, kamēr lauksaimniecībā, tirdzniecībā un sabiedriskajos pakalpojumos darbaspēka pieprasījums turpinās pakāpeniski sarukt.</w:t>
      </w:r>
    </w:p>
    <w:p w14:paraId="3B03CF2D" w14:textId="77777777" w:rsidR="00593649" w:rsidRDefault="00593649">
      <w:pPr>
        <w:spacing w:after="0"/>
        <w:rPr>
          <w:rFonts w:ascii="Source Sans Pro" w:hAnsi="Source Sans Pro"/>
          <w:szCs w:val="20"/>
        </w:rPr>
      </w:pPr>
      <w:r>
        <w:rPr>
          <w:rFonts w:ascii="Source Sans Pro" w:hAnsi="Source Sans Pro"/>
          <w:szCs w:val="20"/>
        </w:rPr>
        <w:br w:type="page"/>
      </w:r>
    </w:p>
    <w:p w14:paraId="18F5EA2D" w14:textId="5ABAB978" w:rsidR="009A0130" w:rsidRPr="00D829F0" w:rsidRDefault="009A0130" w:rsidP="00B30C77">
      <w:pPr>
        <w:spacing w:after="120"/>
        <w:jc w:val="right"/>
        <w:rPr>
          <w:rFonts w:ascii="Source Sans Pro" w:hAnsi="Source Sans Pro"/>
          <w:szCs w:val="20"/>
        </w:rPr>
      </w:pPr>
      <w:r w:rsidRPr="00D829F0">
        <w:rPr>
          <w:rFonts w:ascii="Source Sans Pro" w:hAnsi="Source Sans Pro"/>
          <w:szCs w:val="20"/>
        </w:rPr>
        <w:lastRenderedPageBreak/>
        <w:t>3.</w:t>
      </w:r>
      <w:r w:rsidR="00475574">
        <w:rPr>
          <w:rFonts w:ascii="Source Sans Pro" w:hAnsi="Source Sans Pro"/>
          <w:szCs w:val="20"/>
        </w:rPr>
        <w:t>11</w:t>
      </w:r>
      <w:r w:rsidRPr="00D829F0">
        <w:rPr>
          <w:rFonts w:ascii="Source Sans Pro" w:hAnsi="Source Sans Pro"/>
          <w:szCs w:val="20"/>
        </w:rPr>
        <w:t>.</w:t>
      </w:r>
      <w:r w:rsidR="00D56ED4">
        <w:rPr>
          <w:rFonts w:ascii="Source Sans Pro" w:hAnsi="Source Sans Pro"/>
          <w:szCs w:val="20"/>
        </w:rPr>
        <w:t> </w:t>
      </w:r>
      <w:r w:rsidRPr="00D829F0">
        <w:rPr>
          <w:rFonts w:ascii="Source Sans Pro" w:hAnsi="Source Sans Pro"/>
          <w:szCs w:val="20"/>
        </w:rPr>
        <w:t>attēls</w:t>
      </w:r>
    </w:p>
    <w:p w14:paraId="2D258D00" w14:textId="506AB514" w:rsidR="009A0130" w:rsidRPr="000D2D8D" w:rsidRDefault="009A0130" w:rsidP="00EA05F6">
      <w:pPr>
        <w:spacing w:after="120"/>
        <w:jc w:val="center"/>
        <w:rPr>
          <w:rFonts w:ascii="Segoe UI Light" w:hAnsi="Segoe UI Light"/>
          <w:i/>
          <w:sz w:val="16"/>
          <w:szCs w:val="26"/>
        </w:rPr>
      </w:pPr>
      <w:r w:rsidRPr="000D2D8D">
        <w:rPr>
          <w:rFonts w:ascii="Segoe UI Light" w:hAnsi="Segoe UI Light"/>
          <w:b/>
          <w:sz w:val="18"/>
          <w:szCs w:val="26"/>
        </w:rPr>
        <w:t>Darbaspēka pieprasījums</w:t>
      </w:r>
      <w:r w:rsidRPr="000D2D8D">
        <w:rPr>
          <w:rFonts w:ascii="Segoe UI Light" w:hAnsi="Segoe UI Light"/>
          <w:b/>
          <w:sz w:val="18"/>
          <w:szCs w:val="26"/>
        </w:rPr>
        <w:br/>
      </w:r>
      <w:r w:rsidRPr="000D2D8D">
        <w:rPr>
          <w:rFonts w:ascii="Segoe UI Light" w:hAnsi="Segoe UI Light"/>
          <w:i/>
          <w:sz w:val="16"/>
          <w:szCs w:val="26"/>
        </w:rPr>
        <w:t>nodarbinātie vecuma grupā 15-74</w:t>
      </w:r>
      <w:r w:rsidR="00E002CB" w:rsidRPr="000D2D8D">
        <w:rPr>
          <w:rFonts w:ascii="Segoe UI Light" w:hAnsi="Segoe UI Light"/>
          <w:i/>
          <w:sz w:val="16"/>
          <w:szCs w:val="26"/>
        </w:rPr>
        <w:t xml:space="preserve"> </w:t>
      </w:r>
      <w:r w:rsidR="0080669C" w:rsidRPr="000D2D8D">
        <w:rPr>
          <w:rFonts w:ascii="Segoe UI Light" w:hAnsi="Segoe UI Light"/>
          <w:i/>
          <w:sz w:val="16"/>
          <w:szCs w:val="26"/>
        </w:rPr>
        <w:t>gad</w:t>
      </w:r>
      <w:r w:rsidRPr="000D2D8D">
        <w:rPr>
          <w:rFonts w:ascii="Segoe UI Light" w:hAnsi="Segoe UI Light"/>
          <w:i/>
          <w:sz w:val="16"/>
          <w:szCs w:val="26"/>
        </w:rPr>
        <w:t>i, tūkstošos</w:t>
      </w:r>
    </w:p>
    <w:p w14:paraId="0AADEE39" w14:textId="5A34BD25" w:rsidR="00B30C77" w:rsidRPr="00D829F0" w:rsidRDefault="00506C24" w:rsidP="00343F74">
      <w:pPr>
        <w:spacing w:after="120"/>
        <w:ind w:firstLine="2410"/>
        <w:rPr>
          <w:rFonts w:ascii="Source Sans Pro" w:hAnsi="Source Sans Pro" w:cs="Calibri Light"/>
          <w:sz w:val="12"/>
          <w:szCs w:val="10"/>
        </w:rPr>
      </w:pPr>
      <w:r w:rsidRPr="004536D3">
        <w:rPr>
          <w:rFonts w:ascii="Arial Narrow" w:hAnsi="Arial Narrow"/>
          <w:b/>
          <w:bCs/>
          <w:noProof/>
          <w:lang w:eastAsia="lv-LV"/>
        </w:rPr>
        <w:drawing>
          <wp:inline distT="0" distB="0" distL="0" distR="0" wp14:anchorId="5957753C" wp14:editId="4B71B2A1">
            <wp:extent cx="2880000" cy="2160000"/>
            <wp:effectExtent l="0" t="0" r="0" b="0"/>
            <wp:docPr id="1433269172"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4973FCE" w14:textId="4780E2F6" w:rsidR="009A0130" w:rsidRPr="00D829F0" w:rsidRDefault="009A0130" w:rsidP="003D13BA">
      <w:pPr>
        <w:spacing w:after="120"/>
        <w:rPr>
          <w:rFonts w:ascii="Source Sans Pro" w:hAnsi="Source Sans Pro" w:cs="Calibri Light"/>
          <w:sz w:val="16"/>
          <w:szCs w:val="14"/>
        </w:rPr>
      </w:pPr>
      <w:r w:rsidRPr="00D829F0">
        <w:rPr>
          <w:rFonts w:ascii="Source Sans Pro" w:hAnsi="Source Sans Pro" w:cs="Calibri Light"/>
          <w:sz w:val="16"/>
          <w:szCs w:val="14"/>
        </w:rPr>
        <w:t>Avots: CSP dati 202</w:t>
      </w:r>
      <w:r w:rsidR="00E4571F" w:rsidRPr="00D829F0">
        <w:rPr>
          <w:rFonts w:ascii="Source Sans Pro" w:hAnsi="Source Sans Pro" w:cs="Calibri Light"/>
          <w:sz w:val="16"/>
          <w:szCs w:val="14"/>
        </w:rPr>
        <w:t>5</w:t>
      </w:r>
      <w:r w:rsidRPr="00D829F0">
        <w:rPr>
          <w:rFonts w:ascii="Source Sans Pro" w:hAnsi="Source Sans Pro" w:cs="Calibri Light"/>
          <w:sz w:val="16"/>
          <w:szCs w:val="14"/>
        </w:rPr>
        <w:t>.</w:t>
      </w:r>
      <w:r w:rsidR="00D56ED4">
        <w:rPr>
          <w:rFonts w:ascii="Source Sans Pro" w:hAnsi="Source Sans Pro" w:cs="Calibri Light"/>
          <w:sz w:val="16"/>
          <w:szCs w:val="14"/>
        </w:rPr>
        <w:t> </w:t>
      </w:r>
      <w:r w:rsidR="0080669C" w:rsidRPr="00D829F0">
        <w:rPr>
          <w:rFonts w:ascii="Source Sans Pro" w:hAnsi="Source Sans Pro" w:cs="Calibri Light"/>
          <w:sz w:val="16"/>
          <w:szCs w:val="14"/>
        </w:rPr>
        <w:t>gad</w:t>
      </w:r>
      <w:r w:rsidRPr="00D829F0">
        <w:rPr>
          <w:rFonts w:ascii="Source Sans Pro" w:hAnsi="Source Sans Pro" w:cs="Calibri Light"/>
          <w:sz w:val="16"/>
          <w:szCs w:val="14"/>
        </w:rPr>
        <w:t>am, EM prognozes sākot ar 202</w:t>
      </w:r>
      <w:r w:rsidR="00E4571F" w:rsidRPr="00D829F0">
        <w:rPr>
          <w:rFonts w:ascii="Source Sans Pro" w:hAnsi="Source Sans Pro" w:cs="Calibri Light"/>
          <w:sz w:val="16"/>
          <w:szCs w:val="14"/>
        </w:rPr>
        <w:t>6</w:t>
      </w:r>
      <w:r w:rsidRPr="00D829F0">
        <w:rPr>
          <w:rFonts w:ascii="Source Sans Pro" w:hAnsi="Source Sans Pro" w:cs="Calibri Light"/>
          <w:sz w:val="16"/>
          <w:szCs w:val="14"/>
        </w:rPr>
        <w:t>.</w:t>
      </w:r>
      <w:r w:rsidR="0080669C" w:rsidRPr="00D829F0">
        <w:rPr>
          <w:rFonts w:ascii="Source Sans Pro" w:hAnsi="Source Sans Pro" w:cs="Calibri Light"/>
          <w:sz w:val="16"/>
          <w:szCs w:val="14"/>
        </w:rPr>
        <w:t>gad</w:t>
      </w:r>
      <w:r w:rsidRPr="00D829F0">
        <w:rPr>
          <w:rFonts w:ascii="Source Sans Pro" w:hAnsi="Source Sans Pro" w:cs="Calibri Light"/>
          <w:sz w:val="16"/>
          <w:szCs w:val="14"/>
        </w:rPr>
        <w:t>u</w:t>
      </w:r>
    </w:p>
    <w:p w14:paraId="6C0A5697" w14:textId="77777777" w:rsidR="00B30C77" w:rsidRPr="00D829F0" w:rsidRDefault="00B30C77" w:rsidP="00343F74">
      <w:pPr>
        <w:spacing w:after="120"/>
        <w:jc w:val="both"/>
        <w:rPr>
          <w:rFonts w:ascii="Source Sans Pro" w:hAnsi="Source Sans Pro"/>
        </w:rPr>
      </w:pPr>
      <w:bookmarkStart w:id="58" w:name="_Hlk168402969"/>
    </w:p>
    <w:p w14:paraId="475D80BB" w14:textId="77777777" w:rsidR="003D13BA" w:rsidRPr="00D829F0" w:rsidRDefault="003D13BA" w:rsidP="003D13BA">
      <w:pPr>
        <w:spacing w:after="120"/>
        <w:jc w:val="both"/>
        <w:rPr>
          <w:rFonts w:ascii="Source Sans Pro" w:hAnsi="Source Sans Pro"/>
          <w:szCs w:val="20"/>
        </w:rPr>
      </w:pPr>
      <w:r w:rsidRPr="00D829F0">
        <w:rPr>
          <w:rFonts w:ascii="Source Sans Pro" w:hAnsi="Source Sans Pro"/>
          <w:szCs w:val="20"/>
        </w:rPr>
        <w:t>Apstrādes rūpniecība arī turpmāk būs viena no nozīmīgākajām tautsaimniecības izaugsmes nozarēm, tomēr pieprasījums pēc darbaspēka tajā pieaugs mēreni. Lai vidējā un ilgtermiņā nozare saglabātu konkurētspēju, izaugsmei arvien lielākā mērā būs jābalstās uz produktivitātes kāpumu, tehnoloģiju pārnesi ražošanā, pētniecības un attīstības stiprināšanu, inovācijām, kā arī darbinieku kvalifikācijas un prasmju pilnveidi. Sagaidāms, ka ilgtermiņā apstrādes rūpniecības izaugsmē lielāku devumu dos vidējo un augsto tehnoloģiju nozares, piemēram, iekārtu, mehānismu, elektrisko un optisko iekārtu ražošana, savukārt tradicionālo nozaru, tostarp kokapstrādes un pārtikas ražošanas, relatīvais ieguldījums pakāpeniski samazināsies.</w:t>
      </w:r>
    </w:p>
    <w:p w14:paraId="6941E152" w14:textId="4E1DAF98" w:rsidR="00B30C77" w:rsidRPr="00D829F0" w:rsidRDefault="00B30C77" w:rsidP="00343F74">
      <w:pPr>
        <w:spacing w:after="120"/>
        <w:jc w:val="both"/>
        <w:rPr>
          <w:rFonts w:ascii="Source Sans Pro" w:hAnsi="Source Sans Pro"/>
        </w:rPr>
      </w:pPr>
      <w:r w:rsidRPr="00D829F0">
        <w:rPr>
          <w:rFonts w:ascii="Source Sans Pro" w:hAnsi="Source Sans Pro"/>
        </w:rPr>
        <w:t xml:space="preserve">Lauksaimniecības un mežsaimniecības nozarē, līdzīgi kā vidēji ES, nodarbināto skaits </w:t>
      </w:r>
      <w:r w:rsidR="006D7215" w:rsidRPr="00D829F0">
        <w:rPr>
          <w:rFonts w:ascii="Source Sans Pro" w:hAnsi="Source Sans Pro"/>
        </w:rPr>
        <w:t>turpinās</w:t>
      </w:r>
      <w:r w:rsidRPr="00D829F0">
        <w:rPr>
          <w:rFonts w:ascii="Source Sans Pro" w:hAnsi="Source Sans Pro"/>
        </w:rPr>
        <w:t xml:space="preserve"> pakāpeniski </w:t>
      </w:r>
      <w:r w:rsidR="006D7215" w:rsidRPr="00D829F0">
        <w:rPr>
          <w:rFonts w:ascii="Source Sans Pro" w:hAnsi="Source Sans Pro"/>
        </w:rPr>
        <w:t>samazināties.</w:t>
      </w:r>
      <w:r w:rsidRPr="00D829F0">
        <w:rPr>
          <w:rFonts w:ascii="Source Sans Pro" w:hAnsi="Source Sans Pro"/>
        </w:rPr>
        <w:t xml:space="preserve"> 2030.</w:t>
      </w:r>
      <w:r w:rsidR="00D56ED4">
        <w:rPr>
          <w:rFonts w:ascii="Source Sans Pro" w:hAnsi="Source Sans Pro"/>
        </w:rPr>
        <w:t> </w:t>
      </w:r>
      <w:r w:rsidRPr="00D829F0">
        <w:rPr>
          <w:rFonts w:ascii="Source Sans Pro" w:hAnsi="Source Sans Pro"/>
        </w:rPr>
        <w:t xml:space="preserve">gadā šajā nozarē strādājošo īpatsvars </w:t>
      </w:r>
      <w:r w:rsidR="006D7215" w:rsidRPr="00D829F0">
        <w:rPr>
          <w:rFonts w:ascii="Source Sans Pro" w:hAnsi="Source Sans Pro"/>
        </w:rPr>
        <w:t>varētu veidot</w:t>
      </w:r>
      <w:r w:rsidRPr="00D829F0">
        <w:rPr>
          <w:rFonts w:ascii="Source Sans Pro" w:hAnsi="Source Sans Pro"/>
        </w:rPr>
        <w:t xml:space="preserve"> 6,4% no kopējā nodarbināto skaita (saskaņā ar Cedefop prognozēm, ES aptuveni </w:t>
      </w:r>
      <w:r w:rsidR="00277FCC" w:rsidRPr="00D829F0">
        <w:rPr>
          <w:rFonts w:ascii="Source Sans Pro" w:hAnsi="Source Sans Pro"/>
        </w:rPr>
        <w:t>2,8</w:t>
      </w:r>
      <w:r w:rsidRPr="00D829F0">
        <w:rPr>
          <w:rFonts w:ascii="Source Sans Pro" w:hAnsi="Source Sans Pro"/>
        </w:rPr>
        <w:t>% 2035.</w:t>
      </w:r>
      <w:r w:rsidR="00D56ED4">
        <w:rPr>
          <w:rFonts w:ascii="Source Sans Pro" w:hAnsi="Source Sans Pro"/>
        </w:rPr>
        <w:t> </w:t>
      </w:r>
      <w:r w:rsidRPr="00D829F0">
        <w:rPr>
          <w:rFonts w:ascii="Source Sans Pro" w:hAnsi="Source Sans Pro"/>
        </w:rPr>
        <w:t xml:space="preserve">gadā). </w:t>
      </w:r>
      <w:bookmarkEnd w:id="58"/>
      <w:r w:rsidR="006D7215" w:rsidRPr="00D829F0">
        <w:rPr>
          <w:rFonts w:ascii="Source Sans Pro" w:hAnsi="Source Sans Pro"/>
        </w:rPr>
        <w:t>Vienlaikus 2025.</w:t>
      </w:r>
      <w:r w:rsidR="00D56ED4">
        <w:rPr>
          <w:rFonts w:ascii="Source Sans Pro" w:hAnsi="Source Sans Pro"/>
        </w:rPr>
        <w:t> </w:t>
      </w:r>
      <w:r w:rsidRPr="00D829F0">
        <w:rPr>
          <w:rFonts w:ascii="Source Sans Pro" w:hAnsi="Source Sans Pro"/>
        </w:rPr>
        <w:t>gadā lauksaimniecības un mežsaimniecības nozare veidoja 4,</w:t>
      </w:r>
      <w:r w:rsidR="006D7215" w:rsidRPr="00D829F0">
        <w:rPr>
          <w:rFonts w:ascii="Source Sans Pro" w:hAnsi="Source Sans Pro"/>
        </w:rPr>
        <w:t>6</w:t>
      </w:r>
      <w:r w:rsidRPr="00D829F0">
        <w:rPr>
          <w:rFonts w:ascii="Source Sans Pro" w:hAnsi="Source Sans Pro"/>
        </w:rPr>
        <w:t>% no kopējās pievienotās vērtības</w:t>
      </w:r>
      <w:r w:rsidR="006D7215" w:rsidRPr="00D829F0">
        <w:rPr>
          <w:rFonts w:ascii="Source Sans Pro" w:hAnsi="Source Sans Pro"/>
        </w:rPr>
        <w:t>, kas liecina par salīdzinoši zemāku produktivitātes līmeni nekā vidēji tautsaimniecībā. Tādēļ turpmākajos gados nozares attīstībā izšķiroša nozīme būs produktivitātes kāpumam, tehnoloģiju ieviešanai, efektīvākai resursu izmantošanai un darbaspēka kvalifikācijas pilnveidei.</w:t>
      </w:r>
    </w:p>
    <w:p w14:paraId="7CB8F3E8" w14:textId="63E63D32" w:rsidR="009A0130" w:rsidRPr="00D829F0" w:rsidRDefault="009A0130" w:rsidP="00B30C77">
      <w:pPr>
        <w:spacing w:after="120"/>
        <w:jc w:val="right"/>
        <w:rPr>
          <w:rFonts w:ascii="Source Sans Pro" w:hAnsi="Source Sans Pro"/>
          <w:szCs w:val="20"/>
        </w:rPr>
      </w:pPr>
      <w:r w:rsidRPr="00D829F0">
        <w:rPr>
          <w:rFonts w:ascii="Source Sans Pro" w:hAnsi="Source Sans Pro"/>
          <w:szCs w:val="20"/>
        </w:rPr>
        <w:t>3.6.tabula</w:t>
      </w:r>
    </w:p>
    <w:p w14:paraId="5E71FBE6" w14:textId="77777777" w:rsidR="009A0130" w:rsidRPr="006D7215" w:rsidRDefault="009A0130" w:rsidP="00EA05F6">
      <w:pPr>
        <w:spacing w:after="120"/>
        <w:jc w:val="center"/>
        <w:rPr>
          <w:rFonts w:ascii="Segoe UI Light" w:hAnsi="Segoe UI Light"/>
          <w:i/>
          <w:sz w:val="16"/>
          <w:szCs w:val="26"/>
        </w:rPr>
      </w:pPr>
      <w:r w:rsidRPr="006D7215">
        <w:rPr>
          <w:rFonts w:ascii="Segoe UI Light" w:hAnsi="Segoe UI Light"/>
          <w:b/>
          <w:sz w:val="18"/>
          <w:szCs w:val="26"/>
        </w:rPr>
        <w:t>Darbaspēka pieprasījuma izmaiņas pa nozarēm</w:t>
      </w:r>
      <w:r w:rsidRPr="006D7215">
        <w:rPr>
          <w:rFonts w:ascii="Segoe UI Light" w:hAnsi="Segoe UI Light"/>
          <w:sz w:val="18"/>
          <w:szCs w:val="26"/>
        </w:rPr>
        <w:br/>
      </w:r>
      <w:r w:rsidRPr="006D7215">
        <w:rPr>
          <w:rFonts w:ascii="Segoe UI Light" w:hAnsi="Segoe UI Light"/>
          <w:i/>
          <w:sz w:val="16"/>
          <w:szCs w:val="26"/>
        </w:rPr>
        <w:t>tūkstošos</w:t>
      </w:r>
    </w:p>
    <w:tbl>
      <w:tblPr>
        <w:tblStyle w:val="GridTable5Dark-Accent31"/>
        <w:tblW w:w="90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515"/>
        <w:gridCol w:w="850"/>
        <w:gridCol w:w="850"/>
        <w:gridCol w:w="850"/>
        <w:gridCol w:w="850"/>
        <w:gridCol w:w="1077"/>
        <w:gridCol w:w="1077"/>
      </w:tblGrid>
      <w:tr w:rsidR="006A3666" w:rsidRPr="00D829F0" w14:paraId="23FBB7A9" w14:textId="77777777" w:rsidTr="00901B31">
        <w:trPr>
          <w:cnfStyle w:val="100000000000" w:firstRow="1" w:lastRow="0" w:firstColumn="0" w:lastColumn="0" w:oddVBand="0" w:evenVBand="0" w:oddHBand="0" w:evenHBand="0" w:firstRowFirstColumn="0" w:firstRowLastColumn="0" w:lastRowFirstColumn="0" w:lastRowLastColumn="0"/>
          <w:jc w:val="center"/>
        </w:trPr>
        <w:tc>
          <w:tcPr>
            <w:tcW w:w="3515" w:type="dxa"/>
            <w:shd w:val="clear" w:color="auto" w:fill="006666"/>
            <w:vAlign w:val="center"/>
          </w:tcPr>
          <w:p w14:paraId="55CD7EE1" w14:textId="77777777" w:rsidR="00B30C77" w:rsidRPr="006D7215" w:rsidRDefault="00B30C77">
            <w:pPr>
              <w:spacing w:before="40" w:after="40"/>
              <w:jc w:val="center"/>
              <w:rPr>
                <w:rFonts w:ascii="Segoe UI Light" w:hAnsi="Segoe UI Light"/>
                <w:b w:val="0"/>
                <w:color w:val="FFFFFF"/>
                <w:sz w:val="16"/>
                <w:szCs w:val="20"/>
              </w:rPr>
            </w:pPr>
          </w:p>
        </w:tc>
        <w:tc>
          <w:tcPr>
            <w:tcW w:w="850" w:type="dxa"/>
            <w:shd w:val="clear" w:color="auto" w:fill="006666"/>
            <w:vAlign w:val="center"/>
          </w:tcPr>
          <w:p w14:paraId="478972C7" w14:textId="63B84BAA" w:rsidR="00B30C77" w:rsidRPr="006D7215" w:rsidRDefault="00B30C77">
            <w:pPr>
              <w:spacing w:before="40" w:after="40"/>
              <w:jc w:val="center"/>
              <w:rPr>
                <w:rFonts w:ascii="Segoe UI Light" w:hAnsi="Segoe UI Light"/>
                <w:color w:val="FFFFFF"/>
                <w:sz w:val="16"/>
                <w:szCs w:val="20"/>
              </w:rPr>
            </w:pPr>
            <w:r w:rsidRPr="006D7215">
              <w:rPr>
                <w:rFonts w:ascii="Segoe UI Light" w:hAnsi="Segoe UI Light"/>
                <w:color w:val="FFFFFF"/>
                <w:sz w:val="16"/>
                <w:szCs w:val="20"/>
              </w:rPr>
              <w:t>202</w:t>
            </w:r>
            <w:r w:rsidR="001A59AB">
              <w:rPr>
                <w:rFonts w:ascii="Segoe UI Light" w:hAnsi="Segoe UI Light"/>
                <w:color w:val="FFFFFF"/>
                <w:sz w:val="16"/>
                <w:szCs w:val="20"/>
              </w:rPr>
              <w:t>5</w:t>
            </w:r>
          </w:p>
        </w:tc>
        <w:tc>
          <w:tcPr>
            <w:tcW w:w="850" w:type="dxa"/>
            <w:shd w:val="clear" w:color="auto" w:fill="006666"/>
            <w:vAlign w:val="center"/>
          </w:tcPr>
          <w:p w14:paraId="7F050B7D" w14:textId="7CAC98A0" w:rsidR="00B30C77" w:rsidRPr="006D7215" w:rsidRDefault="00B30C77">
            <w:pPr>
              <w:spacing w:before="40" w:after="40"/>
              <w:jc w:val="center"/>
              <w:rPr>
                <w:rFonts w:ascii="Segoe UI Light" w:hAnsi="Segoe UI Light"/>
                <w:color w:val="FFFFFF"/>
                <w:sz w:val="16"/>
                <w:szCs w:val="20"/>
              </w:rPr>
            </w:pPr>
            <w:r w:rsidRPr="006D7215">
              <w:rPr>
                <w:rFonts w:ascii="Segoe UI Light" w:hAnsi="Segoe UI Light"/>
                <w:color w:val="FFFFFF"/>
                <w:sz w:val="16"/>
                <w:szCs w:val="20"/>
              </w:rPr>
              <w:t>202</w:t>
            </w:r>
            <w:r w:rsidR="001A59AB">
              <w:rPr>
                <w:rFonts w:ascii="Segoe UI Light" w:hAnsi="Segoe UI Light"/>
                <w:color w:val="FFFFFF"/>
                <w:sz w:val="16"/>
                <w:szCs w:val="20"/>
              </w:rPr>
              <w:t>6</w:t>
            </w:r>
          </w:p>
        </w:tc>
        <w:tc>
          <w:tcPr>
            <w:tcW w:w="850" w:type="dxa"/>
            <w:shd w:val="clear" w:color="auto" w:fill="006666"/>
            <w:vAlign w:val="center"/>
          </w:tcPr>
          <w:p w14:paraId="7F96BA62" w14:textId="77777777" w:rsidR="00B30C77" w:rsidRPr="006D7215" w:rsidRDefault="00B30C77">
            <w:pPr>
              <w:spacing w:before="40" w:after="40"/>
              <w:jc w:val="center"/>
              <w:rPr>
                <w:rFonts w:ascii="Segoe UI Light" w:hAnsi="Segoe UI Light"/>
                <w:color w:val="FFFFFF"/>
                <w:sz w:val="16"/>
                <w:szCs w:val="20"/>
              </w:rPr>
            </w:pPr>
            <w:r w:rsidRPr="006D7215">
              <w:rPr>
                <w:rFonts w:ascii="Segoe UI Light" w:hAnsi="Segoe UI Light"/>
                <w:color w:val="FFFFFF"/>
                <w:sz w:val="16"/>
                <w:szCs w:val="20"/>
              </w:rPr>
              <w:t>2030</w:t>
            </w:r>
          </w:p>
        </w:tc>
        <w:tc>
          <w:tcPr>
            <w:tcW w:w="850" w:type="dxa"/>
            <w:shd w:val="clear" w:color="auto" w:fill="006666"/>
            <w:vAlign w:val="center"/>
          </w:tcPr>
          <w:p w14:paraId="54794B18" w14:textId="77777777" w:rsidR="00B30C77" w:rsidRPr="006D7215" w:rsidRDefault="00B30C77">
            <w:pPr>
              <w:spacing w:before="40" w:after="40"/>
              <w:jc w:val="center"/>
              <w:rPr>
                <w:rFonts w:ascii="Segoe UI Light" w:hAnsi="Segoe UI Light"/>
                <w:color w:val="FFFFFF"/>
                <w:sz w:val="16"/>
                <w:szCs w:val="20"/>
              </w:rPr>
            </w:pPr>
            <w:r w:rsidRPr="006D7215">
              <w:rPr>
                <w:rFonts w:ascii="Segoe UI Light" w:hAnsi="Segoe UI Light"/>
                <w:color w:val="FFFFFF"/>
                <w:sz w:val="16"/>
                <w:szCs w:val="20"/>
              </w:rPr>
              <w:t>2040</w:t>
            </w:r>
          </w:p>
        </w:tc>
        <w:tc>
          <w:tcPr>
            <w:tcW w:w="1077" w:type="dxa"/>
            <w:shd w:val="clear" w:color="auto" w:fill="006666"/>
            <w:vAlign w:val="center"/>
          </w:tcPr>
          <w:p w14:paraId="4C42BD8C" w14:textId="2A0F6CE8" w:rsidR="00B30C77" w:rsidRPr="006D7215" w:rsidRDefault="00FB5301">
            <w:pPr>
              <w:spacing w:before="40" w:after="40"/>
              <w:jc w:val="center"/>
              <w:rPr>
                <w:rFonts w:ascii="Segoe UI Light" w:hAnsi="Segoe UI Light"/>
                <w:color w:val="FFFFFF"/>
                <w:sz w:val="16"/>
                <w:szCs w:val="20"/>
              </w:rPr>
            </w:pPr>
            <w:r w:rsidRPr="006D7215">
              <w:rPr>
                <w:rFonts w:ascii="Segoe UI Light" w:hAnsi="Segoe UI Light"/>
                <w:color w:val="FFFFFF"/>
                <w:sz w:val="16"/>
                <w:szCs w:val="20"/>
              </w:rPr>
              <w:t>Izmaiņas</w:t>
            </w:r>
            <w:r w:rsidR="00B30C77" w:rsidRPr="006D7215">
              <w:rPr>
                <w:rFonts w:ascii="Segoe UI Light" w:hAnsi="Segoe UI Light"/>
                <w:color w:val="FFFFFF"/>
                <w:sz w:val="16"/>
                <w:szCs w:val="20"/>
              </w:rPr>
              <w:br/>
              <w:t>2030-202</w:t>
            </w:r>
            <w:r w:rsidR="001A59AB">
              <w:rPr>
                <w:rFonts w:ascii="Segoe UI Light" w:hAnsi="Segoe UI Light"/>
                <w:color w:val="FFFFFF"/>
                <w:sz w:val="16"/>
                <w:szCs w:val="20"/>
              </w:rPr>
              <w:t>5</w:t>
            </w:r>
          </w:p>
        </w:tc>
        <w:tc>
          <w:tcPr>
            <w:tcW w:w="1077" w:type="dxa"/>
            <w:shd w:val="clear" w:color="auto" w:fill="006666"/>
            <w:vAlign w:val="center"/>
          </w:tcPr>
          <w:p w14:paraId="376E77EE" w14:textId="05A1B75E" w:rsidR="00B30C77" w:rsidRPr="006D7215" w:rsidRDefault="00FB5301">
            <w:pPr>
              <w:spacing w:before="40" w:after="40"/>
              <w:jc w:val="center"/>
              <w:rPr>
                <w:rFonts w:ascii="Segoe UI Light" w:hAnsi="Segoe UI Light"/>
                <w:color w:val="FFFFFF"/>
                <w:sz w:val="16"/>
                <w:szCs w:val="20"/>
              </w:rPr>
            </w:pPr>
            <w:r w:rsidRPr="006D7215">
              <w:rPr>
                <w:rFonts w:ascii="Segoe UI Light" w:hAnsi="Segoe UI Light"/>
                <w:color w:val="FFFFFF"/>
                <w:sz w:val="16"/>
                <w:szCs w:val="20"/>
              </w:rPr>
              <w:t>Izmaiņas</w:t>
            </w:r>
            <w:r w:rsidR="00B30C77" w:rsidRPr="006D7215">
              <w:rPr>
                <w:rFonts w:ascii="Segoe UI Light" w:hAnsi="Segoe UI Light"/>
                <w:color w:val="FFFFFF"/>
                <w:sz w:val="16"/>
                <w:szCs w:val="20"/>
              </w:rPr>
              <w:br/>
              <w:t>2040-202</w:t>
            </w:r>
            <w:r w:rsidR="001A59AB">
              <w:rPr>
                <w:rFonts w:ascii="Segoe UI Light" w:hAnsi="Segoe UI Light"/>
                <w:color w:val="FFFFFF"/>
                <w:sz w:val="16"/>
                <w:szCs w:val="20"/>
              </w:rPr>
              <w:t>5</w:t>
            </w:r>
          </w:p>
        </w:tc>
      </w:tr>
      <w:tr w:rsidR="006A3666" w:rsidRPr="00D829F0" w14:paraId="18887CA0" w14:textId="77777777" w:rsidTr="00901B31">
        <w:trPr>
          <w:cnfStyle w:val="000000100000" w:firstRow="0" w:lastRow="0" w:firstColumn="0" w:lastColumn="0" w:oddVBand="0" w:evenVBand="0" w:oddHBand="1" w:evenHBand="0" w:firstRowFirstColumn="0" w:firstRowLastColumn="0" w:lastRowFirstColumn="0" w:lastRowLastColumn="0"/>
          <w:trHeight w:val="227"/>
          <w:jc w:val="center"/>
        </w:trPr>
        <w:tc>
          <w:tcPr>
            <w:tcW w:w="3515" w:type="dxa"/>
            <w:shd w:val="clear" w:color="auto" w:fill="DCE7EB"/>
          </w:tcPr>
          <w:p w14:paraId="0AC18BD7" w14:textId="77777777" w:rsidR="00B30C77" w:rsidRPr="006D7215" w:rsidRDefault="00B30C77">
            <w:pPr>
              <w:spacing w:before="40" w:after="40"/>
              <w:rPr>
                <w:rFonts w:ascii="Segoe UI Light" w:hAnsi="Segoe UI Light"/>
                <w:sz w:val="16"/>
                <w:szCs w:val="20"/>
              </w:rPr>
            </w:pPr>
            <w:r w:rsidRPr="006D7215">
              <w:rPr>
                <w:rFonts w:ascii="Segoe UI Light" w:hAnsi="Segoe UI Light"/>
                <w:sz w:val="16"/>
                <w:szCs w:val="20"/>
              </w:rPr>
              <w:t>Lauksaimniecība, mežsaimniecība, zivsaimniecība</w:t>
            </w:r>
          </w:p>
        </w:tc>
        <w:tc>
          <w:tcPr>
            <w:tcW w:w="850" w:type="dxa"/>
            <w:shd w:val="clear" w:color="auto" w:fill="DCE7EB"/>
            <w:vAlign w:val="bottom"/>
          </w:tcPr>
          <w:p w14:paraId="3E1E687C" w14:textId="5A318A49" w:rsidR="00B30C77" w:rsidRPr="006D7215" w:rsidRDefault="00B30C77">
            <w:pPr>
              <w:tabs>
                <w:tab w:val="decimal" w:pos="447"/>
              </w:tabs>
              <w:spacing w:before="40" w:after="40"/>
              <w:rPr>
                <w:rFonts w:ascii="Segoe UI Light" w:hAnsi="Segoe UI Light"/>
                <w:sz w:val="16"/>
                <w:szCs w:val="16"/>
              </w:rPr>
            </w:pPr>
            <w:r w:rsidRPr="00F96BD3">
              <w:rPr>
                <w:rFonts w:ascii="Segoe UI Light" w:hAnsi="Segoe UI Light"/>
                <w:sz w:val="16"/>
                <w:szCs w:val="16"/>
              </w:rPr>
              <w:t>60</w:t>
            </w:r>
          </w:p>
        </w:tc>
        <w:tc>
          <w:tcPr>
            <w:tcW w:w="850" w:type="dxa"/>
            <w:shd w:val="clear" w:color="auto" w:fill="DCE7EB"/>
            <w:vAlign w:val="bottom"/>
          </w:tcPr>
          <w:p w14:paraId="2F9B2B6C" w14:textId="587069D4"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60</w:t>
            </w:r>
          </w:p>
        </w:tc>
        <w:tc>
          <w:tcPr>
            <w:tcW w:w="850" w:type="dxa"/>
            <w:shd w:val="clear" w:color="auto" w:fill="DCE7EB"/>
            <w:vAlign w:val="bottom"/>
          </w:tcPr>
          <w:p w14:paraId="6EDDA7EC" w14:textId="60DD605D" w:rsidR="00B30C77" w:rsidRPr="006D7215" w:rsidRDefault="00B30C77">
            <w:pPr>
              <w:tabs>
                <w:tab w:val="decimal" w:pos="447"/>
              </w:tabs>
              <w:spacing w:before="40" w:after="40"/>
              <w:rPr>
                <w:rFonts w:ascii="Segoe UI Light" w:hAnsi="Segoe UI Light"/>
                <w:sz w:val="16"/>
                <w:szCs w:val="20"/>
              </w:rPr>
            </w:pPr>
            <w:r w:rsidRPr="00F96BD3">
              <w:rPr>
                <w:rFonts w:ascii="Segoe UI Light" w:hAnsi="Segoe UI Light"/>
                <w:sz w:val="16"/>
                <w:szCs w:val="20"/>
              </w:rPr>
              <w:t>58</w:t>
            </w:r>
          </w:p>
        </w:tc>
        <w:tc>
          <w:tcPr>
            <w:tcW w:w="850" w:type="dxa"/>
            <w:shd w:val="clear" w:color="auto" w:fill="DCE7EB"/>
            <w:vAlign w:val="bottom"/>
          </w:tcPr>
          <w:p w14:paraId="487FF2D5" w14:textId="48572C7E"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5</w:t>
            </w:r>
            <w:r w:rsidR="00952E53">
              <w:rPr>
                <w:rFonts w:ascii="Segoe UI Light" w:hAnsi="Segoe UI Light"/>
                <w:sz w:val="16"/>
                <w:szCs w:val="20"/>
              </w:rPr>
              <w:t>5</w:t>
            </w:r>
          </w:p>
        </w:tc>
        <w:tc>
          <w:tcPr>
            <w:tcW w:w="1077" w:type="dxa"/>
            <w:shd w:val="clear" w:color="auto" w:fill="DCE7EB"/>
            <w:vAlign w:val="bottom"/>
          </w:tcPr>
          <w:p w14:paraId="6F93B702" w14:textId="4EC38760" w:rsidR="00B30C77" w:rsidRPr="006D7215" w:rsidRDefault="00B30C77">
            <w:pPr>
              <w:tabs>
                <w:tab w:val="decimal" w:pos="447"/>
              </w:tabs>
              <w:spacing w:before="40" w:after="40"/>
              <w:rPr>
                <w:rFonts w:ascii="Segoe UI Light" w:hAnsi="Segoe UI Light"/>
                <w:sz w:val="16"/>
                <w:szCs w:val="20"/>
              </w:rPr>
            </w:pPr>
            <w:r w:rsidRPr="00F96BD3">
              <w:rPr>
                <w:rFonts w:ascii="Segoe UI Light" w:hAnsi="Segoe UI Light"/>
                <w:sz w:val="16"/>
                <w:szCs w:val="20"/>
              </w:rPr>
              <w:t>-</w:t>
            </w:r>
            <w:r w:rsidR="00682BC0">
              <w:rPr>
                <w:rFonts w:ascii="Segoe UI Light" w:hAnsi="Segoe UI Light"/>
                <w:sz w:val="16"/>
                <w:szCs w:val="20"/>
              </w:rPr>
              <w:t>3</w:t>
            </w:r>
          </w:p>
        </w:tc>
        <w:tc>
          <w:tcPr>
            <w:tcW w:w="1077" w:type="dxa"/>
            <w:shd w:val="clear" w:color="auto" w:fill="DCE7EB"/>
            <w:vAlign w:val="bottom"/>
          </w:tcPr>
          <w:p w14:paraId="10E0BB92" w14:textId="077471E2" w:rsidR="00B30C77" w:rsidRPr="006D7215" w:rsidRDefault="00B30C77">
            <w:pPr>
              <w:tabs>
                <w:tab w:val="decimal" w:pos="447"/>
              </w:tabs>
              <w:spacing w:before="40" w:after="40"/>
              <w:rPr>
                <w:rFonts w:ascii="Segoe UI Light" w:hAnsi="Segoe UI Light"/>
                <w:sz w:val="16"/>
                <w:szCs w:val="20"/>
              </w:rPr>
            </w:pPr>
            <w:r w:rsidRPr="00F96BD3">
              <w:rPr>
                <w:rFonts w:ascii="Segoe UI Light" w:hAnsi="Segoe UI Light"/>
                <w:sz w:val="16"/>
                <w:szCs w:val="20"/>
              </w:rPr>
              <w:t>-</w:t>
            </w:r>
            <w:r w:rsidR="00E75A14">
              <w:rPr>
                <w:rFonts w:ascii="Segoe UI Light" w:hAnsi="Segoe UI Light"/>
                <w:sz w:val="16"/>
                <w:szCs w:val="20"/>
              </w:rPr>
              <w:t>5</w:t>
            </w:r>
          </w:p>
        </w:tc>
      </w:tr>
      <w:tr w:rsidR="006A3666" w:rsidRPr="00D829F0" w14:paraId="7E5E4509" w14:textId="77777777" w:rsidTr="00901B31">
        <w:trPr>
          <w:jc w:val="center"/>
        </w:trPr>
        <w:tc>
          <w:tcPr>
            <w:tcW w:w="3515" w:type="dxa"/>
            <w:shd w:val="clear" w:color="auto" w:fill="auto"/>
          </w:tcPr>
          <w:p w14:paraId="4721BC86" w14:textId="77777777" w:rsidR="00B30C77" w:rsidRPr="006D7215" w:rsidRDefault="00B30C77">
            <w:pPr>
              <w:spacing w:before="40" w:after="40"/>
              <w:rPr>
                <w:rFonts w:ascii="Segoe UI Light" w:hAnsi="Segoe UI Light"/>
                <w:sz w:val="16"/>
                <w:szCs w:val="20"/>
              </w:rPr>
            </w:pPr>
            <w:r w:rsidRPr="006D7215">
              <w:rPr>
                <w:rFonts w:ascii="Segoe UI Light" w:hAnsi="Segoe UI Light"/>
                <w:sz w:val="16"/>
                <w:szCs w:val="20"/>
              </w:rPr>
              <w:t>Apstrādes rūpniecība</w:t>
            </w:r>
          </w:p>
        </w:tc>
        <w:tc>
          <w:tcPr>
            <w:tcW w:w="850" w:type="dxa"/>
            <w:shd w:val="clear" w:color="auto" w:fill="auto"/>
            <w:vAlign w:val="bottom"/>
          </w:tcPr>
          <w:p w14:paraId="744A3592" w14:textId="05C6816F"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w:t>
            </w:r>
            <w:r>
              <w:rPr>
                <w:rFonts w:ascii="Segoe UI Light" w:hAnsi="Segoe UI Light"/>
                <w:sz w:val="16"/>
                <w:szCs w:val="20"/>
              </w:rPr>
              <w:t>09</w:t>
            </w:r>
          </w:p>
        </w:tc>
        <w:tc>
          <w:tcPr>
            <w:tcW w:w="850" w:type="dxa"/>
            <w:shd w:val="clear" w:color="auto" w:fill="auto"/>
            <w:vAlign w:val="bottom"/>
          </w:tcPr>
          <w:p w14:paraId="5DF61A86" w14:textId="2292AAC7"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w:t>
            </w:r>
            <w:r>
              <w:rPr>
                <w:rFonts w:ascii="Segoe UI Light" w:hAnsi="Segoe UI Light"/>
                <w:sz w:val="16"/>
                <w:szCs w:val="20"/>
              </w:rPr>
              <w:t>09</w:t>
            </w:r>
          </w:p>
        </w:tc>
        <w:tc>
          <w:tcPr>
            <w:tcW w:w="850" w:type="dxa"/>
            <w:shd w:val="clear" w:color="auto" w:fill="auto"/>
            <w:vAlign w:val="bottom"/>
          </w:tcPr>
          <w:p w14:paraId="45646384" w14:textId="1B81F024"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11</w:t>
            </w:r>
            <w:r w:rsidR="00FF4D55">
              <w:rPr>
                <w:rFonts w:ascii="Segoe UI Light" w:hAnsi="Segoe UI Light"/>
                <w:sz w:val="16"/>
                <w:szCs w:val="20"/>
              </w:rPr>
              <w:t>1</w:t>
            </w:r>
          </w:p>
        </w:tc>
        <w:tc>
          <w:tcPr>
            <w:tcW w:w="850" w:type="dxa"/>
            <w:shd w:val="clear" w:color="auto" w:fill="auto"/>
            <w:vAlign w:val="bottom"/>
          </w:tcPr>
          <w:p w14:paraId="374A9AD1" w14:textId="412AAC09" w:rsidR="00B30C77" w:rsidRPr="006D7215" w:rsidRDefault="00B30C77">
            <w:pPr>
              <w:tabs>
                <w:tab w:val="decimal" w:pos="447"/>
              </w:tabs>
              <w:spacing w:before="40" w:after="40"/>
              <w:rPr>
                <w:rFonts w:ascii="Segoe UI Light" w:hAnsi="Segoe UI Light"/>
                <w:sz w:val="16"/>
                <w:szCs w:val="20"/>
              </w:rPr>
            </w:pPr>
            <w:r w:rsidRPr="00F96BD3">
              <w:rPr>
                <w:rFonts w:ascii="Segoe UI Light" w:hAnsi="Segoe UI Light"/>
                <w:sz w:val="16"/>
                <w:szCs w:val="20"/>
              </w:rPr>
              <w:t>112</w:t>
            </w:r>
          </w:p>
        </w:tc>
        <w:tc>
          <w:tcPr>
            <w:tcW w:w="1077" w:type="dxa"/>
            <w:shd w:val="clear" w:color="auto" w:fill="auto"/>
            <w:vAlign w:val="bottom"/>
          </w:tcPr>
          <w:p w14:paraId="442211ED" w14:textId="64DD822F" w:rsidR="00B30C77" w:rsidRPr="006D7215" w:rsidRDefault="00682BC0">
            <w:pPr>
              <w:tabs>
                <w:tab w:val="decimal" w:pos="447"/>
              </w:tabs>
              <w:spacing w:before="40" w:after="40"/>
              <w:rPr>
                <w:rFonts w:ascii="Segoe UI Light" w:hAnsi="Segoe UI Light"/>
                <w:sz w:val="16"/>
                <w:szCs w:val="20"/>
              </w:rPr>
            </w:pPr>
            <w:r>
              <w:rPr>
                <w:rFonts w:ascii="Segoe UI Light" w:hAnsi="Segoe UI Light"/>
                <w:sz w:val="16"/>
                <w:szCs w:val="20"/>
              </w:rPr>
              <w:t>2</w:t>
            </w:r>
          </w:p>
        </w:tc>
        <w:tc>
          <w:tcPr>
            <w:tcW w:w="1077" w:type="dxa"/>
            <w:shd w:val="clear" w:color="auto" w:fill="auto"/>
            <w:vAlign w:val="bottom"/>
          </w:tcPr>
          <w:p w14:paraId="6A168E4E" w14:textId="2CF5567C"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3</w:t>
            </w:r>
          </w:p>
        </w:tc>
      </w:tr>
      <w:tr w:rsidR="006A3666" w:rsidRPr="00D829F0" w14:paraId="33DBD506" w14:textId="77777777" w:rsidTr="00901B31">
        <w:trPr>
          <w:cnfStyle w:val="000000100000" w:firstRow="0" w:lastRow="0" w:firstColumn="0" w:lastColumn="0" w:oddVBand="0" w:evenVBand="0" w:oddHBand="1" w:evenHBand="0" w:firstRowFirstColumn="0" w:firstRowLastColumn="0" w:lastRowFirstColumn="0" w:lastRowLastColumn="0"/>
          <w:jc w:val="center"/>
        </w:trPr>
        <w:tc>
          <w:tcPr>
            <w:tcW w:w="3515" w:type="dxa"/>
            <w:shd w:val="clear" w:color="auto" w:fill="DCE7EB"/>
          </w:tcPr>
          <w:p w14:paraId="018B7065" w14:textId="77777777" w:rsidR="00B30C77" w:rsidRPr="006D7215" w:rsidRDefault="00B30C77">
            <w:pPr>
              <w:spacing w:before="40" w:after="40"/>
              <w:rPr>
                <w:rFonts w:ascii="Segoe UI Light" w:hAnsi="Segoe UI Light"/>
                <w:sz w:val="16"/>
                <w:szCs w:val="20"/>
              </w:rPr>
            </w:pPr>
            <w:r w:rsidRPr="006D7215">
              <w:rPr>
                <w:rFonts w:ascii="Segoe UI Light" w:hAnsi="Segoe UI Light"/>
                <w:sz w:val="16"/>
                <w:szCs w:val="20"/>
              </w:rPr>
              <w:t>Pārējā rūpniecība</w:t>
            </w:r>
          </w:p>
        </w:tc>
        <w:tc>
          <w:tcPr>
            <w:tcW w:w="850" w:type="dxa"/>
            <w:shd w:val="clear" w:color="auto" w:fill="DCE7EB"/>
            <w:vAlign w:val="bottom"/>
          </w:tcPr>
          <w:p w14:paraId="5D638B8F" w14:textId="351DE862"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2</w:t>
            </w:r>
            <w:r>
              <w:rPr>
                <w:rFonts w:ascii="Segoe UI Light" w:hAnsi="Segoe UI Light"/>
                <w:sz w:val="16"/>
                <w:szCs w:val="20"/>
              </w:rPr>
              <w:t>0</w:t>
            </w:r>
          </w:p>
        </w:tc>
        <w:tc>
          <w:tcPr>
            <w:tcW w:w="850" w:type="dxa"/>
            <w:shd w:val="clear" w:color="auto" w:fill="DCE7EB"/>
            <w:vAlign w:val="bottom"/>
          </w:tcPr>
          <w:p w14:paraId="4EEDE7FB" w14:textId="68241128"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2</w:t>
            </w:r>
            <w:r>
              <w:rPr>
                <w:rFonts w:ascii="Segoe UI Light" w:hAnsi="Segoe UI Light"/>
                <w:sz w:val="16"/>
                <w:szCs w:val="20"/>
              </w:rPr>
              <w:t>0</w:t>
            </w:r>
          </w:p>
        </w:tc>
        <w:tc>
          <w:tcPr>
            <w:tcW w:w="850" w:type="dxa"/>
            <w:shd w:val="clear" w:color="auto" w:fill="DCE7EB"/>
            <w:vAlign w:val="bottom"/>
          </w:tcPr>
          <w:p w14:paraId="17E9773B" w14:textId="534EC340" w:rsidR="00B30C77" w:rsidRPr="006D7215" w:rsidRDefault="00B30C77">
            <w:pPr>
              <w:tabs>
                <w:tab w:val="decimal" w:pos="447"/>
              </w:tabs>
              <w:spacing w:before="40" w:after="40"/>
              <w:rPr>
                <w:rFonts w:ascii="Segoe UI Light" w:hAnsi="Segoe UI Light"/>
                <w:sz w:val="16"/>
                <w:szCs w:val="20"/>
              </w:rPr>
            </w:pPr>
            <w:r w:rsidRPr="00F96BD3">
              <w:rPr>
                <w:rFonts w:ascii="Segoe UI Light" w:hAnsi="Segoe UI Light"/>
                <w:sz w:val="16"/>
                <w:szCs w:val="20"/>
              </w:rPr>
              <w:t>21</w:t>
            </w:r>
          </w:p>
        </w:tc>
        <w:tc>
          <w:tcPr>
            <w:tcW w:w="850" w:type="dxa"/>
            <w:shd w:val="clear" w:color="auto" w:fill="DCE7EB"/>
            <w:vAlign w:val="bottom"/>
          </w:tcPr>
          <w:p w14:paraId="728FCD40" w14:textId="518F3A41" w:rsidR="00B30C77" w:rsidRPr="006D7215" w:rsidRDefault="00B30C77">
            <w:pPr>
              <w:tabs>
                <w:tab w:val="decimal" w:pos="447"/>
              </w:tabs>
              <w:spacing w:before="40" w:after="40"/>
              <w:rPr>
                <w:rFonts w:ascii="Segoe UI Light" w:hAnsi="Segoe UI Light"/>
                <w:sz w:val="16"/>
                <w:szCs w:val="20"/>
              </w:rPr>
            </w:pPr>
            <w:r w:rsidRPr="00F96BD3">
              <w:rPr>
                <w:rFonts w:ascii="Segoe UI Light" w:hAnsi="Segoe UI Light"/>
                <w:sz w:val="16"/>
                <w:szCs w:val="20"/>
              </w:rPr>
              <w:t>22</w:t>
            </w:r>
          </w:p>
        </w:tc>
        <w:tc>
          <w:tcPr>
            <w:tcW w:w="1077" w:type="dxa"/>
            <w:shd w:val="clear" w:color="auto" w:fill="DCE7EB"/>
            <w:vAlign w:val="bottom"/>
          </w:tcPr>
          <w:p w14:paraId="11C200A5" w14:textId="58E425BE"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1</w:t>
            </w:r>
          </w:p>
        </w:tc>
        <w:tc>
          <w:tcPr>
            <w:tcW w:w="1077" w:type="dxa"/>
            <w:shd w:val="clear" w:color="auto" w:fill="DCE7EB"/>
            <w:vAlign w:val="bottom"/>
          </w:tcPr>
          <w:p w14:paraId="5A9F7F19" w14:textId="75079654"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2</w:t>
            </w:r>
          </w:p>
        </w:tc>
      </w:tr>
      <w:tr w:rsidR="006A3666" w:rsidRPr="00D829F0" w14:paraId="3C67CA1F" w14:textId="77777777" w:rsidTr="00901B31">
        <w:trPr>
          <w:jc w:val="center"/>
        </w:trPr>
        <w:tc>
          <w:tcPr>
            <w:tcW w:w="3515" w:type="dxa"/>
            <w:shd w:val="clear" w:color="auto" w:fill="auto"/>
          </w:tcPr>
          <w:p w14:paraId="13881316" w14:textId="77777777" w:rsidR="00B30C77" w:rsidRPr="006D7215" w:rsidRDefault="00B30C77">
            <w:pPr>
              <w:spacing w:before="40" w:after="40"/>
              <w:rPr>
                <w:rFonts w:ascii="Segoe UI Light" w:hAnsi="Segoe UI Light"/>
                <w:sz w:val="16"/>
                <w:szCs w:val="20"/>
              </w:rPr>
            </w:pPr>
            <w:r w:rsidRPr="006D7215">
              <w:rPr>
                <w:rFonts w:ascii="Segoe UI Light" w:hAnsi="Segoe UI Light"/>
                <w:sz w:val="16"/>
                <w:szCs w:val="20"/>
              </w:rPr>
              <w:t>Būvniecība</w:t>
            </w:r>
          </w:p>
        </w:tc>
        <w:tc>
          <w:tcPr>
            <w:tcW w:w="850" w:type="dxa"/>
            <w:shd w:val="clear" w:color="auto" w:fill="auto"/>
            <w:vAlign w:val="bottom"/>
          </w:tcPr>
          <w:p w14:paraId="6650E68A" w14:textId="241A833C"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6</w:t>
            </w:r>
            <w:r w:rsidRPr="00F96BD3">
              <w:rPr>
                <w:rFonts w:ascii="Segoe UI Light" w:hAnsi="Segoe UI Light"/>
                <w:sz w:val="16"/>
                <w:szCs w:val="20"/>
              </w:rPr>
              <w:t>2</w:t>
            </w:r>
          </w:p>
        </w:tc>
        <w:tc>
          <w:tcPr>
            <w:tcW w:w="850" w:type="dxa"/>
            <w:shd w:val="clear" w:color="auto" w:fill="auto"/>
            <w:vAlign w:val="bottom"/>
          </w:tcPr>
          <w:p w14:paraId="48A93B23" w14:textId="547E4350"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65</w:t>
            </w:r>
          </w:p>
        </w:tc>
        <w:tc>
          <w:tcPr>
            <w:tcW w:w="850" w:type="dxa"/>
            <w:shd w:val="clear" w:color="auto" w:fill="auto"/>
            <w:vAlign w:val="bottom"/>
          </w:tcPr>
          <w:p w14:paraId="1F4E82FC" w14:textId="31C043FE"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77</w:t>
            </w:r>
          </w:p>
        </w:tc>
        <w:tc>
          <w:tcPr>
            <w:tcW w:w="850" w:type="dxa"/>
            <w:shd w:val="clear" w:color="auto" w:fill="auto"/>
            <w:vAlign w:val="bottom"/>
          </w:tcPr>
          <w:p w14:paraId="2203CC26" w14:textId="07594280"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73</w:t>
            </w:r>
          </w:p>
        </w:tc>
        <w:tc>
          <w:tcPr>
            <w:tcW w:w="1077" w:type="dxa"/>
            <w:shd w:val="clear" w:color="auto" w:fill="auto"/>
            <w:vAlign w:val="bottom"/>
          </w:tcPr>
          <w:p w14:paraId="06BB960A" w14:textId="17FF0E63"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w:t>
            </w:r>
            <w:r>
              <w:rPr>
                <w:rFonts w:ascii="Segoe UI Light" w:hAnsi="Segoe UI Light"/>
                <w:sz w:val="16"/>
                <w:szCs w:val="20"/>
              </w:rPr>
              <w:t>5</w:t>
            </w:r>
          </w:p>
        </w:tc>
        <w:tc>
          <w:tcPr>
            <w:tcW w:w="1077" w:type="dxa"/>
            <w:shd w:val="clear" w:color="auto" w:fill="auto"/>
            <w:vAlign w:val="bottom"/>
          </w:tcPr>
          <w:p w14:paraId="6577B501" w14:textId="210F6398"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11</w:t>
            </w:r>
          </w:p>
        </w:tc>
      </w:tr>
      <w:tr w:rsidR="006A3666" w:rsidRPr="00D829F0" w14:paraId="4091F812" w14:textId="77777777" w:rsidTr="00901B31">
        <w:trPr>
          <w:cnfStyle w:val="000000100000" w:firstRow="0" w:lastRow="0" w:firstColumn="0" w:lastColumn="0" w:oddVBand="0" w:evenVBand="0" w:oddHBand="1" w:evenHBand="0" w:firstRowFirstColumn="0" w:firstRowLastColumn="0" w:lastRowFirstColumn="0" w:lastRowLastColumn="0"/>
          <w:jc w:val="center"/>
        </w:trPr>
        <w:tc>
          <w:tcPr>
            <w:tcW w:w="3515" w:type="dxa"/>
            <w:shd w:val="clear" w:color="auto" w:fill="DCE7EB"/>
          </w:tcPr>
          <w:p w14:paraId="74C1CA2B" w14:textId="77777777" w:rsidR="00B30C77" w:rsidRPr="006D7215" w:rsidRDefault="00B30C77">
            <w:pPr>
              <w:spacing w:before="40" w:after="40"/>
              <w:rPr>
                <w:rFonts w:ascii="Segoe UI Light" w:hAnsi="Segoe UI Light"/>
                <w:sz w:val="16"/>
                <w:szCs w:val="20"/>
              </w:rPr>
            </w:pPr>
            <w:r w:rsidRPr="006D7215">
              <w:rPr>
                <w:rFonts w:ascii="Segoe UI Light" w:hAnsi="Segoe UI Light"/>
                <w:sz w:val="16"/>
                <w:szCs w:val="20"/>
              </w:rPr>
              <w:t>Tirdzniecība un izmitināšana</w:t>
            </w:r>
          </w:p>
        </w:tc>
        <w:tc>
          <w:tcPr>
            <w:tcW w:w="850" w:type="dxa"/>
            <w:shd w:val="clear" w:color="auto" w:fill="DCE7EB"/>
            <w:vAlign w:val="bottom"/>
          </w:tcPr>
          <w:p w14:paraId="4975DBB1" w14:textId="6E62F102"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w:t>
            </w:r>
            <w:r>
              <w:rPr>
                <w:rFonts w:ascii="Segoe UI Light" w:hAnsi="Segoe UI Light"/>
                <w:sz w:val="16"/>
                <w:szCs w:val="20"/>
              </w:rPr>
              <w:t>5</w:t>
            </w:r>
            <w:r w:rsidRPr="00F96BD3">
              <w:rPr>
                <w:rFonts w:ascii="Segoe UI Light" w:hAnsi="Segoe UI Light"/>
                <w:sz w:val="16"/>
                <w:szCs w:val="20"/>
              </w:rPr>
              <w:t>6</w:t>
            </w:r>
          </w:p>
        </w:tc>
        <w:tc>
          <w:tcPr>
            <w:tcW w:w="850" w:type="dxa"/>
            <w:shd w:val="clear" w:color="auto" w:fill="DCE7EB"/>
            <w:vAlign w:val="bottom"/>
          </w:tcPr>
          <w:p w14:paraId="4979E9BF" w14:textId="6C45CF86"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15</w:t>
            </w:r>
            <w:r>
              <w:rPr>
                <w:rFonts w:ascii="Segoe UI Light" w:hAnsi="Segoe UI Light"/>
                <w:sz w:val="16"/>
                <w:szCs w:val="20"/>
              </w:rPr>
              <w:t>5</w:t>
            </w:r>
          </w:p>
        </w:tc>
        <w:tc>
          <w:tcPr>
            <w:tcW w:w="850" w:type="dxa"/>
            <w:shd w:val="clear" w:color="auto" w:fill="DCE7EB"/>
            <w:vAlign w:val="bottom"/>
          </w:tcPr>
          <w:p w14:paraId="6509130F" w14:textId="5863CDBF"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14</w:t>
            </w:r>
            <w:r>
              <w:rPr>
                <w:rFonts w:ascii="Segoe UI Light" w:hAnsi="Segoe UI Light"/>
                <w:sz w:val="16"/>
                <w:szCs w:val="20"/>
              </w:rPr>
              <w:t>7</w:t>
            </w:r>
          </w:p>
        </w:tc>
        <w:tc>
          <w:tcPr>
            <w:tcW w:w="850" w:type="dxa"/>
            <w:shd w:val="clear" w:color="auto" w:fill="DCE7EB"/>
            <w:vAlign w:val="bottom"/>
          </w:tcPr>
          <w:p w14:paraId="282D1C03" w14:textId="2C15E71C"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13</w:t>
            </w:r>
            <w:r>
              <w:rPr>
                <w:rFonts w:ascii="Segoe UI Light" w:hAnsi="Segoe UI Light"/>
                <w:sz w:val="16"/>
                <w:szCs w:val="20"/>
              </w:rPr>
              <w:t>5</w:t>
            </w:r>
          </w:p>
        </w:tc>
        <w:tc>
          <w:tcPr>
            <w:tcW w:w="1077" w:type="dxa"/>
            <w:shd w:val="clear" w:color="auto" w:fill="DCE7EB"/>
            <w:vAlign w:val="bottom"/>
          </w:tcPr>
          <w:p w14:paraId="659878B4" w14:textId="183471BE" w:rsidR="00B30C77" w:rsidRPr="006D7215" w:rsidRDefault="00B30C77">
            <w:pPr>
              <w:tabs>
                <w:tab w:val="decimal" w:pos="447"/>
              </w:tabs>
              <w:spacing w:before="40" w:after="40"/>
              <w:rPr>
                <w:rFonts w:ascii="Segoe UI Light" w:hAnsi="Segoe UI Light"/>
                <w:sz w:val="16"/>
                <w:szCs w:val="20"/>
              </w:rPr>
            </w:pPr>
            <w:r w:rsidRPr="00F96BD3">
              <w:rPr>
                <w:rFonts w:ascii="Segoe UI Light" w:hAnsi="Segoe UI Light"/>
                <w:sz w:val="16"/>
                <w:szCs w:val="20"/>
              </w:rPr>
              <w:t>-</w:t>
            </w:r>
            <w:r w:rsidR="00E75A14">
              <w:rPr>
                <w:rFonts w:ascii="Segoe UI Light" w:hAnsi="Segoe UI Light"/>
                <w:sz w:val="16"/>
                <w:szCs w:val="20"/>
              </w:rPr>
              <w:t>9</w:t>
            </w:r>
          </w:p>
        </w:tc>
        <w:tc>
          <w:tcPr>
            <w:tcW w:w="1077" w:type="dxa"/>
            <w:shd w:val="clear" w:color="auto" w:fill="DCE7EB"/>
            <w:vAlign w:val="bottom"/>
          </w:tcPr>
          <w:p w14:paraId="255B7486" w14:textId="5DF65224" w:rsidR="00B30C77" w:rsidRPr="006D7215" w:rsidRDefault="00B30C77">
            <w:pPr>
              <w:tabs>
                <w:tab w:val="decimal" w:pos="447"/>
              </w:tabs>
              <w:spacing w:before="40" w:after="40"/>
              <w:rPr>
                <w:rFonts w:ascii="Segoe UI Light" w:hAnsi="Segoe UI Light"/>
                <w:sz w:val="16"/>
                <w:szCs w:val="20"/>
              </w:rPr>
            </w:pPr>
            <w:r w:rsidRPr="00F96BD3">
              <w:rPr>
                <w:rFonts w:ascii="Segoe UI Light" w:hAnsi="Segoe UI Light"/>
                <w:sz w:val="16"/>
                <w:szCs w:val="20"/>
              </w:rPr>
              <w:t>-</w:t>
            </w:r>
            <w:r w:rsidR="00E75A14">
              <w:rPr>
                <w:rFonts w:ascii="Segoe UI Light" w:hAnsi="Segoe UI Light"/>
                <w:sz w:val="16"/>
                <w:szCs w:val="20"/>
              </w:rPr>
              <w:t>2</w:t>
            </w:r>
            <w:r w:rsidR="00682BC0">
              <w:rPr>
                <w:rFonts w:ascii="Segoe UI Light" w:hAnsi="Segoe UI Light"/>
                <w:sz w:val="16"/>
                <w:szCs w:val="20"/>
              </w:rPr>
              <w:t>2</w:t>
            </w:r>
          </w:p>
        </w:tc>
      </w:tr>
      <w:tr w:rsidR="006A3666" w:rsidRPr="00D829F0" w14:paraId="3CACC370" w14:textId="77777777" w:rsidTr="00901B31">
        <w:trPr>
          <w:jc w:val="center"/>
        </w:trPr>
        <w:tc>
          <w:tcPr>
            <w:tcW w:w="3515" w:type="dxa"/>
            <w:shd w:val="clear" w:color="auto" w:fill="auto"/>
          </w:tcPr>
          <w:p w14:paraId="3AE697A4" w14:textId="77777777" w:rsidR="00B30C77" w:rsidRPr="006D7215" w:rsidRDefault="00B30C77">
            <w:pPr>
              <w:spacing w:before="40" w:after="40"/>
              <w:rPr>
                <w:rFonts w:ascii="Segoe UI Light" w:hAnsi="Segoe UI Light"/>
                <w:sz w:val="16"/>
                <w:szCs w:val="20"/>
              </w:rPr>
            </w:pPr>
            <w:r w:rsidRPr="006D7215">
              <w:rPr>
                <w:rFonts w:ascii="Segoe UI Light" w:hAnsi="Segoe UI Light"/>
                <w:sz w:val="16"/>
                <w:szCs w:val="20"/>
              </w:rPr>
              <w:t>Transports un uzglabāšana</w:t>
            </w:r>
          </w:p>
        </w:tc>
        <w:tc>
          <w:tcPr>
            <w:tcW w:w="850" w:type="dxa"/>
            <w:shd w:val="clear" w:color="auto" w:fill="auto"/>
            <w:vAlign w:val="bottom"/>
          </w:tcPr>
          <w:p w14:paraId="3B5444E5" w14:textId="2B4D82CA"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6</w:t>
            </w:r>
            <w:r>
              <w:rPr>
                <w:rFonts w:ascii="Segoe UI Light" w:hAnsi="Segoe UI Light"/>
                <w:sz w:val="16"/>
                <w:szCs w:val="20"/>
              </w:rPr>
              <w:t>4</w:t>
            </w:r>
          </w:p>
        </w:tc>
        <w:tc>
          <w:tcPr>
            <w:tcW w:w="850" w:type="dxa"/>
            <w:shd w:val="clear" w:color="auto" w:fill="auto"/>
            <w:vAlign w:val="bottom"/>
          </w:tcPr>
          <w:p w14:paraId="2AE3E89F" w14:textId="13B67958"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6</w:t>
            </w:r>
            <w:r w:rsidRPr="00F96BD3">
              <w:rPr>
                <w:rFonts w:ascii="Segoe UI Light" w:hAnsi="Segoe UI Light"/>
                <w:sz w:val="16"/>
                <w:szCs w:val="20"/>
              </w:rPr>
              <w:t>3</w:t>
            </w:r>
          </w:p>
        </w:tc>
        <w:tc>
          <w:tcPr>
            <w:tcW w:w="850" w:type="dxa"/>
            <w:shd w:val="clear" w:color="auto" w:fill="auto"/>
            <w:vAlign w:val="bottom"/>
          </w:tcPr>
          <w:p w14:paraId="045FF707" w14:textId="44DCB30F"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6</w:t>
            </w:r>
            <w:r>
              <w:rPr>
                <w:rFonts w:ascii="Segoe UI Light" w:hAnsi="Segoe UI Light"/>
                <w:sz w:val="16"/>
                <w:szCs w:val="20"/>
              </w:rPr>
              <w:t>4</w:t>
            </w:r>
          </w:p>
        </w:tc>
        <w:tc>
          <w:tcPr>
            <w:tcW w:w="850" w:type="dxa"/>
            <w:shd w:val="clear" w:color="auto" w:fill="auto"/>
            <w:vAlign w:val="bottom"/>
          </w:tcPr>
          <w:p w14:paraId="70948428" w14:textId="3BB6A8AF"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6</w:t>
            </w:r>
            <w:r>
              <w:rPr>
                <w:rFonts w:ascii="Segoe UI Light" w:hAnsi="Segoe UI Light"/>
                <w:sz w:val="16"/>
                <w:szCs w:val="20"/>
              </w:rPr>
              <w:t>5</w:t>
            </w:r>
          </w:p>
        </w:tc>
        <w:tc>
          <w:tcPr>
            <w:tcW w:w="1077" w:type="dxa"/>
            <w:shd w:val="clear" w:color="auto" w:fill="auto"/>
            <w:vAlign w:val="bottom"/>
          </w:tcPr>
          <w:p w14:paraId="0C9EF0B7" w14:textId="5A1F5CD7"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0</w:t>
            </w:r>
          </w:p>
        </w:tc>
        <w:tc>
          <w:tcPr>
            <w:tcW w:w="1077" w:type="dxa"/>
            <w:shd w:val="clear" w:color="auto" w:fill="auto"/>
            <w:vAlign w:val="bottom"/>
          </w:tcPr>
          <w:p w14:paraId="48854B76" w14:textId="75314E53" w:rsidR="00B30C77" w:rsidRPr="006D7215" w:rsidRDefault="00682BC0">
            <w:pPr>
              <w:tabs>
                <w:tab w:val="decimal" w:pos="447"/>
              </w:tabs>
              <w:spacing w:before="40" w:after="40"/>
              <w:rPr>
                <w:rFonts w:ascii="Segoe UI Light" w:hAnsi="Segoe UI Light"/>
                <w:sz w:val="16"/>
                <w:szCs w:val="20"/>
              </w:rPr>
            </w:pPr>
            <w:r>
              <w:rPr>
                <w:rFonts w:ascii="Segoe UI Light" w:hAnsi="Segoe UI Light"/>
                <w:sz w:val="16"/>
                <w:szCs w:val="20"/>
              </w:rPr>
              <w:t>1</w:t>
            </w:r>
          </w:p>
        </w:tc>
      </w:tr>
      <w:tr w:rsidR="006A3666" w:rsidRPr="00D829F0" w14:paraId="39BC348B" w14:textId="77777777" w:rsidTr="00901B31">
        <w:trPr>
          <w:cnfStyle w:val="000000100000" w:firstRow="0" w:lastRow="0" w:firstColumn="0" w:lastColumn="0" w:oddVBand="0" w:evenVBand="0" w:oddHBand="1" w:evenHBand="0" w:firstRowFirstColumn="0" w:firstRowLastColumn="0" w:lastRowFirstColumn="0" w:lastRowLastColumn="0"/>
          <w:jc w:val="center"/>
        </w:trPr>
        <w:tc>
          <w:tcPr>
            <w:tcW w:w="3515" w:type="dxa"/>
            <w:shd w:val="clear" w:color="auto" w:fill="DCE7EB"/>
          </w:tcPr>
          <w:p w14:paraId="4AD263CC" w14:textId="77777777" w:rsidR="00B30C77" w:rsidRPr="006D7215" w:rsidRDefault="00B30C77">
            <w:pPr>
              <w:spacing w:before="40" w:after="40"/>
              <w:rPr>
                <w:rFonts w:ascii="Segoe UI Light" w:hAnsi="Segoe UI Light"/>
                <w:sz w:val="16"/>
                <w:szCs w:val="20"/>
              </w:rPr>
            </w:pPr>
            <w:r w:rsidRPr="006D7215">
              <w:rPr>
                <w:rFonts w:ascii="Segoe UI Light" w:hAnsi="Segoe UI Light"/>
                <w:sz w:val="16"/>
                <w:szCs w:val="20"/>
              </w:rPr>
              <w:t>Citi komercpakalpojumi</w:t>
            </w:r>
          </w:p>
        </w:tc>
        <w:tc>
          <w:tcPr>
            <w:tcW w:w="850" w:type="dxa"/>
            <w:shd w:val="clear" w:color="auto" w:fill="DCE7EB"/>
            <w:vAlign w:val="bottom"/>
          </w:tcPr>
          <w:p w14:paraId="044B6739" w14:textId="2FC00AF1"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w:t>
            </w:r>
            <w:r>
              <w:rPr>
                <w:rFonts w:ascii="Segoe UI Light" w:hAnsi="Segoe UI Light"/>
                <w:sz w:val="16"/>
                <w:szCs w:val="20"/>
              </w:rPr>
              <w:t>96</w:t>
            </w:r>
          </w:p>
        </w:tc>
        <w:tc>
          <w:tcPr>
            <w:tcW w:w="850" w:type="dxa"/>
            <w:shd w:val="clear" w:color="auto" w:fill="DCE7EB"/>
            <w:vAlign w:val="bottom"/>
          </w:tcPr>
          <w:p w14:paraId="5BC3AE94" w14:textId="4FF31268"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1</w:t>
            </w:r>
            <w:r>
              <w:rPr>
                <w:rFonts w:ascii="Segoe UI Light" w:hAnsi="Segoe UI Light"/>
                <w:sz w:val="16"/>
                <w:szCs w:val="20"/>
              </w:rPr>
              <w:t>9</w:t>
            </w:r>
            <w:r w:rsidR="00D63A81">
              <w:rPr>
                <w:rFonts w:ascii="Segoe UI Light" w:hAnsi="Segoe UI Light"/>
                <w:sz w:val="16"/>
                <w:szCs w:val="20"/>
              </w:rPr>
              <w:t>8</w:t>
            </w:r>
          </w:p>
        </w:tc>
        <w:tc>
          <w:tcPr>
            <w:tcW w:w="850" w:type="dxa"/>
            <w:shd w:val="clear" w:color="auto" w:fill="DCE7EB"/>
            <w:vAlign w:val="bottom"/>
          </w:tcPr>
          <w:p w14:paraId="7D0D386E" w14:textId="792541D5"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2</w:t>
            </w:r>
            <w:r w:rsidR="00FF4D55">
              <w:rPr>
                <w:rFonts w:ascii="Segoe UI Light" w:hAnsi="Segoe UI Light"/>
                <w:sz w:val="16"/>
                <w:szCs w:val="20"/>
              </w:rPr>
              <w:t>11</w:t>
            </w:r>
          </w:p>
        </w:tc>
        <w:tc>
          <w:tcPr>
            <w:tcW w:w="850" w:type="dxa"/>
            <w:shd w:val="clear" w:color="auto" w:fill="DCE7EB"/>
            <w:vAlign w:val="bottom"/>
          </w:tcPr>
          <w:p w14:paraId="7F3ADDE7" w14:textId="252D2CCC"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2</w:t>
            </w:r>
            <w:r>
              <w:rPr>
                <w:rFonts w:ascii="Segoe UI Light" w:hAnsi="Segoe UI Light"/>
                <w:sz w:val="16"/>
                <w:szCs w:val="20"/>
              </w:rPr>
              <w:t>2</w:t>
            </w:r>
            <w:r w:rsidR="00952E53">
              <w:rPr>
                <w:rFonts w:ascii="Segoe UI Light" w:hAnsi="Segoe UI Light"/>
                <w:sz w:val="16"/>
                <w:szCs w:val="20"/>
              </w:rPr>
              <w:t>5</w:t>
            </w:r>
          </w:p>
        </w:tc>
        <w:tc>
          <w:tcPr>
            <w:tcW w:w="1077" w:type="dxa"/>
            <w:shd w:val="clear" w:color="auto" w:fill="DCE7EB"/>
            <w:vAlign w:val="bottom"/>
          </w:tcPr>
          <w:p w14:paraId="105FD032" w14:textId="1EA822DD"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1</w:t>
            </w:r>
            <w:r w:rsidR="00682BC0">
              <w:rPr>
                <w:rFonts w:ascii="Segoe UI Light" w:hAnsi="Segoe UI Light"/>
                <w:sz w:val="16"/>
                <w:szCs w:val="20"/>
              </w:rPr>
              <w:t>5</w:t>
            </w:r>
          </w:p>
        </w:tc>
        <w:tc>
          <w:tcPr>
            <w:tcW w:w="1077" w:type="dxa"/>
            <w:shd w:val="clear" w:color="auto" w:fill="DCE7EB"/>
            <w:vAlign w:val="bottom"/>
          </w:tcPr>
          <w:p w14:paraId="46C2C995" w14:textId="54BA9499"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2</w:t>
            </w:r>
            <w:r w:rsidR="00682BC0">
              <w:rPr>
                <w:rFonts w:ascii="Segoe UI Light" w:hAnsi="Segoe UI Light"/>
                <w:sz w:val="16"/>
                <w:szCs w:val="20"/>
              </w:rPr>
              <w:t>9</w:t>
            </w:r>
          </w:p>
        </w:tc>
      </w:tr>
      <w:tr w:rsidR="006A3666" w:rsidRPr="00D829F0" w14:paraId="483EEC39" w14:textId="77777777" w:rsidTr="00901B31">
        <w:trPr>
          <w:jc w:val="center"/>
        </w:trPr>
        <w:tc>
          <w:tcPr>
            <w:tcW w:w="3515" w:type="dxa"/>
            <w:shd w:val="clear" w:color="auto" w:fill="auto"/>
          </w:tcPr>
          <w:p w14:paraId="0438830E" w14:textId="77777777" w:rsidR="00B30C77" w:rsidRPr="006D7215" w:rsidRDefault="00B30C77">
            <w:pPr>
              <w:spacing w:before="40" w:after="40"/>
              <w:rPr>
                <w:rFonts w:ascii="Segoe UI Light" w:hAnsi="Segoe UI Light"/>
                <w:sz w:val="16"/>
                <w:szCs w:val="20"/>
              </w:rPr>
            </w:pPr>
            <w:r w:rsidRPr="006D7215">
              <w:rPr>
                <w:rFonts w:ascii="Segoe UI Light" w:hAnsi="Segoe UI Light"/>
                <w:sz w:val="16"/>
                <w:szCs w:val="20"/>
              </w:rPr>
              <w:t>Sabiedriskie pakalpojumi</w:t>
            </w:r>
          </w:p>
        </w:tc>
        <w:tc>
          <w:tcPr>
            <w:tcW w:w="850" w:type="dxa"/>
            <w:shd w:val="clear" w:color="auto" w:fill="auto"/>
            <w:vAlign w:val="bottom"/>
          </w:tcPr>
          <w:p w14:paraId="0708594D" w14:textId="5128CF88" w:rsidR="00B30C77" w:rsidRPr="006D7215" w:rsidRDefault="00E75A14">
            <w:pPr>
              <w:tabs>
                <w:tab w:val="decimal" w:pos="447"/>
              </w:tabs>
              <w:spacing w:before="40" w:after="40"/>
              <w:rPr>
                <w:rFonts w:ascii="Segoe UI Light" w:hAnsi="Segoe UI Light"/>
                <w:sz w:val="16"/>
                <w:szCs w:val="16"/>
              </w:rPr>
            </w:pPr>
            <w:r w:rsidRPr="00F96BD3">
              <w:rPr>
                <w:rFonts w:ascii="Segoe UI Light" w:hAnsi="Segoe UI Light"/>
                <w:sz w:val="16"/>
                <w:szCs w:val="16"/>
              </w:rPr>
              <w:t>2</w:t>
            </w:r>
            <w:r>
              <w:rPr>
                <w:rFonts w:ascii="Segoe UI Light" w:hAnsi="Segoe UI Light"/>
                <w:sz w:val="16"/>
                <w:szCs w:val="16"/>
              </w:rPr>
              <w:t>1</w:t>
            </w:r>
            <w:r w:rsidRPr="00F96BD3">
              <w:rPr>
                <w:rFonts w:ascii="Segoe UI Light" w:hAnsi="Segoe UI Light"/>
                <w:sz w:val="16"/>
                <w:szCs w:val="16"/>
              </w:rPr>
              <w:t>5</w:t>
            </w:r>
          </w:p>
        </w:tc>
        <w:tc>
          <w:tcPr>
            <w:tcW w:w="850" w:type="dxa"/>
            <w:shd w:val="clear" w:color="auto" w:fill="auto"/>
            <w:vAlign w:val="bottom"/>
          </w:tcPr>
          <w:p w14:paraId="66568EB3" w14:textId="14D54F64"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2</w:t>
            </w:r>
            <w:r>
              <w:rPr>
                <w:rFonts w:ascii="Segoe UI Light" w:hAnsi="Segoe UI Light"/>
                <w:sz w:val="16"/>
                <w:szCs w:val="20"/>
              </w:rPr>
              <w:t>1</w:t>
            </w:r>
            <w:r w:rsidR="00394A79">
              <w:rPr>
                <w:rFonts w:ascii="Segoe UI Light" w:hAnsi="Segoe UI Light"/>
                <w:sz w:val="16"/>
                <w:szCs w:val="20"/>
              </w:rPr>
              <w:t>4</w:t>
            </w:r>
          </w:p>
        </w:tc>
        <w:tc>
          <w:tcPr>
            <w:tcW w:w="850" w:type="dxa"/>
            <w:shd w:val="clear" w:color="auto" w:fill="auto"/>
            <w:vAlign w:val="bottom"/>
          </w:tcPr>
          <w:p w14:paraId="21AD5DEB" w14:textId="40ADEF3E" w:rsidR="00B30C77" w:rsidRPr="006D7215" w:rsidRDefault="00E75A14">
            <w:pPr>
              <w:tabs>
                <w:tab w:val="decimal" w:pos="447"/>
              </w:tabs>
              <w:spacing w:before="40" w:after="40"/>
              <w:rPr>
                <w:rFonts w:ascii="Segoe UI Light" w:hAnsi="Segoe UI Light"/>
                <w:sz w:val="16"/>
                <w:szCs w:val="20"/>
              </w:rPr>
            </w:pPr>
            <w:r w:rsidRPr="00F96BD3">
              <w:rPr>
                <w:rFonts w:ascii="Segoe UI Light" w:hAnsi="Segoe UI Light"/>
                <w:sz w:val="16"/>
                <w:szCs w:val="20"/>
              </w:rPr>
              <w:t>2</w:t>
            </w:r>
            <w:r>
              <w:rPr>
                <w:rFonts w:ascii="Segoe UI Light" w:hAnsi="Segoe UI Light"/>
                <w:sz w:val="16"/>
                <w:szCs w:val="20"/>
              </w:rPr>
              <w:t>1</w:t>
            </w:r>
            <w:r w:rsidR="00FF4D55">
              <w:rPr>
                <w:rFonts w:ascii="Segoe UI Light" w:hAnsi="Segoe UI Light"/>
                <w:sz w:val="16"/>
                <w:szCs w:val="20"/>
              </w:rPr>
              <w:t>1</w:t>
            </w:r>
          </w:p>
        </w:tc>
        <w:tc>
          <w:tcPr>
            <w:tcW w:w="850" w:type="dxa"/>
            <w:shd w:val="clear" w:color="auto" w:fill="auto"/>
            <w:vAlign w:val="bottom"/>
          </w:tcPr>
          <w:p w14:paraId="12F8C1A3" w14:textId="4570467B"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202</w:t>
            </w:r>
          </w:p>
        </w:tc>
        <w:tc>
          <w:tcPr>
            <w:tcW w:w="1077" w:type="dxa"/>
            <w:shd w:val="clear" w:color="auto" w:fill="auto"/>
            <w:vAlign w:val="bottom"/>
          </w:tcPr>
          <w:p w14:paraId="6C2945B5" w14:textId="59D4BF4B" w:rsidR="00B30C77" w:rsidRPr="006D7215" w:rsidRDefault="00E75A14">
            <w:pPr>
              <w:tabs>
                <w:tab w:val="decimal" w:pos="447"/>
              </w:tabs>
              <w:spacing w:before="40" w:after="40"/>
              <w:rPr>
                <w:rFonts w:ascii="Segoe UI Light" w:hAnsi="Segoe UI Light"/>
                <w:sz w:val="16"/>
                <w:szCs w:val="20"/>
              </w:rPr>
            </w:pPr>
            <w:r>
              <w:rPr>
                <w:rFonts w:ascii="Segoe UI Light" w:hAnsi="Segoe UI Light"/>
                <w:sz w:val="16"/>
                <w:szCs w:val="20"/>
              </w:rPr>
              <w:t>-</w:t>
            </w:r>
            <w:r w:rsidR="00682BC0">
              <w:rPr>
                <w:rFonts w:ascii="Segoe UI Light" w:hAnsi="Segoe UI Light"/>
                <w:sz w:val="16"/>
                <w:szCs w:val="20"/>
              </w:rPr>
              <w:t>4</w:t>
            </w:r>
          </w:p>
        </w:tc>
        <w:tc>
          <w:tcPr>
            <w:tcW w:w="1077" w:type="dxa"/>
            <w:shd w:val="clear" w:color="auto" w:fill="auto"/>
            <w:vAlign w:val="bottom"/>
          </w:tcPr>
          <w:p w14:paraId="06641323" w14:textId="5FF8125F" w:rsidR="00B30C77" w:rsidRPr="006D7215" w:rsidRDefault="00B30C77">
            <w:pPr>
              <w:tabs>
                <w:tab w:val="decimal" w:pos="447"/>
              </w:tabs>
              <w:spacing w:before="40" w:after="40"/>
              <w:rPr>
                <w:rFonts w:ascii="Segoe UI Light" w:hAnsi="Segoe UI Light"/>
                <w:sz w:val="16"/>
                <w:szCs w:val="20"/>
              </w:rPr>
            </w:pPr>
            <w:r w:rsidRPr="00F96BD3">
              <w:rPr>
                <w:rFonts w:ascii="Segoe UI Light" w:hAnsi="Segoe UI Light"/>
                <w:sz w:val="16"/>
                <w:szCs w:val="20"/>
              </w:rPr>
              <w:t>-</w:t>
            </w:r>
            <w:r w:rsidR="00E75A14">
              <w:rPr>
                <w:rFonts w:ascii="Segoe UI Light" w:hAnsi="Segoe UI Light"/>
                <w:sz w:val="16"/>
                <w:szCs w:val="20"/>
              </w:rPr>
              <w:t>13</w:t>
            </w:r>
          </w:p>
        </w:tc>
      </w:tr>
      <w:tr w:rsidR="006A3666" w:rsidRPr="00D829F0" w14:paraId="05540519" w14:textId="77777777" w:rsidTr="00901B31">
        <w:trPr>
          <w:cnfStyle w:val="000000100000" w:firstRow="0" w:lastRow="0" w:firstColumn="0" w:lastColumn="0" w:oddVBand="0" w:evenVBand="0" w:oddHBand="1" w:evenHBand="0" w:firstRowFirstColumn="0" w:firstRowLastColumn="0" w:lastRowFirstColumn="0" w:lastRowLastColumn="0"/>
          <w:jc w:val="center"/>
        </w:trPr>
        <w:tc>
          <w:tcPr>
            <w:tcW w:w="3515" w:type="dxa"/>
            <w:shd w:val="clear" w:color="auto" w:fill="DCE7EB"/>
          </w:tcPr>
          <w:p w14:paraId="30F91DA0" w14:textId="77777777" w:rsidR="00B30C77" w:rsidRPr="006D7215" w:rsidRDefault="00B30C77">
            <w:pPr>
              <w:spacing w:before="40" w:after="40"/>
              <w:rPr>
                <w:rFonts w:ascii="Segoe UI Light" w:hAnsi="Segoe UI Light"/>
                <w:b/>
                <w:sz w:val="16"/>
                <w:szCs w:val="20"/>
              </w:rPr>
            </w:pPr>
            <w:r w:rsidRPr="006D7215">
              <w:rPr>
                <w:rFonts w:ascii="Segoe UI Light" w:hAnsi="Segoe UI Light"/>
                <w:b/>
                <w:sz w:val="16"/>
                <w:szCs w:val="20"/>
              </w:rPr>
              <w:t>Kopā</w:t>
            </w:r>
          </w:p>
        </w:tc>
        <w:tc>
          <w:tcPr>
            <w:tcW w:w="850" w:type="dxa"/>
            <w:shd w:val="clear" w:color="auto" w:fill="DCE7EB"/>
            <w:vAlign w:val="bottom"/>
          </w:tcPr>
          <w:p w14:paraId="5FF25193" w14:textId="6A2DC15C" w:rsidR="00B30C77" w:rsidRPr="006D7215" w:rsidRDefault="00E75A14">
            <w:pPr>
              <w:tabs>
                <w:tab w:val="decimal" w:pos="447"/>
              </w:tabs>
              <w:spacing w:before="40" w:after="40"/>
              <w:rPr>
                <w:rFonts w:ascii="Segoe UI Light" w:hAnsi="Segoe UI Light"/>
                <w:b/>
                <w:sz w:val="16"/>
                <w:szCs w:val="20"/>
              </w:rPr>
            </w:pPr>
            <w:r w:rsidRPr="00F96BD3">
              <w:rPr>
                <w:rFonts w:ascii="Segoe UI Light" w:hAnsi="Segoe UI Light"/>
                <w:b/>
                <w:sz w:val="16"/>
                <w:szCs w:val="20"/>
              </w:rPr>
              <w:t>88</w:t>
            </w:r>
            <w:r>
              <w:rPr>
                <w:rFonts w:ascii="Segoe UI Light" w:hAnsi="Segoe UI Light"/>
                <w:b/>
                <w:sz w:val="16"/>
                <w:szCs w:val="20"/>
              </w:rPr>
              <w:t>3</w:t>
            </w:r>
          </w:p>
        </w:tc>
        <w:tc>
          <w:tcPr>
            <w:tcW w:w="850" w:type="dxa"/>
            <w:shd w:val="clear" w:color="auto" w:fill="DCE7EB"/>
            <w:vAlign w:val="bottom"/>
          </w:tcPr>
          <w:p w14:paraId="6E30550F" w14:textId="0FDAB3ED" w:rsidR="00B30C77" w:rsidRPr="006D7215" w:rsidRDefault="00E75A14">
            <w:pPr>
              <w:tabs>
                <w:tab w:val="decimal" w:pos="447"/>
              </w:tabs>
              <w:spacing w:before="40" w:after="40"/>
              <w:rPr>
                <w:rFonts w:ascii="Segoe UI Light" w:hAnsi="Segoe UI Light"/>
                <w:b/>
                <w:sz w:val="16"/>
                <w:szCs w:val="20"/>
              </w:rPr>
            </w:pPr>
            <w:r w:rsidRPr="00F96BD3">
              <w:rPr>
                <w:rFonts w:ascii="Segoe UI Light" w:hAnsi="Segoe UI Light"/>
                <w:b/>
                <w:sz w:val="16"/>
                <w:szCs w:val="20"/>
              </w:rPr>
              <w:t>88</w:t>
            </w:r>
            <w:r>
              <w:rPr>
                <w:rFonts w:ascii="Segoe UI Light" w:hAnsi="Segoe UI Light"/>
                <w:b/>
                <w:sz w:val="16"/>
                <w:szCs w:val="20"/>
              </w:rPr>
              <w:t>5</w:t>
            </w:r>
          </w:p>
        </w:tc>
        <w:tc>
          <w:tcPr>
            <w:tcW w:w="850" w:type="dxa"/>
            <w:shd w:val="clear" w:color="auto" w:fill="DCE7EB"/>
            <w:vAlign w:val="bottom"/>
          </w:tcPr>
          <w:p w14:paraId="4F3C066D" w14:textId="2E553A33" w:rsidR="00B30C77" w:rsidRPr="006D7215" w:rsidRDefault="00E75A14">
            <w:pPr>
              <w:tabs>
                <w:tab w:val="decimal" w:pos="447"/>
              </w:tabs>
              <w:spacing w:before="40" w:after="40"/>
              <w:rPr>
                <w:rFonts w:ascii="Segoe UI Light" w:hAnsi="Segoe UI Light"/>
                <w:b/>
                <w:sz w:val="16"/>
                <w:szCs w:val="20"/>
              </w:rPr>
            </w:pPr>
            <w:r w:rsidRPr="00F96BD3">
              <w:rPr>
                <w:rFonts w:ascii="Segoe UI Light" w:hAnsi="Segoe UI Light"/>
                <w:b/>
                <w:sz w:val="16"/>
                <w:szCs w:val="20"/>
              </w:rPr>
              <w:t>90</w:t>
            </w:r>
            <w:r w:rsidR="002E4E38">
              <w:rPr>
                <w:rFonts w:ascii="Segoe UI Light" w:hAnsi="Segoe UI Light"/>
                <w:b/>
                <w:sz w:val="16"/>
                <w:szCs w:val="20"/>
              </w:rPr>
              <w:t>0</w:t>
            </w:r>
          </w:p>
        </w:tc>
        <w:tc>
          <w:tcPr>
            <w:tcW w:w="850" w:type="dxa"/>
            <w:shd w:val="clear" w:color="auto" w:fill="DCE7EB"/>
            <w:vAlign w:val="bottom"/>
          </w:tcPr>
          <w:p w14:paraId="4CCF65AE" w14:textId="7B912C06" w:rsidR="00B30C77" w:rsidRPr="006D7215" w:rsidRDefault="00E75A14">
            <w:pPr>
              <w:tabs>
                <w:tab w:val="decimal" w:pos="447"/>
              </w:tabs>
              <w:spacing w:before="40" w:after="40"/>
              <w:rPr>
                <w:rFonts w:ascii="Segoe UI Light" w:hAnsi="Segoe UI Light"/>
                <w:b/>
                <w:sz w:val="16"/>
                <w:szCs w:val="20"/>
              </w:rPr>
            </w:pPr>
            <w:r w:rsidRPr="00F96BD3">
              <w:rPr>
                <w:rFonts w:ascii="Segoe UI Light" w:hAnsi="Segoe UI Light"/>
                <w:b/>
                <w:sz w:val="16"/>
                <w:szCs w:val="20"/>
              </w:rPr>
              <w:t>8</w:t>
            </w:r>
            <w:r>
              <w:rPr>
                <w:rFonts w:ascii="Segoe UI Light" w:hAnsi="Segoe UI Light"/>
                <w:b/>
                <w:sz w:val="16"/>
                <w:szCs w:val="20"/>
              </w:rPr>
              <w:t>89</w:t>
            </w:r>
          </w:p>
        </w:tc>
        <w:tc>
          <w:tcPr>
            <w:tcW w:w="1077" w:type="dxa"/>
            <w:shd w:val="clear" w:color="auto" w:fill="DCE7EB"/>
            <w:vAlign w:val="bottom"/>
          </w:tcPr>
          <w:p w14:paraId="4B7C9522" w14:textId="232A2E6E" w:rsidR="00B30C77" w:rsidRPr="006D7215" w:rsidRDefault="00E75A14">
            <w:pPr>
              <w:tabs>
                <w:tab w:val="decimal" w:pos="447"/>
              </w:tabs>
              <w:spacing w:before="40" w:after="40"/>
              <w:rPr>
                <w:rFonts w:ascii="Segoe UI Light" w:hAnsi="Segoe UI Light"/>
                <w:b/>
                <w:sz w:val="16"/>
                <w:szCs w:val="20"/>
              </w:rPr>
            </w:pPr>
            <w:r>
              <w:rPr>
                <w:rFonts w:ascii="Segoe UI Light" w:hAnsi="Segoe UI Light"/>
                <w:b/>
                <w:sz w:val="16"/>
                <w:szCs w:val="20"/>
              </w:rPr>
              <w:t>1</w:t>
            </w:r>
            <w:r w:rsidR="00682BC0">
              <w:rPr>
                <w:rFonts w:ascii="Segoe UI Light" w:hAnsi="Segoe UI Light"/>
                <w:b/>
                <w:sz w:val="16"/>
                <w:szCs w:val="20"/>
              </w:rPr>
              <w:t>7</w:t>
            </w:r>
          </w:p>
        </w:tc>
        <w:tc>
          <w:tcPr>
            <w:tcW w:w="1077" w:type="dxa"/>
            <w:shd w:val="clear" w:color="auto" w:fill="DCE7EB"/>
            <w:vAlign w:val="bottom"/>
          </w:tcPr>
          <w:p w14:paraId="057219CA" w14:textId="099802AA" w:rsidR="00B30C77" w:rsidRPr="006D7215" w:rsidRDefault="00B30C77">
            <w:pPr>
              <w:tabs>
                <w:tab w:val="decimal" w:pos="447"/>
              </w:tabs>
              <w:spacing w:before="40" w:after="40"/>
              <w:rPr>
                <w:rFonts w:ascii="Segoe UI Light" w:hAnsi="Segoe UI Light"/>
                <w:b/>
                <w:sz w:val="16"/>
                <w:szCs w:val="20"/>
              </w:rPr>
            </w:pPr>
            <w:r w:rsidRPr="00F96BD3">
              <w:rPr>
                <w:rFonts w:ascii="Segoe UI Light" w:hAnsi="Segoe UI Light"/>
                <w:b/>
                <w:sz w:val="16"/>
                <w:szCs w:val="20"/>
              </w:rPr>
              <w:t>6</w:t>
            </w:r>
          </w:p>
        </w:tc>
      </w:tr>
    </w:tbl>
    <w:p w14:paraId="3F16E4C7" w14:textId="12C6A559" w:rsidR="009A0130" w:rsidRPr="00D829F0" w:rsidRDefault="009A0130" w:rsidP="000E509C">
      <w:pPr>
        <w:spacing w:before="120" w:after="120"/>
        <w:jc w:val="both"/>
        <w:rPr>
          <w:rFonts w:ascii="Source Sans Pro" w:hAnsi="Source Sans Pro" w:cs="Calibri Light"/>
          <w:sz w:val="16"/>
          <w:szCs w:val="14"/>
        </w:rPr>
      </w:pPr>
      <w:r w:rsidRPr="00D829F0">
        <w:rPr>
          <w:rFonts w:ascii="Source Sans Pro" w:hAnsi="Source Sans Pro" w:cs="Calibri Light"/>
          <w:sz w:val="16"/>
          <w:szCs w:val="14"/>
        </w:rPr>
        <w:t>Avots: CSP dati līdz 202</w:t>
      </w:r>
      <w:r w:rsidR="006D7215" w:rsidRPr="00D829F0">
        <w:rPr>
          <w:rFonts w:ascii="Source Sans Pro" w:hAnsi="Source Sans Pro" w:cs="Calibri Light"/>
          <w:sz w:val="16"/>
          <w:szCs w:val="14"/>
        </w:rPr>
        <w:t>5</w:t>
      </w:r>
      <w:r w:rsidRPr="00D829F0">
        <w:rPr>
          <w:rFonts w:ascii="Source Sans Pro" w:hAnsi="Source Sans Pro" w:cs="Calibri Light"/>
          <w:sz w:val="16"/>
          <w:szCs w:val="14"/>
        </w:rPr>
        <w:t>.</w:t>
      </w:r>
      <w:r w:rsidR="00D56ED4">
        <w:rPr>
          <w:rFonts w:ascii="Source Sans Pro" w:hAnsi="Source Sans Pro" w:cs="Calibri Light"/>
          <w:sz w:val="16"/>
          <w:szCs w:val="14"/>
        </w:rPr>
        <w:t> </w:t>
      </w:r>
      <w:r w:rsidR="0080669C" w:rsidRPr="00D829F0">
        <w:rPr>
          <w:rFonts w:ascii="Source Sans Pro" w:hAnsi="Source Sans Pro" w:cs="Calibri Light"/>
          <w:sz w:val="16"/>
          <w:szCs w:val="14"/>
        </w:rPr>
        <w:t>gad</w:t>
      </w:r>
      <w:r w:rsidRPr="00D829F0">
        <w:rPr>
          <w:rFonts w:ascii="Source Sans Pro" w:hAnsi="Source Sans Pro" w:cs="Calibri Light"/>
          <w:sz w:val="16"/>
          <w:szCs w:val="14"/>
        </w:rPr>
        <w:t>am, EM novērtējums 202</w:t>
      </w:r>
      <w:r w:rsidR="006D7215" w:rsidRPr="00D829F0">
        <w:rPr>
          <w:rFonts w:ascii="Source Sans Pro" w:hAnsi="Source Sans Pro" w:cs="Calibri Light"/>
          <w:sz w:val="16"/>
          <w:szCs w:val="14"/>
        </w:rPr>
        <w:t>6</w:t>
      </w:r>
      <w:r w:rsidRPr="00D829F0">
        <w:rPr>
          <w:rFonts w:ascii="Source Sans Pro" w:hAnsi="Source Sans Pro" w:cs="Calibri Light"/>
          <w:sz w:val="16"/>
          <w:szCs w:val="14"/>
        </w:rPr>
        <w:t>.</w:t>
      </w:r>
      <w:r w:rsidR="0080669C" w:rsidRPr="00D829F0">
        <w:rPr>
          <w:rFonts w:ascii="Source Sans Pro" w:hAnsi="Source Sans Pro" w:cs="Calibri Light"/>
          <w:sz w:val="16"/>
          <w:szCs w:val="14"/>
        </w:rPr>
        <w:t>gad</w:t>
      </w:r>
      <w:r w:rsidRPr="00D829F0">
        <w:rPr>
          <w:rFonts w:ascii="Source Sans Pro" w:hAnsi="Source Sans Pro" w:cs="Calibri Light"/>
          <w:sz w:val="16"/>
          <w:szCs w:val="14"/>
        </w:rPr>
        <w:t>am, EM prognozes 2030.</w:t>
      </w:r>
      <w:r w:rsidR="00E029D7" w:rsidRPr="00D829F0">
        <w:rPr>
          <w:rFonts w:ascii="Source Sans Pro" w:hAnsi="Source Sans Pro" w:cs="Calibri Light"/>
          <w:sz w:val="16"/>
          <w:szCs w:val="14"/>
        </w:rPr>
        <w:t xml:space="preserve"> </w:t>
      </w:r>
      <w:r w:rsidRPr="00D829F0">
        <w:rPr>
          <w:rFonts w:ascii="Source Sans Pro" w:hAnsi="Source Sans Pro" w:cs="Calibri Light"/>
          <w:sz w:val="16"/>
          <w:szCs w:val="14"/>
        </w:rPr>
        <w:t>un 2040.</w:t>
      </w:r>
      <w:r w:rsidR="00DB0BF5" w:rsidRPr="00D829F0">
        <w:rPr>
          <w:rFonts w:ascii="Source Sans Pro" w:hAnsi="Source Sans Pro" w:cs="Calibri Light"/>
          <w:sz w:val="16"/>
          <w:szCs w:val="14"/>
        </w:rPr>
        <w:t xml:space="preserve"> </w:t>
      </w:r>
      <w:r w:rsidR="0080669C" w:rsidRPr="00D829F0">
        <w:rPr>
          <w:rFonts w:ascii="Source Sans Pro" w:hAnsi="Source Sans Pro" w:cs="Calibri Light"/>
          <w:sz w:val="16"/>
          <w:szCs w:val="14"/>
        </w:rPr>
        <w:t>gad</w:t>
      </w:r>
      <w:r w:rsidRPr="00D829F0">
        <w:rPr>
          <w:rFonts w:ascii="Source Sans Pro" w:hAnsi="Source Sans Pro" w:cs="Calibri Light"/>
          <w:sz w:val="16"/>
          <w:szCs w:val="14"/>
        </w:rPr>
        <w:t>am</w:t>
      </w:r>
    </w:p>
    <w:p w14:paraId="1F14A1C7" w14:textId="77777777" w:rsidR="00343F74" w:rsidRPr="00D829F0" w:rsidRDefault="00343F74" w:rsidP="00343F74">
      <w:pPr>
        <w:spacing w:after="120"/>
        <w:jc w:val="both"/>
        <w:rPr>
          <w:rFonts w:ascii="Source Sans Pro" w:hAnsi="Source Sans Pro"/>
          <w:szCs w:val="20"/>
        </w:rPr>
      </w:pPr>
    </w:p>
    <w:p w14:paraId="3C525410" w14:textId="77777777" w:rsidR="00432CD5" w:rsidRDefault="00432CD5">
      <w:pPr>
        <w:spacing w:after="0"/>
        <w:rPr>
          <w:rFonts w:ascii="Source Sans Pro" w:hAnsi="Source Sans Pro"/>
          <w:szCs w:val="20"/>
        </w:rPr>
      </w:pPr>
      <w:r>
        <w:rPr>
          <w:rFonts w:ascii="Source Sans Pro" w:hAnsi="Source Sans Pro"/>
          <w:szCs w:val="20"/>
        </w:rPr>
        <w:br w:type="page"/>
      </w:r>
    </w:p>
    <w:p w14:paraId="62AFC092" w14:textId="240A5B03" w:rsidR="00D071BE" w:rsidRPr="00D829F0" w:rsidRDefault="00D071BE" w:rsidP="00D071BE">
      <w:pPr>
        <w:spacing w:after="120"/>
        <w:jc w:val="both"/>
        <w:rPr>
          <w:rFonts w:ascii="Source Sans Pro" w:hAnsi="Source Sans Pro"/>
          <w:szCs w:val="20"/>
        </w:rPr>
      </w:pPr>
      <w:r w:rsidRPr="00D829F0">
        <w:rPr>
          <w:rFonts w:ascii="Source Sans Pro" w:hAnsi="Source Sans Pro"/>
          <w:szCs w:val="20"/>
        </w:rPr>
        <w:lastRenderedPageBreak/>
        <w:t>Nākotnē būtisks darbaspēka pieprasījuma pieaugums sagaidāms būvniecības nozarē. Vidējā termiņā būvniecības attīstību lielā mērā noteiks publiskās investīcijas un lielo infrastruktūras projektu, tostarp “Rail Baltica”, īstenošana. Papildu pieprasījumu veidos arī augošo nozaru vajadzības pēc jaunām industriālajām telpām un ražošanas infrastruktūras. Ilgākā termiņā nozares attīstību arvien vairāk ietekmēs pieprasījums pēc energoefektīvas un ilgtspējīgas būvniecības, ēku renovācijas un ar klimata mērķiem saistītiem ieguldījumiem.</w:t>
      </w:r>
    </w:p>
    <w:p w14:paraId="4CCDE131" w14:textId="19A30D7B" w:rsidR="000E509C" w:rsidRPr="00D829F0" w:rsidRDefault="000E509C" w:rsidP="00343F74">
      <w:pPr>
        <w:spacing w:after="120"/>
        <w:jc w:val="both"/>
        <w:rPr>
          <w:rFonts w:ascii="Source Sans Pro" w:hAnsi="Source Sans Pro"/>
          <w:szCs w:val="20"/>
        </w:rPr>
      </w:pPr>
      <w:r w:rsidRPr="00D829F0">
        <w:rPr>
          <w:rFonts w:ascii="Source Sans Pro" w:hAnsi="Source Sans Pro"/>
          <w:szCs w:val="20"/>
        </w:rPr>
        <w:t>Straujākais nodarbināto skaita pieaugums paredzams komercpakalpojumu nozarēs. 2030.</w:t>
      </w:r>
      <w:r w:rsidR="00D56ED4">
        <w:rPr>
          <w:rFonts w:ascii="Source Sans Pro" w:hAnsi="Source Sans Pro"/>
          <w:szCs w:val="20"/>
        </w:rPr>
        <w:t> </w:t>
      </w:r>
      <w:r w:rsidRPr="00D829F0">
        <w:rPr>
          <w:rFonts w:ascii="Source Sans Pro" w:hAnsi="Source Sans Pro"/>
          <w:szCs w:val="20"/>
        </w:rPr>
        <w:t xml:space="preserve">gadā pieprasījums pēc darbaspēka </w:t>
      </w:r>
      <w:r w:rsidR="00D071BE" w:rsidRPr="00D829F0">
        <w:rPr>
          <w:rFonts w:ascii="Source Sans Pro" w:hAnsi="Source Sans Pro"/>
          <w:szCs w:val="20"/>
        </w:rPr>
        <w:t xml:space="preserve">šajās nozarēs </w:t>
      </w:r>
      <w:r w:rsidRPr="00D829F0">
        <w:rPr>
          <w:rFonts w:ascii="Source Sans Pro" w:hAnsi="Source Sans Pro"/>
          <w:szCs w:val="20"/>
        </w:rPr>
        <w:t xml:space="preserve">par </w:t>
      </w:r>
      <w:r w:rsidR="00D071BE" w:rsidRPr="00D829F0">
        <w:rPr>
          <w:rFonts w:ascii="Source Sans Pro" w:hAnsi="Source Sans Pro"/>
          <w:szCs w:val="20"/>
        </w:rPr>
        <w:t>6,5</w:t>
      </w:r>
      <w:r w:rsidRPr="00D829F0">
        <w:rPr>
          <w:rFonts w:ascii="Source Sans Pro" w:hAnsi="Source Sans Pro"/>
          <w:szCs w:val="20"/>
        </w:rPr>
        <w:t xml:space="preserve">% pārsniegs </w:t>
      </w:r>
      <w:r w:rsidR="00D071BE" w:rsidRPr="00D829F0">
        <w:rPr>
          <w:rFonts w:ascii="Source Sans Pro" w:hAnsi="Source Sans Pro"/>
          <w:szCs w:val="20"/>
        </w:rPr>
        <w:t>2025.</w:t>
      </w:r>
      <w:r w:rsidR="00D56ED4">
        <w:rPr>
          <w:rFonts w:ascii="Source Sans Pro" w:hAnsi="Source Sans Pro"/>
          <w:szCs w:val="20"/>
        </w:rPr>
        <w:t> </w:t>
      </w:r>
      <w:r w:rsidRPr="00D829F0">
        <w:rPr>
          <w:rFonts w:ascii="Source Sans Pro" w:hAnsi="Source Sans Pro"/>
          <w:szCs w:val="20"/>
        </w:rPr>
        <w:t xml:space="preserve">gada līmeni un veidos </w:t>
      </w:r>
      <w:r w:rsidR="00D071BE" w:rsidRPr="00D829F0">
        <w:rPr>
          <w:rFonts w:ascii="Source Sans Pro" w:hAnsi="Source Sans Pro"/>
          <w:szCs w:val="20"/>
        </w:rPr>
        <w:t xml:space="preserve">aptuveni </w:t>
      </w:r>
      <w:r w:rsidRPr="00D829F0">
        <w:rPr>
          <w:rFonts w:ascii="Source Sans Pro" w:hAnsi="Source Sans Pro"/>
          <w:szCs w:val="20"/>
        </w:rPr>
        <w:t xml:space="preserve">23% no </w:t>
      </w:r>
      <w:r w:rsidR="00D071BE" w:rsidRPr="00D829F0">
        <w:rPr>
          <w:rFonts w:ascii="Source Sans Pro" w:hAnsi="Source Sans Pro"/>
          <w:szCs w:val="20"/>
        </w:rPr>
        <w:t>kopējā</w:t>
      </w:r>
      <w:r w:rsidRPr="00D829F0">
        <w:rPr>
          <w:rFonts w:ascii="Source Sans Pro" w:hAnsi="Source Sans Pro"/>
          <w:szCs w:val="20"/>
        </w:rPr>
        <w:t xml:space="preserve"> nodarbināto skaita</w:t>
      </w:r>
      <w:r w:rsidR="00D071BE" w:rsidRPr="00D829F0">
        <w:rPr>
          <w:rFonts w:ascii="Source Sans Pro" w:hAnsi="Source Sans Pro"/>
          <w:szCs w:val="20"/>
        </w:rPr>
        <w:t xml:space="preserve"> tautsaimniecībā. Savukārt</w:t>
      </w:r>
      <w:r w:rsidRPr="00D829F0">
        <w:rPr>
          <w:rFonts w:ascii="Source Sans Pro" w:hAnsi="Source Sans Pro"/>
          <w:szCs w:val="20"/>
        </w:rPr>
        <w:t xml:space="preserve"> ilgtermiņā </w:t>
      </w:r>
      <w:r w:rsidR="00D071BE" w:rsidRPr="00D829F0">
        <w:rPr>
          <w:rFonts w:ascii="Source Sans Pro" w:hAnsi="Source Sans Pro"/>
          <w:szCs w:val="20"/>
        </w:rPr>
        <w:t>darbaspēka pieprasījums komercpakalpojumos varētu pieaugt</w:t>
      </w:r>
      <w:r w:rsidRPr="00D829F0">
        <w:rPr>
          <w:rFonts w:ascii="Source Sans Pro" w:hAnsi="Source Sans Pro"/>
          <w:szCs w:val="20"/>
        </w:rPr>
        <w:t xml:space="preserve"> par </w:t>
      </w:r>
      <w:r w:rsidR="00D071BE" w:rsidRPr="00D829F0">
        <w:rPr>
          <w:rFonts w:ascii="Source Sans Pro" w:hAnsi="Source Sans Pro"/>
          <w:szCs w:val="20"/>
        </w:rPr>
        <w:t xml:space="preserve">aptuveni 14%, sasniedzot </w:t>
      </w:r>
      <w:r w:rsidRPr="00D829F0">
        <w:rPr>
          <w:rFonts w:ascii="Source Sans Pro" w:hAnsi="Source Sans Pro"/>
          <w:szCs w:val="20"/>
        </w:rPr>
        <w:t xml:space="preserve">jau </w:t>
      </w:r>
      <w:r w:rsidR="00D071BE" w:rsidRPr="00D829F0">
        <w:rPr>
          <w:rFonts w:ascii="Source Sans Pro" w:hAnsi="Source Sans Pro"/>
          <w:szCs w:val="20"/>
        </w:rPr>
        <w:t>ap ¼ daļu no kopējās nodarbinātības.</w:t>
      </w:r>
      <w:r w:rsidRPr="00D829F0">
        <w:rPr>
          <w:rFonts w:ascii="Source Sans Pro" w:hAnsi="Source Sans Pro"/>
          <w:szCs w:val="20"/>
        </w:rPr>
        <w:t xml:space="preserve"> Komercpakalpojumu </w:t>
      </w:r>
      <w:r w:rsidR="00D071BE" w:rsidRPr="00D829F0">
        <w:rPr>
          <w:rFonts w:ascii="Source Sans Pro" w:hAnsi="Source Sans Pro"/>
          <w:szCs w:val="20"/>
        </w:rPr>
        <w:t>attīstību</w:t>
      </w:r>
      <w:r w:rsidRPr="00D829F0">
        <w:rPr>
          <w:rFonts w:ascii="Source Sans Pro" w:hAnsi="Source Sans Pro"/>
          <w:szCs w:val="20"/>
        </w:rPr>
        <w:t xml:space="preserve"> galvenokārt veicinās pārējo tautsaimniecības nozaru </w:t>
      </w:r>
      <w:r w:rsidR="00D071BE" w:rsidRPr="00D829F0">
        <w:rPr>
          <w:rFonts w:ascii="Source Sans Pro" w:hAnsi="Source Sans Pro"/>
          <w:szCs w:val="20"/>
        </w:rPr>
        <w:t>izaugsme, uzņēmumu specializācija, digitalizācija</w:t>
      </w:r>
      <w:r w:rsidRPr="00D829F0">
        <w:rPr>
          <w:rFonts w:ascii="Source Sans Pro" w:hAnsi="Source Sans Pro"/>
          <w:szCs w:val="20"/>
        </w:rPr>
        <w:t xml:space="preserve"> un </w:t>
      </w:r>
      <w:r w:rsidR="00D071BE" w:rsidRPr="00D829F0">
        <w:rPr>
          <w:rFonts w:ascii="Source Sans Pro" w:hAnsi="Source Sans Pro"/>
          <w:szCs w:val="20"/>
        </w:rPr>
        <w:t>arvien lielāks</w:t>
      </w:r>
      <w:r w:rsidRPr="00D829F0">
        <w:rPr>
          <w:rFonts w:ascii="Source Sans Pro" w:hAnsi="Source Sans Pro"/>
          <w:szCs w:val="20"/>
        </w:rPr>
        <w:t xml:space="preserve"> pieprasījums pēc ārpakalpojumiem.</w:t>
      </w:r>
    </w:p>
    <w:p w14:paraId="1E8DDBD9" w14:textId="77777777" w:rsidR="00FE218F" w:rsidRPr="009A47AF" w:rsidRDefault="00FE218F" w:rsidP="00901B31">
      <w:pPr>
        <w:pBdr>
          <w:top w:val="single" w:sz="4" w:space="6" w:color="auto" w:shadow="1"/>
          <w:left w:val="single" w:sz="4" w:space="6" w:color="auto" w:shadow="1"/>
          <w:bottom w:val="single" w:sz="4" w:space="6" w:color="auto" w:shadow="1"/>
          <w:right w:val="single" w:sz="4" w:space="6" w:color="auto" w:shadow="1"/>
        </w:pBdr>
        <w:shd w:val="clear" w:color="auto" w:fill="DCE7EB"/>
        <w:jc w:val="right"/>
        <w:rPr>
          <w:rFonts w:ascii="Segoe UI Light" w:hAnsi="Segoe UI Light" w:cs="Segoe UI Light"/>
          <w:b/>
          <w:bCs/>
          <w:sz w:val="16"/>
          <w:szCs w:val="16"/>
        </w:rPr>
      </w:pPr>
      <w:r w:rsidRPr="009A47AF">
        <w:rPr>
          <w:rFonts w:ascii="Segoe UI Light" w:hAnsi="Segoe UI Light" w:cs="Segoe UI Light"/>
          <w:b/>
          <w:bCs/>
          <w:sz w:val="16"/>
          <w:szCs w:val="16"/>
        </w:rPr>
        <w:t>Mākslīga intelekta ietekme uz darba tirgu</w:t>
      </w:r>
    </w:p>
    <w:p w14:paraId="4D8FB740" w14:textId="0E035B01" w:rsidR="00FE218F" w:rsidRPr="009A47AF" w:rsidRDefault="003923F9" w:rsidP="00357EC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cs="Segoe UI Light"/>
          <w:sz w:val="16"/>
          <w:szCs w:val="16"/>
        </w:rPr>
      </w:pPr>
      <w:r w:rsidRPr="009A47AF">
        <w:rPr>
          <w:rFonts w:ascii="Segoe UI Light" w:hAnsi="Segoe UI Light" w:cs="Segoe UI Light"/>
          <w:sz w:val="16"/>
          <w:szCs w:val="16"/>
        </w:rPr>
        <w:t>Mākslīgais intelekts (MI), īpaši ģeneratīvais MI, ir kļuvis par nozīmīgu inovācijas un produktivitātes virzītājspēku, kas maina prasmju pieprasījumu, darba organizāciju un atsevišķu profesiju saturu. Jaunākās MI tehnoloģijas visstraujāk attīstījušās kognitīvu un nerutīnas uzdevumu veikšanā, to ietekme īpaši izpaužas zināšanu ietilpīgās un augstāk kvalificētās profesijās. Vienlaikus MI ietekme uz darba tirgu nav viennozīmīga - tas var gan radīt un papildināt darba vietas, gan aizstāt atsevišķus uzdevumus, vienlaikus aktualizējot jautājumus par darba kvalitāti, privātumu un darbinieku tiesību aizsardzību.</w:t>
      </w:r>
    </w:p>
    <w:p w14:paraId="5820F2C2" w14:textId="49DB7C41" w:rsidR="002C35C2" w:rsidRPr="009A47AF" w:rsidRDefault="002C35C2" w:rsidP="00357EC8">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cs="Segoe UI Light"/>
          <w:sz w:val="16"/>
          <w:szCs w:val="16"/>
        </w:rPr>
      </w:pPr>
      <w:r w:rsidRPr="009A47AF">
        <w:rPr>
          <w:rFonts w:ascii="Segoe UI Light" w:hAnsi="Segoe UI Light" w:cs="Segoe UI Light"/>
          <w:sz w:val="16"/>
          <w:szCs w:val="16"/>
        </w:rPr>
        <w:t xml:space="preserve">Latvijas darba tirgū būtisks ierobežojošs faktors ir digitālo prasmju līmenis. </w:t>
      </w:r>
      <w:r w:rsidR="00130361">
        <w:rPr>
          <w:rFonts w:ascii="Segoe UI Light" w:hAnsi="Segoe UI Light" w:cs="Segoe UI Light"/>
          <w:sz w:val="16"/>
          <w:szCs w:val="16"/>
        </w:rPr>
        <w:t>EK</w:t>
      </w:r>
      <w:r w:rsidRPr="009A47AF">
        <w:rPr>
          <w:rFonts w:ascii="Segoe UI Light" w:hAnsi="Segoe UI Light" w:cs="Segoe UI Light"/>
          <w:sz w:val="16"/>
          <w:szCs w:val="16"/>
        </w:rPr>
        <w:t xml:space="preserve"> 2024. gada “Digital Decade” ziņojuma norādīja, ka </w:t>
      </w:r>
      <w:r w:rsidRPr="009A47AF">
        <w:rPr>
          <w:rFonts w:ascii="Segoe UI Light" w:hAnsi="Segoe UI Light" w:cs="Segoe UI Light"/>
          <w:b/>
          <w:bCs/>
          <w:sz w:val="16"/>
          <w:szCs w:val="16"/>
        </w:rPr>
        <w:t>2023. gada tikai 45,3% Latvijas iedzīvotāju bija vismaz pamata digitālās prasmes, salīdzinot ar 55,6% vidēji ES</w:t>
      </w:r>
      <w:r w:rsidRPr="009A47AF">
        <w:rPr>
          <w:rFonts w:ascii="Segoe UI Light" w:hAnsi="Segoe UI Light" w:cs="Segoe UI Light"/>
          <w:sz w:val="16"/>
          <w:szCs w:val="16"/>
        </w:rPr>
        <w:t>. Arī 2025.</w:t>
      </w:r>
      <w:r w:rsidR="00D56ED4">
        <w:rPr>
          <w:rFonts w:ascii="Segoe UI Light" w:hAnsi="Segoe UI Light" w:cs="Segoe UI Light"/>
          <w:sz w:val="16"/>
          <w:szCs w:val="16"/>
        </w:rPr>
        <w:t> </w:t>
      </w:r>
      <w:r w:rsidRPr="009A47AF">
        <w:rPr>
          <w:rFonts w:ascii="Segoe UI Light" w:hAnsi="Segoe UI Light" w:cs="Segoe UI Light"/>
          <w:sz w:val="16"/>
          <w:szCs w:val="16"/>
        </w:rPr>
        <w:t>gada ziņojumā uzsvērts, ka Latvijas digitālās prasmes kopumā saglabājas zem ES vidējā līmeņa un īpaša uzmanība jāpievērš vecāka gadagājuma iedzīvotājiem, cilvēkiem ar zemāku izglītības līmeni un lauku teritorijām.</w:t>
      </w:r>
    </w:p>
    <w:p w14:paraId="6EFA1CA5" w14:textId="77777777" w:rsidR="00141405" w:rsidRPr="009A47AF" w:rsidRDefault="00141405"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cs="Segoe UI Light"/>
          <w:sz w:val="16"/>
          <w:szCs w:val="16"/>
        </w:rPr>
      </w:pPr>
      <w:r w:rsidRPr="009A47AF">
        <w:rPr>
          <w:rFonts w:ascii="Segoe UI Light" w:hAnsi="Segoe UI Light" w:cs="Segoe UI Light"/>
          <w:sz w:val="16"/>
          <w:szCs w:val="16"/>
        </w:rPr>
        <w:t>MI ietekme darba tirgū arvien vairāk jāvērtē ne tikai profesiju un nozaru, bet arī konkrētu darba uzdevumu un prasmju līmenī. Arī vienas nozares vai profesijas ietvaros MI var būtiski mainīt informācijas apstrādes, analītiskos un komunikācijas uzdevumus, bet mazāk skart fizisku, manuālu vai tiešas aprūpes darbu.</w:t>
      </w:r>
    </w:p>
    <w:p w14:paraId="7B6C3AE3" w14:textId="0C29E04E" w:rsidR="00630D23" w:rsidRPr="009A47AF" w:rsidRDefault="00141405"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before="120" w:after="0"/>
        <w:jc w:val="both"/>
        <w:rPr>
          <w:rFonts w:ascii="Segoe UI Light" w:hAnsi="Segoe UI Light" w:cs="Segoe UI Light"/>
          <w:b/>
          <w:bCs/>
          <w:sz w:val="16"/>
          <w:szCs w:val="16"/>
        </w:rPr>
      </w:pPr>
      <w:r w:rsidRPr="009A47AF">
        <w:rPr>
          <w:rFonts w:ascii="Segoe UI Light" w:hAnsi="Segoe UI Light" w:cs="Segoe UI Light"/>
          <w:b/>
          <w:bCs/>
          <w:sz w:val="16"/>
          <w:szCs w:val="16"/>
        </w:rPr>
        <w:t>Ietekme uz nozarēm</w:t>
      </w:r>
    </w:p>
    <w:p w14:paraId="12B496A2" w14:textId="28060318" w:rsidR="001B0194" w:rsidRPr="009A47AF" w:rsidRDefault="001B0194"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cs="Segoe UI Light"/>
          <w:b/>
          <w:bCs/>
          <w:sz w:val="16"/>
          <w:szCs w:val="16"/>
        </w:rPr>
      </w:pPr>
      <w:r w:rsidRPr="009A47AF">
        <w:rPr>
          <w:rFonts w:ascii="Segoe UI Light" w:hAnsi="Segoe UI Light" w:cs="Segoe UI Light"/>
          <w:b/>
          <w:bCs/>
          <w:sz w:val="16"/>
          <w:szCs w:val="16"/>
        </w:rPr>
        <w:t xml:space="preserve">MI ietekme nozaru griezumā galvenokārt atkarīga no tajās dominējošo darba uzdevumu rakstura. </w:t>
      </w:r>
    </w:p>
    <w:p w14:paraId="35038C1C" w14:textId="77777777" w:rsidR="001B0194" w:rsidRPr="009A47AF" w:rsidRDefault="001B0194"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cs="Segoe UI Light"/>
          <w:sz w:val="16"/>
          <w:szCs w:val="16"/>
        </w:rPr>
      </w:pPr>
      <w:r w:rsidRPr="009A47AF">
        <w:rPr>
          <w:rFonts w:ascii="Segoe UI Light" w:hAnsi="Segoe UI Light" w:cs="Segoe UI Light"/>
          <w:b/>
          <w:bCs/>
          <w:sz w:val="16"/>
          <w:szCs w:val="16"/>
        </w:rPr>
        <w:t>IKT un programmatūras izstrāde</w:t>
      </w:r>
      <w:r w:rsidRPr="009A47AF">
        <w:rPr>
          <w:rFonts w:ascii="Segoe UI Light" w:hAnsi="Segoe UI Light" w:cs="Segoe UI Light"/>
          <w:sz w:val="16"/>
          <w:szCs w:val="16"/>
        </w:rPr>
        <w:t xml:space="preserve"> - ģeneratīvais MI automatizē programmēšanu, datu apstrādi, dokumentu sagatavošanu un administratīvos uzdevumus, būtiski mainot pieprasītās prasmes un paaugstinot produktivitāti.</w:t>
      </w:r>
    </w:p>
    <w:p w14:paraId="6422DE0B" w14:textId="77777777" w:rsidR="001B0194" w:rsidRPr="009A47AF" w:rsidRDefault="001B0194"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cs="Segoe UI Light"/>
          <w:sz w:val="16"/>
          <w:szCs w:val="16"/>
        </w:rPr>
      </w:pPr>
      <w:r w:rsidRPr="009A47AF">
        <w:rPr>
          <w:rFonts w:ascii="Segoe UI Light" w:hAnsi="Segoe UI Light" w:cs="Segoe UI Light"/>
          <w:b/>
          <w:bCs/>
          <w:sz w:val="16"/>
          <w:szCs w:val="16"/>
        </w:rPr>
        <w:t>Finanšu un profesionālie pakalpojumi</w:t>
      </w:r>
      <w:r w:rsidRPr="009A47AF">
        <w:rPr>
          <w:rFonts w:ascii="Segoe UI Light" w:hAnsi="Segoe UI Light" w:cs="Segoe UI Light"/>
          <w:sz w:val="16"/>
          <w:szCs w:val="16"/>
        </w:rPr>
        <w:t xml:space="preserve">  - augsta ietekme, liela apjoma informācijas apstrāde, datu analīze, dokumentu sagatavošanas ar MI iesaisti.</w:t>
      </w:r>
    </w:p>
    <w:p w14:paraId="28AD3DF7" w14:textId="77777777" w:rsidR="001B0194" w:rsidRPr="009A47AF" w:rsidRDefault="001B0194"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cs="Segoe UI Light"/>
          <w:sz w:val="16"/>
          <w:szCs w:val="16"/>
        </w:rPr>
      </w:pPr>
      <w:r w:rsidRPr="009A47AF">
        <w:rPr>
          <w:rFonts w:ascii="Segoe UI Light" w:hAnsi="Segoe UI Light" w:cs="Segoe UI Light"/>
          <w:b/>
          <w:bCs/>
          <w:sz w:val="16"/>
          <w:szCs w:val="16"/>
        </w:rPr>
        <w:t>Veselības aprūpe</w:t>
      </w:r>
      <w:r w:rsidRPr="009A47AF">
        <w:rPr>
          <w:rFonts w:ascii="Segoe UI Light" w:hAnsi="Segoe UI Light" w:cs="Segoe UI Light"/>
          <w:sz w:val="16"/>
          <w:szCs w:val="16"/>
        </w:rPr>
        <w:t xml:space="preserve"> - MI var palīdzēt mazināt darbaspēka trūkuma spiedienu, vairāk papildinot speciālistu darbu, piemēram, diagnostikā, pacientu datu analīzē un dokumentācijas sagatavošanā, nevis aizstāj aprūpes funkcijas.</w:t>
      </w:r>
    </w:p>
    <w:p w14:paraId="192EEAC6" w14:textId="77777777" w:rsidR="001B0194" w:rsidRDefault="001B0194"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cs="Segoe UI Light"/>
          <w:sz w:val="16"/>
          <w:szCs w:val="16"/>
        </w:rPr>
      </w:pPr>
      <w:r w:rsidRPr="009A47AF">
        <w:rPr>
          <w:rFonts w:ascii="Segoe UI Light" w:hAnsi="Segoe UI Light" w:cs="Segoe UI Light"/>
          <w:b/>
          <w:bCs/>
          <w:sz w:val="16"/>
          <w:szCs w:val="16"/>
        </w:rPr>
        <w:t>Rūpniecība un loģistika</w:t>
      </w:r>
      <w:r w:rsidRPr="009A47AF">
        <w:rPr>
          <w:rFonts w:ascii="Segoe UI Light" w:hAnsi="Segoe UI Light" w:cs="Segoe UI Light"/>
          <w:sz w:val="16"/>
          <w:szCs w:val="16"/>
        </w:rPr>
        <w:t xml:space="preserve"> - lielāka nozīme ir automatizācijai, robotizācijai un procesu optimizācijai, bet MI tiešā ietekme ir lielāka tajos uzdevumos, kas saistīti ar plānošanu, datiem un kvalitātes kontroli.</w:t>
      </w:r>
    </w:p>
    <w:p w14:paraId="232C65F9" w14:textId="2554C22E" w:rsidR="006E6EE5" w:rsidRPr="006E6EE5" w:rsidRDefault="006E6EE5"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cs="Segoe UI Light"/>
          <w:sz w:val="16"/>
          <w:szCs w:val="16"/>
        </w:rPr>
      </w:pPr>
      <w:r w:rsidRPr="006E6EE5">
        <w:rPr>
          <w:rFonts w:ascii="Segoe UI Light" w:hAnsi="Segoe UI Light" w:cs="Segoe UI Light"/>
          <w:b/>
          <w:bCs/>
          <w:sz w:val="16"/>
          <w:szCs w:val="16"/>
        </w:rPr>
        <w:t>Tirdzniecība</w:t>
      </w:r>
      <w:r>
        <w:rPr>
          <w:rFonts w:ascii="Segoe UI Light" w:hAnsi="Segoe UI Light" w:cs="Segoe UI Light"/>
          <w:b/>
          <w:bCs/>
          <w:sz w:val="16"/>
          <w:szCs w:val="16"/>
        </w:rPr>
        <w:t xml:space="preserve"> - </w:t>
      </w:r>
      <w:r w:rsidR="00CC3E3C" w:rsidRPr="00CC3E3C">
        <w:rPr>
          <w:rFonts w:ascii="Segoe UI Light" w:hAnsi="Segoe UI Light" w:cs="Segoe UI Light"/>
          <w:sz w:val="16"/>
          <w:szCs w:val="16"/>
        </w:rPr>
        <w:t>MI tiek izmantots personalizētiem piedāvājumiem, dinamiskai cenu noteikšanai, krājumu vadībai, pašapkalpošanās risinājumiem un virtuālajiem asistentiem. Šajā nozarē MI vairāk ietekmē klientu apkalpošanas, pārdošanas, mārketinga un noliktavas vadības procesus.</w:t>
      </w:r>
    </w:p>
    <w:p w14:paraId="1D8FDF81" w14:textId="77777777" w:rsidR="00FE640B" w:rsidRPr="009A47AF" w:rsidRDefault="00FE640B"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before="120" w:after="0"/>
        <w:jc w:val="both"/>
        <w:rPr>
          <w:rFonts w:ascii="Segoe UI Light" w:hAnsi="Segoe UI Light" w:cs="Segoe UI Light"/>
          <w:b/>
          <w:bCs/>
          <w:sz w:val="16"/>
          <w:szCs w:val="16"/>
        </w:rPr>
      </w:pPr>
      <w:r w:rsidRPr="009A47AF">
        <w:rPr>
          <w:rFonts w:ascii="Segoe UI Light" w:hAnsi="Segoe UI Light" w:cs="Segoe UI Light"/>
          <w:b/>
          <w:bCs/>
          <w:sz w:val="16"/>
          <w:szCs w:val="16"/>
        </w:rPr>
        <w:t>Ietekme uz profesijām</w:t>
      </w:r>
    </w:p>
    <w:p w14:paraId="337E1A40" w14:textId="5B6A72E9" w:rsidR="00FE640B" w:rsidRPr="009A47AF" w:rsidRDefault="00FE640B"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cs="Segoe UI Light"/>
          <w:sz w:val="16"/>
          <w:szCs w:val="16"/>
        </w:rPr>
      </w:pPr>
      <w:r w:rsidRPr="009A47AF">
        <w:rPr>
          <w:rFonts w:ascii="Segoe UI Light" w:hAnsi="Segoe UI Light" w:cs="Segoe UI Light"/>
          <w:b/>
          <w:bCs/>
          <w:sz w:val="16"/>
          <w:szCs w:val="16"/>
        </w:rPr>
        <w:t xml:space="preserve">Izglītības līmenis ir viens no būtiskākajiem faktoriem, kas nosaka profesiju pakļautību MI ietekmei. </w:t>
      </w:r>
      <w:r w:rsidRPr="009A47AF">
        <w:rPr>
          <w:rFonts w:ascii="Segoe UI Light" w:hAnsi="Segoe UI Light" w:cs="Segoe UI Light"/>
          <w:sz w:val="16"/>
          <w:szCs w:val="16"/>
        </w:rPr>
        <w:t xml:space="preserve">Darbinieku grupu griezumā MI ietekme vairāk skar augstāk izglītotus darbiniekus, jo </w:t>
      </w:r>
      <w:r w:rsidR="00590DCB" w:rsidRPr="009A47AF">
        <w:rPr>
          <w:rFonts w:ascii="Segoe UI Light" w:hAnsi="Segoe UI Light" w:cs="Segoe UI Light"/>
          <w:sz w:val="16"/>
          <w:szCs w:val="16"/>
        </w:rPr>
        <w:t>tie</w:t>
      </w:r>
      <w:r w:rsidRPr="009A47AF">
        <w:rPr>
          <w:rFonts w:ascii="Segoe UI Light" w:hAnsi="Segoe UI Light" w:cs="Segoe UI Light"/>
          <w:sz w:val="16"/>
          <w:szCs w:val="16"/>
        </w:rPr>
        <w:t xml:space="preserve"> biežāk strādā profesijās ar augstu MI izmantošanas potenciālu. Savukārt darbiniekiem bez augstākās izglītības, vecākiem darbiniekiem un zemāk kvalificētiem darbiniekiem lielāks risks ir nevis tieša MI aizstāšana, bet ierobežotāka piekļuve MI rīkiem, MI saistītām darba iespējām un produktivitātes ieguvumiem.</w:t>
      </w:r>
    </w:p>
    <w:p w14:paraId="07C1E08C" w14:textId="7AF8D645" w:rsidR="00FE640B" w:rsidRPr="009A47AF" w:rsidRDefault="00FE640B"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cs="Segoe UI Light"/>
          <w:sz w:val="16"/>
          <w:szCs w:val="16"/>
        </w:rPr>
      </w:pPr>
      <w:r w:rsidRPr="009A47AF">
        <w:rPr>
          <w:rFonts w:ascii="Segoe UI Light" w:hAnsi="Segoe UI Light" w:cs="Segoe UI Light"/>
          <w:b/>
          <w:bCs/>
          <w:sz w:val="16"/>
          <w:szCs w:val="16"/>
        </w:rPr>
        <w:t>Augstāka MI ietekme</w:t>
      </w:r>
      <w:r w:rsidRPr="009A47AF">
        <w:rPr>
          <w:rFonts w:ascii="Segoe UI Light" w:hAnsi="Segoe UI Light" w:cs="Segoe UI Light"/>
          <w:sz w:val="16"/>
          <w:szCs w:val="16"/>
        </w:rPr>
        <w:t xml:space="preserve"> ir profesijās, kurās dominē informācijas apstrāde, analītiskais darbs, rakstiskā komunikācija un lēmumu sagatavošana -  I</w:t>
      </w:r>
      <w:r w:rsidR="00964938">
        <w:rPr>
          <w:rFonts w:ascii="Segoe UI Light" w:hAnsi="Segoe UI Light" w:cs="Segoe UI Light"/>
          <w:sz w:val="16"/>
          <w:szCs w:val="16"/>
        </w:rPr>
        <w:t>K</w:t>
      </w:r>
      <w:r w:rsidRPr="009A47AF">
        <w:rPr>
          <w:rFonts w:ascii="Segoe UI Light" w:hAnsi="Segoe UI Light" w:cs="Segoe UI Light"/>
          <w:sz w:val="16"/>
          <w:szCs w:val="16"/>
        </w:rPr>
        <w:t xml:space="preserve">T speciālisti, vadītāji, biznesa un finanšu speciālisti, zinātnes un inženierzinātņu speciālisti, juristi, analītiķi un administratīvie speciālisti. </w:t>
      </w:r>
    </w:p>
    <w:p w14:paraId="7BDD7FA2" w14:textId="33CFFF6D" w:rsidR="00FE218F" w:rsidRPr="009A47AF" w:rsidRDefault="00FE640B"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0"/>
        <w:jc w:val="both"/>
        <w:rPr>
          <w:rFonts w:ascii="Segoe UI Light" w:hAnsi="Segoe UI Light" w:cs="Segoe UI Light"/>
          <w:sz w:val="16"/>
          <w:szCs w:val="16"/>
        </w:rPr>
      </w:pPr>
      <w:r w:rsidRPr="009A47AF">
        <w:rPr>
          <w:rFonts w:ascii="Segoe UI Light" w:hAnsi="Segoe UI Light" w:cs="Segoe UI Light"/>
          <w:b/>
          <w:bCs/>
          <w:sz w:val="16"/>
          <w:szCs w:val="16"/>
        </w:rPr>
        <w:t>Zemāka MI ietekme</w:t>
      </w:r>
      <w:r w:rsidRPr="009A47AF">
        <w:rPr>
          <w:rFonts w:ascii="Segoe UI Light" w:hAnsi="Segoe UI Light" w:cs="Segoe UI Light"/>
          <w:sz w:val="16"/>
          <w:szCs w:val="16"/>
        </w:rPr>
        <w:t xml:space="preserve"> ir profesijās, kurās būtiska nozīme ir fiziskam darbam, klātbūtnei, manuālām prasmēm vai tiešai aprūpei - apkopēji, palīgstrādnieki, pārtikas sagatavošanas palīgi, aprūpes darbinieki, daļa transporta, būvniecības, lauksaimniecības un ražošanas profesiju.</w:t>
      </w:r>
    </w:p>
    <w:p w14:paraId="6C8938AD" w14:textId="77777777" w:rsidR="00C37F7B" w:rsidRPr="009A47AF" w:rsidRDefault="00C37F7B"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before="120" w:after="0"/>
        <w:jc w:val="both"/>
        <w:rPr>
          <w:rFonts w:ascii="Segoe UI Light" w:hAnsi="Segoe UI Light" w:cs="Segoe UI Light"/>
          <w:sz w:val="16"/>
          <w:szCs w:val="16"/>
        </w:rPr>
      </w:pPr>
      <w:r w:rsidRPr="009A47AF">
        <w:rPr>
          <w:rFonts w:ascii="Segoe UI Light" w:hAnsi="Segoe UI Light" w:cs="Segoe UI Light"/>
          <w:b/>
          <w:bCs/>
          <w:sz w:val="16"/>
          <w:szCs w:val="16"/>
        </w:rPr>
        <w:t xml:space="preserve">MI ietekme uz nodarbinātību līdz šim nav viennozīmīga. </w:t>
      </w:r>
      <w:r w:rsidRPr="009A47AF">
        <w:rPr>
          <w:rFonts w:ascii="Segoe UI Light" w:hAnsi="Segoe UI Light" w:cs="Segoe UI Light"/>
          <w:sz w:val="16"/>
          <w:szCs w:val="16"/>
        </w:rPr>
        <w:t xml:space="preserve">Līdzšinējie pētījumi nesniedz pārliecinošus pierādījumus, ka MI būtu samazinājis kopējo nodarbinātību; atsevišķos pētījumos MI ietekme pat saistīta ar pozitīviem nodarbinātības un algu rezultātiem. Tomēr ieguvumi vairāk koncentrējas pie augstāk izglītotiem un labāk atalgotajiem darbiniekiem, tādējādi pastāv risks, ka MI var pastiprināt jau esošās nevienlīdzības darba tirgū. </w:t>
      </w:r>
    </w:p>
    <w:p w14:paraId="05B8A248" w14:textId="2AC54232" w:rsidR="00C37F7B" w:rsidRPr="00C37F7B" w:rsidRDefault="00C37F7B" w:rsidP="00901B31">
      <w:pPr>
        <w:pBdr>
          <w:top w:val="single" w:sz="4" w:space="6" w:color="auto" w:shadow="1"/>
          <w:left w:val="single" w:sz="4" w:space="6" w:color="auto" w:shadow="1"/>
          <w:bottom w:val="single" w:sz="4" w:space="6" w:color="auto" w:shadow="1"/>
          <w:right w:val="single" w:sz="4" w:space="6" w:color="auto" w:shadow="1"/>
        </w:pBdr>
        <w:shd w:val="clear" w:color="auto" w:fill="DCE7EB"/>
        <w:spacing w:after="60"/>
        <w:jc w:val="both"/>
        <w:rPr>
          <w:rFonts w:ascii="Segoe UI Light" w:hAnsi="Segoe UI Light" w:cs="Segoe UI Light"/>
          <w:i/>
          <w:iCs/>
          <w:sz w:val="14"/>
          <w:szCs w:val="14"/>
        </w:rPr>
      </w:pPr>
      <w:r w:rsidRPr="009A47AF">
        <w:rPr>
          <w:rFonts w:ascii="Segoe UI Light" w:hAnsi="Segoe UI Light" w:cs="Segoe UI Light"/>
          <w:i/>
          <w:iCs/>
          <w:sz w:val="14"/>
          <w:szCs w:val="14"/>
        </w:rPr>
        <w:t>Avots: OECD; European Commission</w:t>
      </w:r>
      <w:r w:rsidRPr="00C37F7B">
        <w:rPr>
          <w:rFonts w:ascii="Segoe UI Light" w:hAnsi="Segoe UI Light" w:cs="Segoe UI Light"/>
          <w:i/>
          <w:iCs/>
          <w:sz w:val="14"/>
          <w:szCs w:val="14"/>
        </w:rPr>
        <w:t xml:space="preserve"> </w:t>
      </w:r>
    </w:p>
    <w:p w14:paraId="2BEDE15B" w14:textId="77777777" w:rsidR="000E509C" w:rsidRPr="00D829F0" w:rsidRDefault="000E509C" w:rsidP="00343F74">
      <w:pPr>
        <w:spacing w:after="120"/>
        <w:jc w:val="both"/>
        <w:rPr>
          <w:rFonts w:ascii="Source Sans Pro" w:hAnsi="Source Sans Pro"/>
          <w:szCs w:val="20"/>
        </w:rPr>
      </w:pPr>
    </w:p>
    <w:p w14:paraId="6B90F88F" w14:textId="003FDE56" w:rsidR="00F84BE6" w:rsidRPr="00D829F0" w:rsidRDefault="000E509C" w:rsidP="00D56ED4">
      <w:pPr>
        <w:spacing w:after="0"/>
        <w:jc w:val="both"/>
        <w:rPr>
          <w:rFonts w:ascii="Source Sans Pro" w:hAnsi="Source Sans Pro"/>
          <w:szCs w:val="20"/>
        </w:rPr>
      </w:pPr>
      <w:r w:rsidRPr="00D829F0">
        <w:rPr>
          <w:rFonts w:ascii="Source Sans Pro" w:hAnsi="Source Sans Pro"/>
          <w:szCs w:val="20"/>
        </w:rPr>
        <w:t xml:space="preserve">Gan vidējā termiņā, gan ilgtermiņā </w:t>
      </w:r>
      <w:r w:rsidR="007C7430" w:rsidRPr="00D829F0">
        <w:rPr>
          <w:rFonts w:ascii="Source Sans Pro" w:hAnsi="Source Sans Pro"/>
          <w:szCs w:val="20"/>
        </w:rPr>
        <w:t xml:space="preserve">darbaspēka </w:t>
      </w:r>
      <w:r w:rsidRPr="00D829F0">
        <w:rPr>
          <w:rFonts w:ascii="Source Sans Pro" w:hAnsi="Source Sans Pro"/>
          <w:szCs w:val="20"/>
        </w:rPr>
        <w:t>pieprasījums augs galvenokārt pēc augstas kvalifikācijas profesiju speciālistiem. Vidējā termiņā to pamatā noteiks pieprasījuma pieaugums komercpakalpojumos, būvniecībā</w:t>
      </w:r>
      <w:r w:rsidR="007C7430" w:rsidRPr="00D829F0">
        <w:rPr>
          <w:rFonts w:ascii="Source Sans Pro" w:hAnsi="Source Sans Pro"/>
          <w:szCs w:val="20"/>
        </w:rPr>
        <w:t xml:space="preserve"> un apstrādes rūpniecībā.</w:t>
      </w:r>
      <w:r w:rsidRPr="00D829F0">
        <w:rPr>
          <w:rFonts w:ascii="Source Sans Pro" w:hAnsi="Source Sans Pro"/>
          <w:szCs w:val="20"/>
        </w:rPr>
        <w:t xml:space="preserve"> Ilgtermiņā straujākais pieprasījuma pieaugums </w:t>
      </w:r>
      <w:r w:rsidR="007C7430" w:rsidRPr="00D829F0">
        <w:rPr>
          <w:rFonts w:ascii="Source Sans Pro" w:hAnsi="Source Sans Pro"/>
          <w:szCs w:val="20"/>
        </w:rPr>
        <w:t xml:space="preserve">pēc augstas kvalifikācijas speciālistiem </w:t>
      </w:r>
      <w:r w:rsidRPr="00D829F0">
        <w:rPr>
          <w:rFonts w:ascii="Source Sans Pro" w:hAnsi="Source Sans Pro"/>
          <w:szCs w:val="20"/>
        </w:rPr>
        <w:t>sagaidāms komercpakalpojumos, kā arī apstrādes rūpniecībā</w:t>
      </w:r>
      <w:r w:rsidR="007C7430" w:rsidRPr="00D829F0">
        <w:rPr>
          <w:rFonts w:ascii="Source Sans Pro" w:hAnsi="Source Sans Pro"/>
          <w:szCs w:val="20"/>
        </w:rPr>
        <w:t>, būvniecībā, tirdzniecībā un transportā</w:t>
      </w:r>
      <w:r w:rsidRPr="00D829F0">
        <w:rPr>
          <w:rFonts w:ascii="Source Sans Pro" w:hAnsi="Source Sans Pro"/>
          <w:szCs w:val="20"/>
        </w:rPr>
        <w:t>.</w:t>
      </w:r>
    </w:p>
    <w:p w14:paraId="020E023A" w14:textId="77777777" w:rsidR="00432CD5" w:rsidRDefault="00432CD5">
      <w:pPr>
        <w:spacing w:after="0"/>
        <w:rPr>
          <w:rFonts w:ascii="Source Sans Pro" w:hAnsi="Source Sans Pro"/>
          <w:szCs w:val="20"/>
        </w:rPr>
      </w:pPr>
      <w:r>
        <w:rPr>
          <w:rFonts w:ascii="Source Sans Pro" w:hAnsi="Source Sans Pro"/>
          <w:szCs w:val="20"/>
        </w:rPr>
        <w:br w:type="page"/>
      </w:r>
    </w:p>
    <w:p w14:paraId="0D3FD7CE" w14:textId="3D6FB8B6" w:rsidR="009A0130" w:rsidRPr="00D829F0" w:rsidRDefault="009A0130" w:rsidP="000E509C">
      <w:pPr>
        <w:spacing w:after="120"/>
        <w:jc w:val="right"/>
        <w:rPr>
          <w:rFonts w:ascii="Source Sans Pro" w:hAnsi="Source Sans Pro"/>
          <w:szCs w:val="20"/>
        </w:rPr>
      </w:pPr>
      <w:r w:rsidRPr="00D829F0">
        <w:rPr>
          <w:rFonts w:ascii="Source Sans Pro" w:hAnsi="Source Sans Pro"/>
          <w:szCs w:val="20"/>
        </w:rPr>
        <w:lastRenderedPageBreak/>
        <w:t>3.</w:t>
      </w:r>
      <w:r w:rsidR="00BC0CBE" w:rsidRPr="00D829F0">
        <w:rPr>
          <w:rFonts w:ascii="Source Sans Pro" w:hAnsi="Source Sans Pro"/>
          <w:szCs w:val="20"/>
        </w:rPr>
        <w:t>7</w:t>
      </w:r>
      <w:r w:rsidRPr="00D829F0">
        <w:rPr>
          <w:rFonts w:ascii="Source Sans Pro" w:hAnsi="Source Sans Pro"/>
          <w:szCs w:val="20"/>
        </w:rPr>
        <w:t>.</w:t>
      </w:r>
      <w:r w:rsidR="00D56ED4">
        <w:rPr>
          <w:rFonts w:ascii="Source Sans Pro" w:hAnsi="Source Sans Pro"/>
          <w:szCs w:val="20"/>
        </w:rPr>
        <w:t> </w:t>
      </w:r>
      <w:r w:rsidRPr="00D829F0">
        <w:rPr>
          <w:rFonts w:ascii="Source Sans Pro" w:hAnsi="Source Sans Pro"/>
          <w:szCs w:val="20"/>
        </w:rPr>
        <w:t>tabula</w:t>
      </w:r>
    </w:p>
    <w:p w14:paraId="6546B40E" w14:textId="77777777" w:rsidR="009A0130" w:rsidRPr="00D56D8D" w:rsidRDefault="009A0130" w:rsidP="00590200">
      <w:pPr>
        <w:spacing w:after="120"/>
        <w:jc w:val="center"/>
        <w:rPr>
          <w:rFonts w:ascii="Segoe UI Light" w:hAnsi="Segoe UI Light"/>
          <w:i/>
          <w:sz w:val="16"/>
          <w:szCs w:val="26"/>
        </w:rPr>
      </w:pPr>
      <w:r w:rsidRPr="00D56D8D">
        <w:rPr>
          <w:rFonts w:ascii="Segoe UI Light" w:hAnsi="Segoe UI Light"/>
          <w:b/>
          <w:sz w:val="18"/>
          <w:szCs w:val="26"/>
        </w:rPr>
        <w:t>Darbaspēka pieprasījuma izmaiņas profesiju grupās</w:t>
      </w:r>
      <w:r w:rsidRPr="00D56D8D">
        <w:rPr>
          <w:rFonts w:ascii="Segoe UI Light" w:hAnsi="Segoe UI Light"/>
          <w:sz w:val="18"/>
          <w:szCs w:val="26"/>
        </w:rPr>
        <w:br/>
      </w:r>
      <w:r w:rsidRPr="00D56D8D">
        <w:rPr>
          <w:rFonts w:ascii="Segoe UI Light" w:hAnsi="Segoe UI Light"/>
          <w:i/>
          <w:sz w:val="16"/>
          <w:szCs w:val="26"/>
        </w:rPr>
        <w:t>procentos</w:t>
      </w:r>
    </w:p>
    <w:tbl>
      <w:tblPr>
        <w:tblStyle w:val="GridTable5Dark-Accent31"/>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849"/>
        <w:gridCol w:w="1305"/>
        <w:gridCol w:w="1310"/>
        <w:gridCol w:w="1305"/>
        <w:gridCol w:w="1303"/>
      </w:tblGrid>
      <w:tr w:rsidR="009A0130" w:rsidRPr="00D829F0" w14:paraId="654EB438" w14:textId="77777777" w:rsidTr="00901B31">
        <w:trPr>
          <w:cnfStyle w:val="100000000000" w:firstRow="1" w:lastRow="0" w:firstColumn="0" w:lastColumn="0" w:oddVBand="0" w:evenVBand="0" w:oddHBand="0" w:evenHBand="0" w:firstRowFirstColumn="0" w:firstRowLastColumn="0" w:lastRowFirstColumn="0" w:lastRowLastColumn="0"/>
        </w:trPr>
        <w:tc>
          <w:tcPr>
            <w:tcW w:w="2121" w:type="pct"/>
            <w:shd w:val="clear" w:color="auto" w:fill="006666"/>
            <w:noWrap/>
          </w:tcPr>
          <w:p w14:paraId="64765C18" w14:textId="77777777" w:rsidR="009A0130" w:rsidRPr="00D56D8D" w:rsidRDefault="009A0130" w:rsidP="00343F74">
            <w:pPr>
              <w:spacing w:before="40" w:after="40"/>
              <w:ind w:left="-142" w:right="-142"/>
              <w:jc w:val="center"/>
              <w:rPr>
                <w:rFonts w:ascii="Segoe UI Light" w:hAnsi="Segoe UI Light"/>
                <w:b w:val="0"/>
                <w:color w:val="FFFFFF"/>
                <w:sz w:val="16"/>
                <w:szCs w:val="20"/>
              </w:rPr>
            </w:pPr>
          </w:p>
        </w:tc>
        <w:tc>
          <w:tcPr>
            <w:tcW w:w="1441" w:type="pct"/>
            <w:gridSpan w:val="2"/>
            <w:shd w:val="clear" w:color="auto" w:fill="006666"/>
          </w:tcPr>
          <w:p w14:paraId="2BB7EAD9" w14:textId="1F98F260" w:rsidR="009A0130" w:rsidRPr="00D56D8D" w:rsidRDefault="009A0130" w:rsidP="00343F74">
            <w:pPr>
              <w:spacing w:before="40" w:after="40"/>
              <w:ind w:left="-142" w:right="-142"/>
              <w:jc w:val="center"/>
              <w:rPr>
                <w:rFonts w:ascii="Segoe UI Light" w:hAnsi="Segoe UI Light"/>
                <w:color w:val="FFFFFF"/>
                <w:sz w:val="16"/>
                <w:szCs w:val="20"/>
              </w:rPr>
            </w:pPr>
            <w:r w:rsidRPr="00D56D8D">
              <w:rPr>
                <w:rFonts w:ascii="Segoe UI Light" w:hAnsi="Segoe UI Light"/>
                <w:color w:val="FFFFFF"/>
                <w:sz w:val="16"/>
                <w:szCs w:val="20"/>
              </w:rPr>
              <w:t>Izmaiņas pret 202</w:t>
            </w:r>
            <w:r w:rsidR="009B1A9F">
              <w:rPr>
                <w:rFonts w:ascii="Segoe UI Light" w:hAnsi="Segoe UI Light"/>
                <w:color w:val="FFFFFF"/>
                <w:sz w:val="16"/>
                <w:szCs w:val="20"/>
              </w:rPr>
              <w:t>5</w:t>
            </w:r>
            <w:r w:rsidRPr="00D56D8D">
              <w:rPr>
                <w:rFonts w:ascii="Segoe UI Light" w:hAnsi="Segoe UI Light"/>
                <w:color w:val="FFFFFF"/>
                <w:sz w:val="16"/>
                <w:szCs w:val="20"/>
              </w:rPr>
              <w:t>.</w:t>
            </w:r>
            <w:r w:rsidR="0080669C" w:rsidRPr="00D56D8D">
              <w:rPr>
                <w:rFonts w:ascii="Segoe UI Light" w:hAnsi="Segoe UI Light"/>
                <w:color w:val="FFFFFF"/>
                <w:sz w:val="16"/>
                <w:szCs w:val="20"/>
              </w:rPr>
              <w:t>gad</w:t>
            </w:r>
            <w:r w:rsidRPr="00D56D8D">
              <w:rPr>
                <w:rFonts w:ascii="Segoe UI Light" w:hAnsi="Segoe UI Light"/>
                <w:color w:val="FFFFFF"/>
                <w:sz w:val="16"/>
                <w:szCs w:val="20"/>
              </w:rPr>
              <w:t>u</w:t>
            </w:r>
          </w:p>
        </w:tc>
        <w:tc>
          <w:tcPr>
            <w:tcW w:w="1437" w:type="pct"/>
            <w:gridSpan w:val="2"/>
            <w:shd w:val="clear" w:color="auto" w:fill="006666"/>
          </w:tcPr>
          <w:p w14:paraId="49B95069" w14:textId="77777777" w:rsidR="009A0130" w:rsidRPr="00D56D8D" w:rsidRDefault="009A0130" w:rsidP="00343F74">
            <w:pPr>
              <w:spacing w:before="40" w:after="40"/>
              <w:ind w:left="-142" w:right="-142"/>
              <w:jc w:val="center"/>
              <w:rPr>
                <w:rFonts w:ascii="Segoe UI Light" w:hAnsi="Segoe UI Light"/>
                <w:color w:val="FFFFFF"/>
                <w:sz w:val="16"/>
                <w:szCs w:val="20"/>
              </w:rPr>
            </w:pPr>
            <w:r w:rsidRPr="00D56D8D">
              <w:rPr>
                <w:rFonts w:ascii="Segoe UI Light" w:hAnsi="Segoe UI Light"/>
                <w:color w:val="FFFFFF"/>
                <w:sz w:val="16"/>
                <w:szCs w:val="20"/>
              </w:rPr>
              <w:t>Struktūra</w:t>
            </w:r>
          </w:p>
        </w:tc>
      </w:tr>
      <w:tr w:rsidR="00997DF6" w:rsidRPr="00D829F0" w14:paraId="5CB09B33" w14:textId="77777777" w:rsidTr="00901B31">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006666"/>
            <w:noWrap/>
          </w:tcPr>
          <w:p w14:paraId="1764ADA6" w14:textId="77777777" w:rsidR="009A0130" w:rsidRPr="00D56D8D" w:rsidRDefault="009A0130" w:rsidP="00343F74">
            <w:pPr>
              <w:spacing w:before="40" w:after="40"/>
              <w:ind w:left="-142" w:right="-142"/>
              <w:jc w:val="center"/>
              <w:rPr>
                <w:rFonts w:ascii="Segoe UI Light" w:hAnsi="Segoe UI Light"/>
                <w:color w:val="FFFFFF"/>
                <w:sz w:val="16"/>
                <w:szCs w:val="20"/>
              </w:rPr>
            </w:pPr>
          </w:p>
        </w:tc>
        <w:tc>
          <w:tcPr>
            <w:tcW w:w="719" w:type="pct"/>
            <w:shd w:val="clear" w:color="auto" w:fill="006666"/>
          </w:tcPr>
          <w:p w14:paraId="0C6682F6" w14:textId="77777777" w:rsidR="009A0130" w:rsidRPr="00D56D8D" w:rsidRDefault="009A0130" w:rsidP="00343F74">
            <w:pPr>
              <w:spacing w:before="40" w:after="40"/>
              <w:ind w:left="-142" w:right="-142"/>
              <w:jc w:val="center"/>
              <w:rPr>
                <w:rFonts w:ascii="Segoe UI Light" w:hAnsi="Segoe UI Light"/>
                <w:b/>
                <w:color w:val="FFFFFF"/>
                <w:sz w:val="16"/>
                <w:szCs w:val="20"/>
              </w:rPr>
            </w:pPr>
            <w:r w:rsidRPr="00D56D8D">
              <w:rPr>
                <w:rFonts w:ascii="Segoe UI Light" w:hAnsi="Segoe UI Light"/>
                <w:b/>
                <w:color w:val="FFFFFF"/>
                <w:sz w:val="16"/>
                <w:szCs w:val="20"/>
              </w:rPr>
              <w:t>2030</w:t>
            </w:r>
          </w:p>
        </w:tc>
        <w:tc>
          <w:tcPr>
            <w:tcW w:w="722" w:type="pct"/>
            <w:shd w:val="clear" w:color="auto" w:fill="006666"/>
          </w:tcPr>
          <w:p w14:paraId="53BAE00C" w14:textId="77777777" w:rsidR="009A0130" w:rsidRPr="00D56D8D" w:rsidRDefault="009A0130" w:rsidP="00343F74">
            <w:pPr>
              <w:spacing w:before="40" w:after="40"/>
              <w:ind w:left="-142" w:right="-142"/>
              <w:jc w:val="center"/>
              <w:rPr>
                <w:rFonts w:ascii="Segoe UI Light" w:hAnsi="Segoe UI Light"/>
                <w:b/>
                <w:color w:val="FFFFFF"/>
                <w:sz w:val="16"/>
                <w:szCs w:val="20"/>
              </w:rPr>
            </w:pPr>
            <w:r w:rsidRPr="00D56D8D">
              <w:rPr>
                <w:rFonts w:ascii="Segoe UI Light" w:hAnsi="Segoe UI Light"/>
                <w:b/>
                <w:color w:val="FFFFFF"/>
                <w:sz w:val="16"/>
                <w:szCs w:val="20"/>
              </w:rPr>
              <w:t>2040</w:t>
            </w:r>
          </w:p>
        </w:tc>
        <w:tc>
          <w:tcPr>
            <w:tcW w:w="719" w:type="pct"/>
            <w:shd w:val="clear" w:color="auto" w:fill="006666"/>
          </w:tcPr>
          <w:p w14:paraId="43320D8B" w14:textId="77777777" w:rsidR="009A0130" w:rsidRPr="00D56D8D" w:rsidRDefault="009A0130" w:rsidP="00343F74">
            <w:pPr>
              <w:spacing w:before="40" w:after="40"/>
              <w:ind w:left="-142" w:right="-142"/>
              <w:jc w:val="center"/>
              <w:rPr>
                <w:rFonts w:ascii="Segoe UI Light" w:hAnsi="Segoe UI Light"/>
                <w:b/>
                <w:color w:val="FFFFFF"/>
                <w:sz w:val="16"/>
                <w:szCs w:val="20"/>
              </w:rPr>
            </w:pPr>
            <w:r w:rsidRPr="00D56D8D">
              <w:rPr>
                <w:rFonts w:ascii="Segoe UI Light" w:hAnsi="Segoe UI Light"/>
                <w:b/>
                <w:color w:val="FFFFFF"/>
                <w:sz w:val="16"/>
                <w:szCs w:val="20"/>
              </w:rPr>
              <w:t>2030</w:t>
            </w:r>
          </w:p>
        </w:tc>
        <w:tc>
          <w:tcPr>
            <w:tcW w:w="718" w:type="pct"/>
            <w:shd w:val="clear" w:color="auto" w:fill="006666"/>
          </w:tcPr>
          <w:p w14:paraId="723E5786" w14:textId="77777777" w:rsidR="009A0130" w:rsidRPr="00D56D8D" w:rsidRDefault="009A0130" w:rsidP="00343F74">
            <w:pPr>
              <w:spacing w:before="40" w:after="40"/>
              <w:ind w:left="-142" w:right="-142"/>
              <w:jc w:val="center"/>
              <w:rPr>
                <w:rFonts w:ascii="Segoe UI Light" w:hAnsi="Segoe UI Light"/>
                <w:b/>
                <w:color w:val="FFFFFF"/>
                <w:sz w:val="16"/>
                <w:szCs w:val="20"/>
              </w:rPr>
            </w:pPr>
            <w:r w:rsidRPr="00D56D8D">
              <w:rPr>
                <w:rFonts w:ascii="Segoe UI Light" w:hAnsi="Segoe UI Light"/>
                <w:b/>
                <w:color w:val="FFFFFF"/>
                <w:sz w:val="16"/>
                <w:szCs w:val="20"/>
              </w:rPr>
              <w:t>2040</w:t>
            </w:r>
          </w:p>
        </w:tc>
      </w:tr>
      <w:tr w:rsidR="0033714A" w:rsidRPr="00D829F0" w14:paraId="5D058DFF" w14:textId="77777777" w:rsidTr="00901B31">
        <w:tc>
          <w:tcPr>
            <w:tcW w:w="2121" w:type="pct"/>
            <w:shd w:val="clear" w:color="auto" w:fill="DCE7EB"/>
          </w:tcPr>
          <w:p w14:paraId="7E3EE68A" w14:textId="77777777" w:rsidR="0033714A" w:rsidRPr="00D56D8D" w:rsidRDefault="0033714A" w:rsidP="0033714A">
            <w:pPr>
              <w:spacing w:before="40" w:after="40"/>
              <w:ind w:right="-142"/>
              <w:jc w:val="both"/>
              <w:rPr>
                <w:rFonts w:ascii="Segoe UI Light" w:hAnsi="Segoe UI Light"/>
                <w:sz w:val="16"/>
                <w:szCs w:val="20"/>
              </w:rPr>
            </w:pPr>
            <w:r w:rsidRPr="00D56D8D">
              <w:rPr>
                <w:rFonts w:ascii="Segoe UI Light" w:hAnsi="Segoe UI Light"/>
                <w:sz w:val="16"/>
                <w:szCs w:val="20"/>
              </w:rPr>
              <w:t>Nacionālo bruņoto spēku profesijas</w:t>
            </w:r>
          </w:p>
        </w:tc>
        <w:tc>
          <w:tcPr>
            <w:tcW w:w="719" w:type="pct"/>
            <w:shd w:val="clear" w:color="auto" w:fill="DCE7EB"/>
          </w:tcPr>
          <w:p w14:paraId="4E1F355E" w14:textId="023E167C"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20,1</w:t>
            </w:r>
          </w:p>
        </w:tc>
        <w:tc>
          <w:tcPr>
            <w:tcW w:w="722" w:type="pct"/>
            <w:shd w:val="clear" w:color="auto" w:fill="DCE7EB"/>
          </w:tcPr>
          <w:p w14:paraId="1E4F2D18" w14:textId="5DCC2D10"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42,5</w:t>
            </w:r>
          </w:p>
        </w:tc>
        <w:tc>
          <w:tcPr>
            <w:tcW w:w="719" w:type="pct"/>
            <w:shd w:val="clear" w:color="auto" w:fill="DCE7EB"/>
          </w:tcPr>
          <w:p w14:paraId="5E81B24E" w14:textId="2B9FF8A1"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0,9</w:t>
            </w:r>
          </w:p>
        </w:tc>
        <w:tc>
          <w:tcPr>
            <w:tcW w:w="718" w:type="pct"/>
            <w:shd w:val="clear" w:color="auto" w:fill="DCE7EB"/>
          </w:tcPr>
          <w:p w14:paraId="30A24A35" w14:textId="54D20F28"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1,1</w:t>
            </w:r>
          </w:p>
        </w:tc>
      </w:tr>
      <w:tr w:rsidR="0033714A" w:rsidRPr="00D829F0" w14:paraId="64D8EF7D" w14:textId="77777777" w:rsidTr="00901B31">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auto"/>
          </w:tcPr>
          <w:p w14:paraId="39255910" w14:textId="77777777" w:rsidR="0033714A" w:rsidRPr="00D56D8D" w:rsidRDefault="0033714A" w:rsidP="0033714A">
            <w:pPr>
              <w:spacing w:before="40" w:after="40"/>
              <w:ind w:right="-142"/>
              <w:jc w:val="both"/>
              <w:rPr>
                <w:rFonts w:ascii="Segoe UI Light" w:hAnsi="Segoe UI Light"/>
                <w:sz w:val="16"/>
                <w:szCs w:val="20"/>
              </w:rPr>
            </w:pPr>
            <w:r w:rsidRPr="00D56D8D">
              <w:rPr>
                <w:rFonts w:ascii="Segoe UI Light" w:hAnsi="Segoe UI Light"/>
                <w:sz w:val="16"/>
                <w:szCs w:val="20"/>
              </w:rPr>
              <w:t>Augstas kvalifikācijas profesijas, tai skaitā:</w:t>
            </w:r>
          </w:p>
        </w:tc>
        <w:tc>
          <w:tcPr>
            <w:tcW w:w="719" w:type="pct"/>
            <w:shd w:val="clear" w:color="auto" w:fill="auto"/>
          </w:tcPr>
          <w:p w14:paraId="68D68417" w14:textId="1C4F09D3"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6,2</w:t>
            </w:r>
          </w:p>
        </w:tc>
        <w:tc>
          <w:tcPr>
            <w:tcW w:w="722" w:type="pct"/>
            <w:shd w:val="clear" w:color="auto" w:fill="auto"/>
          </w:tcPr>
          <w:p w14:paraId="089658ED" w14:textId="5A2A11BA"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14,4</w:t>
            </w:r>
          </w:p>
        </w:tc>
        <w:tc>
          <w:tcPr>
            <w:tcW w:w="719" w:type="pct"/>
            <w:shd w:val="clear" w:color="auto" w:fill="auto"/>
          </w:tcPr>
          <w:p w14:paraId="0ADE2529" w14:textId="2F3D7BBD"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47,0</w:t>
            </w:r>
          </w:p>
        </w:tc>
        <w:tc>
          <w:tcPr>
            <w:tcW w:w="718" w:type="pct"/>
            <w:shd w:val="clear" w:color="auto" w:fill="auto"/>
          </w:tcPr>
          <w:p w14:paraId="07445E0E" w14:textId="351C3D33"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51,3</w:t>
            </w:r>
          </w:p>
        </w:tc>
      </w:tr>
      <w:tr w:rsidR="0033714A" w:rsidRPr="00D829F0" w14:paraId="589AB1B7" w14:textId="77777777" w:rsidTr="00901B31">
        <w:tc>
          <w:tcPr>
            <w:tcW w:w="2121" w:type="pct"/>
            <w:shd w:val="clear" w:color="auto" w:fill="DCE7EB"/>
          </w:tcPr>
          <w:p w14:paraId="71687549" w14:textId="77777777" w:rsidR="0033714A" w:rsidRPr="00D56D8D" w:rsidRDefault="0033714A" w:rsidP="0033714A">
            <w:pPr>
              <w:spacing w:before="40" w:after="40"/>
              <w:ind w:left="176" w:right="-142"/>
              <w:jc w:val="both"/>
              <w:rPr>
                <w:rFonts w:ascii="Segoe UI Light" w:hAnsi="Segoe UI Light"/>
                <w:sz w:val="16"/>
                <w:szCs w:val="20"/>
              </w:rPr>
            </w:pPr>
            <w:bookmarkStart w:id="59" w:name="_Hlk103595742"/>
            <w:r w:rsidRPr="00D56D8D">
              <w:rPr>
                <w:rFonts w:ascii="Segoe UI Light" w:hAnsi="Segoe UI Light"/>
                <w:sz w:val="16"/>
                <w:szCs w:val="20"/>
              </w:rPr>
              <w:t>Vadītāji</w:t>
            </w:r>
          </w:p>
        </w:tc>
        <w:tc>
          <w:tcPr>
            <w:tcW w:w="719" w:type="pct"/>
            <w:shd w:val="clear" w:color="auto" w:fill="DCE7EB"/>
          </w:tcPr>
          <w:p w14:paraId="4F685A6B" w14:textId="0BD74E6D"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6,1</w:t>
            </w:r>
          </w:p>
        </w:tc>
        <w:tc>
          <w:tcPr>
            <w:tcW w:w="722" w:type="pct"/>
            <w:shd w:val="clear" w:color="auto" w:fill="DCE7EB"/>
          </w:tcPr>
          <w:p w14:paraId="7161A019" w14:textId="38829755"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10,1</w:t>
            </w:r>
          </w:p>
        </w:tc>
        <w:tc>
          <w:tcPr>
            <w:tcW w:w="719" w:type="pct"/>
            <w:shd w:val="clear" w:color="auto" w:fill="DCE7EB"/>
          </w:tcPr>
          <w:p w14:paraId="4947C822" w14:textId="2DECD1D9"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10,5</w:t>
            </w:r>
          </w:p>
        </w:tc>
        <w:tc>
          <w:tcPr>
            <w:tcW w:w="718" w:type="pct"/>
            <w:shd w:val="clear" w:color="auto" w:fill="DCE7EB"/>
          </w:tcPr>
          <w:p w14:paraId="61D58D4D" w14:textId="09ECE182"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11,1</w:t>
            </w:r>
          </w:p>
        </w:tc>
      </w:tr>
      <w:bookmarkEnd w:id="59"/>
      <w:tr w:rsidR="0033714A" w:rsidRPr="00D829F0" w14:paraId="4E088364" w14:textId="77777777" w:rsidTr="00901B31">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auto"/>
          </w:tcPr>
          <w:p w14:paraId="41A0A527" w14:textId="77777777" w:rsidR="0033714A" w:rsidRPr="00D56D8D" w:rsidRDefault="0033714A" w:rsidP="0033714A">
            <w:pPr>
              <w:spacing w:before="40" w:after="40"/>
              <w:ind w:left="176" w:right="-142"/>
              <w:jc w:val="both"/>
              <w:rPr>
                <w:rFonts w:ascii="Segoe UI Light" w:hAnsi="Segoe UI Light"/>
                <w:sz w:val="16"/>
                <w:szCs w:val="20"/>
              </w:rPr>
            </w:pPr>
            <w:r w:rsidRPr="00D56D8D">
              <w:rPr>
                <w:rFonts w:ascii="Segoe UI Light" w:hAnsi="Segoe UI Light"/>
                <w:sz w:val="16"/>
                <w:szCs w:val="20"/>
              </w:rPr>
              <w:t>Vecākie speciālisti</w:t>
            </w:r>
          </w:p>
        </w:tc>
        <w:tc>
          <w:tcPr>
            <w:tcW w:w="719" w:type="pct"/>
            <w:shd w:val="clear" w:color="auto" w:fill="auto"/>
          </w:tcPr>
          <w:p w14:paraId="4AECA3AE" w14:textId="4664C57B"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5,1</w:t>
            </w:r>
          </w:p>
        </w:tc>
        <w:tc>
          <w:tcPr>
            <w:tcW w:w="722" w:type="pct"/>
            <w:shd w:val="clear" w:color="auto" w:fill="auto"/>
          </w:tcPr>
          <w:p w14:paraId="7350343B" w14:textId="517830E9"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13,1</w:t>
            </w:r>
          </w:p>
        </w:tc>
        <w:tc>
          <w:tcPr>
            <w:tcW w:w="719" w:type="pct"/>
            <w:shd w:val="clear" w:color="auto" w:fill="auto"/>
          </w:tcPr>
          <w:p w14:paraId="66F0BC75" w14:textId="6E0DF27A"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21,7</w:t>
            </w:r>
          </w:p>
        </w:tc>
        <w:tc>
          <w:tcPr>
            <w:tcW w:w="718" w:type="pct"/>
            <w:shd w:val="clear" w:color="auto" w:fill="auto"/>
          </w:tcPr>
          <w:p w14:paraId="3C7ACC9D" w14:textId="5BD3DB8C"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23,6</w:t>
            </w:r>
          </w:p>
        </w:tc>
      </w:tr>
      <w:tr w:rsidR="0033714A" w:rsidRPr="00D829F0" w14:paraId="648A878E" w14:textId="77777777" w:rsidTr="00901B31">
        <w:tc>
          <w:tcPr>
            <w:tcW w:w="2121" w:type="pct"/>
            <w:shd w:val="clear" w:color="auto" w:fill="DCE7EB"/>
          </w:tcPr>
          <w:p w14:paraId="37A583CC" w14:textId="77777777" w:rsidR="0033714A" w:rsidRPr="00D56D8D" w:rsidRDefault="0033714A" w:rsidP="0033714A">
            <w:pPr>
              <w:spacing w:before="40" w:after="40"/>
              <w:ind w:left="176" w:right="-142"/>
              <w:jc w:val="both"/>
              <w:rPr>
                <w:rFonts w:ascii="Segoe UI Light" w:hAnsi="Segoe UI Light"/>
                <w:sz w:val="16"/>
                <w:szCs w:val="20"/>
              </w:rPr>
            </w:pPr>
            <w:r w:rsidRPr="00D56D8D">
              <w:rPr>
                <w:rFonts w:ascii="Segoe UI Light" w:hAnsi="Segoe UI Light"/>
                <w:sz w:val="16"/>
                <w:szCs w:val="20"/>
              </w:rPr>
              <w:t>Speciālisti</w:t>
            </w:r>
          </w:p>
        </w:tc>
        <w:tc>
          <w:tcPr>
            <w:tcW w:w="719" w:type="pct"/>
            <w:shd w:val="clear" w:color="auto" w:fill="DCE7EB"/>
          </w:tcPr>
          <w:p w14:paraId="63BDF53C" w14:textId="654860AB"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8,0</w:t>
            </w:r>
          </w:p>
        </w:tc>
        <w:tc>
          <w:tcPr>
            <w:tcW w:w="722" w:type="pct"/>
            <w:shd w:val="clear" w:color="auto" w:fill="DCE7EB"/>
          </w:tcPr>
          <w:p w14:paraId="0975ED9F" w14:textId="45EB8079"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19,7</w:t>
            </w:r>
          </w:p>
        </w:tc>
        <w:tc>
          <w:tcPr>
            <w:tcW w:w="719" w:type="pct"/>
            <w:shd w:val="clear" w:color="auto" w:fill="DCE7EB"/>
          </w:tcPr>
          <w:p w14:paraId="0C2992AE" w14:textId="54A8552A"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14,8</w:t>
            </w:r>
          </w:p>
        </w:tc>
        <w:tc>
          <w:tcPr>
            <w:tcW w:w="718" w:type="pct"/>
            <w:shd w:val="clear" w:color="auto" w:fill="DCE7EB"/>
          </w:tcPr>
          <w:p w14:paraId="31ECCD3E" w14:textId="787EBF8F"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16,6</w:t>
            </w:r>
          </w:p>
        </w:tc>
      </w:tr>
      <w:tr w:rsidR="0033714A" w:rsidRPr="00D829F0" w14:paraId="0038F347" w14:textId="77777777" w:rsidTr="00901B31">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auto"/>
          </w:tcPr>
          <w:p w14:paraId="317F5018" w14:textId="77777777" w:rsidR="0033714A" w:rsidRPr="00D56D8D" w:rsidRDefault="0033714A" w:rsidP="0033714A">
            <w:pPr>
              <w:spacing w:before="40" w:after="40"/>
              <w:ind w:right="-142"/>
              <w:jc w:val="both"/>
              <w:rPr>
                <w:rFonts w:ascii="Segoe UI Light" w:hAnsi="Segoe UI Light"/>
                <w:sz w:val="16"/>
                <w:szCs w:val="20"/>
              </w:rPr>
            </w:pPr>
            <w:r w:rsidRPr="00D56D8D">
              <w:rPr>
                <w:rFonts w:ascii="Segoe UI Light" w:hAnsi="Segoe UI Light"/>
                <w:sz w:val="16"/>
                <w:szCs w:val="20"/>
              </w:rPr>
              <w:t>Vidējas kvalifikācijas profesijas, tai skaitā:</w:t>
            </w:r>
          </w:p>
        </w:tc>
        <w:tc>
          <w:tcPr>
            <w:tcW w:w="719" w:type="pct"/>
            <w:shd w:val="clear" w:color="auto" w:fill="auto"/>
          </w:tcPr>
          <w:p w14:paraId="7C3065B5" w14:textId="1D628AB8"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-0,5</w:t>
            </w:r>
          </w:p>
        </w:tc>
        <w:tc>
          <w:tcPr>
            <w:tcW w:w="722" w:type="pct"/>
            <w:shd w:val="clear" w:color="auto" w:fill="auto"/>
          </w:tcPr>
          <w:p w14:paraId="67BACB69" w14:textId="72D39E6E"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-6,8</w:t>
            </w:r>
          </w:p>
        </w:tc>
        <w:tc>
          <w:tcPr>
            <w:tcW w:w="719" w:type="pct"/>
            <w:shd w:val="clear" w:color="auto" w:fill="auto"/>
          </w:tcPr>
          <w:p w14:paraId="041A6253" w14:textId="05EA5473"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41,2</w:t>
            </w:r>
          </w:p>
        </w:tc>
        <w:tc>
          <w:tcPr>
            <w:tcW w:w="718" w:type="pct"/>
            <w:shd w:val="clear" w:color="auto" w:fill="auto"/>
          </w:tcPr>
          <w:p w14:paraId="033AC234" w14:textId="38D7A61F"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39,1</w:t>
            </w:r>
          </w:p>
        </w:tc>
      </w:tr>
      <w:tr w:rsidR="0033714A" w:rsidRPr="00D829F0" w14:paraId="25A1552C" w14:textId="77777777" w:rsidTr="00901B31">
        <w:tc>
          <w:tcPr>
            <w:tcW w:w="2121" w:type="pct"/>
            <w:shd w:val="clear" w:color="auto" w:fill="DCE7EB"/>
          </w:tcPr>
          <w:p w14:paraId="23D9889E" w14:textId="77777777" w:rsidR="0033714A" w:rsidRPr="00D56D8D" w:rsidRDefault="0033714A" w:rsidP="0033714A">
            <w:pPr>
              <w:spacing w:before="40" w:after="40"/>
              <w:ind w:left="176" w:right="-142"/>
              <w:jc w:val="both"/>
              <w:rPr>
                <w:rFonts w:ascii="Segoe UI Light" w:hAnsi="Segoe UI Light"/>
                <w:sz w:val="16"/>
                <w:szCs w:val="20"/>
              </w:rPr>
            </w:pPr>
            <w:r w:rsidRPr="00D56D8D">
              <w:rPr>
                <w:rFonts w:ascii="Segoe UI Light" w:hAnsi="Segoe UI Light"/>
                <w:sz w:val="16"/>
                <w:szCs w:val="20"/>
              </w:rPr>
              <w:t>Iestāžu kalpotāji</w:t>
            </w:r>
          </w:p>
        </w:tc>
        <w:tc>
          <w:tcPr>
            <w:tcW w:w="719" w:type="pct"/>
            <w:shd w:val="clear" w:color="auto" w:fill="DCE7EB"/>
          </w:tcPr>
          <w:p w14:paraId="6B5AEB1C" w14:textId="379E6D37"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-11,4</w:t>
            </w:r>
          </w:p>
        </w:tc>
        <w:tc>
          <w:tcPr>
            <w:tcW w:w="722" w:type="pct"/>
            <w:shd w:val="clear" w:color="auto" w:fill="DCE7EB"/>
          </w:tcPr>
          <w:p w14:paraId="19FA7953" w14:textId="09050F7D"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-38,5</w:t>
            </w:r>
          </w:p>
        </w:tc>
        <w:tc>
          <w:tcPr>
            <w:tcW w:w="719" w:type="pct"/>
            <w:shd w:val="clear" w:color="auto" w:fill="DCE7EB"/>
          </w:tcPr>
          <w:p w14:paraId="390D2B36" w14:textId="23A02021"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4,6</w:t>
            </w:r>
          </w:p>
        </w:tc>
        <w:tc>
          <w:tcPr>
            <w:tcW w:w="718" w:type="pct"/>
            <w:shd w:val="clear" w:color="auto" w:fill="DCE7EB"/>
          </w:tcPr>
          <w:p w14:paraId="493F8A16" w14:textId="20810AD8"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3,2</w:t>
            </w:r>
          </w:p>
        </w:tc>
      </w:tr>
      <w:tr w:rsidR="0033714A" w:rsidRPr="00D829F0" w14:paraId="0506B78B" w14:textId="77777777" w:rsidTr="00901B31">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auto"/>
          </w:tcPr>
          <w:p w14:paraId="394D3108" w14:textId="77777777" w:rsidR="0033714A" w:rsidRPr="00D56D8D" w:rsidRDefault="0033714A" w:rsidP="0033714A">
            <w:pPr>
              <w:spacing w:before="40" w:after="40"/>
              <w:ind w:left="176" w:right="-142"/>
              <w:jc w:val="both"/>
              <w:rPr>
                <w:rFonts w:ascii="Segoe UI Light" w:hAnsi="Segoe UI Light"/>
                <w:sz w:val="16"/>
                <w:szCs w:val="20"/>
              </w:rPr>
            </w:pPr>
            <w:r w:rsidRPr="00D56D8D">
              <w:rPr>
                <w:rFonts w:ascii="Segoe UI Light" w:hAnsi="Segoe UI Light"/>
                <w:sz w:val="16"/>
                <w:szCs w:val="20"/>
              </w:rPr>
              <w:t>Pakalpojumu darbinieki</w:t>
            </w:r>
          </w:p>
        </w:tc>
        <w:tc>
          <w:tcPr>
            <w:tcW w:w="719" w:type="pct"/>
            <w:shd w:val="clear" w:color="auto" w:fill="auto"/>
          </w:tcPr>
          <w:p w14:paraId="615ED4A6" w14:textId="6B953367"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-6,0</w:t>
            </w:r>
          </w:p>
        </w:tc>
        <w:tc>
          <w:tcPr>
            <w:tcW w:w="722" w:type="pct"/>
            <w:shd w:val="clear" w:color="auto" w:fill="auto"/>
          </w:tcPr>
          <w:p w14:paraId="0E10CEDB" w14:textId="55130DB9"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-18,2</w:t>
            </w:r>
          </w:p>
        </w:tc>
        <w:tc>
          <w:tcPr>
            <w:tcW w:w="719" w:type="pct"/>
            <w:shd w:val="clear" w:color="auto" w:fill="auto"/>
          </w:tcPr>
          <w:p w14:paraId="35DC6646" w14:textId="0ED5D268"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14,0</w:t>
            </w:r>
          </w:p>
        </w:tc>
        <w:tc>
          <w:tcPr>
            <w:tcW w:w="718" w:type="pct"/>
            <w:shd w:val="clear" w:color="auto" w:fill="auto"/>
          </w:tcPr>
          <w:p w14:paraId="634C668A" w14:textId="02B6630D"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12,4</w:t>
            </w:r>
          </w:p>
        </w:tc>
      </w:tr>
      <w:tr w:rsidR="0033714A" w:rsidRPr="00D829F0" w14:paraId="414B92F6" w14:textId="77777777" w:rsidTr="00901B31">
        <w:tc>
          <w:tcPr>
            <w:tcW w:w="2121" w:type="pct"/>
            <w:shd w:val="clear" w:color="auto" w:fill="DCE7EB"/>
          </w:tcPr>
          <w:p w14:paraId="6DBC0930" w14:textId="77777777" w:rsidR="0033714A" w:rsidRPr="00D56D8D" w:rsidRDefault="0033714A" w:rsidP="0033714A">
            <w:pPr>
              <w:spacing w:before="40" w:after="40"/>
              <w:ind w:left="176" w:right="-142"/>
              <w:jc w:val="both"/>
              <w:rPr>
                <w:rFonts w:ascii="Segoe UI Light" w:hAnsi="Segoe UI Light"/>
                <w:sz w:val="16"/>
                <w:szCs w:val="20"/>
              </w:rPr>
            </w:pPr>
            <w:r w:rsidRPr="00D56D8D">
              <w:rPr>
                <w:rFonts w:ascii="Segoe UI Light" w:hAnsi="Segoe UI Light"/>
                <w:sz w:val="16"/>
                <w:szCs w:val="20"/>
              </w:rPr>
              <w:t>Kvalificēti lauksaimniecības darbinieki</w:t>
            </w:r>
          </w:p>
        </w:tc>
        <w:tc>
          <w:tcPr>
            <w:tcW w:w="719" w:type="pct"/>
            <w:shd w:val="clear" w:color="auto" w:fill="DCE7EB"/>
          </w:tcPr>
          <w:p w14:paraId="61B97165" w14:textId="060E9799"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-3,8</w:t>
            </w:r>
          </w:p>
        </w:tc>
        <w:tc>
          <w:tcPr>
            <w:tcW w:w="722" w:type="pct"/>
            <w:shd w:val="clear" w:color="auto" w:fill="DCE7EB"/>
          </w:tcPr>
          <w:p w14:paraId="22400C61" w14:textId="7134F8DA"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-7,2</w:t>
            </w:r>
          </w:p>
        </w:tc>
        <w:tc>
          <w:tcPr>
            <w:tcW w:w="719" w:type="pct"/>
            <w:shd w:val="clear" w:color="auto" w:fill="DCE7EB"/>
          </w:tcPr>
          <w:p w14:paraId="0E27B32B" w14:textId="44939688"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2,6</w:t>
            </w:r>
          </w:p>
        </w:tc>
        <w:tc>
          <w:tcPr>
            <w:tcW w:w="718" w:type="pct"/>
            <w:shd w:val="clear" w:color="auto" w:fill="DCE7EB"/>
          </w:tcPr>
          <w:p w14:paraId="24112881" w14:textId="1AAF2CE6"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2,6</w:t>
            </w:r>
          </w:p>
        </w:tc>
      </w:tr>
      <w:tr w:rsidR="0033714A" w:rsidRPr="00D829F0" w14:paraId="16841627" w14:textId="77777777" w:rsidTr="00901B31">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auto"/>
          </w:tcPr>
          <w:p w14:paraId="0B51C6C1" w14:textId="77777777" w:rsidR="0033714A" w:rsidRPr="00D56D8D" w:rsidRDefault="0033714A" w:rsidP="0033714A">
            <w:pPr>
              <w:spacing w:before="40" w:after="40"/>
              <w:ind w:left="176" w:right="-142"/>
              <w:jc w:val="both"/>
              <w:rPr>
                <w:rFonts w:ascii="Segoe UI Light" w:hAnsi="Segoe UI Light"/>
                <w:sz w:val="16"/>
                <w:szCs w:val="20"/>
              </w:rPr>
            </w:pPr>
            <w:r w:rsidRPr="00D56D8D">
              <w:rPr>
                <w:rFonts w:ascii="Segoe UI Light" w:hAnsi="Segoe UI Light"/>
                <w:sz w:val="16"/>
                <w:szCs w:val="20"/>
              </w:rPr>
              <w:t>Kvalificēti strādnieki</w:t>
            </w:r>
          </w:p>
        </w:tc>
        <w:tc>
          <w:tcPr>
            <w:tcW w:w="719" w:type="pct"/>
            <w:shd w:val="clear" w:color="auto" w:fill="auto"/>
          </w:tcPr>
          <w:p w14:paraId="5B42965B" w14:textId="1AB4403F"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10,4</w:t>
            </w:r>
          </w:p>
        </w:tc>
        <w:tc>
          <w:tcPr>
            <w:tcW w:w="722" w:type="pct"/>
            <w:shd w:val="clear" w:color="auto" w:fill="auto"/>
          </w:tcPr>
          <w:p w14:paraId="248EFC66" w14:textId="0A20E8F9"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14,9</w:t>
            </w:r>
          </w:p>
        </w:tc>
        <w:tc>
          <w:tcPr>
            <w:tcW w:w="719" w:type="pct"/>
            <w:shd w:val="clear" w:color="auto" w:fill="auto"/>
          </w:tcPr>
          <w:p w14:paraId="1C7598A4" w14:textId="401F9F2B"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11,8</w:t>
            </w:r>
          </w:p>
        </w:tc>
        <w:tc>
          <w:tcPr>
            <w:tcW w:w="718" w:type="pct"/>
            <w:shd w:val="clear" w:color="auto" w:fill="auto"/>
          </w:tcPr>
          <w:p w14:paraId="666D9F45" w14:textId="20CA12EC"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12,4</w:t>
            </w:r>
          </w:p>
        </w:tc>
      </w:tr>
      <w:tr w:rsidR="0033714A" w:rsidRPr="00D829F0" w14:paraId="6475607D" w14:textId="77777777" w:rsidTr="00901B31">
        <w:tc>
          <w:tcPr>
            <w:tcW w:w="2121" w:type="pct"/>
            <w:shd w:val="clear" w:color="auto" w:fill="DCE7EB"/>
          </w:tcPr>
          <w:p w14:paraId="645281D9" w14:textId="77777777" w:rsidR="0033714A" w:rsidRPr="00D56D8D" w:rsidRDefault="0033714A" w:rsidP="0033714A">
            <w:pPr>
              <w:spacing w:before="40" w:after="40"/>
              <w:ind w:left="176" w:right="-142"/>
              <w:jc w:val="both"/>
              <w:rPr>
                <w:rFonts w:ascii="Segoe UI Light" w:hAnsi="Segoe UI Light"/>
                <w:sz w:val="16"/>
                <w:szCs w:val="20"/>
              </w:rPr>
            </w:pPr>
            <w:r w:rsidRPr="00D56D8D">
              <w:rPr>
                <w:rFonts w:ascii="Segoe UI Light" w:hAnsi="Segoe UI Light"/>
                <w:sz w:val="16"/>
                <w:szCs w:val="20"/>
              </w:rPr>
              <w:t>Iekārtu un mašīnu operatori</w:t>
            </w:r>
          </w:p>
        </w:tc>
        <w:tc>
          <w:tcPr>
            <w:tcW w:w="719" w:type="pct"/>
            <w:shd w:val="clear" w:color="auto" w:fill="DCE7EB"/>
          </w:tcPr>
          <w:p w14:paraId="4C4C5E10" w14:textId="79E67994"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3,4</w:t>
            </w:r>
          </w:p>
        </w:tc>
        <w:tc>
          <w:tcPr>
            <w:tcW w:w="722" w:type="pct"/>
            <w:shd w:val="clear" w:color="auto" w:fill="DCE7EB"/>
          </w:tcPr>
          <w:p w14:paraId="28C16BCC" w14:textId="544D68A1"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6,5</w:t>
            </w:r>
          </w:p>
        </w:tc>
        <w:tc>
          <w:tcPr>
            <w:tcW w:w="719" w:type="pct"/>
            <w:shd w:val="clear" w:color="auto" w:fill="DCE7EB"/>
          </w:tcPr>
          <w:p w14:paraId="1F513EBD" w14:textId="6501AD5D"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8,2</w:t>
            </w:r>
          </w:p>
        </w:tc>
        <w:tc>
          <w:tcPr>
            <w:tcW w:w="718" w:type="pct"/>
            <w:shd w:val="clear" w:color="auto" w:fill="DCE7EB"/>
          </w:tcPr>
          <w:p w14:paraId="0AE09308" w14:textId="0FBC17E4"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8,5</w:t>
            </w:r>
          </w:p>
        </w:tc>
      </w:tr>
      <w:tr w:rsidR="0033714A" w:rsidRPr="00D829F0" w14:paraId="2FBC9E47" w14:textId="77777777" w:rsidTr="00901B31">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auto"/>
          </w:tcPr>
          <w:p w14:paraId="0603794D" w14:textId="77777777" w:rsidR="0033714A" w:rsidRPr="00D56D8D" w:rsidRDefault="0033714A" w:rsidP="0033714A">
            <w:pPr>
              <w:spacing w:before="40" w:after="40"/>
              <w:ind w:right="-142"/>
              <w:jc w:val="both"/>
              <w:rPr>
                <w:rFonts w:ascii="Segoe UI Light" w:hAnsi="Segoe UI Light"/>
                <w:sz w:val="16"/>
                <w:szCs w:val="20"/>
              </w:rPr>
            </w:pPr>
            <w:r w:rsidRPr="00D56D8D">
              <w:rPr>
                <w:rFonts w:ascii="Segoe UI Light" w:hAnsi="Segoe UI Light"/>
                <w:sz w:val="16"/>
                <w:szCs w:val="20"/>
              </w:rPr>
              <w:t>Zemas kvalifikācijas profesijas</w:t>
            </w:r>
          </w:p>
        </w:tc>
        <w:tc>
          <w:tcPr>
            <w:tcW w:w="719" w:type="pct"/>
            <w:shd w:val="clear" w:color="auto" w:fill="auto"/>
          </w:tcPr>
          <w:p w14:paraId="4E5122F0" w14:textId="4FE4A0B5"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-6,8</w:t>
            </w:r>
          </w:p>
        </w:tc>
        <w:tc>
          <w:tcPr>
            <w:tcW w:w="722" w:type="pct"/>
            <w:shd w:val="clear" w:color="auto" w:fill="auto"/>
          </w:tcPr>
          <w:p w14:paraId="19B63239" w14:textId="4C82CAEA"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-27,7</w:t>
            </w:r>
          </w:p>
        </w:tc>
        <w:tc>
          <w:tcPr>
            <w:tcW w:w="719" w:type="pct"/>
            <w:shd w:val="clear" w:color="auto" w:fill="auto"/>
          </w:tcPr>
          <w:p w14:paraId="7DB170CC" w14:textId="5173D74D"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10,8</w:t>
            </w:r>
          </w:p>
        </w:tc>
        <w:tc>
          <w:tcPr>
            <w:tcW w:w="718" w:type="pct"/>
            <w:shd w:val="clear" w:color="auto" w:fill="auto"/>
          </w:tcPr>
          <w:p w14:paraId="1B4135E0" w14:textId="4A7D49B9" w:rsidR="0033714A" w:rsidRPr="00D56D8D" w:rsidRDefault="0033714A" w:rsidP="0033714A">
            <w:pPr>
              <w:spacing w:before="40" w:after="40"/>
              <w:ind w:right="-142"/>
              <w:jc w:val="center"/>
              <w:rPr>
                <w:rFonts w:ascii="Segoe UI Light" w:hAnsi="Segoe UI Light"/>
                <w:sz w:val="16"/>
                <w:szCs w:val="20"/>
              </w:rPr>
            </w:pPr>
            <w:r w:rsidRPr="0033714A">
              <w:rPr>
                <w:rFonts w:ascii="Segoe UI Light" w:hAnsi="Segoe UI Light"/>
                <w:sz w:val="16"/>
                <w:szCs w:val="20"/>
              </w:rPr>
              <w:t>8,5</w:t>
            </w:r>
          </w:p>
        </w:tc>
      </w:tr>
      <w:tr w:rsidR="0033714A" w:rsidRPr="00D829F0" w14:paraId="03F83D2B" w14:textId="77777777" w:rsidTr="00901B31">
        <w:tc>
          <w:tcPr>
            <w:tcW w:w="2121" w:type="pct"/>
            <w:shd w:val="clear" w:color="auto" w:fill="DCE7EB"/>
          </w:tcPr>
          <w:p w14:paraId="7210E3B4" w14:textId="77777777" w:rsidR="0033714A" w:rsidRPr="00D56D8D" w:rsidRDefault="0033714A" w:rsidP="0033714A">
            <w:pPr>
              <w:spacing w:before="40" w:after="40"/>
              <w:ind w:right="-142"/>
              <w:jc w:val="both"/>
              <w:rPr>
                <w:rFonts w:ascii="Segoe UI Light" w:hAnsi="Segoe UI Light"/>
                <w:b/>
                <w:sz w:val="16"/>
                <w:szCs w:val="20"/>
              </w:rPr>
            </w:pPr>
            <w:r w:rsidRPr="00D56D8D">
              <w:rPr>
                <w:rFonts w:ascii="Segoe UI Light" w:hAnsi="Segoe UI Light"/>
                <w:b/>
                <w:sz w:val="16"/>
                <w:szCs w:val="20"/>
              </w:rPr>
              <w:t>Kopā</w:t>
            </w:r>
          </w:p>
        </w:tc>
        <w:tc>
          <w:tcPr>
            <w:tcW w:w="719" w:type="pct"/>
            <w:shd w:val="clear" w:color="auto" w:fill="DCE7EB"/>
          </w:tcPr>
          <w:p w14:paraId="0CFC6F66" w14:textId="6EFB8BE2" w:rsidR="0033714A" w:rsidRPr="0033714A" w:rsidRDefault="0033714A" w:rsidP="0033714A">
            <w:pPr>
              <w:spacing w:before="40" w:after="40"/>
              <w:ind w:right="-142"/>
              <w:jc w:val="center"/>
              <w:rPr>
                <w:rFonts w:ascii="Segoe UI Light" w:hAnsi="Segoe UI Light"/>
                <w:b/>
                <w:sz w:val="16"/>
                <w:szCs w:val="20"/>
              </w:rPr>
            </w:pPr>
            <w:r w:rsidRPr="0033714A">
              <w:rPr>
                <w:rFonts w:ascii="Segoe UI Light" w:hAnsi="Segoe UI Light"/>
                <w:b/>
                <w:sz w:val="16"/>
                <w:szCs w:val="20"/>
              </w:rPr>
              <w:t>2,</w:t>
            </w:r>
            <w:r w:rsidRPr="0033714A">
              <w:rPr>
                <w:rFonts w:ascii="Segoe UI Light" w:hAnsi="Segoe UI Light"/>
                <w:b/>
                <w:bCs/>
                <w:sz w:val="16"/>
                <w:szCs w:val="20"/>
              </w:rPr>
              <w:t>0</w:t>
            </w:r>
          </w:p>
        </w:tc>
        <w:tc>
          <w:tcPr>
            <w:tcW w:w="722" w:type="pct"/>
            <w:shd w:val="clear" w:color="auto" w:fill="DCE7EB"/>
          </w:tcPr>
          <w:p w14:paraId="4B4A4B09" w14:textId="2DF41E2F" w:rsidR="0033714A" w:rsidRPr="0033714A" w:rsidRDefault="0033714A" w:rsidP="0033714A">
            <w:pPr>
              <w:spacing w:before="40" w:after="40"/>
              <w:ind w:right="-142"/>
              <w:jc w:val="center"/>
              <w:rPr>
                <w:rFonts w:ascii="Segoe UI Light" w:hAnsi="Segoe UI Light"/>
                <w:b/>
                <w:sz w:val="16"/>
                <w:szCs w:val="20"/>
              </w:rPr>
            </w:pPr>
            <w:r w:rsidRPr="0033714A">
              <w:rPr>
                <w:rFonts w:ascii="Segoe UI Light" w:hAnsi="Segoe UI Light"/>
                <w:b/>
                <w:sz w:val="16"/>
                <w:szCs w:val="20"/>
              </w:rPr>
              <w:t>0,7</w:t>
            </w:r>
          </w:p>
        </w:tc>
        <w:tc>
          <w:tcPr>
            <w:tcW w:w="719" w:type="pct"/>
            <w:shd w:val="clear" w:color="auto" w:fill="DCE7EB"/>
          </w:tcPr>
          <w:p w14:paraId="7C2D6DD6" w14:textId="13CE9ECE" w:rsidR="0033714A" w:rsidRPr="0033714A" w:rsidRDefault="0033714A" w:rsidP="0033714A">
            <w:pPr>
              <w:spacing w:before="40" w:after="40"/>
              <w:ind w:right="-142"/>
              <w:jc w:val="center"/>
              <w:rPr>
                <w:rFonts w:ascii="Segoe UI Light" w:hAnsi="Segoe UI Light"/>
                <w:b/>
                <w:sz w:val="16"/>
                <w:szCs w:val="20"/>
              </w:rPr>
            </w:pPr>
            <w:r w:rsidRPr="0033714A">
              <w:rPr>
                <w:rFonts w:ascii="Segoe UI Light" w:hAnsi="Segoe UI Light"/>
                <w:b/>
                <w:sz w:val="16"/>
                <w:szCs w:val="20"/>
              </w:rPr>
              <w:t>100</w:t>
            </w:r>
          </w:p>
        </w:tc>
        <w:tc>
          <w:tcPr>
            <w:tcW w:w="718" w:type="pct"/>
            <w:shd w:val="clear" w:color="auto" w:fill="DCE7EB"/>
          </w:tcPr>
          <w:p w14:paraId="75DB9536" w14:textId="6F6CB936" w:rsidR="0033714A" w:rsidRPr="0033714A" w:rsidRDefault="0033714A" w:rsidP="0033714A">
            <w:pPr>
              <w:spacing w:before="40" w:after="40"/>
              <w:ind w:right="-142"/>
              <w:jc w:val="center"/>
              <w:rPr>
                <w:rFonts w:ascii="Segoe UI Light" w:hAnsi="Segoe UI Light"/>
                <w:b/>
                <w:sz w:val="16"/>
                <w:szCs w:val="20"/>
              </w:rPr>
            </w:pPr>
            <w:r w:rsidRPr="0033714A">
              <w:rPr>
                <w:rFonts w:ascii="Segoe UI Light" w:hAnsi="Segoe UI Light"/>
                <w:b/>
                <w:sz w:val="16"/>
                <w:szCs w:val="20"/>
              </w:rPr>
              <w:t>100</w:t>
            </w:r>
          </w:p>
        </w:tc>
      </w:tr>
    </w:tbl>
    <w:p w14:paraId="654F5A88" w14:textId="77777777" w:rsidR="009A0130" w:rsidRPr="00D829F0" w:rsidRDefault="009A0130" w:rsidP="000E509C">
      <w:pPr>
        <w:spacing w:before="120" w:after="120"/>
        <w:jc w:val="both"/>
        <w:rPr>
          <w:rFonts w:ascii="Source Sans Pro" w:hAnsi="Source Sans Pro" w:cs="Calibri Light"/>
          <w:sz w:val="16"/>
          <w:szCs w:val="14"/>
        </w:rPr>
      </w:pPr>
      <w:r w:rsidRPr="00D829F0">
        <w:rPr>
          <w:rFonts w:ascii="Source Sans Pro" w:hAnsi="Source Sans Pro" w:cs="Calibri Light"/>
          <w:sz w:val="16"/>
          <w:szCs w:val="14"/>
        </w:rPr>
        <w:t>Avots: EM prognozes</w:t>
      </w:r>
    </w:p>
    <w:p w14:paraId="75105787" w14:textId="77777777" w:rsidR="000A4643" w:rsidRPr="00D829F0" w:rsidRDefault="000A4643" w:rsidP="008B6F45">
      <w:pPr>
        <w:spacing w:after="0"/>
        <w:jc w:val="both"/>
        <w:rPr>
          <w:rFonts w:ascii="Source Sans Pro" w:hAnsi="Source Sans Pro"/>
          <w:szCs w:val="20"/>
        </w:rPr>
      </w:pPr>
    </w:p>
    <w:p w14:paraId="03E65E16" w14:textId="3E55222C" w:rsidR="000E509C" w:rsidRPr="00D829F0" w:rsidRDefault="000E509C" w:rsidP="00343F74">
      <w:pPr>
        <w:spacing w:after="120"/>
        <w:jc w:val="both"/>
        <w:rPr>
          <w:rFonts w:ascii="Source Sans Pro" w:hAnsi="Source Sans Pro"/>
          <w:szCs w:val="20"/>
        </w:rPr>
      </w:pPr>
      <w:r w:rsidRPr="00D829F0">
        <w:rPr>
          <w:rFonts w:ascii="Source Sans Pro" w:hAnsi="Source Sans Pro"/>
          <w:szCs w:val="20"/>
        </w:rPr>
        <w:t xml:space="preserve">Gan vidējā termiņā, gan ilgtermiņā pieprasījums vidējas kvalifikācijas profesiju grupā </w:t>
      </w:r>
      <w:r w:rsidR="00DB44DF" w:rsidRPr="00D829F0">
        <w:rPr>
          <w:rFonts w:ascii="Source Sans Pro" w:hAnsi="Source Sans Pro"/>
          <w:szCs w:val="20"/>
        </w:rPr>
        <w:t xml:space="preserve">kopumā </w:t>
      </w:r>
      <w:r w:rsidRPr="00D829F0">
        <w:rPr>
          <w:rFonts w:ascii="Source Sans Pro" w:hAnsi="Source Sans Pro"/>
          <w:szCs w:val="20"/>
        </w:rPr>
        <w:t xml:space="preserve">samazināsies, tomēr tas saglabāsies </w:t>
      </w:r>
      <w:r w:rsidR="00DB44DF" w:rsidRPr="00D829F0">
        <w:rPr>
          <w:rFonts w:ascii="Source Sans Pro" w:hAnsi="Source Sans Pro"/>
          <w:szCs w:val="20"/>
        </w:rPr>
        <w:t xml:space="preserve">augsts </w:t>
      </w:r>
      <w:r w:rsidRPr="00D829F0">
        <w:rPr>
          <w:rFonts w:ascii="Source Sans Pro" w:hAnsi="Source Sans Pro"/>
          <w:szCs w:val="20"/>
        </w:rPr>
        <w:t>pēc kvalificētiem strādniekiem</w:t>
      </w:r>
      <w:r w:rsidR="00DB44DF" w:rsidRPr="00D829F0">
        <w:rPr>
          <w:rFonts w:ascii="Source Sans Pro" w:hAnsi="Source Sans Pro"/>
          <w:szCs w:val="20"/>
        </w:rPr>
        <w:t xml:space="preserve"> un iekārtu un mašīnu operatoriem.</w:t>
      </w:r>
      <w:r w:rsidRPr="00D829F0">
        <w:rPr>
          <w:rFonts w:ascii="Source Sans Pro" w:hAnsi="Source Sans Pro"/>
          <w:szCs w:val="20"/>
        </w:rPr>
        <w:t xml:space="preserve"> Straujākais pieprasījuma pieaugums sagaidāms būvniecībā</w:t>
      </w:r>
      <w:r w:rsidR="00DB44DF" w:rsidRPr="00D829F0">
        <w:rPr>
          <w:rFonts w:ascii="Source Sans Pro" w:hAnsi="Source Sans Pro"/>
          <w:szCs w:val="20"/>
        </w:rPr>
        <w:t xml:space="preserve"> un apstrādes rūpniecībā. Tajā pašā laikā pieprasījums saruks pēc iestāžu kalpotājiem, pakalpojumu un tirdzniecības darbiniekiem, kā arī kvalificētiem lauksaimniecības darbiniekiem. Nozaru griezumā samazinājums būs vērojams galvenokārt tirdzniecībā, sabiedriskajos pakalpojumos, komercpakalpojumos un lauksaimniecībā.</w:t>
      </w:r>
    </w:p>
    <w:p w14:paraId="6D27EA6F" w14:textId="77777777" w:rsidR="00432CD5" w:rsidRDefault="00432CD5">
      <w:pPr>
        <w:spacing w:after="0"/>
        <w:rPr>
          <w:rFonts w:ascii="Source Sans Pro" w:hAnsi="Source Sans Pro"/>
          <w:szCs w:val="26"/>
        </w:rPr>
      </w:pPr>
      <w:r>
        <w:rPr>
          <w:rFonts w:ascii="Source Sans Pro" w:hAnsi="Source Sans Pro"/>
          <w:szCs w:val="26"/>
        </w:rPr>
        <w:br w:type="page"/>
      </w:r>
    </w:p>
    <w:p w14:paraId="3110FD5B" w14:textId="68F07E3D" w:rsidR="009A0130" w:rsidRPr="00D829F0" w:rsidRDefault="009A0130" w:rsidP="00343F74">
      <w:pPr>
        <w:spacing w:after="120"/>
        <w:jc w:val="right"/>
        <w:rPr>
          <w:rFonts w:ascii="Source Sans Pro" w:hAnsi="Source Sans Pro"/>
          <w:szCs w:val="26"/>
        </w:rPr>
      </w:pPr>
      <w:r w:rsidRPr="00D829F0">
        <w:rPr>
          <w:rFonts w:ascii="Source Sans Pro" w:hAnsi="Source Sans Pro"/>
          <w:szCs w:val="26"/>
        </w:rPr>
        <w:lastRenderedPageBreak/>
        <w:t>3.8. tabula</w:t>
      </w:r>
    </w:p>
    <w:p w14:paraId="73D44BBF" w14:textId="4760395D" w:rsidR="009A0130" w:rsidRPr="0081189C" w:rsidRDefault="009A0130" w:rsidP="00590200">
      <w:pPr>
        <w:spacing w:after="120"/>
        <w:ind w:left="-425" w:right="-142"/>
        <w:jc w:val="center"/>
        <w:rPr>
          <w:rFonts w:ascii="Segoe UI Light" w:hAnsi="Segoe UI Light"/>
          <w:i/>
          <w:sz w:val="16"/>
          <w:szCs w:val="26"/>
        </w:rPr>
      </w:pPr>
      <w:r w:rsidRPr="0081189C">
        <w:rPr>
          <w:rFonts w:ascii="Segoe UI Light" w:hAnsi="Segoe UI Light"/>
          <w:b/>
          <w:sz w:val="18"/>
          <w:szCs w:val="26"/>
        </w:rPr>
        <w:t>Nodarbināto skaita izmaiņas tautsaimniecības nozarēs sadalījumā pa profesiju grupām</w:t>
      </w:r>
      <w:r w:rsidRPr="0081189C">
        <w:rPr>
          <w:rFonts w:ascii="Segoe UI Light" w:hAnsi="Segoe UI Light"/>
          <w:b/>
          <w:sz w:val="18"/>
          <w:szCs w:val="26"/>
        </w:rPr>
        <w:br/>
      </w:r>
      <w:r w:rsidRPr="0081189C">
        <w:rPr>
          <w:rFonts w:ascii="Segoe UI Light" w:hAnsi="Segoe UI Light"/>
          <w:i/>
          <w:sz w:val="16"/>
          <w:szCs w:val="26"/>
        </w:rPr>
        <w:t>salīdzinājumā ar 202</w:t>
      </w:r>
      <w:r w:rsidR="0081189C">
        <w:rPr>
          <w:rFonts w:ascii="Segoe UI Light" w:hAnsi="Segoe UI Light"/>
          <w:i/>
          <w:sz w:val="16"/>
          <w:szCs w:val="26"/>
        </w:rPr>
        <w:t>5</w:t>
      </w:r>
      <w:r w:rsidRPr="0081189C">
        <w:rPr>
          <w:rFonts w:ascii="Segoe UI Light" w:hAnsi="Segoe UI Light"/>
          <w:i/>
          <w:sz w:val="16"/>
          <w:szCs w:val="26"/>
        </w:rPr>
        <w:t>.</w:t>
      </w:r>
      <w:r w:rsidR="00105B0A">
        <w:rPr>
          <w:rFonts w:ascii="Segoe UI Light" w:hAnsi="Segoe UI Light"/>
          <w:i/>
          <w:sz w:val="16"/>
          <w:szCs w:val="26"/>
        </w:rPr>
        <w:t> </w:t>
      </w:r>
      <w:r w:rsidR="0080669C" w:rsidRPr="0081189C">
        <w:rPr>
          <w:rFonts w:ascii="Segoe UI Light" w:hAnsi="Segoe UI Light"/>
          <w:i/>
          <w:sz w:val="16"/>
          <w:szCs w:val="26"/>
        </w:rPr>
        <w:t>gad</w:t>
      </w:r>
      <w:r w:rsidRPr="0081189C">
        <w:rPr>
          <w:rFonts w:ascii="Segoe UI Light" w:hAnsi="Segoe UI Light"/>
          <w:i/>
          <w:sz w:val="16"/>
          <w:szCs w:val="26"/>
        </w:rPr>
        <w:t>u, tūkstošos</w:t>
      </w:r>
    </w:p>
    <w:tbl>
      <w:tblPr>
        <w:tblStyle w:val="GridTable5Dark-Accent31"/>
        <w:tblW w:w="5126"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507"/>
        <w:gridCol w:w="603"/>
        <w:gridCol w:w="606"/>
        <w:gridCol w:w="606"/>
        <w:gridCol w:w="606"/>
        <w:gridCol w:w="739"/>
        <w:gridCol w:w="606"/>
        <w:gridCol w:w="606"/>
        <w:gridCol w:w="715"/>
        <w:gridCol w:w="695"/>
      </w:tblGrid>
      <w:tr w:rsidR="00606052" w:rsidRPr="00D829F0" w14:paraId="0088ECC8" w14:textId="77777777" w:rsidTr="003D13BA">
        <w:trPr>
          <w:cnfStyle w:val="100000000000" w:firstRow="1" w:lastRow="0" w:firstColumn="0" w:lastColumn="0" w:oddVBand="0" w:evenVBand="0" w:oddHBand="0" w:evenHBand="0" w:firstRowFirstColumn="0" w:firstRowLastColumn="0" w:lastRowFirstColumn="0" w:lastRowLastColumn="0"/>
          <w:cantSplit/>
          <w:trHeight w:val="1418"/>
          <w:tblHeader/>
        </w:trPr>
        <w:tc>
          <w:tcPr>
            <w:tcW w:w="1888" w:type="pct"/>
            <w:shd w:val="clear" w:color="auto" w:fill="006666"/>
            <w:textDirection w:val="btLr"/>
          </w:tcPr>
          <w:p w14:paraId="326AC75D" w14:textId="77777777" w:rsidR="009A0130" w:rsidRPr="00867F85" w:rsidRDefault="009A0130" w:rsidP="00D209BD">
            <w:pPr>
              <w:spacing w:before="40" w:after="40"/>
              <w:jc w:val="center"/>
              <w:rPr>
                <w:rFonts w:ascii="Segoe UI Light" w:eastAsia="Arial Unicode MS" w:hAnsi="Segoe UI Light"/>
                <w:b w:val="0"/>
                <w:sz w:val="16"/>
                <w:szCs w:val="20"/>
              </w:rPr>
            </w:pPr>
          </w:p>
        </w:tc>
        <w:tc>
          <w:tcPr>
            <w:tcW w:w="325" w:type="pct"/>
            <w:shd w:val="clear" w:color="auto" w:fill="006666"/>
            <w:textDirection w:val="btLr"/>
          </w:tcPr>
          <w:p w14:paraId="456F00B1" w14:textId="77777777" w:rsidR="009A0130" w:rsidRPr="00867F85" w:rsidRDefault="009A0130" w:rsidP="00D209BD">
            <w:pPr>
              <w:spacing w:before="40" w:after="40"/>
              <w:jc w:val="center"/>
              <w:rPr>
                <w:rFonts w:ascii="Segoe UI Light" w:eastAsia="Arial Unicode MS" w:hAnsi="Segoe UI Light"/>
                <w:sz w:val="16"/>
                <w:szCs w:val="20"/>
              </w:rPr>
            </w:pPr>
            <w:r w:rsidRPr="00867F85">
              <w:rPr>
                <w:rFonts w:ascii="Segoe UI Light" w:hAnsi="Segoe UI Light"/>
                <w:sz w:val="16"/>
                <w:szCs w:val="20"/>
                <w:lang w:eastAsia="lv-LV"/>
              </w:rPr>
              <w:t>Lauksaimniecība</w:t>
            </w:r>
          </w:p>
        </w:tc>
        <w:tc>
          <w:tcPr>
            <w:tcW w:w="326" w:type="pct"/>
            <w:shd w:val="clear" w:color="auto" w:fill="006666"/>
            <w:textDirection w:val="btLr"/>
          </w:tcPr>
          <w:p w14:paraId="4E7A7232" w14:textId="77777777" w:rsidR="009A0130" w:rsidRPr="00867F85" w:rsidRDefault="009A0130" w:rsidP="00D209BD">
            <w:pPr>
              <w:spacing w:before="40" w:after="40"/>
              <w:jc w:val="center"/>
              <w:rPr>
                <w:rFonts w:ascii="Segoe UI Light" w:eastAsia="Arial Unicode MS" w:hAnsi="Segoe UI Light"/>
                <w:sz w:val="16"/>
                <w:szCs w:val="20"/>
              </w:rPr>
            </w:pPr>
            <w:r w:rsidRPr="00867F85">
              <w:rPr>
                <w:rFonts w:ascii="Segoe UI Light" w:hAnsi="Segoe UI Light"/>
                <w:sz w:val="16"/>
                <w:szCs w:val="20"/>
                <w:lang w:eastAsia="lv-LV"/>
              </w:rPr>
              <w:t xml:space="preserve">Apstrādes </w:t>
            </w:r>
            <w:r w:rsidRPr="00867F85">
              <w:rPr>
                <w:rFonts w:ascii="Segoe UI Light" w:hAnsi="Segoe UI Light"/>
                <w:sz w:val="16"/>
                <w:szCs w:val="20"/>
                <w:lang w:eastAsia="lv-LV"/>
              </w:rPr>
              <w:br/>
              <w:t>rūpniecība</w:t>
            </w:r>
          </w:p>
        </w:tc>
        <w:tc>
          <w:tcPr>
            <w:tcW w:w="326" w:type="pct"/>
            <w:shd w:val="clear" w:color="auto" w:fill="006666"/>
            <w:textDirection w:val="btLr"/>
          </w:tcPr>
          <w:p w14:paraId="4A7BD795" w14:textId="77777777" w:rsidR="009A0130" w:rsidRPr="00867F85" w:rsidRDefault="009A0130" w:rsidP="00D209BD">
            <w:pPr>
              <w:spacing w:before="40" w:after="40"/>
              <w:jc w:val="center"/>
              <w:rPr>
                <w:rFonts w:ascii="Segoe UI Light" w:eastAsia="Arial Unicode MS" w:hAnsi="Segoe UI Light"/>
                <w:sz w:val="16"/>
                <w:szCs w:val="20"/>
              </w:rPr>
            </w:pPr>
            <w:r w:rsidRPr="00867F85">
              <w:rPr>
                <w:rFonts w:ascii="Segoe UI Light" w:hAnsi="Segoe UI Light"/>
                <w:sz w:val="16"/>
                <w:szCs w:val="20"/>
                <w:lang w:eastAsia="lv-LV"/>
              </w:rPr>
              <w:t xml:space="preserve">Pārējā </w:t>
            </w:r>
            <w:r w:rsidRPr="00867F85">
              <w:rPr>
                <w:rFonts w:ascii="Segoe UI Light" w:hAnsi="Segoe UI Light"/>
                <w:sz w:val="16"/>
                <w:szCs w:val="20"/>
                <w:lang w:eastAsia="lv-LV"/>
              </w:rPr>
              <w:br/>
              <w:t>rūpniecība</w:t>
            </w:r>
          </w:p>
        </w:tc>
        <w:tc>
          <w:tcPr>
            <w:tcW w:w="326" w:type="pct"/>
            <w:shd w:val="clear" w:color="auto" w:fill="006666"/>
            <w:textDirection w:val="btLr"/>
          </w:tcPr>
          <w:p w14:paraId="0C0A4CCB" w14:textId="77777777" w:rsidR="009A0130" w:rsidRPr="00867F85" w:rsidRDefault="009A0130" w:rsidP="00D209BD">
            <w:pPr>
              <w:spacing w:before="40" w:after="40"/>
              <w:jc w:val="center"/>
              <w:rPr>
                <w:rFonts w:ascii="Segoe UI Light" w:eastAsia="Arial Unicode MS" w:hAnsi="Segoe UI Light"/>
                <w:sz w:val="16"/>
                <w:szCs w:val="20"/>
              </w:rPr>
            </w:pPr>
            <w:r w:rsidRPr="00867F85">
              <w:rPr>
                <w:rFonts w:ascii="Segoe UI Light" w:hAnsi="Segoe UI Light"/>
                <w:sz w:val="16"/>
                <w:szCs w:val="20"/>
                <w:lang w:eastAsia="lv-LV"/>
              </w:rPr>
              <w:t>Būvniecība</w:t>
            </w:r>
          </w:p>
        </w:tc>
        <w:tc>
          <w:tcPr>
            <w:tcW w:w="398" w:type="pct"/>
            <w:shd w:val="clear" w:color="auto" w:fill="006666"/>
            <w:textDirection w:val="btLr"/>
          </w:tcPr>
          <w:p w14:paraId="0230BD2D" w14:textId="77777777" w:rsidR="009A0130" w:rsidRPr="00867F85" w:rsidRDefault="009A0130" w:rsidP="00D209BD">
            <w:pPr>
              <w:spacing w:before="40" w:after="40"/>
              <w:jc w:val="center"/>
              <w:rPr>
                <w:rFonts w:ascii="Segoe UI Light" w:eastAsia="Arial Unicode MS" w:hAnsi="Segoe UI Light"/>
                <w:sz w:val="16"/>
                <w:szCs w:val="20"/>
              </w:rPr>
            </w:pPr>
            <w:r w:rsidRPr="00867F85">
              <w:rPr>
                <w:rFonts w:ascii="Segoe UI Light" w:hAnsi="Segoe UI Light"/>
                <w:sz w:val="16"/>
                <w:szCs w:val="20"/>
                <w:lang w:eastAsia="lv-LV"/>
              </w:rPr>
              <w:t>Tirdzniecība</w:t>
            </w:r>
          </w:p>
        </w:tc>
        <w:tc>
          <w:tcPr>
            <w:tcW w:w="326" w:type="pct"/>
            <w:shd w:val="clear" w:color="auto" w:fill="006666"/>
            <w:textDirection w:val="btLr"/>
          </w:tcPr>
          <w:p w14:paraId="22D60805" w14:textId="77777777" w:rsidR="009A0130" w:rsidRPr="00867F85" w:rsidRDefault="009A0130" w:rsidP="00D209BD">
            <w:pPr>
              <w:spacing w:before="40" w:after="40"/>
              <w:jc w:val="center"/>
              <w:rPr>
                <w:rFonts w:ascii="Segoe UI Light" w:eastAsia="Arial Unicode MS" w:hAnsi="Segoe UI Light"/>
                <w:sz w:val="16"/>
                <w:szCs w:val="20"/>
              </w:rPr>
            </w:pPr>
            <w:r w:rsidRPr="00867F85">
              <w:rPr>
                <w:rFonts w:ascii="Segoe UI Light" w:hAnsi="Segoe UI Light"/>
                <w:sz w:val="16"/>
                <w:szCs w:val="20"/>
                <w:lang w:eastAsia="lv-LV"/>
              </w:rPr>
              <w:t>Transports</w:t>
            </w:r>
          </w:p>
        </w:tc>
        <w:tc>
          <w:tcPr>
            <w:tcW w:w="326" w:type="pct"/>
            <w:shd w:val="clear" w:color="auto" w:fill="006666"/>
            <w:textDirection w:val="btLr"/>
          </w:tcPr>
          <w:p w14:paraId="07FE62CB" w14:textId="77777777" w:rsidR="009A0130" w:rsidRPr="00867F85" w:rsidRDefault="009A0130" w:rsidP="00D209BD">
            <w:pPr>
              <w:spacing w:before="40" w:after="40"/>
              <w:jc w:val="center"/>
              <w:rPr>
                <w:rFonts w:ascii="Segoe UI Light" w:eastAsia="Arial Unicode MS" w:hAnsi="Segoe UI Light"/>
                <w:sz w:val="16"/>
                <w:szCs w:val="20"/>
              </w:rPr>
            </w:pPr>
            <w:r w:rsidRPr="00867F85">
              <w:rPr>
                <w:rFonts w:ascii="Segoe UI Light" w:hAnsi="Segoe UI Light"/>
                <w:sz w:val="16"/>
                <w:szCs w:val="20"/>
                <w:lang w:eastAsia="lv-LV"/>
              </w:rPr>
              <w:t xml:space="preserve">Citi </w:t>
            </w:r>
            <w:r w:rsidRPr="00867F85">
              <w:rPr>
                <w:rFonts w:ascii="Segoe UI Light" w:hAnsi="Segoe UI Light"/>
                <w:sz w:val="16"/>
                <w:szCs w:val="20"/>
                <w:lang w:eastAsia="lv-LV"/>
              </w:rPr>
              <w:br/>
              <w:t>komercpakalpojumi</w:t>
            </w:r>
          </w:p>
        </w:tc>
        <w:tc>
          <w:tcPr>
            <w:tcW w:w="383" w:type="pct"/>
            <w:shd w:val="clear" w:color="auto" w:fill="006666"/>
            <w:textDirection w:val="btLr"/>
          </w:tcPr>
          <w:p w14:paraId="4520A7FD" w14:textId="77777777" w:rsidR="009A0130" w:rsidRPr="00867F85" w:rsidRDefault="009A0130" w:rsidP="00D209BD">
            <w:pPr>
              <w:spacing w:before="40" w:after="40"/>
              <w:jc w:val="center"/>
              <w:rPr>
                <w:rFonts w:ascii="Segoe UI Light" w:eastAsia="Arial Unicode MS" w:hAnsi="Segoe UI Light"/>
                <w:sz w:val="16"/>
                <w:szCs w:val="20"/>
              </w:rPr>
            </w:pPr>
            <w:r w:rsidRPr="00867F85">
              <w:rPr>
                <w:rFonts w:ascii="Segoe UI Light" w:hAnsi="Segoe UI Light"/>
                <w:sz w:val="16"/>
                <w:szCs w:val="20"/>
                <w:lang w:eastAsia="lv-LV"/>
              </w:rPr>
              <w:t xml:space="preserve">Sabiedriskie </w:t>
            </w:r>
            <w:r w:rsidRPr="00867F85">
              <w:rPr>
                <w:rFonts w:ascii="Segoe UI Light" w:hAnsi="Segoe UI Light"/>
                <w:sz w:val="16"/>
                <w:szCs w:val="20"/>
                <w:lang w:eastAsia="lv-LV"/>
              </w:rPr>
              <w:br/>
              <w:t>pakalpojumi</w:t>
            </w:r>
          </w:p>
        </w:tc>
        <w:tc>
          <w:tcPr>
            <w:tcW w:w="375" w:type="pct"/>
            <w:shd w:val="clear" w:color="auto" w:fill="006666"/>
            <w:textDirection w:val="btLr"/>
          </w:tcPr>
          <w:p w14:paraId="10D96F21" w14:textId="77777777" w:rsidR="009A0130" w:rsidRPr="00867F85" w:rsidRDefault="009A0130" w:rsidP="00D209BD">
            <w:pPr>
              <w:spacing w:before="40" w:after="40"/>
              <w:jc w:val="center"/>
              <w:rPr>
                <w:rFonts w:ascii="Segoe UI Light" w:hAnsi="Segoe UI Light"/>
                <w:sz w:val="16"/>
                <w:szCs w:val="20"/>
              </w:rPr>
            </w:pPr>
            <w:r w:rsidRPr="00867F85">
              <w:rPr>
                <w:rFonts w:ascii="Segoe UI Light" w:eastAsia="Arial Unicode MS" w:hAnsi="Segoe UI Light"/>
                <w:sz w:val="16"/>
                <w:szCs w:val="20"/>
              </w:rPr>
              <w:t>Kopā</w:t>
            </w:r>
          </w:p>
        </w:tc>
      </w:tr>
      <w:tr w:rsidR="00972191" w:rsidRPr="00D829F0" w14:paraId="368B39CC" w14:textId="77777777" w:rsidTr="003D13BA">
        <w:trPr>
          <w:cnfStyle w:val="000000100000" w:firstRow="0" w:lastRow="0" w:firstColumn="0" w:lastColumn="0" w:oddVBand="0" w:evenVBand="0" w:oddHBand="1" w:evenHBand="0" w:firstRowFirstColumn="0" w:firstRowLastColumn="0" w:lastRowFirstColumn="0" w:lastRowLastColumn="0"/>
        </w:trPr>
        <w:tc>
          <w:tcPr>
            <w:tcW w:w="1888" w:type="pct"/>
            <w:shd w:val="clear" w:color="auto" w:fill="DCE7EB"/>
          </w:tcPr>
          <w:p w14:paraId="1FF05314" w14:textId="77777777" w:rsidR="009A0130" w:rsidRPr="0081189C" w:rsidRDefault="009A0130" w:rsidP="00D209BD">
            <w:pPr>
              <w:spacing w:before="40" w:after="40"/>
              <w:rPr>
                <w:rFonts w:ascii="Segoe UI Light" w:hAnsi="Segoe UI Light"/>
                <w:sz w:val="16"/>
                <w:szCs w:val="20"/>
                <w:lang w:eastAsia="lv-LV"/>
              </w:rPr>
            </w:pPr>
          </w:p>
        </w:tc>
        <w:tc>
          <w:tcPr>
            <w:tcW w:w="3109" w:type="pct"/>
            <w:gridSpan w:val="9"/>
            <w:shd w:val="clear" w:color="auto" w:fill="DCE7EB"/>
          </w:tcPr>
          <w:p w14:paraId="61AFF65D" w14:textId="71A1C108" w:rsidR="009A0130" w:rsidRPr="0081189C" w:rsidRDefault="009A0130" w:rsidP="00D209BD">
            <w:pPr>
              <w:tabs>
                <w:tab w:val="decimal" w:pos="218"/>
              </w:tabs>
              <w:spacing w:before="40" w:after="40"/>
              <w:rPr>
                <w:rFonts w:ascii="Segoe UI Light" w:hAnsi="Segoe UI Light"/>
                <w:sz w:val="16"/>
                <w:szCs w:val="20"/>
              </w:rPr>
            </w:pPr>
            <w:r w:rsidRPr="0081189C">
              <w:rPr>
                <w:rFonts w:ascii="Segoe UI Light" w:hAnsi="Segoe UI Light"/>
                <w:sz w:val="16"/>
                <w:szCs w:val="20"/>
              </w:rPr>
              <w:t>2030.</w:t>
            </w:r>
            <w:r w:rsidR="0080669C" w:rsidRPr="0081189C">
              <w:rPr>
                <w:rFonts w:ascii="Segoe UI Light" w:hAnsi="Segoe UI Light"/>
                <w:sz w:val="16"/>
                <w:szCs w:val="20"/>
              </w:rPr>
              <w:t>gad</w:t>
            </w:r>
            <w:r w:rsidRPr="0081189C">
              <w:rPr>
                <w:rFonts w:ascii="Segoe UI Light" w:hAnsi="Segoe UI Light"/>
                <w:sz w:val="16"/>
                <w:szCs w:val="20"/>
              </w:rPr>
              <w:t>s</w:t>
            </w:r>
          </w:p>
        </w:tc>
      </w:tr>
      <w:tr w:rsidR="00606052" w:rsidRPr="00D829F0" w14:paraId="3811EB79" w14:textId="77777777" w:rsidTr="003D13BA">
        <w:tc>
          <w:tcPr>
            <w:tcW w:w="1888" w:type="pct"/>
            <w:shd w:val="clear" w:color="auto" w:fill="auto"/>
          </w:tcPr>
          <w:p w14:paraId="16350767" w14:textId="77777777" w:rsidR="000E509C" w:rsidRPr="0081189C" w:rsidRDefault="000E509C" w:rsidP="000E509C">
            <w:pPr>
              <w:spacing w:before="40" w:after="40"/>
              <w:rPr>
                <w:rFonts w:ascii="Segoe UI Light" w:eastAsia="Arial Unicode MS" w:hAnsi="Segoe UI Light"/>
                <w:sz w:val="16"/>
                <w:szCs w:val="20"/>
              </w:rPr>
            </w:pPr>
            <w:r w:rsidRPr="0081189C">
              <w:rPr>
                <w:rFonts w:ascii="Segoe UI Light" w:hAnsi="Segoe UI Light"/>
                <w:sz w:val="16"/>
                <w:szCs w:val="20"/>
                <w:lang w:eastAsia="lv-LV"/>
              </w:rPr>
              <w:t>Nacionālo bruņoto spēku profesijas</w:t>
            </w:r>
          </w:p>
        </w:tc>
        <w:tc>
          <w:tcPr>
            <w:tcW w:w="325" w:type="pct"/>
            <w:shd w:val="clear" w:color="auto" w:fill="auto"/>
          </w:tcPr>
          <w:p w14:paraId="0B69A80E" w14:textId="239CCFD1"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0,0</w:t>
            </w:r>
          </w:p>
        </w:tc>
        <w:tc>
          <w:tcPr>
            <w:tcW w:w="326" w:type="pct"/>
            <w:shd w:val="clear" w:color="auto" w:fill="auto"/>
          </w:tcPr>
          <w:p w14:paraId="6F60C5F3" w14:textId="3087250C"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0,0</w:t>
            </w:r>
          </w:p>
        </w:tc>
        <w:tc>
          <w:tcPr>
            <w:tcW w:w="326" w:type="pct"/>
            <w:shd w:val="clear" w:color="auto" w:fill="auto"/>
          </w:tcPr>
          <w:p w14:paraId="6E96E333" w14:textId="13A95D0B"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0,0</w:t>
            </w:r>
          </w:p>
        </w:tc>
        <w:tc>
          <w:tcPr>
            <w:tcW w:w="326" w:type="pct"/>
            <w:shd w:val="clear" w:color="auto" w:fill="auto"/>
          </w:tcPr>
          <w:p w14:paraId="2D971955" w14:textId="6F8152DB"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0,0</w:t>
            </w:r>
          </w:p>
        </w:tc>
        <w:tc>
          <w:tcPr>
            <w:tcW w:w="398" w:type="pct"/>
            <w:shd w:val="clear" w:color="auto" w:fill="auto"/>
          </w:tcPr>
          <w:p w14:paraId="18B3AAD2" w14:textId="7A7B49EF"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0,0</w:t>
            </w:r>
          </w:p>
        </w:tc>
        <w:tc>
          <w:tcPr>
            <w:tcW w:w="326" w:type="pct"/>
            <w:shd w:val="clear" w:color="auto" w:fill="auto"/>
          </w:tcPr>
          <w:p w14:paraId="3FAD0511" w14:textId="5F61D4CE"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0,0</w:t>
            </w:r>
          </w:p>
        </w:tc>
        <w:tc>
          <w:tcPr>
            <w:tcW w:w="326" w:type="pct"/>
            <w:shd w:val="clear" w:color="auto" w:fill="auto"/>
          </w:tcPr>
          <w:p w14:paraId="6BA841A7" w14:textId="446EFF32"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0,0</w:t>
            </w:r>
          </w:p>
        </w:tc>
        <w:tc>
          <w:tcPr>
            <w:tcW w:w="383" w:type="pct"/>
            <w:shd w:val="clear" w:color="auto" w:fill="auto"/>
          </w:tcPr>
          <w:p w14:paraId="30EB93C3" w14:textId="6575E6D8"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4</w:t>
            </w:r>
          </w:p>
        </w:tc>
        <w:tc>
          <w:tcPr>
            <w:tcW w:w="375" w:type="pct"/>
            <w:shd w:val="clear" w:color="auto" w:fill="auto"/>
          </w:tcPr>
          <w:p w14:paraId="58906F7D" w14:textId="1A528D55"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1,</w:t>
            </w:r>
            <w:r w:rsidR="00704D70" w:rsidRPr="00704D70">
              <w:rPr>
                <w:rFonts w:ascii="Segoe UI Light" w:hAnsi="Segoe UI Light" w:cs="Segoe UI Light"/>
                <w:b/>
                <w:bCs/>
                <w:sz w:val="16"/>
                <w:szCs w:val="16"/>
              </w:rPr>
              <w:t>4</w:t>
            </w:r>
          </w:p>
        </w:tc>
      </w:tr>
      <w:tr w:rsidR="00606052" w:rsidRPr="00D829F0" w14:paraId="420E6106" w14:textId="77777777" w:rsidTr="003D13BA">
        <w:trPr>
          <w:cnfStyle w:val="000000100000" w:firstRow="0" w:lastRow="0" w:firstColumn="0" w:lastColumn="0" w:oddVBand="0" w:evenVBand="0" w:oddHBand="1" w:evenHBand="0" w:firstRowFirstColumn="0" w:firstRowLastColumn="0" w:lastRowFirstColumn="0" w:lastRowLastColumn="0"/>
        </w:trPr>
        <w:tc>
          <w:tcPr>
            <w:tcW w:w="1888" w:type="pct"/>
            <w:shd w:val="clear" w:color="auto" w:fill="DCE7EB"/>
          </w:tcPr>
          <w:p w14:paraId="22834B5D" w14:textId="77777777" w:rsidR="000E509C" w:rsidRPr="0081189C" w:rsidRDefault="000E509C" w:rsidP="000E509C">
            <w:pPr>
              <w:spacing w:before="40" w:after="40"/>
              <w:rPr>
                <w:rFonts w:ascii="Segoe UI Light" w:hAnsi="Segoe UI Light"/>
                <w:sz w:val="16"/>
                <w:szCs w:val="20"/>
                <w:lang w:eastAsia="lv-LV"/>
              </w:rPr>
            </w:pPr>
            <w:r w:rsidRPr="0081189C">
              <w:rPr>
                <w:rFonts w:ascii="Segoe UI Light" w:hAnsi="Segoe UI Light"/>
                <w:sz w:val="16"/>
                <w:szCs w:val="20"/>
                <w:lang w:eastAsia="lv-LV"/>
              </w:rPr>
              <w:t>Augstas kvalifikācijas profesijas, tai skaitā:</w:t>
            </w:r>
          </w:p>
        </w:tc>
        <w:tc>
          <w:tcPr>
            <w:tcW w:w="325" w:type="pct"/>
            <w:shd w:val="clear" w:color="auto" w:fill="DCE7EB"/>
          </w:tcPr>
          <w:p w14:paraId="21EEF06D" w14:textId="10A814D7"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000E509C" w:rsidRPr="0081189C">
              <w:rPr>
                <w:rFonts w:ascii="Segoe UI Light" w:hAnsi="Segoe UI Light" w:cs="Segoe UI Light"/>
                <w:sz w:val="16"/>
                <w:szCs w:val="16"/>
              </w:rPr>
              <w:t>1</w:t>
            </w:r>
          </w:p>
        </w:tc>
        <w:tc>
          <w:tcPr>
            <w:tcW w:w="326" w:type="pct"/>
            <w:shd w:val="clear" w:color="auto" w:fill="DCE7EB"/>
          </w:tcPr>
          <w:p w14:paraId="668A3D91" w14:textId="3CBEB10B"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2</w:t>
            </w:r>
            <w:r w:rsidR="00704D70">
              <w:rPr>
                <w:rFonts w:ascii="Segoe UI Light" w:hAnsi="Segoe UI Light" w:cs="Segoe UI Light"/>
                <w:sz w:val="16"/>
                <w:szCs w:val="16"/>
              </w:rPr>
              <w:t>,</w:t>
            </w:r>
            <w:r w:rsidR="00343DEB" w:rsidRPr="00343DEB">
              <w:rPr>
                <w:rFonts w:ascii="Segoe UI Light" w:hAnsi="Segoe UI Light" w:cs="Segoe UI Light"/>
                <w:sz w:val="16"/>
                <w:szCs w:val="16"/>
              </w:rPr>
              <w:t>5</w:t>
            </w:r>
          </w:p>
        </w:tc>
        <w:tc>
          <w:tcPr>
            <w:tcW w:w="326" w:type="pct"/>
            <w:shd w:val="clear" w:color="auto" w:fill="DCE7EB"/>
          </w:tcPr>
          <w:p w14:paraId="6068D7D0" w14:textId="1D105DAE"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26" w:type="pct"/>
            <w:shd w:val="clear" w:color="auto" w:fill="DCE7EB"/>
          </w:tcPr>
          <w:p w14:paraId="312C353C" w14:textId="03DB1C56"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5</w:t>
            </w:r>
            <w:r w:rsidR="00704D70">
              <w:rPr>
                <w:rFonts w:ascii="Segoe UI Light" w:hAnsi="Segoe UI Light" w:cs="Segoe UI Light"/>
                <w:sz w:val="16"/>
                <w:szCs w:val="16"/>
              </w:rPr>
              <w:t>,</w:t>
            </w:r>
            <w:r w:rsidRPr="00343DEB">
              <w:rPr>
                <w:rFonts w:ascii="Segoe UI Light" w:hAnsi="Segoe UI Light" w:cs="Segoe UI Light"/>
                <w:sz w:val="16"/>
                <w:szCs w:val="16"/>
              </w:rPr>
              <w:t>1</w:t>
            </w:r>
          </w:p>
        </w:tc>
        <w:tc>
          <w:tcPr>
            <w:tcW w:w="398" w:type="pct"/>
            <w:shd w:val="clear" w:color="auto" w:fill="DCE7EB"/>
          </w:tcPr>
          <w:p w14:paraId="0802FD24" w14:textId="6F139703"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9</w:t>
            </w:r>
          </w:p>
        </w:tc>
        <w:tc>
          <w:tcPr>
            <w:tcW w:w="326" w:type="pct"/>
            <w:shd w:val="clear" w:color="auto" w:fill="DCE7EB"/>
          </w:tcPr>
          <w:p w14:paraId="75B60659" w14:textId="4284F508"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6</w:t>
            </w:r>
          </w:p>
        </w:tc>
        <w:tc>
          <w:tcPr>
            <w:tcW w:w="326" w:type="pct"/>
            <w:shd w:val="clear" w:color="auto" w:fill="DCE7EB"/>
          </w:tcPr>
          <w:p w14:paraId="631E6DFB" w14:textId="3062EBD0"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15</w:t>
            </w:r>
            <w:r w:rsidR="00704D70">
              <w:rPr>
                <w:rFonts w:ascii="Segoe UI Light" w:hAnsi="Segoe UI Light" w:cs="Segoe UI Light"/>
                <w:sz w:val="16"/>
                <w:szCs w:val="16"/>
              </w:rPr>
              <w:t>,</w:t>
            </w:r>
            <w:r w:rsidRPr="00343DEB">
              <w:rPr>
                <w:rFonts w:ascii="Segoe UI Light" w:hAnsi="Segoe UI Light" w:cs="Segoe UI Light"/>
                <w:sz w:val="16"/>
                <w:szCs w:val="16"/>
              </w:rPr>
              <w:t>0</w:t>
            </w:r>
          </w:p>
        </w:tc>
        <w:tc>
          <w:tcPr>
            <w:tcW w:w="383" w:type="pct"/>
            <w:shd w:val="clear" w:color="auto" w:fill="DCE7EB"/>
          </w:tcPr>
          <w:p w14:paraId="216E1485" w14:textId="5D270A69"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2</w:t>
            </w:r>
          </w:p>
        </w:tc>
        <w:tc>
          <w:tcPr>
            <w:tcW w:w="375" w:type="pct"/>
            <w:shd w:val="clear" w:color="auto" w:fill="DCE7EB"/>
          </w:tcPr>
          <w:p w14:paraId="17160018" w14:textId="20C6B8AF"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24</w:t>
            </w:r>
            <w:r w:rsidR="00704D70">
              <w:rPr>
                <w:rFonts w:ascii="Segoe UI Light" w:hAnsi="Segoe UI Light" w:cs="Segoe UI Light"/>
                <w:b/>
                <w:bCs/>
                <w:sz w:val="16"/>
                <w:szCs w:val="16"/>
              </w:rPr>
              <w:t>,</w:t>
            </w:r>
            <w:r w:rsidRPr="00704D70">
              <w:rPr>
                <w:rFonts w:ascii="Segoe UI Light" w:hAnsi="Segoe UI Light" w:cs="Segoe UI Light"/>
                <w:b/>
                <w:sz w:val="16"/>
                <w:szCs w:val="16"/>
              </w:rPr>
              <w:t>9</w:t>
            </w:r>
          </w:p>
        </w:tc>
      </w:tr>
      <w:tr w:rsidR="00606052" w:rsidRPr="00D829F0" w14:paraId="75D03AC6" w14:textId="77777777" w:rsidTr="003D13BA">
        <w:tc>
          <w:tcPr>
            <w:tcW w:w="1888" w:type="pct"/>
            <w:shd w:val="clear" w:color="auto" w:fill="auto"/>
          </w:tcPr>
          <w:p w14:paraId="3CAD07E2" w14:textId="77777777" w:rsidR="000E509C" w:rsidRPr="0081189C" w:rsidRDefault="000E509C" w:rsidP="000E509C">
            <w:pPr>
              <w:spacing w:before="40" w:after="40"/>
              <w:ind w:left="142"/>
              <w:rPr>
                <w:rFonts w:ascii="Segoe UI Light" w:eastAsia="Arial Unicode MS" w:hAnsi="Segoe UI Light"/>
                <w:sz w:val="16"/>
                <w:szCs w:val="20"/>
              </w:rPr>
            </w:pPr>
            <w:r w:rsidRPr="0081189C">
              <w:rPr>
                <w:rFonts w:ascii="Segoe UI Light" w:hAnsi="Segoe UI Light"/>
                <w:sz w:val="16"/>
                <w:szCs w:val="20"/>
                <w:lang w:eastAsia="lv-LV"/>
              </w:rPr>
              <w:t>Vadītāji</w:t>
            </w:r>
          </w:p>
        </w:tc>
        <w:tc>
          <w:tcPr>
            <w:tcW w:w="325" w:type="pct"/>
            <w:shd w:val="clear" w:color="auto" w:fill="auto"/>
          </w:tcPr>
          <w:p w14:paraId="551447BC" w14:textId="7BC3386C"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w:t>
            </w:r>
            <w:r w:rsidR="000E509C" w:rsidRPr="0081189C">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4</w:t>
            </w:r>
          </w:p>
        </w:tc>
        <w:tc>
          <w:tcPr>
            <w:tcW w:w="326" w:type="pct"/>
            <w:shd w:val="clear" w:color="auto" w:fill="auto"/>
          </w:tcPr>
          <w:p w14:paraId="0610E0F3" w14:textId="5DE38146"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2</w:t>
            </w:r>
          </w:p>
        </w:tc>
        <w:tc>
          <w:tcPr>
            <w:tcW w:w="326" w:type="pct"/>
            <w:shd w:val="clear" w:color="auto" w:fill="auto"/>
          </w:tcPr>
          <w:p w14:paraId="50928219" w14:textId="5B247584"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2</w:t>
            </w:r>
          </w:p>
        </w:tc>
        <w:tc>
          <w:tcPr>
            <w:tcW w:w="326" w:type="pct"/>
            <w:shd w:val="clear" w:color="auto" w:fill="auto"/>
          </w:tcPr>
          <w:p w14:paraId="1F95DF49" w14:textId="139ECF67"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2</w:t>
            </w:r>
            <w:r w:rsidR="00704D70">
              <w:rPr>
                <w:rFonts w:ascii="Segoe UI Light" w:hAnsi="Segoe UI Light" w:cs="Segoe UI Light"/>
                <w:sz w:val="16"/>
                <w:szCs w:val="16"/>
              </w:rPr>
              <w:t>,</w:t>
            </w:r>
            <w:r w:rsidRPr="00343DEB">
              <w:rPr>
                <w:rFonts w:ascii="Segoe UI Light" w:hAnsi="Segoe UI Light" w:cs="Segoe UI Light"/>
                <w:sz w:val="16"/>
                <w:szCs w:val="16"/>
              </w:rPr>
              <w:t>2</w:t>
            </w:r>
          </w:p>
        </w:tc>
        <w:tc>
          <w:tcPr>
            <w:tcW w:w="398" w:type="pct"/>
            <w:shd w:val="clear" w:color="auto" w:fill="auto"/>
          </w:tcPr>
          <w:p w14:paraId="53A3C411" w14:textId="3AD9EE23"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3</w:t>
            </w:r>
          </w:p>
        </w:tc>
        <w:tc>
          <w:tcPr>
            <w:tcW w:w="326" w:type="pct"/>
            <w:shd w:val="clear" w:color="auto" w:fill="auto"/>
          </w:tcPr>
          <w:p w14:paraId="4CA5A421" w14:textId="4BC07323"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1</w:t>
            </w:r>
          </w:p>
        </w:tc>
        <w:tc>
          <w:tcPr>
            <w:tcW w:w="326" w:type="pct"/>
            <w:shd w:val="clear" w:color="auto" w:fill="auto"/>
          </w:tcPr>
          <w:p w14:paraId="09966BAB" w14:textId="7D7C8E4A"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2</w:t>
            </w:r>
            <w:r w:rsidR="00704D70">
              <w:rPr>
                <w:rFonts w:ascii="Segoe UI Light" w:hAnsi="Segoe UI Light" w:cs="Segoe UI Light"/>
                <w:sz w:val="16"/>
                <w:szCs w:val="16"/>
              </w:rPr>
              <w:t>,</w:t>
            </w:r>
            <w:r w:rsidRPr="00343DEB">
              <w:rPr>
                <w:rFonts w:ascii="Segoe UI Light" w:hAnsi="Segoe UI Light" w:cs="Segoe UI Light"/>
                <w:sz w:val="16"/>
                <w:szCs w:val="16"/>
              </w:rPr>
              <w:t>8</w:t>
            </w:r>
          </w:p>
        </w:tc>
        <w:tc>
          <w:tcPr>
            <w:tcW w:w="383" w:type="pct"/>
            <w:shd w:val="clear" w:color="auto" w:fill="auto"/>
          </w:tcPr>
          <w:p w14:paraId="6AAD4540" w14:textId="70555F58"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0</w:t>
            </w:r>
          </w:p>
        </w:tc>
        <w:tc>
          <w:tcPr>
            <w:tcW w:w="375" w:type="pct"/>
            <w:shd w:val="clear" w:color="auto" w:fill="auto"/>
          </w:tcPr>
          <w:p w14:paraId="1446A90E" w14:textId="714ED740"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5</w:t>
            </w:r>
            <w:r w:rsidR="00704D70">
              <w:rPr>
                <w:rFonts w:ascii="Segoe UI Light" w:hAnsi="Segoe UI Light" w:cs="Segoe UI Light"/>
                <w:b/>
                <w:bCs/>
                <w:sz w:val="16"/>
                <w:szCs w:val="16"/>
              </w:rPr>
              <w:t>,</w:t>
            </w:r>
            <w:r w:rsidRPr="00704D70">
              <w:rPr>
                <w:rFonts w:ascii="Segoe UI Light" w:hAnsi="Segoe UI Light" w:cs="Segoe UI Light"/>
                <w:b/>
                <w:sz w:val="16"/>
                <w:szCs w:val="16"/>
              </w:rPr>
              <w:t>4</w:t>
            </w:r>
          </w:p>
        </w:tc>
      </w:tr>
      <w:tr w:rsidR="00606052" w:rsidRPr="00D829F0" w14:paraId="0DF85C06" w14:textId="77777777" w:rsidTr="003D13BA">
        <w:trPr>
          <w:cnfStyle w:val="000000100000" w:firstRow="0" w:lastRow="0" w:firstColumn="0" w:lastColumn="0" w:oddVBand="0" w:evenVBand="0" w:oddHBand="1" w:evenHBand="0" w:firstRowFirstColumn="0" w:firstRowLastColumn="0" w:lastRowFirstColumn="0" w:lastRowLastColumn="0"/>
        </w:trPr>
        <w:tc>
          <w:tcPr>
            <w:tcW w:w="1888" w:type="pct"/>
            <w:shd w:val="clear" w:color="auto" w:fill="DCE7EB"/>
          </w:tcPr>
          <w:p w14:paraId="506BC314" w14:textId="77777777" w:rsidR="000E509C" w:rsidRPr="0081189C" w:rsidRDefault="000E509C" w:rsidP="000E509C">
            <w:pPr>
              <w:spacing w:before="40" w:after="40"/>
              <w:ind w:left="142"/>
              <w:rPr>
                <w:rFonts w:ascii="Segoe UI Light" w:eastAsia="Arial Unicode MS" w:hAnsi="Segoe UI Light"/>
                <w:sz w:val="16"/>
                <w:szCs w:val="20"/>
              </w:rPr>
            </w:pPr>
            <w:r w:rsidRPr="0081189C">
              <w:rPr>
                <w:rFonts w:ascii="Segoe UI Light" w:hAnsi="Segoe UI Light"/>
                <w:sz w:val="16"/>
                <w:szCs w:val="20"/>
                <w:lang w:eastAsia="lv-LV"/>
              </w:rPr>
              <w:t>Vecākie speciālisti</w:t>
            </w:r>
          </w:p>
        </w:tc>
        <w:tc>
          <w:tcPr>
            <w:tcW w:w="325" w:type="pct"/>
            <w:shd w:val="clear" w:color="auto" w:fill="DCE7EB"/>
          </w:tcPr>
          <w:p w14:paraId="5127A790" w14:textId="5E4E2144"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2</w:t>
            </w:r>
          </w:p>
        </w:tc>
        <w:tc>
          <w:tcPr>
            <w:tcW w:w="326" w:type="pct"/>
            <w:shd w:val="clear" w:color="auto" w:fill="DCE7EB"/>
          </w:tcPr>
          <w:p w14:paraId="79541C38" w14:textId="3A99842A"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9</w:t>
            </w:r>
          </w:p>
        </w:tc>
        <w:tc>
          <w:tcPr>
            <w:tcW w:w="326" w:type="pct"/>
            <w:shd w:val="clear" w:color="auto" w:fill="DCE7EB"/>
          </w:tcPr>
          <w:p w14:paraId="2ACB998A" w14:textId="1B40BF9F"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4</w:t>
            </w:r>
          </w:p>
        </w:tc>
        <w:tc>
          <w:tcPr>
            <w:tcW w:w="326" w:type="pct"/>
            <w:shd w:val="clear" w:color="auto" w:fill="DCE7EB"/>
          </w:tcPr>
          <w:p w14:paraId="5FCE0D16" w14:textId="19F5988A"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Pr="0081189C">
              <w:rPr>
                <w:rFonts w:ascii="Segoe UI Light" w:hAnsi="Segoe UI Light" w:cs="Segoe UI Light"/>
                <w:sz w:val="16"/>
                <w:szCs w:val="16"/>
              </w:rPr>
              <w:t>1</w:t>
            </w:r>
          </w:p>
        </w:tc>
        <w:tc>
          <w:tcPr>
            <w:tcW w:w="398" w:type="pct"/>
            <w:shd w:val="clear" w:color="auto" w:fill="DCE7EB"/>
          </w:tcPr>
          <w:p w14:paraId="7ED8E98B" w14:textId="05AB47DD"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3</w:t>
            </w:r>
          </w:p>
        </w:tc>
        <w:tc>
          <w:tcPr>
            <w:tcW w:w="326" w:type="pct"/>
            <w:shd w:val="clear" w:color="auto" w:fill="DCE7EB"/>
          </w:tcPr>
          <w:p w14:paraId="6284708E" w14:textId="2A279A94"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2</w:t>
            </w:r>
          </w:p>
        </w:tc>
        <w:tc>
          <w:tcPr>
            <w:tcW w:w="326" w:type="pct"/>
            <w:shd w:val="clear" w:color="auto" w:fill="DCE7EB"/>
          </w:tcPr>
          <w:p w14:paraId="0DDEE98E" w14:textId="64754F34"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6</w:t>
            </w:r>
            <w:r w:rsidR="00704D70">
              <w:rPr>
                <w:rFonts w:ascii="Segoe UI Light" w:hAnsi="Segoe UI Light" w:cs="Segoe UI Light"/>
                <w:sz w:val="16"/>
                <w:szCs w:val="16"/>
              </w:rPr>
              <w:t>,</w:t>
            </w:r>
            <w:r w:rsidR="000E509C" w:rsidRPr="0081189C">
              <w:rPr>
                <w:rFonts w:ascii="Segoe UI Light" w:hAnsi="Segoe UI Light" w:cs="Segoe UI Light"/>
                <w:sz w:val="16"/>
                <w:szCs w:val="16"/>
              </w:rPr>
              <w:t>3</w:t>
            </w:r>
          </w:p>
        </w:tc>
        <w:tc>
          <w:tcPr>
            <w:tcW w:w="383" w:type="pct"/>
            <w:shd w:val="clear" w:color="auto" w:fill="DCE7EB"/>
          </w:tcPr>
          <w:p w14:paraId="3BB2AAA1" w14:textId="730EBD52"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2</w:t>
            </w:r>
          </w:p>
        </w:tc>
        <w:tc>
          <w:tcPr>
            <w:tcW w:w="375" w:type="pct"/>
            <w:shd w:val="clear" w:color="auto" w:fill="DCE7EB"/>
          </w:tcPr>
          <w:p w14:paraId="5048A540" w14:textId="6DC71DDD"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9</w:t>
            </w:r>
            <w:r w:rsidR="00704D70">
              <w:rPr>
                <w:rFonts w:ascii="Segoe UI Light" w:hAnsi="Segoe UI Light" w:cs="Segoe UI Light"/>
                <w:b/>
                <w:bCs/>
                <w:sz w:val="16"/>
                <w:szCs w:val="16"/>
              </w:rPr>
              <w:t>,</w:t>
            </w:r>
            <w:r w:rsidRPr="00704D70">
              <w:rPr>
                <w:rFonts w:ascii="Segoe UI Light" w:hAnsi="Segoe UI Light" w:cs="Segoe UI Light"/>
                <w:b/>
                <w:sz w:val="16"/>
                <w:szCs w:val="16"/>
              </w:rPr>
              <w:t>6</w:t>
            </w:r>
          </w:p>
        </w:tc>
      </w:tr>
      <w:tr w:rsidR="00606052" w:rsidRPr="00D829F0" w14:paraId="347FB7A4" w14:textId="77777777" w:rsidTr="003D13BA">
        <w:tc>
          <w:tcPr>
            <w:tcW w:w="1888" w:type="pct"/>
            <w:shd w:val="clear" w:color="auto" w:fill="auto"/>
          </w:tcPr>
          <w:p w14:paraId="0BEF0882" w14:textId="77777777" w:rsidR="000E509C" w:rsidRPr="0081189C" w:rsidRDefault="000E509C" w:rsidP="000E509C">
            <w:pPr>
              <w:spacing w:before="40" w:after="40"/>
              <w:ind w:left="142"/>
              <w:rPr>
                <w:rFonts w:ascii="Segoe UI Light" w:eastAsia="Arial Unicode MS" w:hAnsi="Segoe UI Light"/>
                <w:sz w:val="16"/>
                <w:szCs w:val="20"/>
              </w:rPr>
            </w:pPr>
            <w:r w:rsidRPr="0081189C">
              <w:rPr>
                <w:rFonts w:ascii="Segoe UI Light" w:hAnsi="Segoe UI Light"/>
                <w:sz w:val="16"/>
                <w:szCs w:val="20"/>
                <w:lang w:eastAsia="lv-LV"/>
              </w:rPr>
              <w:t>Speciālisti</w:t>
            </w:r>
          </w:p>
        </w:tc>
        <w:tc>
          <w:tcPr>
            <w:tcW w:w="325" w:type="pct"/>
            <w:shd w:val="clear" w:color="auto" w:fill="auto"/>
          </w:tcPr>
          <w:p w14:paraId="6C260AC9" w14:textId="280A9879"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1</w:t>
            </w:r>
          </w:p>
        </w:tc>
        <w:tc>
          <w:tcPr>
            <w:tcW w:w="326" w:type="pct"/>
            <w:shd w:val="clear" w:color="auto" w:fill="auto"/>
          </w:tcPr>
          <w:p w14:paraId="0A78BDA1" w14:textId="3541386F"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00343DEB" w:rsidRPr="00343DEB">
              <w:rPr>
                <w:rFonts w:ascii="Segoe UI Light" w:hAnsi="Segoe UI Light" w:cs="Segoe UI Light"/>
                <w:sz w:val="16"/>
                <w:szCs w:val="16"/>
              </w:rPr>
              <w:t>4</w:t>
            </w:r>
          </w:p>
        </w:tc>
        <w:tc>
          <w:tcPr>
            <w:tcW w:w="326" w:type="pct"/>
            <w:shd w:val="clear" w:color="auto" w:fill="auto"/>
          </w:tcPr>
          <w:p w14:paraId="550F7FA9" w14:textId="13370703"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5</w:t>
            </w:r>
          </w:p>
        </w:tc>
        <w:tc>
          <w:tcPr>
            <w:tcW w:w="326" w:type="pct"/>
            <w:shd w:val="clear" w:color="auto" w:fill="auto"/>
          </w:tcPr>
          <w:p w14:paraId="4EA15CBF" w14:textId="522376E4"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Pr="0081189C">
              <w:rPr>
                <w:rFonts w:ascii="Segoe UI Light" w:hAnsi="Segoe UI Light" w:cs="Segoe UI Light"/>
                <w:sz w:val="16"/>
                <w:szCs w:val="16"/>
              </w:rPr>
              <w:t>8</w:t>
            </w:r>
          </w:p>
        </w:tc>
        <w:tc>
          <w:tcPr>
            <w:tcW w:w="398" w:type="pct"/>
            <w:shd w:val="clear" w:color="auto" w:fill="auto"/>
          </w:tcPr>
          <w:p w14:paraId="1F6FE9E0" w14:textId="2B7AEF49"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2</w:t>
            </w:r>
          </w:p>
        </w:tc>
        <w:tc>
          <w:tcPr>
            <w:tcW w:w="326" w:type="pct"/>
            <w:shd w:val="clear" w:color="auto" w:fill="auto"/>
          </w:tcPr>
          <w:p w14:paraId="236BEBBA" w14:textId="310FCB77"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4</w:t>
            </w:r>
          </w:p>
        </w:tc>
        <w:tc>
          <w:tcPr>
            <w:tcW w:w="326" w:type="pct"/>
            <w:shd w:val="clear" w:color="auto" w:fill="auto"/>
          </w:tcPr>
          <w:p w14:paraId="7E3EFEA1" w14:textId="271852D7"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6</w:t>
            </w:r>
            <w:r w:rsidR="00704D70">
              <w:rPr>
                <w:rFonts w:ascii="Segoe UI Light" w:hAnsi="Segoe UI Light" w:cs="Segoe UI Light"/>
                <w:sz w:val="16"/>
                <w:szCs w:val="16"/>
              </w:rPr>
              <w:t>,</w:t>
            </w:r>
            <w:r w:rsidR="000E509C" w:rsidRPr="0081189C">
              <w:rPr>
                <w:rFonts w:ascii="Segoe UI Light" w:hAnsi="Segoe UI Light" w:cs="Segoe UI Light"/>
                <w:sz w:val="16"/>
                <w:szCs w:val="16"/>
              </w:rPr>
              <w:t>0</w:t>
            </w:r>
          </w:p>
        </w:tc>
        <w:tc>
          <w:tcPr>
            <w:tcW w:w="383" w:type="pct"/>
            <w:shd w:val="clear" w:color="auto" w:fill="auto"/>
          </w:tcPr>
          <w:p w14:paraId="51BB724E" w14:textId="7EF24D82"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4</w:t>
            </w:r>
          </w:p>
        </w:tc>
        <w:tc>
          <w:tcPr>
            <w:tcW w:w="375" w:type="pct"/>
            <w:shd w:val="clear" w:color="auto" w:fill="auto"/>
          </w:tcPr>
          <w:p w14:paraId="1F1CF214" w14:textId="46D3D948"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9</w:t>
            </w:r>
            <w:r w:rsidR="00704D70">
              <w:rPr>
                <w:rFonts w:ascii="Segoe UI Light" w:hAnsi="Segoe UI Light" w:cs="Segoe UI Light"/>
                <w:b/>
                <w:bCs/>
                <w:sz w:val="16"/>
                <w:szCs w:val="16"/>
              </w:rPr>
              <w:t>,</w:t>
            </w:r>
            <w:r w:rsidRPr="00704D70">
              <w:rPr>
                <w:rFonts w:ascii="Segoe UI Light" w:hAnsi="Segoe UI Light" w:cs="Segoe UI Light"/>
                <w:b/>
                <w:sz w:val="16"/>
                <w:szCs w:val="16"/>
              </w:rPr>
              <w:t>8</w:t>
            </w:r>
          </w:p>
        </w:tc>
      </w:tr>
      <w:tr w:rsidR="00606052" w:rsidRPr="00D829F0" w14:paraId="02E1CDFE" w14:textId="77777777" w:rsidTr="003D13BA">
        <w:trPr>
          <w:cnfStyle w:val="000000100000" w:firstRow="0" w:lastRow="0" w:firstColumn="0" w:lastColumn="0" w:oddVBand="0" w:evenVBand="0" w:oddHBand="1" w:evenHBand="0" w:firstRowFirstColumn="0" w:firstRowLastColumn="0" w:lastRowFirstColumn="0" w:lastRowLastColumn="0"/>
        </w:trPr>
        <w:tc>
          <w:tcPr>
            <w:tcW w:w="1888" w:type="pct"/>
            <w:shd w:val="clear" w:color="auto" w:fill="DCE7EB"/>
          </w:tcPr>
          <w:p w14:paraId="22B4E845" w14:textId="77777777" w:rsidR="000E509C" w:rsidRPr="0081189C" w:rsidRDefault="000E509C" w:rsidP="000E509C">
            <w:pPr>
              <w:spacing w:before="40" w:after="40"/>
              <w:rPr>
                <w:rFonts w:ascii="Segoe UI Light" w:hAnsi="Segoe UI Light"/>
                <w:sz w:val="16"/>
                <w:szCs w:val="20"/>
                <w:lang w:eastAsia="lv-LV"/>
              </w:rPr>
            </w:pPr>
            <w:r w:rsidRPr="0081189C">
              <w:rPr>
                <w:rFonts w:ascii="Segoe UI Light" w:hAnsi="Segoe UI Light"/>
                <w:sz w:val="16"/>
                <w:szCs w:val="20"/>
                <w:lang w:eastAsia="lv-LV"/>
              </w:rPr>
              <w:t>Vidējas kvalifikācijas profesijas, tai skaitā:</w:t>
            </w:r>
          </w:p>
        </w:tc>
        <w:tc>
          <w:tcPr>
            <w:tcW w:w="325" w:type="pct"/>
            <w:shd w:val="clear" w:color="auto" w:fill="DCE7EB"/>
          </w:tcPr>
          <w:p w14:paraId="113F62CE" w14:textId="5FC1FD97"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1</w:t>
            </w:r>
            <w:r w:rsidR="00704D70">
              <w:rPr>
                <w:rFonts w:ascii="Segoe UI Light" w:hAnsi="Segoe UI Light" w:cs="Segoe UI Light"/>
                <w:sz w:val="16"/>
                <w:szCs w:val="16"/>
              </w:rPr>
              <w:t>,</w:t>
            </w:r>
            <w:r w:rsidR="00343DEB" w:rsidRPr="00343DEB">
              <w:rPr>
                <w:rFonts w:ascii="Segoe UI Light" w:hAnsi="Segoe UI Light" w:cs="Segoe UI Light"/>
                <w:sz w:val="16"/>
                <w:szCs w:val="16"/>
              </w:rPr>
              <w:t>3</w:t>
            </w:r>
          </w:p>
        </w:tc>
        <w:tc>
          <w:tcPr>
            <w:tcW w:w="326" w:type="pct"/>
            <w:shd w:val="clear" w:color="auto" w:fill="DCE7EB"/>
          </w:tcPr>
          <w:p w14:paraId="47BE341B" w14:textId="697564D6"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00343DEB" w:rsidRPr="00343DEB">
              <w:rPr>
                <w:rFonts w:ascii="Segoe UI Light" w:hAnsi="Segoe UI Light" w:cs="Segoe UI Light"/>
                <w:sz w:val="16"/>
                <w:szCs w:val="16"/>
              </w:rPr>
              <w:t>4</w:t>
            </w:r>
          </w:p>
        </w:tc>
        <w:tc>
          <w:tcPr>
            <w:tcW w:w="326" w:type="pct"/>
            <w:shd w:val="clear" w:color="auto" w:fill="DCE7EB"/>
          </w:tcPr>
          <w:p w14:paraId="66E1BD48" w14:textId="3D63BA1D"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4</w:t>
            </w:r>
          </w:p>
        </w:tc>
        <w:tc>
          <w:tcPr>
            <w:tcW w:w="326" w:type="pct"/>
            <w:shd w:val="clear" w:color="auto" w:fill="DCE7EB"/>
          </w:tcPr>
          <w:p w14:paraId="7D276C50" w14:textId="1898FAB6"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8</w:t>
            </w:r>
            <w:r w:rsidR="00704D70">
              <w:rPr>
                <w:rFonts w:ascii="Segoe UI Light" w:hAnsi="Segoe UI Light" w:cs="Segoe UI Light"/>
                <w:sz w:val="16"/>
                <w:szCs w:val="16"/>
              </w:rPr>
              <w:t>,</w:t>
            </w:r>
            <w:r w:rsidR="00343DEB" w:rsidRPr="00343DEB">
              <w:rPr>
                <w:rFonts w:ascii="Segoe UI Light" w:hAnsi="Segoe UI Light" w:cs="Segoe UI Light"/>
                <w:sz w:val="16"/>
                <w:szCs w:val="16"/>
              </w:rPr>
              <w:t>3</w:t>
            </w:r>
          </w:p>
        </w:tc>
        <w:tc>
          <w:tcPr>
            <w:tcW w:w="398" w:type="pct"/>
            <w:shd w:val="clear" w:color="auto" w:fill="DCE7EB"/>
          </w:tcPr>
          <w:p w14:paraId="6C732E3F" w14:textId="3124972C"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7</w:t>
            </w:r>
            <w:r w:rsidR="00704D70">
              <w:rPr>
                <w:rFonts w:ascii="Segoe UI Light" w:hAnsi="Segoe UI Light" w:cs="Segoe UI Light"/>
                <w:sz w:val="16"/>
                <w:szCs w:val="16"/>
              </w:rPr>
              <w:t>,</w:t>
            </w:r>
            <w:r w:rsidR="00343DEB" w:rsidRPr="00343DEB">
              <w:rPr>
                <w:rFonts w:ascii="Segoe UI Light" w:hAnsi="Segoe UI Light" w:cs="Segoe UI Light"/>
                <w:sz w:val="16"/>
                <w:szCs w:val="16"/>
              </w:rPr>
              <w:t>5</w:t>
            </w:r>
          </w:p>
        </w:tc>
        <w:tc>
          <w:tcPr>
            <w:tcW w:w="326" w:type="pct"/>
            <w:shd w:val="clear" w:color="auto" w:fill="DCE7EB"/>
          </w:tcPr>
          <w:p w14:paraId="19C22A63" w14:textId="152138DF"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1</w:t>
            </w:r>
          </w:p>
        </w:tc>
        <w:tc>
          <w:tcPr>
            <w:tcW w:w="326" w:type="pct"/>
            <w:shd w:val="clear" w:color="auto" w:fill="DCE7EB"/>
          </w:tcPr>
          <w:p w14:paraId="48E0E969" w14:textId="3B1A300E"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000E509C" w:rsidRPr="0081189C">
              <w:rPr>
                <w:rFonts w:ascii="Segoe UI Light" w:hAnsi="Segoe UI Light" w:cs="Segoe UI Light"/>
                <w:sz w:val="16"/>
                <w:szCs w:val="16"/>
              </w:rPr>
              <w:t>1</w:t>
            </w:r>
          </w:p>
        </w:tc>
        <w:tc>
          <w:tcPr>
            <w:tcW w:w="383" w:type="pct"/>
            <w:shd w:val="clear" w:color="auto" w:fill="DCE7EB"/>
          </w:tcPr>
          <w:p w14:paraId="77674BFD" w14:textId="31E0AE6C"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3</w:t>
            </w:r>
            <w:r w:rsidR="00704D70">
              <w:rPr>
                <w:rFonts w:ascii="Segoe UI Light" w:hAnsi="Segoe UI Light" w:cs="Segoe UI Light"/>
                <w:sz w:val="16"/>
                <w:szCs w:val="16"/>
              </w:rPr>
              <w:t>,</w:t>
            </w:r>
            <w:r w:rsidR="00343DEB" w:rsidRPr="00343DEB">
              <w:rPr>
                <w:rFonts w:ascii="Segoe UI Light" w:hAnsi="Segoe UI Light" w:cs="Segoe UI Light"/>
                <w:sz w:val="16"/>
                <w:szCs w:val="16"/>
              </w:rPr>
              <w:t>2</w:t>
            </w:r>
          </w:p>
        </w:tc>
        <w:tc>
          <w:tcPr>
            <w:tcW w:w="375" w:type="pct"/>
            <w:shd w:val="clear" w:color="auto" w:fill="DCE7EB"/>
          </w:tcPr>
          <w:p w14:paraId="50DB29DC" w14:textId="1CA5F20C"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w:t>
            </w:r>
            <w:r w:rsidR="00343DEB" w:rsidRPr="00704D70">
              <w:rPr>
                <w:rFonts w:ascii="Segoe UI Light" w:hAnsi="Segoe UI Light" w:cs="Segoe UI Light"/>
                <w:b/>
                <w:sz w:val="16"/>
                <w:szCs w:val="16"/>
              </w:rPr>
              <w:t>1</w:t>
            </w:r>
            <w:r w:rsidR="00704D70">
              <w:rPr>
                <w:rFonts w:ascii="Segoe UI Light" w:hAnsi="Segoe UI Light" w:cs="Segoe UI Light"/>
                <w:b/>
                <w:bCs/>
                <w:sz w:val="16"/>
                <w:szCs w:val="16"/>
              </w:rPr>
              <w:t>,</w:t>
            </w:r>
            <w:r w:rsidR="00343DEB" w:rsidRPr="00704D70">
              <w:rPr>
                <w:rFonts w:ascii="Segoe UI Light" w:hAnsi="Segoe UI Light" w:cs="Segoe UI Light"/>
                <w:b/>
                <w:sz w:val="16"/>
                <w:szCs w:val="16"/>
              </w:rPr>
              <w:t>9</w:t>
            </w:r>
          </w:p>
        </w:tc>
      </w:tr>
      <w:tr w:rsidR="00606052" w:rsidRPr="00D829F0" w14:paraId="10B7BC6F" w14:textId="77777777" w:rsidTr="003D13BA">
        <w:tc>
          <w:tcPr>
            <w:tcW w:w="1888" w:type="pct"/>
            <w:shd w:val="clear" w:color="auto" w:fill="auto"/>
          </w:tcPr>
          <w:p w14:paraId="2BA8406C" w14:textId="77777777" w:rsidR="000E509C" w:rsidRPr="0081189C" w:rsidRDefault="000E509C" w:rsidP="000E509C">
            <w:pPr>
              <w:spacing w:before="40" w:after="40"/>
              <w:ind w:left="142"/>
              <w:rPr>
                <w:rFonts w:ascii="Segoe UI Light" w:eastAsia="Arial Unicode MS" w:hAnsi="Segoe UI Light"/>
                <w:sz w:val="16"/>
                <w:szCs w:val="20"/>
              </w:rPr>
            </w:pPr>
            <w:r w:rsidRPr="0081189C">
              <w:rPr>
                <w:rFonts w:ascii="Segoe UI Light" w:hAnsi="Segoe UI Light"/>
                <w:sz w:val="16"/>
                <w:szCs w:val="20"/>
                <w:lang w:eastAsia="lv-LV"/>
              </w:rPr>
              <w:t>Iestāžu kalpotāji</w:t>
            </w:r>
          </w:p>
        </w:tc>
        <w:tc>
          <w:tcPr>
            <w:tcW w:w="325" w:type="pct"/>
            <w:shd w:val="clear" w:color="auto" w:fill="auto"/>
          </w:tcPr>
          <w:p w14:paraId="70BC3D16" w14:textId="27DDF5CB"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1</w:t>
            </w:r>
          </w:p>
        </w:tc>
        <w:tc>
          <w:tcPr>
            <w:tcW w:w="326" w:type="pct"/>
            <w:shd w:val="clear" w:color="auto" w:fill="auto"/>
          </w:tcPr>
          <w:p w14:paraId="00805B46" w14:textId="597C99FA"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3</w:t>
            </w:r>
          </w:p>
        </w:tc>
        <w:tc>
          <w:tcPr>
            <w:tcW w:w="326" w:type="pct"/>
            <w:shd w:val="clear" w:color="auto" w:fill="auto"/>
          </w:tcPr>
          <w:p w14:paraId="573A3DA8" w14:textId="5D77BAA6"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1</w:t>
            </w:r>
          </w:p>
        </w:tc>
        <w:tc>
          <w:tcPr>
            <w:tcW w:w="326" w:type="pct"/>
            <w:shd w:val="clear" w:color="auto" w:fill="auto"/>
          </w:tcPr>
          <w:p w14:paraId="705C3CD5" w14:textId="1FF22AE4"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1</w:t>
            </w:r>
          </w:p>
        </w:tc>
        <w:tc>
          <w:tcPr>
            <w:tcW w:w="398" w:type="pct"/>
            <w:shd w:val="clear" w:color="auto" w:fill="auto"/>
          </w:tcPr>
          <w:p w14:paraId="1D96A4C7" w14:textId="253516A1"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00343DEB" w:rsidRPr="00343DEB">
              <w:rPr>
                <w:rFonts w:ascii="Segoe UI Light" w:hAnsi="Segoe UI Light" w:cs="Segoe UI Light"/>
                <w:sz w:val="16"/>
                <w:szCs w:val="16"/>
              </w:rPr>
              <w:t>7</w:t>
            </w:r>
          </w:p>
        </w:tc>
        <w:tc>
          <w:tcPr>
            <w:tcW w:w="326" w:type="pct"/>
            <w:shd w:val="clear" w:color="auto" w:fill="auto"/>
          </w:tcPr>
          <w:p w14:paraId="373C2143" w14:textId="43E45EF8"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6</w:t>
            </w:r>
          </w:p>
        </w:tc>
        <w:tc>
          <w:tcPr>
            <w:tcW w:w="326" w:type="pct"/>
            <w:shd w:val="clear" w:color="auto" w:fill="auto"/>
          </w:tcPr>
          <w:p w14:paraId="18D4DF4F" w14:textId="6FF23072"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00343DEB" w:rsidRPr="00343DEB">
              <w:rPr>
                <w:rFonts w:ascii="Segoe UI Light" w:hAnsi="Segoe UI Light" w:cs="Segoe UI Light"/>
                <w:sz w:val="16"/>
                <w:szCs w:val="16"/>
              </w:rPr>
              <w:t>9</w:t>
            </w:r>
          </w:p>
        </w:tc>
        <w:tc>
          <w:tcPr>
            <w:tcW w:w="383" w:type="pct"/>
            <w:shd w:val="clear" w:color="auto" w:fill="auto"/>
          </w:tcPr>
          <w:p w14:paraId="3987969E" w14:textId="6A97A075"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7</w:t>
            </w:r>
          </w:p>
        </w:tc>
        <w:tc>
          <w:tcPr>
            <w:tcW w:w="375" w:type="pct"/>
            <w:shd w:val="clear" w:color="auto" w:fill="auto"/>
          </w:tcPr>
          <w:p w14:paraId="21A9F8BA" w14:textId="7C463FD5"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w:t>
            </w:r>
            <w:r w:rsidR="00343DEB" w:rsidRPr="00704D70">
              <w:rPr>
                <w:rFonts w:ascii="Segoe UI Light" w:hAnsi="Segoe UI Light" w:cs="Segoe UI Light"/>
                <w:b/>
                <w:sz w:val="16"/>
                <w:szCs w:val="16"/>
              </w:rPr>
              <w:t>5</w:t>
            </w:r>
            <w:r w:rsidR="00704D70">
              <w:rPr>
                <w:rFonts w:ascii="Segoe UI Light" w:hAnsi="Segoe UI Light" w:cs="Segoe UI Light"/>
                <w:b/>
                <w:bCs/>
                <w:sz w:val="16"/>
                <w:szCs w:val="16"/>
              </w:rPr>
              <w:t>,</w:t>
            </w:r>
            <w:r w:rsidR="00343DEB" w:rsidRPr="00704D70">
              <w:rPr>
                <w:rFonts w:ascii="Segoe UI Light" w:hAnsi="Segoe UI Light" w:cs="Segoe UI Light"/>
                <w:b/>
                <w:sz w:val="16"/>
                <w:szCs w:val="16"/>
              </w:rPr>
              <w:t>3</w:t>
            </w:r>
          </w:p>
        </w:tc>
      </w:tr>
      <w:tr w:rsidR="00606052" w:rsidRPr="00D829F0" w14:paraId="0888477E" w14:textId="77777777" w:rsidTr="003D13BA">
        <w:trPr>
          <w:cnfStyle w:val="000000100000" w:firstRow="0" w:lastRow="0" w:firstColumn="0" w:lastColumn="0" w:oddVBand="0" w:evenVBand="0" w:oddHBand="1" w:evenHBand="0" w:firstRowFirstColumn="0" w:firstRowLastColumn="0" w:lastRowFirstColumn="0" w:lastRowLastColumn="0"/>
        </w:trPr>
        <w:tc>
          <w:tcPr>
            <w:tcW w:w="1888" w:type="pct"/>
            <w:shd w:val="clear" w:color="auto" w:fill="DCE7EB"/>
          </w:tcPr>
          <w:p w14:paraId="73C49F06" w14:textId="77777777" w:rsidR="000E509C" w:rsidRPr="0081189C" w:rsidRDefault="000E509C" w:rsidP="000E509C">
            <w:pPr>
              <w:spacing w:before="40" w:after="40"/>
              <w:ind w:left="142"/>
              <w:rPr>
                <w:rFonts w:ascii="Segoe UI Light" w:eastAsia="Arial Unicode MS" w:hAnsi="Segoe UI Light"/>
                <w:sz w:val="16"/>
                <w:szCs w:val="20"/>
              </w:rPr>
            </w:pPr>
            <w:r w:rsidRPr="0081189C">
              <w:rPr>
                <w:rFonts w:ascii="Segoe UI Light" w:hAnsi="Segoe UI Light"/>
                <w:sz w:val="16"/>
                <w:szCs w:val="20"/>
                <w:lang w:eastAsia="lv-LV"/>
              </w:rPr>
              <w:t>Pakalpojumu darbinieki</w:t>
            </w:r>
          </w:p>
        </w:tc>
        <w:tc>
          <w:tcPr>
            <w:tcW w:w="325" w:type="pct"/>
            <w:shd w:val="clear" w:color="auto" w:fill="DCE7EB"/>
          </w:tcPr>
          <w:p w14:paraId="5915ABEE" w14:textId="1562E2EB"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w:t>
            </w:r>
            <w:r w:rsidR="000E509C" w:rsidRPr="0081189C">
              <w:rPr>
                <w:rFonts w:ascii="Segoe UI Light" w:hAnsi="Segoe UI Light" w:cs="Segoe UI Light"/>
                <w:sz w:val="16"/>
                <w:szCs w:val="16"/>
              </w:rPr>
              <w:t>0</w:t>
            </w:r>
            <w:r w:rsidR="00704D70">
              <w:rPr>
                <w:rFonts w:ascii="Segoe UI Light" w:hAnsi="Segoe UI Light" w:cs="Segoe UI Light"/>
                <w:sz w:val="16"/>
                <w:szCs w:val="16"/>
              </w:rPr>
              <w:t>,</w:t>
            </w:r>
            <w:r w:rsidR="000E509C" w:rsidRPr="0081189C">
              <w:rPr>
                <w:rFonts w:ascii="Segoe UI Light" w:hAnsi="Segoe UI Light" w:cs="Segoe UI Light"/>
                <w:sz w:val="16"/>
                <w:szCs w:val="16"/>
              </w:rPr>
              <w:t>1</w:t>
            </w:r>
          </w:p>
        </w:tc>
        <w:tc>
          <w:tcPr>
            <w:tcW w:w="326" w:type="pct"/>
            <w:shd w:val="clear" w:color="auto" w:fill="DCE7EB"/>
          </w:tcPr>
          <w:p w14:paraId="2F71A1F4" w14:textId="0136715D"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w:t>
            </w:r>
            <w:r w:rsidR="000E509C" w:rsidRPr="0081189C">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1</w:t>
            </w:r>
          </w:p>
        </w:tc>
        <w:tc>
          <w:tcPr>
            <w:tcW w:w="326" w:type="pct"/>
            <w:shd w:val="clear" w:color="auto" w:fill="DCE7EB"/>
          </w:tcPr>
          <w:p w14:paraId="355ED4F9" w14:textId="5A4D4117"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26" w:type="pct"/>
            <w:shd w:val="clear" w:color="auto" w:fill="DCE7EB"/>
          </w:tcPr>
          <w:p w14:paraId="121D2B4D" w14:textId="4E832FF8"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98" w:type="pct"/>
            <w:shd w:val="clear" w:color="auto" w:fill="DCE7EB"/>
          </w:tcPr>
          <w:p w14:paraId="0412F075" w14:textId="78979F75"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6</w:t>
            </w:r>
            <w:r w:rsidR="00704D70">
              <w:rPr>
                <w:rFonts w:ascii="Segoe UI Light" w:hAnsi="Segoe UI Light" w:cs="Segoe UI Light"/>
                <w:sz w:val="16"/>
                <w:szCs w:val="16"/>
              </w:rPr>
              <w:t>,</w:t>
            </w:r>
            <w:r w:rsidR="00343DEB" w:rsidRPr="00343DEB">
              <w:rPr>
                <w:rFonts w:ascii="Segoe UI Light" w:hAnsi="Segoe UI Light" w:cs="Segoe UI Light"/>
                <w:sz w:val="16"/>
                <w:szCs w:val="16"/>
              </w:rPr>
              <w:t>1</w:t>
            </w:r>
          </w:p>
        </w:tc>
        <w:tc>
          <w:tcPr>
            <w:tcW w:w="326" w:type="pct"/>
            <w:shd w:val="clear" w:color="auto" w:fill="DCE7EB"/>
          </w:tcPr>
          <w:p w14:paraId="659F76EB" w14:textId="3E9BE7F7"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1</w:t>
            </w:r>
          </w:p>
        </w:tc>
        <w:tc>
          <w:tcPr>
            <w:tcW w:w="326" w:type="pct"/>
            <w:shd w:val="clear" w:color="auto" w:fill="DCE7EB"/>
          </w:tcPr>
          <w:p w14:paraId="31A1FAFA" w14:textId="7E7A1547"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5</w:t>
            </w:r>
          </w:p>
        </w:tc>
        <w:tc>
          <w:tcPr>
            <w:tcW w:w="383" w:type="pct"/>
            <w:shd w:val="clear" w:color="auto" w:fill="DCE7EB"/>
          </w:tcPr>
          <w:p w14:paraId="2E2607FC" w14:textId="0C545F0C"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2</w:t>
            </w:r>
            <w:r w:rsidR="00704D70">
              <w:rPr>
                <w:rFonts w:ascii="Segoe UI Light" w:hAnsi="Segoe UI Light" w:cs="Segoe UI Light"/>
                <w:sz w:val="16"/>
                <w:szCs w:val="16"/>
              </w:rPr>
              <w:t>,</w:t>
            </w:r>
            <w:r w:rsidR="00343DEB" w:rsidRPr="00343DEB">
              <w:rPr>
                <w:rFonts w:ascii="Segoe UI Light" w:hAnsi="Segoe UI Light" w:cs="Segoe UI Light"/>
                <w:sz w:val="16"/>
                <w:szCs w:val="16"/>
              </w:rPr>
              <w:t>5</w:t>
            </w:r>
          </w:p>
        </w:tc>
        <w:tc>
          <w:tcPr>
            <w:tcW w:w="375" w:type="pct"/>
            <w:shd w:val="clear" w:color="auto" w:fill="DCE7EB"/>
          </w:tcPr>
          <w:p w14:paraId="040D2D1C" w14:textId="6F704021"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-8</w:t>
            </w:r>
            <w:r w:rsidR="00704D70">
              <w:rPr>
                <w:rFonts w:ascii="Segoe UI Light" w:hAnsi="Segoe UI Light" w:cs="Segoe UI Light"/>
                <w:b/>
                <w:bCs/>
                <w:sz w:val="16"/>
                <w:szCs w:val="16"/>
              </w:rPr>
              <w:t>,</w:t>
            </w:r>
            <w:r w:rsidR="00343DEB" w:rsidRPr="00704D70">
              <w:rPr>
                <w:rFonts w:ascii="Segoe UI Light" w:hAnsi="Segoe UI Light" w:cs="Segoe UI Light"/>
                <w:b/>
                <w:sz w:val="16"/>
                <w:szCs w:val="16"/>
              </w:rPr>
              <w:t>1</w:t>
            </w:r>
          </w:p>
        </w:tc>
      </w:tr>
      <w:tr w:rsidR="00606052" w:rsidRPr="00D829F0" w14:paraId="38E16181" w14:textId="77777777" w:rsidTr="003D13BA">
        <w:tc>
          <w:tcPr>
            <w:tcW w:w="1888" w:type="pct"/>
            <w:shd w:val="clear" w:color="auto" w:fill="auto"/>
          </w:tcPr>
          <w:p w14:paraId="6F2B68B7" w14:textId="77777777" w:rsidR="000E509C" w:rsidRPr="0081189C" w:rsidRDefault="000E509C" w:rsidP="000E509C">
            <w:pPr>
              <w:spacing w:before="40" w:after="40"/>
              <w:ind w:left="142"/>
              <w:rPr>
                <w:rFonts w:ascii="Segoe UI Light" w:eastAsia="Arial Unicode MS" w:hAnsi="Segoe UI Light"/>
                <w:sz w:val="16"/>
                <w:szCs w:val="20"/>
              </w:rPr>
            </w:pPr>
            <w:r w:rsidRPr="0081189C">
              <w:rPr>
                <w:rFonts w:ascii="Segoe UI Light" w:hAnsi="Segoe UI Light"/>
                <w:sz w:val="16"/>
                <w:szCs w:val="20"/>
                <w:lang w:eastAsia="lv-LV"/>
              </w:rPr>
              <w:t>Kvalificēti lauksaimniecības darbinieki</w:t>
            </w:r>
          </w:p>
        </w:tc>
        <w:tc>
          <w:tcPr>
            <w:tcW w:w="325" w:type="pct"/>
            <w:shd w:val="clear" w:color="auto" w:fill="auto"/>
          </w:tcPr>
          <w:p w14:paraId="6F5D1A4E" w14:textId="348EE586"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00343DEB" w:rsidRPr="00343DEB">
              <w:rPr>
                <w:rFonts w:ascii="Segoe UI Light" w:hAnsi="Segoe UI Light" w:cs="Segoe UI Light"/>
                <w:sz w:val="16"/>
                <w:szCs w:val="16"/>
              </w:rPr>
              <w:t>0</w:t>
            </w:r>
          </w:p>
        </w:tc>
        <w:tc>
          <w:tcPr>
            <w:tcW w:w="326" w:type="pct"/>
            <w:shd w:val="clear" w:color="auto" w:fill="auto"/>
          </w:tcPr>
          <w:p w14:paraId="61C71CD8" w14:textId="75274015"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26" w:type="pct"/>
            <w:shd w:val="clear" w:color="auto" w:fill="auto"/>
          </w:tcPr>
          <w:p w14:paraId="2EAA63B6" w14:textId="0C824394"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26" w:type="pct"/>
            <w:shd w:val="clear" w:color="auto" w:fill="auto"/>
          </w:tcPr>
          <w:p w14:paraId="59BFFD68" w14:textId="208EE10F"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98" w:type="pct"/>
            <w:shd w:val="clear" w:color="auto" w:fill="auto"/>
          </w:tcPr>
          <w:p w14:paraId="356952C7" w14:textId="135FE291"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26" w:type="pct"/>
            <w:shd w:val="clear" w:color="auto" w:fill="auto"/>
          </w:tcPr>
          <w:p w14:paraId="24996786" w14:textId="3013DCF7"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26" w:type="pct"/>
            <w:shd w:val="clear" w:color="auto" w:fill="auto"/>
          </w:tcPr>
          <w:p w14:paraId="2C25413E" w14:textId="6B9F6AEC"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1</w:t>
            </w:r>
          </w:p>
        </w:tc>
        <w:tc>
          <w:tcPr>
            <w:tcW w:w="383" w:type="pct"/>
            <w:shd w:val="clear" w:color="auto" w:fill="auto"/>
          </w:tcPr>
          <w:p w14:paraId="2C44BEE4" w14:textId="6E452B3B"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75" w:type="pct"/>
            <w:shd w:val="clear" w:color="auto" w:fill="auto"/>
          </w:tcPr>
          <w:p w14:paraId="645C02B9" w14:textId="6540B41B"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-0</w:t>
            </w:r>
            <w:r w:rsidR="00704D70">
              <w:rPr>
                <w:rFonts w:ascii="Segoe UI Light" w:hAnsi="Segoe UI Light" w:cs="Segoe UI Light"/>
                <w:b/>
                <w:bCs/>
                <w:sz w:val="16"/>
                <w:szCs w:val="16"/>
              </w:rPr>
              <w:t>,</w:t>
            </w:r>
            <w:r w:rsidR="00343DEB" w:rsidRPr="00704D70">
              <w:rPr>
                <w:rFonts w:ascii="Segoe UI Light" w:hAnsi="Segoe UI Light" w:cs="Segoe UI Light"/>
                <w:b/>
                <w:sz w:val="16"/>
                <w:szCs w:val="16"/>
              </w:rPr>
              <w:t>9</w:t>
            </w:r>
          </w:p>
        </w:tc>
      </w:tr>
      <w:tr w:rsidR="00606052" w:rsidRPr="00D829F0" w14:paraId="3E9211B3" w14:textId="77777777" w:rsidTr="003D13BA">
        <w:trPr>
          <w:cnfStyle w:val="000000100000" w:firstRow="0" w:lastRow="0" w:firstColumn="0" w:lastColumn="0" w:oddVBand="0" w:evenVBand="0" w:oddHBand="1" w:evenHBand="0" w:firstRowFirstColumn="0" w:firstRowLastColumn="0" w:lastRowFirstColumn="0" w:lastRowLastColumn="0"/>
        </w:trPr>
        <w:tc>
          <w:tcPr>
            <w:tcW w:w="1888" w:type="pct"/>
            <w:shd w:val="clear" w:color="auto" w:fill="DCE7EB"/>
          </w:tcPr>
          <w:p w14:paraId="396653BA" w14:textId="77777777" w:rsidR="000E509C" w:rsidRPr="0081189C" w:rsidRDefault="000E509C" w:rsidP="000E509C">
            <w:pPr>
              <w:spacing w:before="40" w:after="40"/>
              <w:ind w:left="142"/>
              <w:rPr>
                <w:rFonts w:ascii="Segoe UI Light" w:eastAsia="Arial Unicode MS" w:hAnsi="Segoe UI Light"/>
                <w:sz w:val="16"/>
                <w:szCs w:val="20"/>
              </w:rPr>
            </w:pPr>
            <w:r w:rsidRPr="0081189C">
              <w:rPr>
                <w:rFonts w:ascii="Segoe UI Light" w:hAnsi="Segoe UI Light"/>
                <w:sz w:val="16"/>
                <w:szCs w:val="20"/>
                <w:lang w:eastAsia="lv-LV"/>
              </w:rPr>
              <w:t>Kvalificēti strādnieki</w:t>
            </w:r>
          </w:p>
        </w:tc>
        <w:tc>
          <w:tcPr>
            <w:tcW w:w="325" w:type="pct"/>
            <w:shd w:val="clear" w:color="auto" w:fill="DCE7EB"/>
          </w:tcPr>
          <w:p w14:paraId="25A6D373" w14:textId="07E8FE14"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0</w:t>
            </w:r>
          </w:p>
        </w:tc>
        <w:tc>
          <w:tcPr>
            <w:tcW w:w="326" w:type="pct"/>
            <w:shd w:val="clear" w:color="auto" w:fill="DCE7EB"/>
          </w:tcPr>
          <w:p w14:paraId="0C0AA431" w14:textId="7E2BF4CC"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8</w:t>
            </w:r>
          </w:p>
        </w:tc>
        <w:tc>
          <w:tcPr>
            <w:tcW w:w="326" w:type="pct"/>
            <w:shd w:val="clear" w:color="auto" w:fill="DCE7EB"/>
          </w:tcPr>
          <w:p w14:paraId="0F49B53C" w14:textId="0167AB01"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4</w:t>
            </w:r>
          </w:p>
        </w:tc>
        <w:tc>
          <w:tcPr>
            <w:tcW w:w="326" w:type="pct"/>
            <w:shd w:val="clear" w:color="auto" w:fill="DCE7EB"/>
          </w:tcPr>
          <w:p w14:paraId="19BA7293" w14:textId="0DC977C4"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7</w:t>
            </w:r>
            <w:r w:rsidR="00704D70">
              <w:rPr>
                <w:rFonts w:ascii="Segoe UI Light" w:hAnsi="Segoe UI Light" w:cs="Segoe UI Light"/>
                <w:sz w:val="16"/>
                <w:szCs w:val="16"/>
              </w:rPr>
              <w:t>,</w:t>
            </w:r>
            <w:r w:rsidRPr="0081189C">
              <w:rPr>
                <w:rFonts w:ascii="Segoe UI Light" w:hAnsi="Segoe UI Light" w:cs="Segoe UI Light"/>
                <w:sz w:val="16"/>
                <w:szCs w:val="16"/>
              </w:rPr>
              <w:t>2</w:t>
            </w:r>
          </w:p>
        </w:tc>
        <w:tc>
          <w:tcPr>
            <w:tcW w:w="398" w:type="pct"/>
            <w:shd w:val="clear" w:color="auto" w:fill="DCE7EB"/>
          </w:tcPr>
          <w:p w14:paraId="20CA3896" w14:textId="144DF27A"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2</w:t>
            </w:r>
          </w:p>
        </w:tc>
        <w:tc>
          <w:tcPr>
            <w:tcW w:w="326" w:type="pct"/>
            <w:shd w:val="clear" w:color="auto" w:fill="DCE7EB"/>
          </w:tcPr>
          <w:p w14:paraId="08E99B67" w14:textId="1C55E4A5"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3</w:t>
            </w:r>
          </w:p>
        </w:tc>
        <w:tc>
          <w:tcPr>
            <w:tcW w:w="326" w:type="pct"/>
            <w:shd w:val="clear" w:color="auto" w:fill="DCE7EB"/>
          </w:tcPr>
          <w:p w14:paraId="04FB67C8" w14:textId="4F37F2F9"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00343DEB" w:rsidRPr="00343DEB">
              <w:rPr>
                <w:rFonts w:ascii="Segoe UI Light" w:hAnsi="Segoe UI Light" w:cs="Segoe UI Light"/>
                <w:sz w:val="16"/>
                <w:szCs w:val="16"/>
              </w:rPr>
              <w:t>0</w:t>
            </w:r>
          </w:p>
        </w:tc>
        <w:tc>
          <w:tcPr>
            <w:tcW w:w="383" w:type="pct"/>
            <w:shd w:val="clear" w:color="auto" w:fill="DCE7EB"/>
          </w:tcPr>
          <w:p w14:paraId="3BC92153" w14:textId="7C1D7513"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75" w:type="pct"/>
            <w:shd w:val="clear" w:color="auto" w:fill="DCE7EB"/>
          </w:tcPr>
          <w:p w14:paraId="2E103370" w14:textId="45F821A9"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10</w:t>
            </w:r>
            <w:r w:rsidR="00704D70">
              <w:rPr>
                <w:rFonts w:ascii="Segoe UI Light" w:hAnsi="Segoe UI Light" w:cs="Segoe UI Light"/>
                <w:b/>
                <w:bCs/>
                <w:sz w:val="16"/>
                <w:szCs w:val="16"/>
              </w:rPr>
              <w:t>,</w:t>
            </w:r>
            <w:r w:rsidR="000E509C" w:rsidRPr="00704D70">
              <w:rPr>
                <w:rFonts w:ascii="Segoe UI Light" w:hAnsi="Segoe UI Light" w:cs="Segoe UI Light"/>
                <w:b/>
                <w:sz w:val="16"/>
                <w:szCs w:val="16"/>
              </w:rPr>
              <w:t>0</w:t>
            </w:r>
          </w:p>
        </w:tc>
      </w:tr>
      <w:tr w:rsidR="00606052" w:rsidRPr="00D829F0" w14:paraId="299D5564" w14:textId="77777777" w:rsidTr="003D13BA">
        <w:tc>
          <w:tcPr>
            <w:tcW w:w="1888" w:type="pct"/>
            <w:shd w:val="clear" w:color="auto" w:fill="auto"/>
          </w:tcPr>
          <w:p w14:paraId="04BDDAD8" w14:textId="77777777" w:rsidR="000E509C" w:rsidRPr="0081189C" w:rsidRDefault="000E509C" w:rsidP="000E509C">
            <w:pPr>
              <w:spacing w:before="40" w:after="40"/>
              <w:ind w:left="142"/>
              <w:rPr>
                <w:rFonts w:ascii="Segoe UI Light" w:eastAsia="Arial Unicode MS" w:hAnsi="Segoe UI Light"/>
                <w:sz w:val="16"/>
                <w:szCs w:val="20"/>
              </w:rPr>
            </w:pPr>
            <w:r w:rsidRPr="0081189C">
              <w:rPr>
                <w:rFonts w:ascii="Segoe UI Light" w:hAnsi="Segoe UI Light"/>
                <w:sz w:val="16"/>
                <w:szCs w:val="20"/>
                <w:lang w:eastAsia="lv-LV"/>
              </w:rPr>
              <w:t>Iekārtu un mašīnu operatori</w:t>
            </w:r>
          </w:p>
        </w:tc>
        <w:tc>
          <w:tcPr>
            <w:tcW w:w="325" w:type="pct"/>
            <w:shd w:val="clear" w:color="auto" w:fill="auto"/>
          </w:tcPr>
          <w:p w14:paraId="028149A5" w14:textId="6304A3A1"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w:t>
            </w:r>
            <w:r w:rsidR="000E509C" w:rsidRPr="0081189C">
              <w:rPr>
                <w:rFonts w:ascii="Segoe UI Light" w:hAnsi="Segoe UI Light" w:cs="Segoe UI Light"/>
                <w:sz w:val="16"/>
                <w:szCs w:val="16"/>
              </w:rPr>
              <w:t>0</w:t>
            </w:r>
            <w:r w:rsidR="00704D70">
              <w:rPr>
                <w:rFonts w:ascii="Segoe UI Light" w:hAnsi="Segoe UI Light" w:cs="Segoe UI Light"/>
                <w:sz w:val="16"/>
                <w:szCs w:val="16"/>
              </w:rPr>
              <w:t>,</w:t>
            </w:r>
            <w:r w:rsidRPr="00343DEB">
              <w:rPr>
                <w:rFonts w:ascii="Segoe UI Light" w:hAnsi="Segoe UI Light" w:cs="Segoe UI Light"/>
                <w:sz w:val="16"/>
                <w:szCs w:val="16"/>
              </w:rPr>
              <w:t>1</w:t>
            </w:r>
          </w:p>
        </w:tc>
        <w:tc>
          <w:tcPr>
            <w:tcW w:w="326" w:type="pct"/>
            <w:shd w:val="clear" w:color="auto" w:fill="auto"/>
          </w:tcPr>
          <w:p w14:paraId="34F2E2C2" w14:textId="3F767478"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9</w:t>
            </w:r>
          </w:p>
        </w:tc>
        <w:tc>
          <w:tcPr>
            <w:tcW w:w="326" w:type="pct"/>
            <w:shd w:val="clear" w:color="auto" w:fill="auto"/>
          </w:tcPr>
          <w:p w14:paraId="64F1FF93" w14:textId="5B7D158A"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1</w:t>
            </w:r>
          </w:p>
        </w:tc>
        <w:tc>
          <w:tcPr>
            <w:tcW w:w="326" w:type="pct"/>
            <w:shd w:val="clear" w:color="auto" w:fill="auto"/>
          </w:tcPr>
          <w:p w14:paraId="32E685BE" w14:textId="4B796F19"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9</w:t>
            </w:r>
          </w:p>
        </w:tc>
        <w:tc>
          <w:tcPr>
            <w:tcW w:w="398" w:type="pct"/>
            <w:shd w:val="clear" w:color="auto" w:fill="auto"/>
          </w:tcPr>
          <w:p w14:paraId="50A58D9C" w14:textId="24290AD8"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0</w:t>
            </w:r>
          </w:p>
        </w:tc>
        <w:tc>
          <w:tcPr>
            <w:tcW w:w="326" w:type="pct"/>
            <w:shd w:val="clear" w:color="auto" w:fill="auto"/>
          </w:tcPr>
          <w:p w14:paraId="7A366D5D" w14:textId="54435EF8"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0</w:t>
            </w:r>
            <w:r w:rsidR="00704D70">
              <w:rPr>
                <w:rFonts w:ascii="Segoe UI Light" w:hAnsi="Segoe UI Light" w:cs="Segoe UI Light"/>
                <w:sz w:val="16"/>
                <w:szCs w:val="16"/>
              </w:rPr>
              <w:t>,</w:t>
            </w:r>
            <w:r w:rsidR="000E509C" w:rsidRPr="0081189C">
              <w:rPr>
                <w:rFonts w:ascii="Segoe UI Light" w:hAnsi="Segoe UI Light" w:cs="Segoe UI Light"/>
                <w:sz w:val="16"/>
                <w:szCs w:val="16"/>
              </w:rPr>
              <w:t>2</w:t>
            </w:r>
          </w:p>
        </w:tc>
        <w:tc>
          <w:tcPr>
            <w:tcW w:w="326" w:type="pct"/>
            <w:shd w:val="clear" w:color="auto" w:fill="auto"/>
          </w:tcPr>
          <w:p w14:paraId="150E84DF" w14:textId="72548DC2"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Pr="0081189C">
              <w:rPr>
                <w:rFonts w:ascii="Segoe UI Light" w:hAnsi="Segoe UI Light" w:cs="Segoe UI Light"/>
                <w:sz w:val="16"/>
                <w:szCs w:val="16"/>
              </w:rPr>
              <w:t>4</w:t>
            </w:r>
          </w:p>
        </w:tc>
        <w:tc>
          <w:tcPr>
            <w:tcW w:w="383" w:type="pct"/>
            <w:shd w:val="clear" w:color="auto" w:fill="auto"/>
          </w:tcPr>
          <w:p w14:paraId="690C0AB1" w14:textId="195B1D9F"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0</w:t>
            </w:r>
          </w:p>
        </w:tc>
        <w:tc>
          <w:tcPr>
            <w:tcW w:w="375" w:type="pct"/>
            <w:shd w:val="clear" w:color="auto" w:fill="auto"/>
          </w:tcPr>
          <w:p w14:paraId="0E032489" w14:textId="35714DA6"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2</w:t>
            </w:r>
            <w:r w:rsidR="00704D70">
              <w:rPr>
                <w:rFonts w:ascii="Segoe UI Light" w:hAnsi="Segoe UI Light" w:cs="Segoe UI Light"/>
                <w:b/>
                <w:bCs/>
                <w:sz w:val="16"/>
                <w:szCs w:val="16"/>
              </w:rPr>
              <w:t>,</w:t>
            </w:r>
            <w:r w:rsidR="00343DEB" w:rsidRPr="00704D70">
              <w:rPr>
                <w:rFonts w:ascii="Segoe UI Light" w:hAnsi="Segoe UI Light" w:cs="Segoe UI Light"/>
                <w:b/>
                <w:sz w:val="16"/>
                <w:szCs w:val="16"/>
              </w:rPr>
              <w:t>4</w:t>
            </w:r>
          </w:p>
        </w:tc>
      </w:tr>
      <w:tr w:rsidR="00606052" w:rsidRPr="00D829F0" w14:paraId="548C67D7" w14:textId="77777777" w:rsidTr="003D13BA">
        <w:trPr>
          <w:cnfStyle w:val="000000100000" w:firstRow="0" w:lastRow="0" w:firstColumn="0" w:lastColumn="0" w:oddVBand="0" w:evenVBand="0" w:oddHBand="1" w:evenHBand="0" w:firstRowFirstColumn="0" w:firstRowLastColumn="0" w:lastRowFirstColumn="0" w:lastRowLastColumn="0"/>
        </w:trPr>
        <w:tc>
          <w:tcPr>
            <w:tcW w:w="1888" w:type="pct"/>
            <w:shd w:val="clear" w:color="auto" w:fill="DCE7EB"/>
          </w:tcPr>
          <w:p w14:paraId="13E1AAF5" w14:textId="77777777" w:rsidR="000E509C" w:rsidRPr="0081189C" w:rsidRDefault="000E509C" w:rsidP="000E509C">
            <w:pPr>
              <w:spacing w:before="40" w:after="40"/>
              <w:rPr>
                <w:rFonts w:ascii="Segoe UI Light" w:hAnsi="Segoe UI Light"/>
                <w:sz w:val="16"/>
                <w:szCs w:val="20"/>
                <w:lang w:eastAsia="lv-LV"/>
              </w:rPr>
            </w:pPr>
            <w:r w:rsidRPr="0081189C">
              <w:rPr>
                <w:rFonts w:ascii="Segoe UI Light" w:hAnsi="Segoe UI Light"/>
                <w:sz w:val="16"/>
                <w:szCs w:val="20"/>
                <w:lang w:eastAsia="lv-LV"/>
              </w:rPr>
              <w:t>Zemas kvalifikācijas profesijas</w:t>
            </w:r>
          </w:p>
        </w:tc>
        <w:tc>
          <w:tcPr>
            <w:tcW w:w="325" w:type="pct"/>
            <w:shd w:val="clear" w:color="auto" w:fill="DCE7EB"/>
          </w:tcPr>
          <w:p w14:paraId="5368335F" w14:textId="1F9ECAB6"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-1</w:t>
            </w:r>
            <w:r w:rsidR="00704D70">
              <w:rPr>
                <w:rFonts w:ascii="Segoe UI Light" w:hAnsi="Segoe UI Light" w:cs="Segoe UI Light"/>
                <w:sz w:val="16"/>
                <w:szCs w:val="16"/>
              </w:rPr>
              <w:t>,</w:t>
            </w:r>
            <w:r w:rsidR="00343DEB" w:rsidRPr="00343DEB">
              <w:rPr>
                <w:rFonts w:ascii="Segoe UI Light" w:hAnsi="Segoe UI Light" w:cs="Segoe UI Light"/>
                <w:sz w:val="16"/>
                <w:szCs w:val="16"/>
              </w:rPr>
              <w:t>3</w:t>
            </w:r>
          </w:p>
        </w:tc>
        <w:tc>
          <w:tcPr>
            <w:tcW w:w="326" w:type="pct"/>
            <w:shd w:val="clear" w:color="auto" w:fill="DCE7EB"/>
          </w:tcPr>
          <w:p w14:paraId="5F87B075" w14:textId="2F1CA8FC"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1</w:t>
            </w:r>
            <w:r w:rsidR="00704D70">
              <w:rPr>
                <w:rFonts w:ascii="Segoe UI Light" w:hAnsi="Segoe UI Light" w:cs="Segoe UI Light"/>
                <w:sz w:val="16"/>
                <w:szCs w:val="16"/>
              </w:rPr>
              <w:t>,</w:t>
            </w:r>
            <w:r w:rsidR="00343DEB" w:rsidRPr="00343DEB">
              <w:rPr>
                <w:rFonts w:ascii="Segoe UI Light" w:hAnsi="Segoe UI Light" w:cs="Segoe UI Light"/>
                <w:sz w:val="16"/>
                <w:szCs w:val="16"/>
              </w:rPr>
              <w:t>6</w:t>
            </w:r>
          </w:p>
        </w:tc>
        <w:tc>
          <w:tcPr>
            <w:tcW w:w="326" w:type="pct"/>
            <w:shd w:val="clear" w:color="auto" w:fill="DCE7EB"/>
          </w:tcPr>
          <w:p w14:paraId="73895663" w14:textId="7963A607"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2</w:t>
            </w:r>
          </w:p>
        </w:tc>
        <w:tc>
          <w:tcPr>
            <w:tcW w:w="326" w:type="pct"/>
            <w:shd w:val="clear" w:color="auto" w:fill="DCE7EB"/>
          </w:tcPr>
          <w:p w14:paraId="76C404A7" w14:textId="3E16B74F" w:rsidR="000E509C" w:rsidRPr="0081189C" w:rsidRDefault="00343DEB" w:rsidP="000E509C">
            <w:pPr>
              <w:tabs>
                <w:tab w:val="decimal" w:pos="218"/>
              </w:tabs>
              <w:spacing w:before="40" w:after="40"/>
              <w:rPr>
                <w:rFonts w:ascii="Segoe UI Light" w:hAnsi="Segoe UI Light" w:cs="Segoe UI Light"/>
                <w:sz w:val="16"/>
                <w:szCs w:val="16"/>
              </w:rPr>
            </w:pPr>
            <w:r w:rsidRPr="00343DEB">
              <w:rPr>
                <w:rFonts w:ascii="Segoe UI Light" w:hAnsi="Segoe UI Light" w:cs="Segoe UI Light"/>
                <w:sz w:val="16"/>
                <w:szCs w:val="16"/>
              </w:rPr>
              <w:t>1</w:t>
            </w:r>
            <w:r w:rsidR="00704D70">
              <w:rPr>
                <w:rFonts w:ascii="Segoe UI Light" w:hAnsi="Segoe UI Light" w:cs="Segoe UI Light"/>
                <w:sz w:val="16"/>
                <w:szCs w:val="16"/>
              </w:rPr>
              <w:t>,</w:t>
            </w:r>
            <w:r w:rsidRPr="00343DEB">
              <w:rPr>
                <w:rFonts w:ascii="Segoe UI Light" w:hAnsi="Segoe UI Light" w:cs="Segoe UI Light"/>
                <w:sz w:val="16"/>
                <w:szCs w:val="16"/>
              </w:rPr>
              <w:t>5</w:t>
            </w:r>
          </w:p>
        </w:tc>
        <w:tc>
          <w:tcPr>
            <w:tcW w:w="398" w:type="pct"/>
            <w:shd w:val="clear" w:color="auto" w:fill="DCE7EB"/>
          </w:tcPr>
          <w:p w14:paraId="58F38210" w14:textId="2AC2A376"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2</w:t>
            </w:r>
            <w:r w:rsidR="00704D70">
              <w:rPr>
                <w:rFonts w:ascii="Segoe UI Light" w:hAnsi="Segoe UI Light" w:cs="Segoe UI Light"/>
                <w:sz w:val="16"/>
                <w:szCs w:val="16"/>
              </w:rPr>
              <w:t>,</w:t>
            </w:r>
            <w:r w:rsidR="00343DEB" w:rsidRPr="00343DEB">
              <w:rPr>
                <w:rFonts w:ascii="Segoe UI Light" w:hAnsi="Segoe UI Light" w:cs="Segoe UI Light"/>
                <w:sz w:val="16"/>
                <w:szCs w:val="16"/>
              </w:rPr>
              <w:t>7</w:t>
            </w:r>
          </w:p>
        </w:tc>
        <w:tc>
          <w:tcPr>
            <w:tcW w:w="326" w:type="pct"/>
            <w:shd w:val="clear" w:color="auto" w:fill="DCE7EB"/>
          </w:tcPr>
          <w:p w14:paraId="10D18259" w14:textId="5EC39DFF"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7</w:t>
            </w:r>
          </w:p>
        </w:tc>
        <w:tc>
          <w:tcPr>
            <w:tcW w:w="326" w:type="pct"/>
            <w:shd w:val="clear" w:color="auto" w:fill="DCE7EB"/>
          </w:tcPr>
          <w:p w14:paraId="50823E56" w14:textId="062F3322"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0</w:t>
            </w:r>
            <w:r w:rsidR="00704D70">
              <w:rPr>
                <w:rFonts w:ascii="Segoe UI Light" w:hAnsi="Segoe UI Light" w:cs="Segoe UI Light"/>
                <w:sz w:val="16"/>
                <w:szCs w:val="16"/>
              </w:rPr>
              <w:t>,</w:t>
            </w:r>
            <w:r w:rsidR="00343DEB" w:rsidRPr="00343DEB">
              <w:rPr>
                <w:rFonts w:ascii="Segoe UI Light" w:hAnsi="Segoe UI Light" w:cs="Segoe UI Light"/>
                <w:sz w:val="16"/>
                <w:szCs w:val="16"/>
              </w:rPr>
              <w:t>2</w:t>
            </w:r>
          </w:p>
        </w:tc>
        <w:tc>
          <w:tcPr>
            <w:tcW w:w="383" w:type="pct"/>
            <w:shd w:val="clear" w:color="auto" w:fill="DCE7EB"/>
          </w:tcPr>
          <w:p w14:paraId="2F9E5750" w14:textId="57EE047E" w:rsidR="000E509C" w:rsidRPr="0081189C" w:rsidRDefault="000E509C" w:rsidP="000E509C">
            <w:pPr>
              <w:tabs>
                <w:tab w:val="decimal" w:pos="218"/>
              </w:tabs>
              <w:spacing w:before="40" w:after="40"/>
              <w:rPr>
                <w:rFonts w:ascii="Segoe UI Light" w:hAnsi="Segoe UI Light" w:cs="Segoe UI Light"/>
                <w:sz w:val="16"/>
                <w:szCs w:val="16"/>
              </w:rPr>
            </w:pPr>
            <w:r w:rsidRPr="0081189C">
              <w:rPr>
                <w:rFonts w:ascii="Segoe UI Light" w:hAnsi="Segoe UI Light" w:cs="Segoe UI Light"/>
                <w:sz w:val="16"/>
                <w:szCs w:val="16"/>
              </w:rPr>
              <w:t>-</w:t>
            </w:r>
            <w:r w:rsidR="00343DEB" w:rsidRPr="00343DEB">
              <w:rPr>
                <w:rFonts w:ascii="Segoe UI Light" w:hAnsi="Segoe UI Light" w:cs="Segoe UI Light"/>
                <w:sz w:val="16"/>
                <w:szCs w:val="16"/>
              </w:rPr>
              <w:t>1</w:t>
            </w:r>
            <w:r w:rsidR="00704D70">
              <w:rPr>
                <w:rFonts w:ascii="Segoe UI Light" w:hAnsi="Segoe UI Light" w:cs="Segoe UI Light"/>
                <w:sz w:val="16"/>
                <w:szCs w:val="16"/>
              </w:rPr>
              <w:t>,</w:t>
            </w:r>
            <w:r w:rsidRPr="0081189C">
              <w:rPr>
                <w:rFonts w:ascii="Segoe UI Light" w:hAnsi="Segoe UI Light" w:cs="Segoe UI Light"/>
                <w:sz w:val="16"/>
                <w:szCs w:val="16"/>
              </w:rPr>
              <w:t>8</w:t>
            </w:r>
          </w:p>
        </w:tc>
        <w:tc>
          <w:tcPr>
            <w:tcW w:w="375" w:type="pct"/>
            <w:shd w:val="clear" w:color="auto" w:fill="DCE7EB"/>
          </w:tcPr>
          <w:p w14:paraId="68886B61" w14:textId="6D89C5F1"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-7</w:t>
            </w:r>
            <w:r w:rsidR="00704D70">
              <w:rPr>
                <w:rFonts w:ascii="Segoe UI Light" w:hAnsi="Segoe UI Light" w:cs="Segoe UI Light"/>
                <w:b/>
                <w:bCs/>
                <w:sz w:val="16"/>
                <w:szCs w:val="16"/>
              </w:rPr>
              <w:t>,</w:t>
            </w:r>
            <w:r w:rsidRPr="00704D70">
              <w:rPr>
                <w:rFonts w:ascii="Segoe UI Light" w:hAnsi="Segoe UI Light" w:cs="Segoe UI Light"/>
                <w:b/>
                <w:sz w:val="16"/>
                <w:szCs w:val="16"/>
              </w:rPr>
              <w:t>1</w:t>
            </w:r>
          </w:p>
        </w:tc>
      </w:tr>
      <w:tr w:rsidR="00606052" w:rsidRPr="00D829F0" w14:paraId="1905C481" w14:textId="77777777" w:rsidTr="003D13BA">
        <w:tc>
          <w:tcPr>
            <w:tcW w:w="1888" w:type="pct"/>
            <w:shd w:val="clear" w:color="auto" w:fill="auto"/>
          </w:tcPr>
          <w:p w14:paraId="297889C2" w14:textId="77777777" w:rsidR="000E509C" w:rsidRPr="0081189C" w:rsidRDefault="000E509C" w:rsidP="000E509C">
            <w:pPr>
              <w:spacing w:before="40" w:after="40"/>
              <w:rPr>
                <w:rFonts w:ascii="Segoe UI Light" w:eastAsia="Arial Unicode MS" w:hAnsi="Segoe UI Light"/>
                <w:b/>
                <w:sz w:val="16"/>
                <w:szCs w:val="20"/>
              </w:rPr>
            </w:pPr>
            <w:r w:rsidRPr="0081189C">
              <w:rPr>
                <w:rFonts w:ascii="Segoe UI Light" w:eastAsia="Arial Unicode MS" w:hAnsi="Segoe UI Light"/>
                <w:b/>
                <w:sz w:val="16"/>
                <w:szCs w:val="20"/>
              </w:rPr>
              <w:t>Kopā</w:t>
            </w:r>
          </w:p>
        </w:tc>
        <w:tc>
          <w:tcPr>
            <w:tcW w:w="325" w:type="pct"/>
            <w:shd w:val="clear" w:color="auto" w:fill="auto"/>
          </w:tcPr>
          <w:p w14:paraId="1049AB79" w14:textId="76BE4CF2"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w:t>
            </w:r>
            <w:r w:rsidR="00343DEB" w:rsidRPr="00704D70">
              <w:rPr>
                <w:rFonts w:ascii="Segoe UI Light" w:hAnsi="Segoe UI Light" w:cs="Segoe UI Light"/>
                <w:b/>
                <w:sz w:val="16"/>
                <w:szCs w:val="16"/>
              </w:rPr>
              <w:t>2</w:t>
            </w:r>
            <w:r w:rsidR="00704D70">
              <w:rPr>
                <w:rFonts w:ascii="Segoe UI Light" w:hAnsi="Segoe UI Light" w:cs="Segoe UI Light"/>
                <w:b/>
                <w:bCs/>
                <w:sz w:val="16"/>
                <w:szCs w:val="16"/>
              </w:rPr>
              <w:t>,</w:t>
            </w:r>
            <w:r w:rsidR="00343DEB" w:rsidRPr="00704D70">
              <w:rPr>
                <w:rFonts w:ascii="Segoe UI Light" w:hAnsi="Segoe UI Light" w:cs="Segoe UI Light"/>
                <w:b/>
                <w:sz w:val="16"/>
                <w:szCs w:val="16"/>
              </w:rPr>
              <w:t>7</w:t>
            </w:r>
          </w:p>
        </w:tc>
        <w:tc>
          <w:tcPr>
            <w:tcW w:w="326" w:type="pct"/>
            <w:shd w:val="clear" w:color="auto" w:fill="auto"/>
          </w:tcPr>
          <w:p w14:paraId="75440C2F" w14:textId="39A30FED"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2</w:t>
            </w:r>
            <w:r w:rsidR="00704D70">
              <w:rPr>
                <w:rFonts w:ascii="Segoe UI Light" w:hAnsi="Segoe UI Light" w:cs="Segoe UI Light"/>
                <w:b/>
                <w:bCs/>
                <w:sz w:val="16"/>
                <w:szCs w:val="16"/>
              </w:rPr>
              <w:t>,</w:t>
            </w:r>
            <w:r w:rsidR="00343DEB" w:rsidRPr="00704D70">
              <w:rPr>
                <w:rFonts w:ascii="Segoe UI Light" w:hAnsi="Segoe UI Light" w:cs="Segoe UI Light"/>
                <w:b/>
                <w:sz w:val="16"/>
                <w:szCs w:val="16"/>
              </w:rPr>
              <w:t>3</w:t>
            </w:r>
          </w:p>
        </w:tc>
        <w:tc>
          <w:tcPr>
            <w:tcW w:w="326" w:type="pct"/>
            <w:shd w:val="clear" w:color="auto" w:fill="auto"/>
          </w:tcPr>
          <w:p w14:paraId="4E944F00" w14:textId="7A857D11"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1</w:t>
            </w:r>
            <w:r w:rsidR="00704D70">
              <w:rPr>
                <w:rFonts w:ascii="Segoe UI Light" w:hAnsi="Segoe UI Light" w:cs="Segoe UI Light"/>
                <w:b/>
                <w:bCs/>
                <w:sz w:val="16"/>
                <w:szCs w:val="16"/>
              </w:rPr>
              <w:t>,</w:t>
            </w:r>
            <w:r w:rsidRPr="00704D70">
              <w:rPr>
                <w:rFonts w:ascii="Segoe UI Light" w:hAnsi="Segoe UI Light" w:cs="Segoe UI Light"/>
                <w:b/>
                <w:sz w:val="16"/>
                <w:szCs w:val="16"/>
              </w:rPr>
              <w:t>2</w:t>
            </w:r>
          </w:p>
        </w:tc>
        <w:tc>
          <w:tcPr>
            <w:tcW w:w="326" w:type="pct"/>
            <w:shd w:val="clear" w:color="auto" w:fill="auto"/>
          </w:tcPr>
          <w:p w14:paraId="2AA78A71" w14:textId="42031797"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14</w:t>
            </w:r>
            <w:r w:rsidR="00704D70">
              <w:rPr>
                <w:rFonts w:ascii="Segoe UI Light" w:hAnsi="Segoe UI Light" w:cs="Segoe UI Light"/>
                <w:b/>
                <w:bCs/>
                <w:sz w:val="16"/>
                <w:szCs w:val="16"/>
              </w:rPr>
              <w:t>,</w:t>
            </w:r>
            <w:r w:rsidRPr="00704D70">
              <w:rPr>
                <w:rFonts w:ascii="Segoe UI Light" w:hAnsi="Segoe UI Light" w:cs="Segoe UI Light"/>
                <w:b/>
                <w:sz w:val="16"/>
                <w:szCs w:val="16"/>
              </w:rPr>
              <w:t>8</w:t>
            </w:r>
          </w:p>
        </w:tc>
        <w:tc>
          <w:tcPr>
            <w:tcW w:w="398" w:type="pct"/>
            <w:shd w:val="clear" w:color="auto" w:fill="auto"/>
          </w:tcPr>
          <w:p w14:paraId="7876E9EA" w14:textId="7DCBBF26" w:rsidR="000E509C" w:rsidRPr="00704D70" w:rsidRDefault="000E509C"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w:t>
            </w:r>
            <w:r w:rsidR="00343DEB" w:rsidRPr="00704D70">
              <w:rPr>
                <w:rFonts w:ascii="Segoe UI Light" w:hAnsi="Segoe UI Light" w:cs="Segoe UI Light"/>
                <w:b/>
                <w:sz w:val="16"/>
                <w:szCs w:val="16"/>
              </w:rPr>
              <w:t>9</w:t>
            </w:r>
            <w:r w:rsidR="00704D70">
              <w:rPr>
                <w:rFonts w:ascii="Segoe UI Light" w:hAnsi="Segoe UI Light" w:cs="Segoe UI Light"/>
                <w:b/>
                <w:bCs/>
                <w:sz w:val="16"/>
                <w:szCs w:val="16"/>
              </w:rPr>
              <w:t>,</w:t>
            </w:r>
            <w:r w:rsidR="00343DEB" w:rsidRPr="00704D70">
              <w:rPr>
                <w:rFonts w:ascii="Segoe UI Light" w:hAnsi="Segoe UI Light" w:cs="Segoe UI Light"/>
                <w:b/>
                <w:sz w:val="16"/>
                <w:szCs w:val="16"/>
              </w:rPr>
              <w:t>4</w:t>
            </w:r>
          </w:p>
        </w:tc>
        <w:tc>
          <w:tcPr>
            <w:tcW w:w="326" w:type="pct"/>
            <w:shd w:val="clear" w:color="auto" w:fill="auto"/>
          </w:tcPr>
          <w:p w14:paraId="04F8A02F" w14:textId="65E16645"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0</w:t>
            </w:r>
            <w:r w:rsidR="00704D70">
              <w:rPr>
                <w:rFonts w:ascii="Segoe UI Light" w:hAnsi="Segoe UI Light" w:cs="Segoe UI Light"/>
                <w:b/>
                <w:bCs/>
                <w:sz w:val="16"/>
                <w:szCs w:val="16"/>
              </w:rPr>
              <w:t>,</w:t>
            </w:r>
            <w:r w:rsidRPr="00704D70">
              <w:rPr>
                <w:rFonts w:ascii="Segoe UI Light" w:hAnsi="Segoe UI Light" w:cs="Segoe UI Light"/>
                <w:b/>
                <w:sz w:val="16"/>
                <w:szCs w:val="16"/>
              </w:rPr>
              <w:t>0</w:t>
            </w:r>
          </w:p>
        </w:tc>
        <w:tc>
          <w:tcPr>
            <w:tcW w:w="326" w:type="pct"/>
            <w:shd w:val="clear" w:color="auto" w:fill="auto"/>
          </w:tcPr>
          <w:p w14:paraId="5125ED63" w14:textId="664AA1B3"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14</w:t>
            </w:r>
            <w:r w:rsidR="00704D70">
              <w:rPr>
                <w:rFonts w:ascii="Segoe UI Light" w:hAnsi="Segoe UI Light" w:cs="Segoe UI Light"/>
                <w:b/>
                <w:bCs/>
                <w:sz w:val="16"/>
                <w:szCs w:val="16"/>
              </w:rPr>
              <w:t>,</w:t>
            </w:r>
            <w:r w:rsidRPr="00704D70">
              <w:rPr>
                <w:rFonts w:ascii="Segoe UI Light" w:hAnsi="Segoe UI Light" w:cs="Segoe UI Light"/>
                <w:b/>
                <w:sz w:val="16"/>
                <w:szCs w:val="16"/>
              </w:rPr>
              <w:t>8</w:t>
            </w:r>
          </w:p>
        </w:tc>
        <w:tc>
          <w:tcPr>
            <w:tcW w:w="383" w:type="pct"/>
            <w:shd w:val="clear" w:color="auto" w:fill="auto"/>
          </w:tcPr>
          <w:p w14:paraId="3710BF4A" w14:textId="65A04F4A"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w:t>
            </w:r>
            <w:r w:rsidR="000E509C" w:rsidRPr="00704D70">
              <w:rPr>
                <w:rFonts w:ascii="Segoe UI Light" w:hAnsi="Segoe UI Light" w:cs="Segoe UI Light"/>
                <w:b/>
                <w:sz w:val="16"/>
                <w:szCs w:val="16"/>
              </w:rPr>
              <w:t>3</w:t>
            </w:r>
            <w:r w:rsidR="00704D70">
              <w:rPr>
                <w:rFonts w:ascii="Segoe UI Light" w:hAnsi="Segoe UI Light" w:cs="Segoe UI Light"/>
                <w:b/>
                <w:bCs/>
                <w:sz w:val="16"/>
                <w:szCs w:val="16"/>
              </w:rPr>
              <w:t>,</w:t>
            </w:r>
            <w:r w:rsidRPr="00704D70">
              <w:rPr>
                <w:rFonts w:ascii="Segoe UI Light" w:hAnsi="Segoe UI Light" w:cs="Segoe UI Light"/>
                <w:b/>
                <w:sz w:val="16"/>
                <w:szCs w:val="16"/>
              </w:rPr>
              <w:t>8</w:t>
            </w:r>
          </w:p>
        </w:tc>
        <w:tc>
          <w:tcPr>
            <w:tcW w:w="375" w:type="pct"/>
            <w:shd w:val="clear" w:color="auto" w:fill="auto"/>
          </w:tcPr>
          <w:p w14:paraId="188748EF" w14:textId="1C689FCC" w:rsidR="000E509C" w:rsidRPr="00704D70" w:rsidRDefault="00343DEB" w:rsidP="000E509C">
            <w:pPr>
              <w:tabs>
                <w:tab w:val="decimal" w:pos="218"/>
              </w:tabs>
              <w:spacing w:before="40" w:after="40"/>
              <w:rPr>
                <w:rFonts w:ascii="Segoe UI Light" w:hAnsi="Segoe UI Light" w:cs="Segoe UI Light"/>
                <w:b/>
                <w:sz w:val="16"/>
                <w:szCs w:val="16"/>
              </w:rPr>
            </w:pPr>
            <w:r w:rsidRPr="00704D70">
              <w:rPr>
                <w:rFonts w:ascii="Segoe UI Light" w:hAnsi="Segoe UI Light" w:cs="Segoe UI Light"/>
                <w:b/>
                <w:sz w:val="16"/>
                <w:szCs w:val="16"/>
              </w:rPr>
              <w:t>17</w:t>
            </w:r>
            <w:r w:rsidR="00704D70">
              <w:rPr>
                <w:rFonts w:ascii="Segoe UI Light" w:hAnsi="Segoe UI Light" w:cs="Segoe UI Light"/>
                <w:b/>
                <w:bCs/>
                <w:sz w:val="16"/>
                <w:szCs w:val="16"/>
              </w:rPr>
              <w:t>,</w:t>
            </w:r>
            <w:r w:rsidRPr="00704D70">
              <w:rPr>
                <w:rFonts w:ascii="Segoe UI Light" w:hAnsi="Segoe UI Light" w:cs="Segoe UI Light"/>
                <w:b/>
                <w:sz w:val="16"/>
                <w:szCs w:val="16"/>
              </w:rPr>
              <w:t>3</w:t>
            </w:r>
          </w:p>
        </w:tc>
      </w:tr>
      <w:tr w:rsidR="00972191" w:rsidRPr="00D829F0" w14:paraId="0AA5F29A" w14:textId="77777777" w:rsidTr="003D13BA">
        <w:trPr>
          <w:cnfStyle w:val="000000100000" w:firstRow="0" w:lastRow="0" w:firstColumn="0" w:lastColumn="0" w:oddVBand="0" w:evenVBand="0" w:oddHBand="1" w:evenHBand="0" w:firstRowFirstColumn="0" w:firstRowLastColumn="0" w:lastRowFirstColumn="0" w:lastRowLastColumn="0"/>
        </w:trPr>
        <w:tc>
          <w:tcPr>
            <w:tcW w:w="1885" w:type="pct"/>
            <w:shd w:val="clear" w:color="auto" w:fill="DCE7EB"/>
          </w:tcPr>
          <w:p w14:paraId="0D504DE0" w14:textId="339C693B" w:rsidR="009A0130" w:rsidRPr="00CC23F8" w:rsidRDefault="009A0130" w:rsidP="003D13BA">
            <w:pPr>
              <w:spacing w:after="0"/>
              <w:rPr>
                <w:rFonts w:ascii="Segoe UI Light" w:hAnsi="Segoe UI Light"/>
                <w:sz w:val="16"/>
                <w:szCs w:val="20"/>
                <w:lang w:eastAsia="lv-LV"/>
              </w:rPr>
            </w:pPr>
          </w:p>
        </w:tc>
        <w:tc>
          <w:tcPr>
            <w:tcW w:w="3114" w:type="pct"/>
            <w:gridSpan w:val="9"/>
            <w:shd w:val="clear" w:color="auto" w:fill="DCE7EB"/>
          </w:tcPr>
          <w:p w14:paraId="5CC84903" w14:textId="2E180A9C" w:rsidR="009A0130" w:rsidRPr="00CC23F8" w:rsidRDefault="009A0130" w:rsidP="00D209BD">
            <w:pPr>
              <w:tabs>
                <w:tab w:val="decimal" w:pos="218"/>
              </w:tabs>
              <w:spacing w:before="40" w:after="40"/>
              <w:rPr>
                <w:rFonts w:ascii="Segoe UI Light" w:hAnsi="Segoe UI Light"/>
                <w:sz w:val="16"/>
                <w:szCs w:val="20"/>
              </w:rPr>
            </w:pPr>
            <w:r w:rsidRPr="00CC23F8">
              <w:rPr>
                <w:rFonts w:ascii="Segoe UI Light" w:hAnsi="Segoe UI Light"/>
                <w:sz w:val="16"/>
                <w:szCs w:val="20"/>
              </w:rPr>
              <w:t>2040.</w:t>
            </w:r>
            <w:r w:rsidR="0080669C" w:rsidRPr="00CC23F8">
              <w:rPr>
                <w:rFonts w:ascii="Segoe UI Light" w:hAnsi="Segoe UI Light"/>
                <w:sz w:val="16"/>
                <w:szCs w:val="20"/>
              </w:rPr>
              <w:t>gad</w:t>
            </w:r>
            <w:r w:rsidRPr="00CC23F8">
              <w:rPr>
                <w:rFonts w:ascii="Segoe UI Light" w:hAnsi="Segoe UI Light"/>
                <w:sz w:val="16"/>
                <w:szCs w:val="20"/>
              </w:rPr>
              <w:t>s</w:t>
            </w:r>
          </w:p>
        </w:tc>
      </w:tr>
      <w:tr w:rsidR="00B018CB" w:rsidRPr="00D829F0" w14:paraId="76604A72" w14:textId="77777777" w:rsidTr="003D13BA">
        <w:tc>
          <w:tcPr>
            <w:tcW w:w="1885" w:type="pct"/>
            <w:shd w:val="clear" w:color="auto" w:fill="auto"/>
          </w:tcPr>
          <w:p w14:paraId="1B58B0C0" w14:textId="77777777" w:rsidR="000E509C" w:rsidRPr="00CC23F8" w:rsidRDefault="000E509C" w:rsidP="000E509C">
            <w:pPr>
              <w:spacing w:before="40" w:after="40"/>
              <w:rPr>
                <w:rFonts w:ascii="Segoe UI Light" w:eastAsia="Arial Unicode MS" w:hAnsi="Segoe UI Light"/>
                <w:sz w:val="16"/>
                <w:szCs w:val="20"/>
              </w:rPr>
            </w:pPr>
            <w:r w:rsidRPr="00CC23F8">
              <w:rPr>
                <w:rFonts w:ascii="Segoe UI Light" w:hAnsi="Segoe UI Light"/>
                <w:sz w:val="16"/>
                <w:szCs w:val="20"/>
                <w:lang w:eastAsia="lv-LV"/>
              </w:rPr>
              <w:t>Nacionālo bruņoto spēku profesijas</w:t>
            </w:r>
          </w:p>
        </w:tc>
        <w:tc>
          <w:tcPr>
            <w:tcW w:w="325" w:type="pct"/>
            <w:shd w:val="clear" w:color="auto" w:fill="auto"/>
          </w:tcPr>
          <w:p w14:paraId="34816F12" w14:textId="17E8691D"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auto"/>
          </w:tcPr>
          <w:p w14:paraId="648EDDA7" w14:textId="2AB569E0"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auto"/>
          </w:tcPr>
          <w:p w14:paraId="57DA40E2" w14:textId="2989A507"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auto"/>
          </w:tcPr>
          <w:p w14:paraId="6AF8098C" w14:textId="56607A13"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98" w:type="pct"/>
            <w:shd w:val="clear" w:color="auto" w:fill="auto"/>
          </w:tcPr>
          <w:p w14:paraId="48932BD5" w14:textId="570953F6"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auto"/>
          </w:tcPr>
          <w:p w14:paraId="51055A7A" w14:textId="0351C425"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auto"/>
          </w:tcPr>
          <w:p w14:paraId="556CDAD4" w14:textId="5AFF9224"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85" w:type="pct"/>
            <w:shd w:val="clear" w:color="auto" w:fill="auto"/>
          </w:tcPr>
          <w:p w14:paraId="4C13CF0E" w14:textId="6840FF5D" w:rsidR="000E509C" w:rsidRPr="00CC23F8" w:rsidRDefault="00F80859" w:rsidP="000E509C">
            <w:pPr>
              <w:tabs>
                <w:tab w:val="decimal" w:pos="218"/>
              </w:tabs>
              <w:spacing w:before="40" w:after="40"/>
              <w:rPr>
                <w:rFonts w:ascii="Segoe UI Light" w:hAnsi="Segoe UI Light" w:cs="Segoe UI Light"/>
                <w:sz w:val="16"/>
                <w:szCs w:val="16"/>
              </w:rPr>
            </w:pPr>
            <w:r>
              <w:rPr>
                <w:rFonts w:ascii="Segoe UI Light" w:hAnsi="Segoe UI Light" w:cs="Segoe UI Light"/>
                <w:sz w:val="16"/>
                <w:szCs w:val="16"/>
              </w:rPr>
              <w:t>3,0</w:t>
            </w:r>
          </w:p>
        </w:tc>
        <w:tc>
          <w:tcPr>
            <w:tcW w:w="374" w:type="pct"/>
            <w:shd w:val="clear" w:color="auto" w:fill="auto"/>
          </w:tcPr>
          <w:p w14:paraId="2EFB3656" w14:textId="2C07D2B1" w:rsidR="000E509C" w:rsidRPr="00F80859"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3,0</w:t>
            </w:r>
          </w:p>
        </w:tc>
      </w:tr>
      <w:tr w:rsidR="00B018CB" w:rsidRPr="00D829F0" w14:paraId="66EF3806" w14:textId="77777777" w:rsidTr="003D13BA">
        <w:trPr>
          <w:cnfStyle w:val="000000100000" w:firstRow="0" w:lastRow="0" w:firstColumn="0" w:lastColumn="0" w:oddVBand="0" w:evenVBand="0" w:oddHBand="1" w:evenHBand="0" w:firstRowFirstColumn="0" w:firstRowLastColumn="0" w:lastRowFirstColumn="0" w:lastRowLastColumn="0"/>
        </w:trPr>
        <w:tc>
          <w:tcPr>
            <w:tcW w:w="1885" w:type="pct"/>
            <w:shd w:val="clear" w:color="auto" w:fill="DCE7EB"/>
          </w:tcPr>
          <w:p w14:paraId="6714E302" w14:textId="77777777" w:rsidR="000E509C" w:rsidRPr="00CC23F8" w:rsidRDefault="000E509C" w:rsidP="000E509C">
            <w:pPr>
              <w:spacing w:before="40" w:after="40"/>
              <w:rPr>
                <w:rFonts w:ascii="Segoe UI Light" w:hAnsi="Segoe UI Light"/>
                <w:sz w:val="16"/>
                <w:szCs w:val="20"/>
                <w:lang w:eastAsia="lv-LV"/>
              </w:rPr>
            </w:pPr>
            <w:r w:rsidRPr="00CC23F8">
              <w:rPr>
                <w:rFonts w:ascii="Segoe UI Light" w:hAnsi="Segoe UI Light"/>
                <w:sz w:val="16"/>
                <w:szCs w:val="20"/>
                <w:lang w:eastAsia="lv-LV"/>
              </w:rPr>
              <w:t>Augstas kvalifikācijas profesijas, tai skaitā:</w:t>
            </w:r>
          </w:p>
        </w:tc>
        <w:tc>
          <w:tcPr>
            <w:tcW w:w="325" w:type="pct"/>
            <w:shd w:val="clear" w:color="auto" w:fill="DCE7EB"/>
          </w:tcPr>
          <w:p w14:paraId="2755BDA3" w14:textId="52C3274E"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0</w:t>
            </w:r>
            <w:r>
              <w:rPr>
                <w:rFonts w:ascii="Segoe UI Light" w:hAnsi="Segoe UI Light" w:cs="Segoe UI Light"/>
                <w:sz w:val="16"/>
                <w:szCs w:val="16"/>
              </w:rPr>
              <w:t>,</w:t>
            </w:r>
            <w:r w:rsidRPr="00F80859">
              <w:rPr>
                <w:rFonts w:ascii="Segoe UI Light" w:hAnsi="Segoe UI Light" w:cs="Segoe UI Light"/>
                <w:sz w:val="16"/>
                <w:szCs w:val="16"/>
              </w:rPr>
              <w:t>4</w:t>
            </w:r>
          </w:p>
        </w:tc>
        <w:tc>
          <w:tcPr>
            <w:tcW w:w="326" w:type="pct"/>
            <w:shd w:val="clear" w:color="auto" w:fill="DCE7EB"/>
          </w:tcPr>
          <w:p w14:paraId="1F58DE00" w14:textId="4349E54F"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6</w:t>
            </w:r>
            <w:r>
              <w:rPr>
                <w:rFonts w:ascii="Segoe UI Light" w:hAnsi="Segoe UI Light" w:cs="Segoe UI Light"/>
                <w:sz w:val="16"/>
                <w:szCs w:val="16"/>
              </w:rPr>
              <w:t>,</w:t>
            </w:r>
            <w:r w:rsidRPr="00F80859">
              <w:rPr>
                <w:rFonts w:ascii="Segoe UI Light" w:hAnsi="Segoe UI Light" w:cs="Segoe UI Light"/>
                <w:sz w:val="16"/>
                <w:szCs w:val="16"/>
              </w:rPr>
              <w:t>4</w:t>
            </w:r>
          </w:p>
        </w:tc>
        <w:tc>
          <w:tcPr>
            <w:tcW w:w="326" w:type="pct"/>
            <w:shd w:val="clear" w:color="auto" w:fill="DCE7EB"/>
          </w:tcPr>
          <w:p w14:paraId="2F4959ED" w14:textId="5977D203"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2,5</w:t>
            </w:r>
          </w:p>
        </w:tc>
        <w:tc>
          <w:tcPr>
            <w:tcW w:w="326" w:type="pct"/>
            <w:shd w:val="clear" w:color="auto" w:fill="DCE7EB"/>
          </w:tcPr>
          <w:p w14:paraId="2C0BAE38" w14:textId="4EE6120B"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4</w:t>
            </w:r>
            <w:r>
              <w:rPr>
                <w:rFonts w:ascii="Segoe UI Light" w:hAnsi="Segoe UI Light" w:cs="Segoe UI Light"/>
                <w:sz w:val="16"/>
                <w:szCs w:val="16"/>
              </w:rPr>
              <w:t>,</w:t>
            </w:r>
            <w:r w:rsidRPr="00F80859">
              <w:rPr>
                <w:rFonts w:ascii="Segoe UI Light" w:hAnsi="Segoe UI Light" w:cs="Segoe UI Light"/>
                <w:sz w:val="16"/>
                <w:szCs w:val="16"/>
              </w:rPr>
              <w:t>9</w:t>
            </w:r>
          </w:p>
        </w:tc>
        <w:tc>
          <w:tcPr>
            <w:tcW w:w="398" w:type="pct"/>
            <w:shd w:val="clear" w:color="auto" w:fill="DCE7EB"/>
          </w:tcPr>
          <w:p w14:paraId="57275B01" w14:textId="506D3D1B"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4</w:t>
            </w:r>
            <w:r w:rsidR="00F80859">
              <w:rPr>
                <w:rFonts w:ascii="Segoe UI Light" w:hAnsi="Segoe UI Light" w:cs="Segoe UI Light"/>
                <w:sz w:val="16"/>
                <w:szCs w:val="16"/>
              </w:rPr>
              <w:t>,</w:t>
            </w:r>
            <w:r w:rsidR="00F80859" w:rsidRPr="00F80859">
              <w:rPr>
                <w:rFonts w:ascii="Segoe UI Light" w:hAnsi="Segoe UI Light" w:cs="Segoe UI Light"/>
                <w:sz w:val="16"/>
                <w:szCs w:val="16"/>
              </w:rPr>
              <w:t>2</w:t>
            </w:r>
          </w:p>
        </w:tc>
        <w:tc>
          <w:tcPr>
            <w:tcW w:w="326" w:type="pct"/>
            <w:shd w:val="clear" w:color="auto" w:fill="DCE7EB"/>
          </w:tcPr>
          <w:p w14:paraId="1BDB2C34" w14:textId="421D3C14"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2</w:t>
            </w:r>
            <w:r>
              <w:rPr>
                <w:rFonts w:ascii="Segoe UI Light" w:hAnsi="Segoe UI Light" w:cs="Segoe UI Light"/>
                <w:sz w:val="16"/>
                <w:szCs w:val="16"/>
              </w:rPr>
              <w:t>,</w:t>
            </w:r>
            <w:r w:rsidRPr="00F80859">
              <w:rPr>
                <w:rFonts w:ascii="Segoe UI Light" w:hAnsi="Segoe UI Light" w:cs="Segoe UI Light"/>
                <w:sz w:val="16"/>
                <w:szCs w:val="16"/>
              </w:rPr>
              <w:t>2</w:t>
            </w:r>
          </w:p>
        </w:tc>
        <w:tc>
          <w:tcPr>
            <w:tcW w:w="326" w:type="pct"/>
            <w:shd w:val="clear" w:color="auto" w:fill="DCE7EB"/>
          </w:tcPr>
          <w:p w14:paraId="423B7D83" w14:textId="0CE40780"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38</w:t>
            </w:r>
            <w:r>
              <w:rPr>
                <w:rFonts w:ascii="Segoe UI Light" w:hAnsi="Segoe UI Light" w:cs="Segoe UI Light"/>
                <w:sz w:val="16"/>
                <w:szCs w:val="16"/>
              </w:rPr>
              <w:t>,</w:t>
            </w:r>
            <w:r w:rsidRPr="00F80859">
              <w:rPr>
                <w:rFonts w:ascii="Segoe UI Light" w:hAnsi="Segoe UI Light" w:cs="Segoe UI Light"/>
                <w:sz w:val="16"/>
                <w:szCs w:val="16"/>
              </w:rPr>
              <w:t>7</w:t>
            </w:r>
          </w:p>
        </w:tc>
        <w:tc>
          <w:tcPr>
            <w:tcW w:w="385" w:type="pct"/>
            <w:shd w:val="clear" w:color="auto" w:fill="DCE7EB"/>
          </w:tcPr>
          <w:p w14:paraId="7F4AF463" w14:textId="63757813"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-1</w:t>
            </w:r>
            <w:r>
              <w:rPr>
                <w:rFonts w:ascii="Segoe UI Light" w:hAnsi="Segoe UI Light" w:cs="Segoe UI Light"/>
                <w:sz w:val="16"/>
                <w:szCs w:val="16"/>
              </w:rPr>
              <w:t>,</w:t>
            </w:r>
            <w:r w:rsidRPr="00F80859">
              <w:rPr>
                <w:rFonts w:ascii="Segoe UI Light" w:hAnsi="Segoe UI Light" w:cs="Segoe UI Light"/>
                <w:sz w:val="16"/>
                <w:szCs w:val="16"/>
              </w:rPr>
              <w:t>8</w:t>
            </w:r>
          </w:p>
        </w:tc>
        <w:tc>
          <w:tcPr>
            <w:tcW w:w="374" w:type="pct"/>
            <w:shd w:val="clear" w:color="auto" w:fill="DCE7EB"/>
          </w:tcPr>
          <w:p w14:paraId="798E6615" w14:textId="20FEBFF3" w:rsidR="000E509C" w:rsidRPr="00F80859"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57</w:t>
            </w:r>
            <w:r>
              <w:rPr>
                <w:rFonts w:ascii="Segoe UI Light" w:hAnsi="Segoe UI Light" w:cs="Segoe UI Light"/>
                <w:b/>
                <w:bCs/>
                <w:sz w:val="16"/>
                <w:szCs w:val="16"/>
              </w:rPr>
              <w:t>,</w:t>
            </w:r>
            <w:r w:rsidRPr="00F80859">
              <w:rPr>
                <w:rFonts w:ascii="Segoe UI Light" w:hAnsi="Segoe UI Light" w:cs="Segoe UI Light"/>
                <w:b/>
                <w:bCs/>
                <w:sz w:val="16"/>
                <w:szCs w:val="16"/>
              </w:rPr>
              <w:t>5</w:t>
            </w:r>
          </w:p>
        </w:tc>
      </w:tr>
      <w:tr w:rsidR="00B018CB" w:rsidRPr="00D829F0" w14:paraId="624B5455" w14:textId="77777777" w:rsidTr="003D13BA">
        <w:tc>
          <w:tcPr>
            <w:tcW w:w="1885" w:type="pct"/>
            <w:shd w:val="clear" w:color="auto" w:fill="auto"/>
          </w:tcPr>
          <w:p w14:paraId="02453CE3" w14:textId="77777777" w:rsidR="000E509C" w:rsidRPr="00CC23F8" w:rsidRDefault="000E509C" w:rsidP="000E509C">
            <w:pPr>
              <w:spacing w:before="40" w:after="40"/>
              <w:ind w:left="142"/>
              <w:rPr>
                <w:rFonts w:ascii="Segoe UI Light" w:eastAsia="Arial Unicode MS" w:hAnsi="Segoe UI Light"/>
                <w:sz w:val="16"/>
                <w:szCs w:val="20"/>
              </w:rPr>
            </w:pPr>
            <w:r w:rsidRPr="00CC23F8">
              <w:rPr>
                <w:rFonts w:ascii="Segoe UI Light" w:hAnsi="Segoe UI Light"/>
                <w:sz w:val="16"/>
                <w:szCs w:val="20"/>
                <w:lang w:eastAsia="lv-LV"/>
              </w:rPr>
              <w:t>Vadītāji</w:t>
            </w:r>
          </w:p>
        </w:tc>
        <w:tc>
          <w:tcPr>
            <w:tcW w:w="325" w:type="pct"/>
            <w:shd w:val="clear" w:color="auto" w:fill="auto"/>
          </w:tcPr>
          <w:p w14:paraId="353D89DC" w14:textId="470D8778"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w:t>
            </w:r>
            <w:r w:rsidR="000E509C" w:rsidRPr="00CC23F8">
              <w:rPr>
                <w:rFonts w:ascii="Segoe UI Light" w:hAnsi="Segoe UI Light" w:cs="Segoe UI Light"/>
                <w:sz w:val="16"/>
                <w:szCs w:val="16"/>
              </w:rPr>
              <w:t>0,</w:t>
            </w:r>
            <w:r w:rsidRPr="00F80859">
              <w:rPr>
                <w:rFonts w:ascii="Segoe UI Light" w:hAnsi="Segoe UI Light" w:cs="Segoe UI Light"/>
                <w:sz w:val="16"/>
                <w:szCs w:val="16"/>
              </w:rPr>
              <w:t>7</w:t>
            </w:r>
          </w:p>
        </w:tc>
        <w:tc>
          <w:tcPr>
            <w:tcW w:w="326" w:type="pct"/>
            <w:shd w:val="clear" w:color="auto" w:fill="auto"/>
          </w:tcPr>
          <w:p w14:paraId="14DE9C03" w14:textId="077B1C89"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4</w:t>
            </w:r>
          </w:p>
        </w:tc>
        <w:tc>
          <w:tcPr>
            <w:tcW w:w="326" w:type="pct"/>
            <w:shd w:val="clear" w:color="auto" w:fill="auto"/>
          </w:tcPr>
          <w:p w14:paraId="3B13D676" w14:textId="0CB2A864"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3</w:t>
            </w:r>
          </w:p>
        </w:tc>
        <w:tc>
          <w:tcPr>
            <w:tcW w:w="326" w:type="pct"/>
            <w:shd w:val="clear" w:color="auto" w:fill="auto"/>
          </w:tcPr>
          <w:p w14:paraId="03174FA0" w14:textId="44BBFFF1"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1</w:t>
            </w:r>
            <w:r>
              <w:rPr>
                <w:rFonts w:ascii="Segoe UI Light" w:hAnsi="Segoe UI Light" w:cs="Segoe UI Light"/>
                <w:sz w:val="16"/>
                <w:szCs w:val="16"/>
              </w:rPr>
              <w:t>,</w:t>
            </w:r>
            <w:r w:rsidRPr="00F80859">
              <w:rPr>
                <w:rFonts w:ascii="Segoe UI Light" w:hAnsi="Segoe UI Light" w:cs="Segoe UI Light"/>
                <w:sz w:val="16"/>
                <w:szCs w:val="16"/>
              </w:rPr>
              <w:t>2</w:t>
            </w:r>
          </w:p>
        </w:tc>
        <w:tc>
          <w:tcPr>
            <w:tcW w:w="398" w:type="pct"/>
            <w:shd w:val="clear" w:color="auto" w:fill="auto"/>
          </w:tcPr>
          <w:p w14:paraId="3056700A" w14:textId="44344296"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1,</w:t>
            </w:r>
            <w:r w:rsidR="00F80859" w:rsidRPr="00F80859">
              <w:rPr>
                <w:rFonts w:ascii="Segoe UI Light" w:hAnsi="Segoe UI Light" w:cs="Segoe UI Light"/>
                <w:sz w:val="16"/>
                <w:szCs w:val="16"/>
              </w:rPr>
              <w:t>4</w:t>
            </w:r>
          </w:p>
        </w:tc>
        <w:tc>
          <w:tcPr>
            <w:tcW w:w="326" w:type="pct"/>
            <w:shd w:val="clear" w:color="auto" w:fill="auto"/>
          </w:tcPr>
          <w:p w14:paraId="7F14EAFA" w14:textId="15F7DB3E"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3</w:t>
            </w:r>
          </w:p>
        </w:tc>
        <w:tc>
          <w:tcPr>
            <w:tcW w:w="326" w:type="pct"/>
            <w:shd w:val="clear" w:color="auto" w:fill="auto"/>
          </w:tcPr>
          <w:p w14:paraId="60876444" w14:textId="587DB9DC"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6</w:t>
            </w:r>
            <w:r>
              <w:rPr>
                <w:rFonts w:ascii="Segoe UI Light" w:hAnsi="Segoe UI Light" w:cs="Segoe UI Light"/>
                <w:sz w:val="16"/>
                <w:szCs w:val="16"/>
              </w:rPr>
              <w:t>,</w:t>
            </w:r>
            <w:r w:rsidRPr="00F80859">
              <w:rPr>
                <w:rFonts w:ascii="Segoe UI Light" w:hAnsi="Segoe UI Light" w:cs="Segoe UI Light"/>
                <w:sz w:val="16"/>
                <w:szCs w:val="16"/>
              </w:rPr>
              <w:t>7</w:t>
            </w:r>
          </w:p>
        </w:tc>
        <w:tc>
          <w:tcPr>
            <w:tcW w:w="385" w:type="pct"/>
            <w:shd w:val="clear" w:color="auto" w:fill="auto"/>
          </w:tcPr>
          <w:p w14:paraId="451E70D3" w14:textId="1B42B6F6"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w:t>
            </w:r>
            <w:r w:rsidR="000E509C" w:rsidRPr="00CC23F8">
              <w:rPr>
                <w:rFonts w:ascii="Segoe UI Light" w:hAnsi="Segoe UI Light" w:cs="Segoe UI Light"/>
                <w:sz w:val="16"/>
                <w:szCs w:val="16"/>
              </w:rPr>
              <w:t>0,</w:t>
            </w:r>
            <w:r w:rsidRPr="00F80859">
              <w:rPr>
                <w:rFonts w:ascii="Segoe UI Light" w:hAnsi="Segoe UI Light" w:cs="Segoe UI Light"/>
                <w:sz w:val="16"/>
                <w:szCs w:val="16"/>
              </w:rPr>
              <w:t>6</w:t>
            </w:r>
          </w:p>
        </w:tc>
        <w:tc>
          <w:tcPr>
            <w:tcW w:w="374" w:type="pct"/>
            <w:shd w:val="clear" w:color="auto" w:fill="auto"/>
          </w:tcPr>
          <w:p w14:paraId="3BDB2C9D" w14:textId="4D5277D7" w:rsidR="000E509C" w:rsidRPr="00F80859"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9</w:t>
            </w:r>
            <w:r>
              <w:rPr>
                <w:rFonts w:ascii="Segoe UI Light" w:hAnsi="Segoe UI Light" w:cs="Segoe UI Light"/>
                <w:b/>
                <w:bCs/>
                <w:sz w:val="16"/>
                <w:szCs w:val="16"/>
              </w:rPr>
              <w:t>,</w:t>
            </w:r>
            <w:r w:rsidRPr="00F80859">
              <w:rPr>
                <w:rFonts w:ascii="Segoe UI Light" w:hAnsi="Segoe UI Light" w:cs="Segoe UI Light"/>
                <w:b/>
                <w:bCs/>
                <w:sz w:val="16"/>
                <w:szCs w:val="16"/>
              </w:rPr>
              <w:t>0</w:t>
            </w:r>
          </w:p>
        </w:tc>
      </w:tr>
      <w:tr w:rsidR="00B018CB" w:rsidRPr="00D829F0" w14:paraId="2B345FA2" w14:textId="77777777" w:rsidTr="003D13BA">
        <w:trPr>
          <w:cnfStyle w:val="000000100000" w:firstRow="0" w:lastRow="0" w:firstColumn="0" w:lastColumn="0" w:oddVBand="0" w:evenVBand="0" w:oddHBand="1" w:evenHBand="0" w:firstRowFirstColumn="0" w:firstRowLastColumn="0" w:lastRowFirstColumn="0" w:lastRowLastColumn="0"/>
        </w:trPr>
        <w:tc>
          <w:tcPr>
            <w:tcW w:w="1885" w:type="pct"/>
            <w:shd w:val="clear" w:color="auto" w:fill="DCE7EB"/>
          </w:tcPr>
          <w:p w14:paraId="7EEF1DC9" w14:textId="77777777" w:rsidR="000E509C" w:rsidRPr="00CC23F8" w:rsidRDefault="000E509C" w:rsidP="000E509C">
            <w:pPr>
              <w:spacing w:before="40" w:after="40"/>
              <w:ind w:left="142"/>
              <w:rPr>
                <w:rFonts w:ascii="Segoe UI Light" w:eastAsia="Arial Unicode MS" w:hAnsi="Segoe UI Light"/>
                <w:sz w:val="16"/>
                <w:szCs w:val="20"/>
              </w:rPr>
            </w:pPr>
            <w:r w:rsidRPr="00CC23F8">
              <w:rPr>
                <w:rFonts w:ascii="Segoe UI Light" w:hAnsi="Segoe UI Light"/>
                <w:sz w:val="16"/>
                <w:szCs w:val="20"/>
                <w:lang w:eastAsia="lv-LV"/>
              </w:rPr>
              <w:t>Vecākie speciālisti</w:t>
            </w:r>
          </w:p>
        </w:tc>
        <w:tc>
          <w:tcPr>
            <w:tcW w:w="325" w:type="pct"/>
            <w:shd w:val="clear" w:color="auto" w:fill="DCE7EB"/>
          </w:tcPr>
          <w:p w14:paraId="3656B137" w14:textId="0EBE8E6A"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0</w:t>
            </w:r>
            <w:r>
              <w:rPr>
                <w:rFonts w:ascii="Segoe UI Light" w:hAnsi="Segoe UI Light" w:cs="Segoe UI Light"/>
                <w:sz w:val="16"/>
                <w:szCs w:val="16"/>
              </w:rPr>
              <w:t>,</w:t>
            </w:r>
            <w:r w:rsidRPr="00F80859">
              <w:rPr>
                <w:rFonts w:ascii="Segoe UI Light" w:hAnsi="Segoe UI Light" w:cs="Segoe UI Light"/>
                <w:sz w:val="16"/>
                <w:szCs w:val="16"/>
              </w:rPr>
              <w:t>7</w:t>
            </w:r>
          </w:p>
        </w:tc>
        <w:tc>
          <w:tcPr>
            <w:tcW w:w="326" w:type="pct"/>
            <w:shd w:val="clear" w:color="auto" w:fill="DCE7EB"/>
          </w:tcPr>
          <w:p w14:paraId="36D954F0" w14:textId="65D8C338"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2,4</w:t>
            </w:r>
          </w:p>
        </w:tc>
        <w:tc>
          <w:tcPr>
            <w:tcW w:w="326" w:type="pct"/>
            <w:shd w:val="clear" w:color="auto" w:fill="DCE7EB"/>
          </w:tcPr>
          <w:p w14:paraId="4A9C3961" w14:textId="17BCA001"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1,</w:t>
            </w:r>
            <w:r w:rsidR="00F80859" w:rsidRPr="00F80859">
              <w:rPr>
                <w:rFonts w:ascii="Segoe UI Light" w:hAnsi="Segoe UI Light" w:cs="Segoe UI Light"/>
                <w:sz w:val="16"/>
                <w:szCs w:val="16"/>
              </w:rPr>
              <w:t>0</w:t>
            </w:r>
          </w:p>
        </w:tc>
        <w:tc>
          <w:tcPr>
            <w:tcW w:w="326" w:type="pct"/>
            <w:shd w:val="clear" w:color="auto" w:fill="DCE7EB"/>
          </w:tcPr>
          <w:p w14:paraId="66520EEF" w14:textId="1DE56C28"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1,</w:t>
            </w:r>
            <w:r w:rsidR="00F80859" w:rsidRPr="00F80859">
              <w:rPr>
                <w:rFonts w:ascii="Segoe UI Light" w:hAnsi="Segoe UI Light" w:cs="Segoe UI Light"/>
                <w:sz w:val="16"/>
                <w:szCs w:val="16"/>
              </w:rPr>
              <w:t>3</w:t>
            </w:r>
          </w:p>
        </w:tc>
        <w:tc>
          <w:tcPr>
            <w:tcW w:w="398" w:type="pct"/>
            <w:shd w:val="clear" w:color="auto" w:fill="DCE7EB"/>
          </w:tcPr>
          <w:p w14:paraId="7513D8B6" w14:textId="281E3200"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1</w:t>
            </w:r>
            <w:r w:rsidR="00F80859">
              <w:rPr>
                <w:rFonts w:ascii="Segoe UI Light" w:hAnsi="Segoe UI Light" w:cs="Segoe UI Light"/>
                <w:sz w:val="16"/>
                <w:szCs w:val="16"/>
              </w:rPr>
              <w:t>,</w:t>
            </w:r>
            <w:r w:rsidR="00F80859" w:rsidRPr="00F80859">
              <w:rPr>
                <w:rFonts w:ascii="Segoe UI Light" w:hAnsi="Segoe UI Light" w:cs="Segoe UI Light"/>
                <w:sz w:val="16"/>
                <w:szCs w:val="16"/>
              </w:rPr>
              <w:t>3</w:t>
            </w:r>
          </w:p>
        </w:tc>
        <w:tc>
          <w:tcPr>
            <w:tcW w:w="326" w:type="pct"/>
            <w:shd w:val="clear" w:color="auto" w:fill="DCE7EB"/>
          </w:tcPr>
          <w:p w14:paraId="156DC1EB" w14:textId="6C4EC793"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0</w:t>
            </w:r>
            <w:r>
              <w:rPr>
                <w:rFonts w:ascii="Segoe UI Light" w:hAnsi="Segoe UI Light" w:cs="Segoe UI Light"/>
                <w:sz w:val="16"/>
                <w:szCs w:val="16"/>
              </w:rPr>
              <w:t>,</w:t>
            </w:r>
            <w:r w:rsidRPr="00F80859">
              <w:rPr>
                <w:rFonts w:ascii="Segoe UI Light" w:hAnsi="Segoe UI Light" w:cs="Segoe UI Light"/>
                <w:sz w:val="16"/>
                <w:szCs w:val="16"/>
              </w:rPr>
              <w:t>6</w:t>
            </w:r>
          </w:p>
        </w:tc>
        <w:tc>
          <w:tcPr>
            <w:tcW w:w="326" w:type="pct"/>
            <w:shd w:val="clear" w:color="auto" w:fill="DCE7EB"/>
          </w:tcPr>
          <w:p w14:paraId="2EB51B54" w14:textId="51294A0B"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16</w:t>
            </w:r>
            <w:r>
              <w:rPr>
                <w:rFonts w:ascii="Segoe UI Light" w:hAnsi="Segoe UI Light" w:cs="Segoe UI Light"/>
                <w:sz w:val="16"/>
                <w:szCs w:val="16"/>
              </w:rPr>
              <w:t>,</w:t>
            </w:r>
            <w:r w:rsidRPr="00F80859">
              <w:rPr>
                <w:rFonts w:ascii="Segoe UI Light" w:hAnsi="Segoe UI Light" w:cs="Segoe UI Light"/>
                <w:sz w:val="16"/>
                <w:szCs w:val="16"/>
              </w:rPr>
              <w:t>0</w:t>
            </w:r>
          </w:p>
        </w:tc>
        <w:tc>
          <w:tcPr>
            <w:tcW w:w="385" w:type="pct"/>
            <w:shd w:val="clear" w:color="auto" w:fill="DCE7EB"/>
          </w:tcPr>
          <w:p w14:paraId="74E63FE0" w14:textId="03606903"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1,1</w:t>
            </w:r>
          </w:p>
        </w:tc>
        <w:tc>
          <w:tcPr>
            <w:tcW w:w="374" w:type="pct"/>
            <w:shd w:val="clear" w:color="auto" w:fill="DCE7EB"/>
          </w:tcPr>
          <w:p w14:paraId="402D76D3" w14:textId="0B27097C" w:rsidR="000E509C" w:rsidRPr="00F80859" w:rsidRDefault="000E509C"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sz w:val="16"/>
                <w:szCs w:val="16"/>
              </w:rPr>
              <w:t>24</w:t>
            </w:r>
            <w:r>
              <w:rPr>
                <w:rFonts w:ascii="Segoe UI Light" w:hAnsi="Segoe UI Light" w:cs="Segoe UI Light"/>
                <w:b/>
                <w:sz w:val="16"/>
                <w:szCs w:val="16"/>
              </w:rPr>
              <w:t>,</w:t>
            </w:r>
            <w:r w:rsidR="00F80859" w:rsidRPr="00F80859">
              <w:rPr>
                <w:rFonts w:ascii="Segoe UI Light" w:hAnsi="Segoe UI Light" w:cs="Segoe UI Light"/>
                <w:b/>
                <w:bCs/>
                <w:sz w:val="16"/>
                <w:szCs w:val="16"/>
              </w:rPr>
              <w:t>3</w:t>
            </w:r>
          </w:p>
        </w:tc>
      </w:tr>
      <w:tr w:rsidR="00B018CB" w:rsidRPr="00D829F0" w14:paraId="1B2DEDEE" w14:textId="77777777" w:rsidTr="003D13BA">
        <w:tc>
          <w:tcPr>
            <w:tcW w:w="1885" w:type="pct"/>
            <w:shd w:val="clear" w:color="auto" w:fill="auto"/>
          </w:tcPr>
          <w:p w14:paraId="1345A1AC" w14:textId="77777777" w:rsidR="000E509C" w:rsidRPr="00CC23F8" w:rsidRDefault="000E509C" w:rsidP="000E509C">
            <w:pPr>
              <w:spacing w:before="40" w:after="40"/>
              <w:ind w:left="142"/>
              <w:rPr>
                <w:rFonts w:ascii="Segoe UI Light" w:eastAsia="Arial Unicode MS" w:hAnsi="Segoe UI Light"/>
                <w:sz w:val="16"/>
                <w:szCs w:val="20"/>
              </w:rPr>
            </w:pPr>
            <w:r w:rsidRPr="00CC23F8">
              <w:rPr>
                <w:rFonts w:ascii="Segoe UI Light" w:hAnsi="Segoe UI Light"/>
                <w:sz w:val="16"/>
                <w:szCs w:val="20"/>
                <w:lang w:eastAsia="lv-LV"/>
              </w:rPr>
              <w:t>Speciālisti</w:t>
            </w:r>
          </w:p>
        </w:tc>
        <w:tc>
          <w:tcPr>
            <w:tcW w:w="325" w:type="pct"/>
            <w:shd w:val="clear" w:color="auto" w:fill="auto"/>
          </w:tcPr>
          <w:p w14:paraId="7157F276" w14:textId="6492FE30"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Pr>
                <w:rFonts w:ascii="Segoe UI Light" w:hAnsi="Segoe UI Light" w:cs="Segoe UI Light"/>
                <w:sz w:val="16"/>
                <w:szCs w:val="16"/>
              </w:rPr>
              <w:t>,</w:t>
            </w:r>
            <w:r w:rsidR="00F80859" w:rsidRPr="00F80859">
              <w:rPr>
                <w:rFonts w:ascii="Segoe UI Light" w:hAnsi="Segoe UI Light" w:cs="Segoe UI Light"/>
                <w:sz w:val="16"/>
                <w:szCs w:val="16"/>
              </w:rPr>
              <w:t>5</w:t>
            </w:r>
          </w:p>
        </w:tc>
        <w:tc>
          <w:tcPr>
            <w:tcW w:w="326" w:type="pct"/>
            <w:shd w:val="clear" w:color="auto" w:fill="auto"/>
          </w:tcPr>
          <w:p w14:paraId="55FD94CC" w14:textId="6A1360E9"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3,</w:t>
            </w:r>
            <w:r w:rsidR="00F80859" w:rsidRPr="00F80859">
              <w:rPr>
                <w:rFonts w:ascii="Segoe UI Light" w:hAnsi="Segoe UI Light" w:cs="Segoe UI Light"/>
                <w:sz w:val="16"/>
                <w:szCs w:val="16"/>
              </w:rPr>
              <w:t>6</w:t>
            </w:r>
          </w:p>
        </w:tc>
        <w:tc>
          <w:tcPr>
            <w:tcW w:w="326" w:type="pct"/>
            <w:shd w:val="clear" w:color="auto" w:fill="auto"/>
          </w:tcPr>
          <w:p w14:paraId="7C4240BB" w14:textId="4DB2CC29"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1,</w:t>
            </w:r>
            <w:r w:rsidR="00F80859" w:rsidRPr="00F80859">
              <w:rPr>
                <w:rFonts w:ascii="Segoe UI Light" w:hAnsi="Segoe UI Light" w:cs="Segoe UI Light"/>
                <w:sz w:val="16"/>
                <w:szCs w:val="16"/>
              </w:rPr>
              <w:t>2</w:t>
            </w:r>
          </w:p>
        </w:tc>
        <w:tc>
          <w:tcPr>
            <w:tcW w:w="326" w:type="pct"/>
            <w:shd w:val="clear" w:color="auto" w:fill="auto"/>
          </w:tcPr>
          <w:p w14:paraId="14BA31FC" w14:textId="7A931B04"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2,</w:t>
            </w:r>
            <w:r w:rsidR="00F80859" w:rsidRPr="00F80859">
              <w:rPr>
                <w:rFonts w:ascii="Segoe UI Light" w:hAnsi="Segoe UI Light" w:cs="Segoe UI Light"/>
                <w:sz w:val="16"/>
                <w:szCs w:val="16"/>
              </w:rPr>
              <w:t>4</w:t>
            </w:r>
          </w:p>
        </w:tc>
        <w:tc>
          <w:tcPr>
            <w:tcW w:w="398" w:type="pct"/>
            <w:shd w:val="clear" w:color="auto" w:fill="auto"/>
          </w:tcPr>
          <w:p w14:paraId="461C4153" w14:textId="6EDA6231"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1</w:t>
            </w:r>
            <w:r>
              <w:rPr>
                <w:rFonts w:ascii="Segoe UI Light" w:hAnsi="Segoe UI Light" w:cs="Segoe UI Light"/>
                <w:sz w:val="16"/>
                <w:szCs w:val="16"/>
              </w:rPr>
              <w:t>,</w:t>
            </w:r>
            <w:r w:rsidRPr="00F80859">
              <w:rPr>
                <w:rFonts w:ascii="Segoe UI Light" w:hAnsi="Segoe UI Light" w:cs="Segoe UI Light"/>
                <w:sz w:val="16"/>
                <w:szCs w:val="16"/>
              </w:rPr>
              <w:t>5</w:t>
            </w:r>
          </w:p>
        </w:tc>
        <w:tc>
          <w:tcPr>
            <w:tcW w:w="326" w:type="pct"/>
            <w:shd w:val="clear" w:color="auto" w:fill="auto"/>
          </w:tcPr>
          <w:p w14:paraId="4502F082" w14:textId="580165BB"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1,</w:t>
            </w:r>
            <w:r w:rsidR="00F80859" w:rsidRPr="00F80859">
              <w:rPr>
                <w:rFonts w:ascii="Segoe UI Light" w:hAnsi="Segoe UI Light" w:cs="Segoe UI Light"/>
                <w:sz w:val="16"/>
                <w:szCs w:val="16"/>
              </w:rPr>
              <w:t>3</w:t>
            </w:r>
          </w:p>
        </w:tc>
        <w:tc>
          <w:tcPr>
            <w:tcW w:w="326" w:type="pct"/>
            <w:shd w:val="clear" w:color="auto" w:fill="auto"/>
          </w:tcPr>
          <w:p w14:paraId="1CD17F86" w14:textId="06CC61D6"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16</w:t>
            </w:r>
            <w:r>
              <w:rPr>
                <w:rFonts w:ascii="Segoe UI Light" w:hAnsi="Segoe UI Light" w:cs="Segoe UI Light"/>
                <w:sz w:val="16"/>
                <w:szCs w:val="16"/>
              </w:rPr>
              <w:t>,</w:t>
            </w:r>
            <w:r w:rsidRPr="00F80859">
              <w:rPr>
                <w:rFonts w:ascii="Segoe UI Light" w:hAnsi="Segoe UI Light" w:cs="Segoe UI Light"/>
                <w:sz w:val="16"/>
                <w:szCs w:val="16"/>
              </w:rPr>
              <w:t>0</w:t>
            </w:r>
          </w:p>
        </w:tc>
        <w:tc>
          <w:tcPr>
            <w:tcW w:w="385" w:type="pct"/>
            <w:shd w:val="clear" w:color="auto" w:fill="auto"/>
          </w:tcPr>
          <w:p w14:paraId="2C15F86B" w14:textId="39E541EB"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w:t>
            </w:r>
            <w:r w:rsidR="000E509C" w:rsidRPr="00CC23F8">
              <w:rPr>
                <w:rFonts w:ascii="Segoe UI Light" w:hAnsi="Segoe UI Light" w:cs="Segoe UI Light"/>
                <w:sz w:val="16"/>
                <w:szCs w:val="16"/>
              </w:rPr>
              <w:t>2,</w:t>
            </w:r>
            <w:r w:rsidRPr="00F80859">
              <w:rPr>
                <w:rFonts w:ascii="Segoe UI Light" w:hAnsi="Segoe UI Light" w:cs="Segoe UI Light"/>
                <w:sz w:val="16"/>
                <w:szCs w:val="16"/>
              </w:rPr>
              <w:t>3</w:t>
            </w:r>
          </w:p>
        </w:tc>
        <w:tc>
          <w:tcPr>
            <w:tcW w:w="374" w:type="pct"/>
            <w:shd w:val="clear" w:color="auto" w:fill="auto"/>
          </w:tcPr>
          <w:p w14:paraId="61E7F850" w14:textId="54A92CCB" w:rsidR="000E509C" w:rsidRPr="00F80859"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24</w:t>
            </w:r>
            <w:r>
              <w:rPr>
                <w:rFonts w:ascii="Segoe UI Light" w:hAnsi="Segoe UI Light" w:cs="Segoe UI Light"/>
                <w:b/>
                <w:bCs/>
                <w:sz w:val="16"/>
                <w:szCs w:val="16"/>
              </w:rPr>
              <w:t>,</w:t>
            </w:r>
            <w:r w:rsidRPr="00F80859">
              <w:rPr>
                <w:rFonts w:ascii="Segoe UI Light" w:hAnsi="Segoe UI Light" w:cs="Segoe UI Light"/>
                <w:b/>
                <w:bCs/>
                <w:sz w:val="16"/>
                <w:szCs w:val="16"/>
              </w:rPr>
              <w:t>2</w:t>
            </w:r>
          </w:p>
        </w:tc>
      </w:tr>
      <w:tr w:rsidR="00B018CB" w:rsidRPr="00D829F0" w14:paraId="2EAEFFE8" w14:textId="77777777" w:rsidTr="003D13BA">
        <w:trPr>
          <w:cnfStyle w:val="000000100000" w:firstRow="0" w:lastRow="0" w:firstColumn="0" w:lastColumn="0" w:oddVBand="0" w:evenVBand="0" w:oddHBand="1" w:evenHBand="0" w:firstRowFirstColumn="0" w:firstRowLastColumn="0" w:lastRowFirstColumn="0" w:lastRowLastColumn="0"/>
        </w:trPr>
        <w:tc>
          <w:tcPr>
            <w:tcW w:w="1885" w:type="pct"/>
            <w:shd w:val="clear" w:color="auto" w:fill="DCE7EB"/>
          </w:tcPr>
          <w:p w14:paraId="4C0D8745" w14:textId="77777777" w:rsidR="000E509C" w:rsidRPr="00CC23F8" w:rsidRDefault="000E509C" w:rsidP="000E509C">
            <w:pPr>
              <w:spacing w:before="40" w:after="40"/>
              <w:rPr>
                <w:rFonts w:ascii="Segoe UI Light" w:hAnsi="Segoe UI Light"/>
                <w:sz w:val="16"/>
                <w:szCs w:val="20"/>
                <w:lang w:eastAsia="lv-LV"/>
              </w:rPr>
            </w:pPr>
            <w:r w:rsidRPr="00CC23F8">
              <w:rPr>
                <w:rFonts w:ascii="Segoe UI Light" w:hAnsi="Segoe UI Light"/>
                <w:sz w:val="16"/>
                <w:szCs w:val="20"/>
                <w:lang w:eastAsia="lv-LV"/>
              </w:rPr>
              <w:t>Vidējas kvalifikācijas profesijas, tai skaitā:</w:t>
            </w:r>
          </w:p>
        </w:tc>
        <w:tc>
          <w:tcPr>
            <w:tcW w:w="325" w:type="pct"/>
            <w:shd w:val="clear" w:color="auto" w:fill="DCE7EB"/>
          </w:tcPr>
          <w:p w14:paraId="3E0B4AAB" w14:textId="1C039FA7"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-2</w:t>
            </w:r>
            <w:r w:rsidR="00F80859">
              <w:rPr>
                <w:rFonts w:ascii="Segoe UI Light" w:hAnsi="Segoe UI Light" w:cs="Segoe UI Light"/>
                <w:sz w:val="16"/>
                <w:szCs w:val="16"/>
              </w:rPr>
              <w:t>,</w:t>
            </w:r>
            <w:r w:rsidR="00F80859" w:rsidRPr="00F80859">
              <w:rPr>
                <w:rFonts w:ascii="Segoe UI Light" w:hAnsi="Segoe UI Light" w:cs="Segoe UI Light"/>
                <w:sz w:val="16"/>
                <w:szCs w:val="16"/>
              </w:rPr>
              <w:t>3</w:t>
            </w:r>
          </w:p>
        </w:tc>
        <w:tc>
          <w:tcPr>
            <w:tcW w:w="326" w:type="pct"/>
            <w:shd w:val="clear" w:color="auto" w:fill="DCE7EB"/>
          </w:tcPr>
          <w:p w14:paraId="523C4B7A" w14:textId="6089247D"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2</w:t>
            </w:r>
            <w:r w:rsidR="00F80859">
              <w:rPr>
                <w:rFonts w:ascii="Segoe UI Light" w:hAnsi="Segoe UI Light" w:cs="Segoe UI Light"/>
                <w:sz w:val="16"/>
                <w:szCs w:val="16"/>
              </w:rPr>
              <w:t>,</w:t>
            </w:r>
            <w:r w:rsidR="00F80859" w:rsidRPr="00F80859">
              <w:rPr>
                <w:rFonts w:ascii="Segoe UI Light" w:hAnsi="Segoe UI Light" w:cs="Segoe UI Light"/>
                <w:sz w:val="16"/>
                <w:szCs w:val="16"/>
              </w:rPr>
              <w:t>0</w:t>
            </w:r>
          </w:p>
        </w:tc>
        <w:tc>
          <w:tcPr>
            <w:tcW w:w="326" w:type="pct"/>
            <w:shd w:val="clear" w:color="auto" w:fill="DCE7EB"/>
          </w:tcPr>
          <w:p w14:paraId="6E285A7D" w14:textId="0D450A0C"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5</w:t>
            </w:r>
          </w:p>
        </w:tc>
        <w:tc>
          <w:tcPr>
            <w:tcW w:w="326" w:type="pct"/>
            <w:shd w:val="clear" w:color="auto" w:fill="DCE7EB"/>
          </w:tcPr>
          <w:p w14:paraId="1D245F14" w14:textId="6E88EFEE"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7</w:t>
            </w:r>
            <w:r w:rsidR="00F80859">
              <w:rPr>
                <w:rFonts w:ascii="Segoe UI Light" w:hAnsi="Segoe UI Light" w:cs="Segoe UI Light"/>
                <w:sz w:val="16"/>
                <w:szCs w:val="16"/>
              </w:rPr>
              <w:t>,</w:t>
            </w:r>
            <w:r w:rsidR="00F80859" w:rsidRPr="00F80859">
              <w:rPr>
                <w:rFonts w:ascii="Segoe UI Light" w:hAnsi="Segoe UI Light" w:cs="Segoe UI Light"/>
                <w:sz w:val="16"/>
                <w:szCs w:val="16"/>
              </w:rPr>
              <w:t>4</w:t>
            </w:r>
          </w:p>
        </w:tc>
        <w:tc>
          <w:tcPr>
            <w:tcW w:w="398" w:type="pct"/>
            <w:shd w:val="clear" w:color="auto" w:fill="DCE7EB"/>
          </w:tcPr>
          <w:p w14:paraId="17604AE0" w14:textId="67547C85"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-18,</w:t>
            </w:r>
            <w:r w:rsidR="00F80859" w:rsidRPr="00F80859">
              <w:rPr>
                <w:rFonts w:ascii="Segoe UI Light" w:hAnsi="Segoe UI Light" w:cs="Segoe UI Light"/>
                <w:sz w:val="16"/>
                <w:szCs w:val="16"/>
              </w:rPr>
              <w:t>2</w:t>
            </w:r>
          </w:p>
        </w:tc>
        <w:tc>
          <w:tcPr>
            <w:tcW w:w="326" w:type="pct"/>
            <w:shd w:val="clear" w:color="auto" w:fill="DCE7EB"/>
          </w:tcPr>
          <w:p w14:paraId="64252739" w14:textId="5D527D3D"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1</w:t>
            </w:r>
            <w:r>
              <w:rPr>
                <w:rFonts w:ascii="Segoe UI Light" w:hAnsi="Segoe UI Light" w:cs="Segoe UI Light"/>
                <w:sz w:val="16"/>
                <w:szCs w:val="16"/>
              </w:rPr>
              <w:t>,</w:t>
            </w:r>
            <w:r w:rsidRPr="00F80859">
              <w:rPr>
                <w:rFonts w:ascii="Segoe UI Light" w:hAnsi="Segoe UI Light" w:cs="Segoe UI Light"/>
                <w:sz w:val="16"/>
                <w:szCs w:val="16"/>
              </w:rPr>
              <w:t>1</w:t>
            </w:r>
          </w:p>
        </w:tc>
        <w:tc>
          <w:tcPr>
            <w:tcW w:w="326" w:type="pct"/>
            <w:shd w:val="clear" w:color="auto" w:fill="DCE7EB"/>
          </w:tcPr>
          <w:p w14:paraId="005EAA3A" w14:textId="26B6C68F"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6</w:t>
            </w:r>
            <w:r w:rsidR="00F80859">
              <w:rPr>
                <w:rFonts w:ascii="Segoe UI Light" w:hAnsi="Segoe UI Light" w:cs="Segoe UI Light"/>
                <w:sz w:val="16"/>
                <w:szCs w:val="16"/>
              </w:rPr>
              <w:t>,</w:t>
            </w:r>
            <w:r w:rsidR="00F80859" w:rsidRPr="00F80859">
              <w:rPr>
                <w:rFonts w:ascii="Segoe UI Light" w:hAnsi="Segoe UI Light" w:cs="Segoe UI Light"/>
                <w:sz w:val="16"/>
                <w:szCs w:val="16"/>
              </w:rPr>
              <w:t>5</w:t>
            </w:r>
          </w:p>
        </w:tc>
        <w:tc>
          <w:tcPr>
            <w:tcW w:w="385" w:type="pct"/>
            <w:shd w:val="clear" w:color="auto" w:fill="DCE7EB"/>
          </w:tcPr>
          <w:p w14:paraId="4AB5117E" w14:textId="1AA7D147"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9</w:t>
            </w:r>
            <w:r w:rsidR="00F80859">
              <w:rPr>
                <w:rFonts w:ascii="Segoe UI Light" w:hAnsi="Segoe UI Light" w:cs="Segoe UI Light"/>
                <w:sz w:val="16"/>
                <w:szCs w:val="16"/>
              </w:rPr>
              <w:t>,</w:t>
            </w:r>
            <w:r w:rsidR="00F80859" w:rsidRPr="00F80859">
              <w:rPr>
                <w:rFonts w:ascii="Segoe UI Light" w:hAnsi="Segoe UI Light" w:cs="Segoe UI Light"/>
                <w:sz w:val="16"/>
                <w:szCs w:val="16"/>
              </w:rPr>
              <w:t>3</w:t>
            </w:r>
          </w:p>
        </w:tc>
        <w:tc>
          <w:tcPr>
            <w:tcW w:w="374" w:type="pct"/>
            <w:shd w:val="clear" w:color="auto" w:fill="DCE7EB"/>
          </w:tcPr>
          <w:p w14:paraId="1F6CDEE0" w14:textId="2B2D0102" w:rsidR="000E509C" w:rsidRPr="00F80859" w:rsidRDefault="000E509C"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sz w:val="16"/>
                <w:szCs w:val="16"/>
              </w:rPr>
              <w:t>-25</w:t>
            </w:r>
            <w:r>
              <w:rPr>
                <w:rFonts w:ascii="Segoe UI Light" w:hAnsi="Segoe UI Light" w:cs="Segoe UI Light"/>
                <w:b/>
                <w:sz w:val="16"/>
                <w:szCs w:val="16"/>
              </w:rPr>
              <w:t>,</w:t>
            </w:r>
            <w:r w:rsidR="00F80859" w:rsidRPr="00F80859">
              <w:rPr>
                <w:rFonts w:ascii="Segoe UI Light" w:hAnsi="Segoe UI Light" w:cs="Segoe UI Light"/>
                <w:b/>
                <w:bCs/>
                <w:sz w:val="16"/>
                <w:szCs w:val="16"/>
              </w:rPr>
              <w:t>3</w:t>
            </w:r>
          </w:p>
        </w:tc>
      </w:tr>
      <w:tr w:rsidR="00B018CB" w:rsidRPr="00D829F0" w14:paraId="6F8D83BF" w14:textId="77777777" w:rsidTr="003D13BA">
        <w:tc>
          <w:tcPr>
            <w:tcW w:w="1885" w:type="pct"/>
            <w:shd w:val="clear" w:color="auto" w:fill="auto"/>
          </w:tcPr>
          <w:p w14:paraId="0A9C3A88" w14:textId="77777777" w:rsidR="000E509C" w:rsidRPr="00CC23F8" w:rsidRDefault="000E509C" w:rsidP="000E509C">
            <w:pPr>
              <w:spacing w:before="40" w:after="40"/>
              <w:ind w:left="142"/>
              <w:rPr>
                <w:rFonts w:ascii="Segoe UI Light" w:eastAsia="Arial Unicode MS" w:hAnsi="Segoe UI Light"/>
                <w:sz w:val="16"/>
                <w:szCs w:val="20"/>
              </w:rPr>
            </w:pPr>
            <w:r w:rsidRPr="00CC23F8">
              <w:rPr>
                <w:rFonts w:ascii="Segoe UI Light" w:hAnsi="Segoe UI Light"/>
                <w:sz w:val="16"/>
                <w:szCs w:val="20"/>
                <w:lang w:eastAsia="lv-LV"/>
              </w:rPr>
              <w:t>Iestāžu kalpotāji</w:t>
            </w:r>
          </w:p>
        </w:tc>
        <w:tc>
          <w:tcPr>
            <w:tcW w:w="325" w:type="pct"/>
            <w:shd w:val="clear" w:color="auto" w:fill="auto"/>
          </w:tcPr>
          <w:p w14:paraId="267E1F51" w14:textId="3EF12242"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-0,2</w:t>
            </w:r>
          </w:p>
        </w:tc>
        <w:tc>
          <w:tcPr>
            <w:tcW w:w="326" w:type="pct"/>
            <w:shd w:val="clear" w:color="auto" w:fill="auto"/>
          </w:tcPr>
          <w:p w14:paraId="4F842AD6" w14:textId="1FFC14D8"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1</w:t>
            </w:r>
            <w:r w:rsidR="00F80859">
              <w:rPr>
                <w:rFonts w:ascii="Segoe UI Light" w:hAnsi="Segoe UI Light" w:cs="Segoe UI Light"/>
                <w:sz w:val="16"/>
                <w:szCs w:val="16"/>
              </w:rPr>
              <w:t>,</w:t>
            </w:r>
            <w:r w:rsidR="00F80859" w:rsidRPr="00F80859">
              <w:rPr>
                <w:rFonts w:ascii="Segoe UI Light" w:hAnsi="Segoe UI Light" w:cs="Segoe UI Light"/>
                <w:sz w:val="16"/>
                <w:szCs w:val="16"/>
              </w:rPr>
              <w:t>1</w:t>
            </w:r>
          </w:p>
        </w:tc>
        <w:tc>
          <w:tcPr>
            <w:tcW w:w="326" w:type="pct"/>
            <w:shd w:val="clear" w:color="auto" w:fill="auto"/>
          </w:tcPr>
          <w:p w14:paraId="1C6C275D" w14:textId="517217CE"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4</w:t>
            </w:r>
          </w:p>
        </w:tc>
        <w:tc>
          <w:tcPr>
            <w:tcW w:w="326" w:type="pct"/>
            <w:shd w:val="clear" w:color="auto" w:fill="auto"/>
          </w:tcPr>
          <w:p w14:paraId="7C2EE988" w14:textId="50548996"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3</w:t>
            </w:r>
          </w:p>
        </w:tc>
        <w:tc>
          <w:tcPr>
            <w:tcW w:w="398" w:type="pct"/>
            <w:shd w:val="clear" w:color="auto" w:fill="auto"/>
          </w:tcPr>
          <w:p w14:paraId="2EC202F0" w14:textId="66AF71C6"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-4,</w:t>
            </w:r>
            <w:r w:rsidR="00F80859" w:rsidRPr="00F80859">
              <w:rPr>
                <w:rFonts w:ascii="Segoe UI Light" w:hAnsi="Segoe UI Light" w:cs="Segoe UI Light"/>
                <w:sz w:val="16"/>
                <w:szCs w:val="16"/>
              </w:rPr>
              <w:t>2</w:t>
            </w:r>
          </w:p>
        </w:tc>
        <w:tc>
          <w:tcPr>
            <w:tcW w:w="326" w:type="pct"/>
            <w:shd w:val="clear" w:color="auto" w:fill="auto"/>
          </w:tcPr>
          <w:p w14:paraId="63F786D4" w14:textId="4327ABF5"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1</w:t>
            </w:r>
            <w:r w:rsidR="00F80859">
              <w:rPr>
                <w:rFonts w:ascii="Segoe UI Light" w:hAnsi="Segoe UI Light" w:cs="Segoe UI Light"/>
                <w:sz w:val="16"/>
                <w:szCs w:val="16"/>
              </w:rPr>
              <w:t>,</w:t>
            </w:r>
            <w:r w:rsidR="00F80859" w:rsidRPr="00F80859">
              <w:rPr>
                <w:rFonts w:ascii="Segoe UI Light" w:hAnsi="Segoe UI Light" w:cs="Segoe UI Light"/>
                <w:sz w:val="16"/>
                <w:szCs w:val="16"/>
              </w:rPr>
              <w:t>5</w:t>
            </w:r>
          </w:p>
        </w:tc>
        <w:tc>
          <w:tcPr>
            <w:tcW w:w="326" w:type="pct"/>
            <w:shd w:val="clear" w:color="auto" w:fill="auto"/>
          </w:tcPr>
          <w:p w14:paraId="29FC6475" w14:textId="6E6BD4BA"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-7</w:t>
            </w:r>
            <w:r w:rsidR="00F80859">
              <w:rPr>
                <w:rFonts w:ascii="Segoe UI Light" w:hAnsi="Segoe UI Light" w:cs="Segoe UI Light"/>
                <w:sz w:val="16"/>
                <w:szCs w:val="16"/>
              </w:rPr>
              <w:t>,</w:t>
            </w:r>
            <w:r w:rsidR="00F80859" w:rsidRPr="00F80859">
              <w:rPr>
                <w:rFonts w:ascii="Segoe UI Light" w:hAnsi="Segoe UI Light" w:cs="Segoe UI Light"/>
                <w:sz w:val="16"/>
                <w:szCs w:val="16"/>
              </w:rPr>
              <w:t>9</w:t>
            </w:r>
          </w:p>
        </w:tc>
        <w:tc>
          <w:tcPr>
            <w:tcW w:w="385" w:type="pct"/>
            <w:shd w:val="clear" w:color="auto" w:fill="auto"/>
          </w:tcPr>
          <w:p w14:paraId="52A6B67E" w14:textId="01FACF52"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-2,3</w:t>
            </w:r>
          </w:p>
        </w:tc>
        <w:tc>
          <w:tcPr>
            <w:tcW w:w="374" w:type="pct"/>
            <w:shd w:val="clear" w:color="auto" w:fill="auto"/>
          </w:tcPr>
          <w:p w14:paraId="60B3DF61" w14:textId="54303E97" w:rsidR="000E509C" w:rsidRPr="00F80859"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-17</w:t>
            </w:r>
            <w:r>
              <w:rPr>
                <w:rFonts w:ascii="Segoe UI Light" w:hAnsi="Segoe UI Light" w:cs="Segoe UI Light"/>
                <w:b/>
                <w:bCs/>
                <w:sz w:val="16"/>
                <w:szCs w:val="16"/>
              </w:rPr>
              <w:t>,</w:t>
            </w:r>
            <w:r w:rsidRPr="00F80859">
              <w:rPr>
                <w:rFonts w:ascii="Segoe UI Light" w:hAnsi="Segoe UI Light" w:cs="Segoe UI Light"/>
                <w:b/>
                <w:bCs/>
                <w:sz w:val="16"/>
                <w:szCs w:val="16"/>
              </w:rPr>
              <w:t>9</w:t>
            </w:r>
          </w:p>
        </w:tc>
      </w:tr>
      <w:tr w:rsidR="00B018CB" w:rsidRPr="00D829F0" w14:paraId="4439726A" w14:textId="77777777" w:rsidTr="003D13BA">
        <w:trPr>
          <w:cnfStyle w:val="000000100000" w:firstRow="0" w:lastRow="0" w:firstColumn="0" w:lastColumn="0" w:oddVBand="0" w:evenVBand="0" w:oddHBand="1" w:evenHBand="0" w:firstRowFirstColumn="0" w:firstRowLastColumn="0" w:lastRowFirstColumn="0" w:lastRowLastColumn="0"/>
        </w:trPr>
        <w:tc>
          <w:tcPr>
            <w:tcW w:w="1885" w:type="pct"/>
            <w:shd w:val="clear" w:color="auto" w:fill="DCE7EB"/>
          </w:tcPr>
          <w:p w14:paraId="23042BBA" w14:textId="77777777" w:rsidR="000E509C" w:rsidRPr="00CC23F8" w:rsidRDefault="000E509C" w:rsidP="000E509C">
            <w:pPr>
              <w:spacing w:before="40" w:after="40"/>
              <w:ind w:left="142"/>
              <w:rPr>
                <w:rFonts w:ascii="Segoe UI Light" w:eastAsia="Arial Unicode MS" w:hAnsi="Segoe UI Light"/>
                <w:sz w:val="16"/>
                <w:szCs w:val="20"/>
              </w:rPr>
            </w:pPr>
            <w:r w:rsidRPr="00CC23F8">
              <w:rPr>
                <w:rFonts w:ascii="Segoe UI Light" w:hAnsi="Segoe UI Light"/>
                <w:sz w:val="16"/>
                <w:szCs w:val="20"/>
                <w:lang w:eastAsia="lv-LV"/>
              </w:rPr>
              <w:t>Pakalpojumu darbinieki</w:t>
            </w:r>
          </w:p>
        </w:tc>
        <w:tc>
          <w:tcPr>
            <w:tcW w:w="325" w:type="pct"/>
            <w:shd w:val="clear" w:color="auto" w:fill="DCE7EB"/>
          </w:tcPr>
          <w:p w14:paraId="720E436D" w14:textId="35ADB440"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w:t>
            </w:r>
            <w:r w:rsidR="000E509C" w:rsidRPr="00CC23F8">
              <w:rPr>
                <w:rFonts w:ascii="Segoe UI Light" w:hAnsi="Segoe UI Light" w:cs="Segoe UI Light"/>
                <w:sz w:val="16"/>
                <w:szCs w:val="16"/>
              </w:rPr>
              <w:t>0,</w:t>
            </w:r>
            <w:r w:rsidRPr="00F80859">
              <w:rPr>
                <w:rFonts w:ascii="Segoe UI Light" w:hAnsi="Segoe UI Light" w:cs="Segoe UI Light"/>
                <w:sz w:val="16"/>
                <w:szCs w:val="16"/>
              </w:rPr>
              <w:t>3</w:t>
            </w:r>
          </w:p>
        </w:tc>
        <w:tc>
          <w:tcPr>
            <w:tcW w:w="326" w:type="pct"/>
            <w:shd w:val="clear" w:color="auto" w:fill="DCE7EB"/>
          </w:tcPr>
          <w:p w14:paraId="283DAA08" w14:textId="7404BEE4"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3</w:t>
            </w:r>
          </w:p>
        </w:tc>
        <w:tc>
          <w:tcPr>
            <w:tcW w:w="326" w:type="pct"/>
            <w:shd w:val="clear" w:color="auto" w:fill="DCE7EB"/>
          </w:tcPr>
          <w:p w14:paraId="60B0AB14" w14:textId="5289B492"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DCE7EB"/>
          </w:tcPr>
          <w:p w14:paraId="74A0049D" w14:textId="636D23C5"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98" w:type="pct"/>
            <w:shd w:val="clear" w:color="auto" w:fill="DCE7EB"/>
          </w:tcPr>
          <w:p w14:paraId="39DDFFE2" w14:textId="05F9D03F"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15</w:t>
            </w:r>
            <w:r w:rsidRPr="00CC23F8">
              <w:rPr>
                <w:rFonts w:ascii="Segoe UI Light" w:hAnsi="Segoe UI Light" w:cs="Segoe UI Light"/>
                <w:sz w:val="16"/>
                <w:szCs w:val="16"/>
              </w:rPr>
              <w:t>,3</w:t>
            </w:r>
          </w:p>
        </w:tc>
        <w:tc>
          <w:tcPr>
            <w:tcW w:w="326" w:type="pct"/>
            <w:shd w:val="clear" w:color="auto" w:fill="DCE7EB"/>
          </w:tcPr>
          <w:p w14:paraId="14AE5CE4" w14:textId="0D5A0CA1"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5</w:t>
            </w:r>
          </w:p>
        </w:tc>
        <w:tc>
          <w:tcPr>
            <w:tcW w:w="326" w:type="pct"/>
            <w:shd w:val="clear" w:color="auto" w:fill="DCE7EB"/>
          </w:tcPr>
          <w:p w14:paraId="002E5DDD" w14:textId="5B8A9059"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-2</w:t>
            </w:r>
            <w:r>
              <w:rPr>
                <w:rFonts w:ascii="Segoe UI Light" w:hAnsi="Segoe UI Light" w:cs="Segoe UI Light"/>
                <w:sz w:val="16"/>
                <w:szCs w:val="16"/>
              </w:rPr>
              <w:t>,</w:t>
            </w:r>
            <w:r w:rsidRPr="00F80859">
              <w:rPr>
                <w:rFonts w:ascii="Segoe UI Light" w:hAnsi="Segoe UI Light" w:cs="Segoe UI Light"/>
                <w:sz w:val="16"/>
                <w:szCs w:val="16"/>
              </w:rPr>
              <w:t>2</w:t>
            </w:r>
          </w:p>
        </w:tc>
        <w:tc>
          <w:tcPr>
            <w:tcW w:w="385" w:type="pct"/>
            <w:shd w:val="clear" w:color="auto" w:fill="DCE7EB"/>
          </w:tcPr>
          <w:p w14:paraId="0DD3A242" w14:textId="72DD6923"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7</w:t>
            </w:r>
            <w:r w:rsidR="00F80859">
              <w:rPr>
                <w:rFonts w:ascii="Segoe UI Light" w:hAnsi="Segoe UI Light" w:cs="Segoe UI Light"/>
                <w:sz w:val="16"/>
                <w:szCs w:val="16"/>
              </w:rPr>
              <w:t>,</w:t>
            </w:r>
            <w:r w:rsidR="00F80859" w:rsidRPr="00F80859">
              <w:rPr>
                <w:rFonts w:ascii="Segoe UI Light" w:hAnsi="Segoe UI Light" w:cs="Segoe UI Light"/>
                <w:sz w:val="16"/>
                <w:szCs w:val="16"/>
              </w:rPr>
              <w:t>0</w:t>
            </w:r>
          </w:p>
        </w:tc>
        <w:tc>
          <w:tcPr>
            <w:tcW w:w="374" w:type="pct"/>
            <w:shd w:val="clear" w:color="auto" w:fill="DCE7EB"/>
          </w:tcPr>
          <w:p w14:paraId="0B046F96" w14:textId="20DD1D17" w:rsidR="000E509C" w:rsidRPr="00F80859"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-24</w:t>
            </w:r>
            <w:r>
              <w:rPr>
                <w:rFonts w:ascii="Segoe UI Light" w:hAnsi="Segoe UI Light" w:cs="Segoe UI Light"/>
                <w:b/>
                <w:bCs/>
                <w:sz w:val="16"/>
                <w:szCs w:val="16"/>
              </w:rPr>
              <w:t>,</w:t>
            </w:r>
            <w:r w:rsidRPr="00F80859">
              <w:rPr>
                <w:rFonts w:ascii="Segoe UI Light" w:hAnsi="Segoe UI Light" w:cs="Segoe UI Light"/>
                <w:b/>
                <w:bCs/>
                <w:sz w:val="16"/>
                <w:szCs w:val="16"/>
              </w:rPr>
              <w:t>5</w:t>
            </w:r>
          </w:p>
        </w:tc>
      </w:tr>
      <w:tr w:rsidR="00B018CB" w:rsidRPr="00D829F0" w14:paraId="6EF1B461" w14:textId="77777777" w:rsidTr="003D13BA">
        <w:tc>
          <w:tcPr>
            <w:tcW w:w="1885" w:type="pct"/>
            <w:shd w:val="clear" w:color="auto" w:fill="auto"/>
          </w:tcPr>
          <w:p w14:paraId="6AE71CE3" w14:textId="77777777" w:rsidR="000E509C" w:rsidRPr="00CC23F8" w:rsidRDefault="000E509C" w:rsidP="000E509C">
            <w:pPr>
              <w:spacing w:before="40" w:after="40"/>
              <w:ind w:left="142"/>
              <w:rPr>
                <w:rFonts w:ascii="Segoe UI Light" w:eastAsia="Arial Unicode MS" w:hAnsi="Segoe UI Light"/>
                <w:sz w:val="16"/>
                <w:szCs w:val="20"/>
              </w:rPr>
            </w:pPr>
            <w:r w:rsidRPr="00CC23F8">
              <w:rPr>
                <w:rFonts w:ascii="Segoe UI Light" w:hAnsi="Segoe UI Light"/>
                <w:sz w:val="16"/>
                <w:szCs w:val="20"/>
                <w:lang w:eastAsia="lv-LV"/>
              </w:rPr>
              <w:t>Kvalificēti lauksaimniecības darbinieki</w:t>
            </w:r>
          </w:p>
        </w:tc>
        <w:tc>
          <w:tcPr>
            <w:tcW w:w="325" w:type="pct"/>
            <w:shd w:val="clear" w:color="auto" w:fill="auto"/>
          </w:tcPr>
          <w:p w14:paraId="3F4C0E5A" w14:textId="05E303AA"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1</w:t>
            </w:r>
            <w:r w:rsidR="00F80859">
              <w:rPr>
                <w:rFonts w:ascii="Segoe UI Light" w:hAnsi="Segoe UI Light" w:cs="Segoe UI Light"/>
                <w:sz w:val="16"/>
                <w:szCs w:val="16"/>
              </w:rPr>
              <w:t>,</w:t>
            </w:r>
            <w:r w:rsidR="00F80859" w:rsidRPr="00F80859">
              <w:rPr>
                <w:rFonts w:ascii="Segoe UI Light" w:hAnsi="Segoe UI Light" w:cs="Segoe UI Light"/>
                <w:sz w:val="16"/>
                <w:szCs w:val="16"/>
              </w:rPr>
              <w:t>9</w:t>
            </w:r>
          </w:p>
        </w:tc>
        <w:tc>
          <w:tcPr>
            <w:tcW w:w="326" w:type="pct"/>
            <w:shd w:val="clear" w:color="auto" w:fill="auto"/>
          </w:tcPr>
          <w:p w14:paraId="63CF5D19" w14:textId="194455E4"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auto"/>
          </w:tcPr>
          <w:p w14:paraId="25337016" w14:textId="289135EF"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auto"/>
          </w:tcPr>
          <w:p w14:paraId="415FB3F7" w14:textId="4D92B1AC"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98" w:type="pct"/>
            <w:shd w:val="clear" w:color="auto" w:fill="auto"/>
          </w:tcPr>
          <w:p w14:paraId="0F87D882" w14:textId="77C11A90"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auto"/>
          </w:tcPr>
          <w:p w14:paraId="6989BB88" w14:textId="142A56B4"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26" w:type="pct"/>
            <w:shd w:val="clear" w:color="auto" w:fill="auto"/>
          </w:tcPr>
          <w:p w14:paraId="63EC351C" w14:textId="207B8E8D"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0,1</w:t>
            </w:r>
          </w:p>
        </w:tc>
        <w:tc>
          <w:tcPr>
            <w:tcW w:w="385" w:type="pct"/>
            <w:shd w:val="clear" w:color="auto" w:fill="auto"/>
          </w:tcPr>
          <w:p w14:paraId="77BE51CE" w14:textId="286E736E"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0,0</w:t>
            </w:r>
          </w:p>
        </w:tc>
        <w:tc>
          <w:tcPr>
            <w:tcW w:w="374" w:type="pct"/>
            <w:shd w:val="clear" w:color="auto" w:fill="auto"/>
          </w:tcPr>
          <w:p w14:paraId="5B55357C" w14:textId="65F6D74E" w:rsidR="000E509C" w:rsidRPr="00F80859" w:rsidRDefault="000E509C"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sz w:val="16"/>
                <w:szCs w:val="16"/>
              </w:rPr>
              <w:t>-</w:t>
            </w:r>
            <w:r w:rsidR="00F80859" w:rsidRPr="00F80859">
              <w:rPr>
                <w:rFonts w:ascii="Segoe UI Light" w:hAnsi="Segoe UI Light" w:cs="Segoe UI Light"/>
                <w:b/>
                <w:bCs/>
                <w:sz w:val="16"/>
                <w:szCs w:val="16"/>
              </w:rPr>
              <w:t>1</w:t>
            </w:r>
            <w:r w:rsidR="00F80859">
              <w:rPr>
                <w:rFonts w:ascii="Segoe UI Light" w:hAnsi="Segoe UI Light" w:cs="Segoe UI Light"/>
                <w:b/>
                <w:bCs/>
                <w:sz w:val="16"/>
                <w:szCs w:val="16"/>
              </w:rPr>
              <w:t>,</w:t>
            </w:r>
            <w:r w:rsidR="00F80859" w:rsidRPr="00F80859">
              <w:rPr>
                <w:rFonts w:ascii="Segoe UI Light" w:hAnsi="Segoe UI Light" w:cs="Segoe UI Light"/>
                <w:b/>
                <w:bCs/>
                <w:sz w:val="16"/>
                <w:szCs w:val="16"/>
              </w:rPr>
              <w:t>8</w:t>
            </w:r>
          </w:p>
        </w:tc>
      </w:tr>
      <w:tr w:rsidR="00B018CB" w:rsidRPr="00D829F0" w14:paraId="153DD9E9" w14:textId="77777777" w:rsidTr="003D13BA">
        <w:trPr>
          <w:cnfStyle w:val="000000100000" w:firstRow="0" w:lastRow="0" w:firstColumn="0" w:lastColumn="0" w:oddVBand="0" w:evenVBand="0" w:oddHBand="1" w:evenHBand="0" w:firstRowFirstColumn="0" w:firstRowLastColumn="0" w:lastRowFirstColumn="0" w:lastRowLastColumn="0"/>
        </w:trPr>
        <w:tc>
          <w:tcPr>
            <w:tcW w:w="1885" w:type="pct"/>
            <w:shd w:val="clear" w:color="auto" w:fill="DCE7EB"/>
          </w:tcPr>
          <w:p w14:paraId="49A1E160" w14:textId="77777777" w:rsidR="000E509C" w:rsidRPr="00CC23F8" w:rsidRDefault="000E509C" w:rsidP="000E509C">
            <w:pPr>
              <w:spacing w:before="40" w:after="40"/>
              <w:ind w:left="142"/>
              <w:rPr>
                <w:rFonts w:ascii="Segoe UI Light" w:eastAsia="Arial Unicode MS" w:hAnsi="Segoe UI Light"/>
                <w:sz w:val="16"/>
                <w:szCs w:val="20"/>
              </w:rPr>
            </w:pPr>
            <w:r w:rsidRPr="00CC23F8">
              <w:rPr>
                <w:rFonts w:ascii="Segoe UI Light" w:hAnsi="Segoe UI Light"/>
                <w:sz w:val="16"/>
                <w:szCs w:val="20"/>
                <w:lang w:eastAsia="lv-LV"/>
              </w:rPr>
              <w:t>Kvalificēti strādnieki</w:t>
            </w:r>
          </w:p>
        </w:tc>
        <w:tc>
          <w:tcPr>
            <w:tcW w:w="325" w:type="pct"/>
            <w:shd w:val="clear" w:color="auto" w:fill="DCE7EB"/>
          </w:tcPr>
          <w:p w14:paraId="62500EB1" w14:textId="518121C7"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1</w:t>
            </w:r>
          </w:p>
        </w:tc>
        <w:tc>
          <w:tcPr>
            <w:tcW w:w="326" w:type="pct"/>
            <w:shd w:val="clear" w:color="auto" w:fill="DCE7EB"/>
          </w:tcPr>
          <w:p w14:paraId="34508EF1" w14:textId="447DD0A2"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1</w:t>
            </w:r>
            <w:r>
              <w:rPr>
                <w:rFonts w:ascii="Segoe UI Light" w:hAnsi="Segoe UI Light" w:cs="Segoe UI Light"/>
                <w:sz w:val="16"/>
                <w:szCs w:val="16"/>
              </w:rPr>
              <w:t>,</w:t>
            </w:r>
            <w:r w:rsidRPr="00F80859">
              <w:rPr>
                <w:rFonts w:ascii="Segoe UI Light" w:hAnsi="Segoe UI Light" w:cs="Segoe UI Light"/>
                <w:sz w:val="16"/>
                <w:szCs w:val="16"/>
              </w:rPr>
              <w:t>0</w:t>
            </w:r>
          </w:p>
        </w:tc>
        <w:tc>
          <w:tcPr>
            <w:tcW w:w="326" w:type="pct"/>
            <w:shd w:val="clear" w:color="auto" w:fill="DCE7EB"/>
          </w:tcPr>
          <w:p w14:paraId="118889F2" w14:textId="5243B8EA"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9</w:t>
            </w:r>
          </w:p>
        </w:tc>
        <w:tc>
          <w:tcPr>
            <w:tcW w:w="326" w:type="pct"/>
            <w:shd w:val="clear" w:color="auto" w:fill="DCE7EB"/>
          </w:tcPr>
          <w:p w14:paraId="3E20CCF3" w14:textId="76ADEC7E"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7</w:t>
            </w:r>
            <w:r w:rsidR="000E509C" w:rsidRPr="00CC23F8">
              <w:rPr>
                <w:rFonts w:ascii="Segoe UI Light" w:hAnsi="Segoe UI Light" w:cs="Segoe UI Light"/>
                <w:sz w:val="16"/>
                <w:szCs w:val="16"/>
              </w:rPr>
              <w:t>,4</w:t>
            </w:r>
          </w:p>
        </w:tc>
        <w:tc>
          <w:tcPr>
            <w:tcW w:w="398" w:type="pct"/>
            <w:shd w:val="clear" w:color="auto" w:fill="DCE7EB"/>
          </w:tcPr>
          <w:p w14:paraId="0B635D6C" w14:textId="5900481F"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1,</w:t>
            </w:r>
            <w:r w:rsidR="00F80859" w:rsidRPr="00F80859">
              <w:rPr>
                <w:rFonts w:ascii="Segoe UI Light" w:hAnsi="Segoe UI Light" w:cs="Segoe UI Light"/>
                <w:sz w:val="16"/>
                <w:szCs w:val="16"/>
              </w:rPr>
              <w:t>1</w:t>
            </w:r>
          </w:p>
        </w:tc>
        <w:tc>
          <w:tcPr>
            <w:tcW w:w="326" w:type="pct"/>
            <w:shd w:val="clear" w:color="auto" w:fill="DCE7EB"/>
          </w:tcPr>
          <w:p w14:paraId="7E03B539" w14:textId="5C2CCDFF"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1</w:t>
            </w:r>
            <w:r>
              <w:rPr>
                <w:rFonts w:ascii="Segoe UI Light" w:hAnsi="Segoe UI Light" w:cs="Segoe UI Light"/>
                <w:sz w:val="16"/>
                <w:szCs w:val="16"/>
              </w:rPr>
              <w:t>,</w:t>
            </w:r>
            <w:r w:rsidR="000E509C" w:rsidRPr="00CC23F8">
              <w:rPr>
                <w:rFonts w:ascii="Segoe UI Light" w:hAnsi="Segoe UI Light" w:cs="Segoe UI Light"/>
                <w:sz w:val="16"/>
                <w:szCs w:val="16"/>
              </w:rPr>
              <w:t>0</w:t>
            </w:r>
          </w:p>
        </w:tc>
        <w:tc>
          <w:tcPr>
            <w:tcW w:w="326" w:type="pct"/>
            <w:shd w:val="clear" w:color="auto" w:fill="DCE7EB"/>
          </w:tcPr>
          <w:p w14:paraId="6F4C465D" w14:textId="7A96F0B1"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2,</w:t>
            </w:r>
            <w:r w:rsidR="00F80859" w:rsidRPr="00F80859">
              <w:rPr>
                <w:rFonts w:ascii="Segoe UI Light" w:hAnsi="Segoe UI Light" w:cs="Segoe UI Light"/>
                <w:sz w:val="16"/>
                <w:szCs w:val="16"/>
              </w:rPr>
              <w:t>7</w:t>
            </w:r>
          </w:p>
        </w:tc>
        <w:tc>
          <w:tcPr>
            <w:tcW w:w="385" w:type="pct"/>
            <w:shd w:val="clear" w:color="auto" w:fill="DCE7EB"/>
          </w:tcPr>
          <w:p w14:paraId="5C3444F6" w14:textId="136063A7"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1</w:t>
            </w:r>
          </w:p>
        </w:tc>
        <w:tc>
          <w:tcPr>
            <w:tcW w:w="374" w:type="pct"/>
            <w:shd w:val="clear" w:color="auto" w:fill="DCE7EB"/>
          </w:tcPr>
          <w:p w14:paraId="5C466FDA" w14:textId="4DDFCD59" w:rsidR="000E509C" w:rsidRPr="00F80859"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14</w:t>
            </w:r>
            <w:r>
              <w:rPr>
                <w:rFonts w:ascii="Segoe UI Light" w:hAnsi="Segoe UI Light" w:cs="Segoe UI Light"/>
                <w:b/>
                <w:bCs/>
                <w:sz w:val="16"/>
                <w:szCs w:val="16"/>
              </w:rPr>
              <w:t>,</w:t>
            </w:r>
            <w:r w:rsidRPr="00F80859">
              <w:rPr>
                <w:rFonts w:ascii="Segoe UI Light" w:hAnsi="Segoe UI Light" w:cs="Segoe UI Light"/>
                <w:b/>
                <w:bCs/>
                <w:sz w:val="16"/>
                <w:szCs w:val="16"/>
              </w:rPr>
              <w:t>3</w:t>
            </w:r>
          </w:p>
        </w:tc>
      </w:tr>
      <w:tr w:rsidR="00B018CB" w:rsidRPr="00D829F0" w14:paraId="737D272B" w14:textId="77777777" w:rsidTr="003D13BA">
        <w:tc>
          <w:tcPr>
            <w:tcW w:w="1885" w:type="pct"/>
            <w:shd w:val="clear" w:color="auto" w:fill="auto"/>
          </w:tcPr>
          <w:p w14:paraId="00DD7FB6" w14:textId="77777777" w:rsidR="000E509C" w:rsidRPr="00CC23F8" w:rsidRDefault="000E509C" w:rsidP="000E509C">
            <w:pPr>
              <w:spacing w:before="40" w:after="40"/>
              <w:ind w:left="142"/>
              <w:rPr>
                <w:rFonts w:ascii="Segoe UI Light" w:eastAsia="Arial Unicode MS" w:hAnsi="Segoe UI Light"/>
                <w:sz w:val="16"/>
                <w:szCs w:val="20"/>
              </w:rPr>
            </w:pPr>
            <w:r w:rsidRPr="00CC23F8">
              <w:rPr>
                <w:rFonts w:ascii="Segoe UI Light" w:hAnsi="Segoe UI Light"/>
                <w:sz w:val="16"/>
                <w:szCs w:val="20"/>
                <w:lang w:eastAsia="lv-LV"/>
              </w:rPr>
              <w:t>Iekārtu un mašīnu operatori</w:t>
            </w:r>
          </w:p>
        </w:tc>
        <w:tc>
          <w:tcPr>
            <w:tcW w:w="325" w:type="pct"/>
            <w:shd w:val="clear" w:color="auto" w:fill="auto"/>
          </w:tcPr>
          <w:p w14:paraId="4C792835" w14:textId="26EAA420"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0</w:t>
            </w:r>
          </w:p>
        </w:tc>
        <w:tc>
          <w:tcPr>
            <w:tcW w:w="326" w:type="pct"/>
            <w:shd w:val="clear" w:color="auto" w:fill="auto"/>
          </w:tcPr>
          <w:p w14:paraId="5F0850D8" w14:textId="334BE7CD"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2</w:t>
            </w:r>
            <w:r w:rsidR="00F80859">
              <w:rPr>
                <w:rFonts w:ascii="Segoe UI Light" w:hAnsi="Segoe UI Light" w:cs="Segoe UI Light"/>
                <w:sz w:val="16"/>
                <w:szCs w:val="16"/>
              </w:rPr>
              <w:t>,</w:t>
            </w:r>
            <w:r w:rsidR="00F80859" w:rsidRPr="00F80859">
              <w:rPr>
                <w:rFonts w:ascii="Segoe UI Light" w:hAnsi="Segoe UI Light" w:cs="Segoe UI Light"/>
                <w:sz w:val="16"/>
                <w:szCs w:val="16"/>
              </w:rPr>
              <w:t>3</w:t>
            </w:r>
          </w:p>
        </w:tc>
        <w:tc>
          <w:tcPr>
            <w:tcW w:w="326" w:type="pct"/>
            <w:shd w:val="clear" w:color="auto" w:fill="auto"/>
          </w:tcPr>
          <w:p w14:paraId="5D1260BC" w14:textId="19FE8046"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0</w:t>
            </w:r>
          </w:p>
        </w:tc>
        <w:tc>
          <w:tcPr>
            <w:tcW w:w="326" w:type="pct"/>
            <w:shd w:val="clear" w:color="auto" w:fill="auto"/>
          </w:tcPr>
          <w:p w14:paraId="2515E636" w14:textId="318197C9"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3</w:t>
            </w:r>
          </w:p>
        </w:tc>
        <w:tc>
          <w:tcPr>
            <w:tcW w:w="398" w:type="pct"/>
            <w:shd w:val="clear" w:color="auto" w:fill="auto"/>
          </w:tcPr>
          <w:p w14:paraId="542D7E42" w14:textId="0BB274AE"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1</w:t>
            </w:r>
          </w:p>
        </w:tc>
        <w:tc>
          <w:tcPr>
            <w:tcW w:w="326" w:type="pct"/>
            <w:shd w:val="clear" w:color="auto" w:fill="auto"/>
          </w:tcPr>
          <w:p w14:paraId="70517F3E" w14:textId="3425D654"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1</w:t>
            </w:r>
            <w:r w:rsidR="000E509C" w:rsidRPr="00CC23F8">
              <w:rPr>
                <w:rFonts w:ascii="Segoe UI Light" w:hAnsi="Segoe UI Light" w:cs="Segoe UI Light"/>
                <w:sz w:val="16"/>
                <w:szCs w:val="16"/>
              </w:rPr>
              <w:t>,1</w:t>
            </w:r>
          </w:p>
        </w:tc>
        <w:tc>
          <w:tcPr>
            <w:tcW w:w="326" w:type="pct"/>
            <w:shd w:val="clear" w:color="auto" w:fill="auto"/>
          </w:tcPr>
          <w:p w14:paraId="018B627E" w14:textId="4052BCC8"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sidRPr="00F80859">
              <w:rPr>
                <w:rFonts w:ascii="Segoe UI Light" w:hAnsi="Segoe UI Light" w:cs="Segoe UI Light"/>
                <w:sz w:val="16"/>
                <w:szCs w:val="16"/>
              </w:rPr>
              <w:t>9</w:t>
            </w:r>
          </w:p>
        </w:tc>
        <w:tc>
          <w:tcPr>
            <w:tcW w:w="385" w:type="pct"/>
            <w:shd w:val="clear" w:color="auto" w:fill="auto"/>
          </w:tcPr>
          <w:p w14:paraId="5B4E1DB7" w14:textId="2C14FCE9" w:rsidR="000E509C" w:rsidRPr="00CC23F8" w:rsidRDefault="00F80859" w:rsidP="000E509C">
            <w:pPr>
              <w:tabs>
                <w:tab w:val="decimal" w:pos="218"/>
              </w:tabs>
              <w:spacing w:before="40" w:after="40"/>
              <w:rPr>
                <w:rFonts w:ascii="Segoe UI Light" w:hAnsi="Segoe UI Light" w:cs="Segoe UI Light"/>
                <w:sz w:val="16"/>
                <w:szCs w:val="16"/>
              </w:rPr>
            </w:pPr>
            <w:r w:rsidRPr="00F80859">
              <w:rPr>
                <w:rFonts w:ascii="Segoe UI Light" w:hAnsi="Segoe UI Light" w:cs="Segoe UI Light"/>
                <w:sz w:val="16"/>
                <w:szCs w:val="16"/>
              </w:rPr>
              <w:t>-</w:t>
            </w:r>
            <w:r w:rsidR="000E509C" w:rsidRPr="00CC23F8">
              <w:rPr>
                <w:rFonts w:ascii="Segoe UI Light" w:hAnsi="Segoe UI Light" w:cs="Segoe UI Light"/>
                <w:sz w:val="16"/>
                <w:szCs w:val="16"/>
              </w:rPr>
              <w:t>0,1</w:t>
            </w:r>
          </w:p>
        </w:tc>
        <w:tc>
          <w:tcPr>
            <w:tcW w:w="374" w:type="pct"/>
            <w:shd w:val="clear" w:color="auto" w:fill="auto"/>
          </w:tcPr>
          <w:p w14:paraId="5ED6DA2F" w14:textId="2C408E76" w:rsidR="000E509C" w:rsidRPr="00F80859"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4</w:t>
            </w:r>
            <w:r>
              <w:rPr>
                <w:rFonts w:ascii="Segoe UI Light" w:hAnsi="Segoe UI Light" w:cs="Segoe UI Light"/>
                <w:b/>
                <w:bCs/>
                <w:sz w:val="16"/>
                <w:szCs w:val="16"/>
              </w:rPr>
              <w:t>,</w:t>
            </w:r>
            <w:r w:rsidRPr="00F80859">
              <w:rPr>
                <w:rFonts w:ascii="Segoe UI Light" w:hAnsi="Segoe UI Light" w:cs="Segoe UI Light"/>
                <w:b/>
                <w:bCs/>
                <w:sz w:val="16"/>
                <w:szCs w:val="16"/>
              </w:rPr>
              <w:t>6</w:t>
            </w:r>
          </w:p>
        </w:tc>
      </w:tr>
      <w:tr w:rsidR="00B018CB" w:rsidRPr="00D829F0" w14:paraId="33C43370" w14:textId="77777777" w:rsidTr="003D13BA">
        <w:trPr>
          <w:cnfStyle w:val="000000100000" w:firstRow="0" w:lastRow="0" w:firstColumn="0" w:lastColumn="0" w:oddVBand="0" w:evenVBand="0" w:oddHBand="1" w:evenHBand="0" w:firstRowFirstColumn="0" w:firstRowLastColumn="0" w:lastRowFirstColumn="0" w:lastRowLastColumn="0"/>
        </w:trPr>
        <w:tc>
          <w:tcPr>
            <w:tcW w:w="1885" w:type="pct"/>
            <w:shd w:val="clear" w:color="auto" w:fill="DCE7EB"/>
          </w:tcPr>
          <w:p w14:paraId="2354A49E" w14:textId="77777777" w:rsidR="000E509C" w:rsidRPr="00CC23F8" w:rsidRDefault="000E509C" w:rsidP="000E509C">
            <w:pPr>
              <w:spacing w:before="40" w:after="40"/>
              <w:rPr>
                <w:rFonts w:ascii="Segoe UI Light" w:hAnsi="Segoe UI Light"/>
                <w:sz w:val="16"/>
                <w:szCs w:val="20"/>
                <w:lang w:eastAsia="lv-LV"/>
              </w:rPr>
            </w:pPr>
            <w:r w:rsidRPr="00CC23F8">
              <w:rPr>
                <w:rFonts w:ascii="Segoe UI Light" w:hAnsi="Segoe UI Light"/>
                <w:sz w:val="16"/>
                <w:szCs w:val="20"/>
                <w:lang w:eastAsia="lv-LV"/>
              </w:rPr>
              <w:t>Zemas kvalifikācijas profesijas</w:t>
            </w:r>
          </w:p>
        </w:tc>
        <w:tc>
          <w:tcPr>
            <w:tcW w:w="325" w:type="pct"/>
            <w:shd w:val="clear" w:color="auto" w:fill="DCE7EB"/>
          </w:tcPr>
          <w:p w14:paraId="013C0EF4" w14:textId="52DBA6A1"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-3,</w:t>
            </w:r>
            <w:r w:rsidR="00F80859" w:rsidRPr="00F80859">
              <w:rPr>
                <w:rFonts w:ascii="Segoe UI Light" w:hAnsi="Segoe UI Light" w:cs="Segoe UI Light"/>
                <w:sz w:val="16"/>
                <w:szCs w:val="16"/>
              </w:rPr>
              <w:t>3</w:t>
            </w:r>
          </w:p>
        </w:tc>
        <w:tc>
          <w:tcPr>
            <w:tcW w:w="326" w:type="pct"/>
            <w:shd w:val="clear" w:color="auto" w:fill="DCE7EB"/>
          </w:tcPr>
          <w:p w14:paraId="78165A0A" w14:textId="07C9E321"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5</w:t>
            </w:r>
            <w:r w:rsidR="00F80859">
              <w:rPr>
                <w:rFonts w:ascii="Segoe UI Light" w:hAnsi="Segoe UI Light" w:cs="Segoe UI Light"/>
                <w:sz w:val="16"/>
                <w:szCs w:val="16"/>
              </w:rPr>
              <w:t>,</w:t>
            </w:r>
            <w:r w:rsidRPr="00CC23F8">
              <w:rPr>
                <w:rFonts w:ascii="Segoe UI Light" w:hAnsi="Segoe UI Light" w:cs="Segoe UI Light"/>
                <w:sz w:val="16"/>
                <w:szCs w:val="16"/>
              </w:rPr>
              <w:t>6</w:t>
            </w:r>
          </w:p>
        </w:tc>
        <w:tc>
          <w:tcPr>
            <w:tcW w:w="326" w:type="pct"/>
            <w:shd w:val="clear" w:color="auto" w:fill="DCE7EB"/>
          </w:tcPr>
          <w:p w14:paraId="0C8922B4" w14:textId="16EBE9B9"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-0</w:t>
            </w:r>
            <w:r w:rsidR="00F80859">
              <w:rPr>
                <w:rFonts w:ascii="Segoe UI Light" w:hAnsi="Segoe UI Light" w:cs="Segoe UI Light"/>
                <w:sz w:val="16"/>
                <w:szCs w:val="16"/>
              </w:rPr>
              <w:t>,</w:t>
            </w:r>
            <w:r w:rsidR="00F80859" w:rsidRPr="00F80859">
              <w:rPr>
                <w:rFonts w:ascii="Segoe UI Light" w:hAnsi="Segoe UI Light" w:cs="Segoe UI Light"/>
                <w:sz w:val="16"/>
                <w:szCs w:val="16"/>
              </w:rPr>
              <w:t>9</w:t>
            </w:r>
          </w:p>
        </w:tc>
        <w:tc>
          <w:tcPr>
            <w:tcW w:w="326" w:type="pct"/>
            <w:shd w:val="clear" w:color="auto" w:fill="DCE7EB"/>
          </w:tcPr>
          <w:p w14:paraId="04051628" w14:textId="7C310051"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1</w:t>
            </w:r>
            <w:r w:rsidR="00F80859">
              <w:rPr>
                <w:rFonts w:ascii="Segoe UI Light" w:hAnsi="Segoe UI Light" w:cs="Segoe UI Light"/>
                <w:sz w:val="16"/>
                <w:szCs w:val="16"/>
              </w:rPr>
              <w:t>,</w:t>
            </w:r>
            <w:r w:rsidR="00F80859" w:rsidRPr="00F80859">
              <w:rPr>
                <w:rFonts w:ascii="Segoe UI Light" w:hAnsi="Segoe UI Light" w:cs="Segoe UI Light"/>
                <w:sz w:val="16"/>
                <w:szCs w:val="16"/>
              </w:rPr>
              <w:t>5</w:t>
            </w:r>
          </w:p>
        </w:tc>
        <w:tc>
          <w:tcPr>
            <w:tcW w:w="398" w:type="pct"/>
            <w:shd w:val="clear" w:color="auto" w:fill="DCE7EB"/>
          </w:tcPr>
          <w:p w14:paraId="522FA9F0" w14:textId="5E9E2179"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7</w:t>
            </w:r>
            <w:r w:rsidR="00F80859">
              <w:rPr>
                <w:rFonts w:ascii="Segoe UI Light" w:hAnsi="Segoe UI Light" w:cs="Segoe UI Light"/>
                <w:sz w:val="16"/>
                <w:szCs w:val="16"/>
              </w:rPr>
              <w:t>,</w:t>
            </w:r>
            <w:r w:rsidR="00F80859" w:rsidRPr="00F80859">
              <w:rPr>
                <w:rFonts w:ascii="Segoe UI Light" w:hAnsi="Segoe UI Light" w:cs="Segoe UI Light"/>
                <w:sz w:val="16"/>
                <w:szCs w:val="16"/>
              </w:rPr>
              <w:t>6</w:t>
            </w:r>
          </w:p>
        </w:tc>
        <w:tc>
          <w:tcPr>
            <w:tcW w:w="326" w:type="pct"/>
            <w:shd w:val="clear" w:color="auto" w:fill="DCE7EB"/>
          </w:tcPr>
          <w:p w14:paraId="099738E1" w14:textId="3A60CBAC"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-2,</w:t>
            </w:r>
            <w:r w:rsidR="00F80859" w:rsidRPr="00F80859">
              <w:rPr>
                <w:rFonts w:ascii="Segoe UI Light" w:hAnsi="Segoe UI Light" w:cs="Segoe UI Light"/>
                <w:sz w:val="16"/>
                <w:szCs w:val="16"/>
              </w:rPr>
              <w:t>0</w:t>
            </w:r>
          </w:p>
        </w:tc>
        <w:tc>
          <w:tcPr>
            <w:tcW w:w="326" w:type="pct"/>
            <w:shd w:val="clear" w:color="auto" w:fill="DCE7EB"/>
          </w:tcPr>
          <w:p w14:paraId="096DB74E" w14:textId="74EDC2C1"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2</w:t>
            </w:r>
            <w:r w:rsidR="00F80859">
              <w:rPr>
                <w:rFonts w:ascii="Segoe UI Light" w:hAnsi="Segoe UI Light" w:cs="Segoe UI Light"/>
                <w:sz w:val="16"/>
                <w:szCs w:val="16"/>
              </w:rPr>
              <w:t>,</w:t>
            </w:r>
            <w:r w:rsidR="00F80859" w:rsidRPr="00F80859">
              <w:rPr>
                <w:rFonts w:ascii="Segoe UI Light" w:hAnsi="Segoe UI Light" w:cs="Segoe UI Light"/>
                <w:sz w:val="16"/>
                <w:szCs w:val="16"/>
              </w:rPr>
              <w:t>9</w:t>
            </w:r>
          </w:p>
        </w:tc>
        <w:tc>
          <w:tcPr>
            <w:tcW w:w="385" w:type="pct"/>
            <w:shd w:val="clear" w:color="auto" w:fill="DCE7EB"/>
          </w:tcPr>
          <w:p w14:paraId="511DDB37" w14:textId="430FF38A" w:rsidR="000E509C" w:rsidRPr="00CC23F8" w:rsidRDefault="000E509C" w:rsidP="000E509C">
            <w:pPr>
              <w:tabs>
                <w:tab w:val="decimal" w:pos="218"/>
              </w:tabs>
              <w:spacing w:before="40" w:after="40"/>
              <w:rPr>
                <w:rFonts w:ascii="Segoe UI Light" w:hAnsi="Segoe UI Light" w:cs="Segoe UI Light"/>
                <w:sz w:val="16"/>
                <w:szCs w:val="16"/>
              </w:rPr>
            </w:pPr>
            <w:r w:rsidRPr="00CC23F8">
              <w:rPr>
                <w:rFonts w:ascii="Segoe UI Light" w:hAnsi="Segoe UI Light" w:cs="Segoe UI Light"/>
                <w:sz w:val="16"/>
                <w:szCs w:val="16"/>
              </w:rPr>
              <w:t>-</w:t>
            </w:r>
            <w:r w:rsidR="00F80859" w:rsidRPr="00F80859">
              <w:rPr>
                <w:rFonts w:ascii="Segoe UI Light" w:hAnsi="Segoe UI Light" w:cs="Segoe UI Light"/>
                <w:sz w:val="16"/>
                <w:szCs w:val="16"/>
              </w:rPr>
              <w:t>5</w:t>
            </w:r>
            <w:r w:rsidR="00F80859">
              <w:rPr>
                <w:rFonts w:ascii="Segoe UI Light" w:hAnsi="Segoe UI Light" w:cs="Segoe UI Light"/>
                <w:sz w:val="16"/>
                <w:szCs w:val="16"/>
              </w:rPr>
              <w:t>,</w:t>
            </w:r>
            <w:r w:rsidR="00F80859" w:rsidRPr="00F80859">
              <w:rPr>
                <w:rFonts w:ascii="Segoe UI Light" w:hAnsi="Segoe UI Light" w:cs="Segoe UI Light"/>
                <w:sz w:val="16"/>
                <w:szCs w:val="16"/>
              </w:rPr>
              <w:t>3</w:t>
            </w:r>
          </w:p>
        </w:tc>
        <w:tc>
          <w:tcPr>
            <w:tcW w:w="374" w:type="pct"/>
            <w:shd w:val="clear" w:color="auto" w:fill="DCE7EB"/>
          </w:tcPr>
          <w:p w14:paraId="016FA972" w14:textId="2D53C13D" w:rsidR="000E509C" w:rsidRPr="00F80859"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-28</w:t>
            </w:r>
            <w:r>
              <w:rPr>
                <w:rFonts w:ascii="Segoe UI Light" w:hAnsi="Segoe UI Light" w:cs="Segoe UI Light"/>
                <w:b/>
                <w:bCs/>
                <w:sz w:val="16"/>
                <w:szCs w:val="16"/>
              </w:rPr>
              <w:t>,</w:t>
            </w:r>
            <w:r w:rsidRPr="00F80859">
              <w:rPr>
                <w:rFonts w:ascii="Segoe UI Light" w:hAnsi="Segoe UI Light" w:cs="Segoe UI Light"/>
                <w:b/>
                <w:bCs/>
                <w:sz w:val="16"/>
                <w:szCs w:val="16"/>
              </w:rPr>
              <w:t>9</w:t>
            </w:r>
          </w:p>
        </w:tc>
      </w:tr>
      <w:tr w:rsidR="00B018CB" w:rsidRPr="00D829F0" w14:paraId="2C492164" w14:textId="77777777" w:rsidTr="003D13BA">
        <w:tc>
          <w:tcPr>
            <w:tcW w:w="1885" w:type="pct"/>
            <w:shd w:val="clear" w:color="auto" w:fill="auto"/>
          </w:tcPr>
          <w:p w14:paraId="08F60BEF" w14:textId="77777777" w:rsidR="000E509C" w:rsidRPr="00CC23F8" w:rsidRDefault="000E509C" w:rsidP="000E509C">
            <w:pPr>
              <w:spacing w:before="40" w:after="40"/>
              <w:rPr>
                <w:rFonts w:ascii="Segoe UI Light" w:eastAsia="Arial Unicode MS" w:hAnsi="Segoe UI Light"/>
                <w:b/>
                <w:sz w:val="16"/>
                <w:szCs w:val="16"/>
              </w:rPr>
            </w:pPr>
            <w:r w:rsidRPr="00CC23F8">
              <w:rPr>
                <w:rFonts w:ascii="Segoe UI Light" w:eastAsia="Arial Unicode MS" w:hAnsi="Segoe UI Light"/>
                <w:b/>
                <w:sz w:val="16"/>
                <w:szCs w:val="16"/>
              </w:rPr>
              <w:t>Kopā</w:t>
            </w:r>
          </w:p>
        </w:tc>
        <w:tc>
          <w:tcPr>
            <w:tcW w:w="325" w:type="pct"/>
            <w:shd w:val="clear" w:color="auto" w:fill="auto"/>
          </w:tcPr>
          <w:p w14:paraId="6234904C" w14:textId="20D8425B" w:rsidR="000E509C" w:rsidRPr="00CC23F8" w:rsidRDefault="000E509C" w:rsidP="000E509C">
            <w:pPr>
              <w:tabs>
                <w:tab w:val="decimal" w:pos="218"/>
              </w:tabs>
              <w:spacing w:before="40" w:after="40"/>
              <w:rPr>
                <w:rFonts w:ascii="Segoe UI Light" w:hAnsi="Segoe UI Light" w:cs="Segoe UI Light"/>
                <w:b/>
                <w:sz w:val="16"/>
                <w:szCs w:val="16"/>
              </w:rPr>
            </w:pPr>
            <w:r w:rsidRPr="00CC23F8">
              <w:rPr>
                <w:rFonts w:ascii="Segoe UI Light" w:hAnsi="Segoe UI Light" w:cs="Segoe UI Light"/>
                <w:b/>
                <w:sz w:val="16"/>
                <w:szCs w:val="16"/>
              </w:rPr>
              <w:t>-</w:t>
            </w:r>
            <w:r w:rsidR="00F80859" w:rsidRPr="00F80859">
              <w:rPr>
                <w:rFonts w:ascii="Segoe UI Light" w:hAnsi="Segoe UI Light" w:cs="Segoe UI Light"/>
                <w:b/>
                <w:bCs/>
                <w:sz w:val="16"/>
                <w:szCs w:val="16"/>
              </w:rPr>
              <w:t>5</w:t>
            </w:r>
            <w:r w:rsidR="00F80859">
              <w:rPr>
                <w:rFonts w:ascii="Segoe UI Light" w:hAnsi="Segoe UI Light" w:cs="Segoe UI Light"/>
                <w:b/>
                <w:bCs/>
                <w:sz w:val="16"/>
                <w:szCs w:val="16"/>
              </w:rPr>
              <w:t>,</w:t>
            </w:r>
            <w:r w:rsidR="00F80859" w:rsidRPr="00F80859">
              <w:rPr>
                <w:rFonts w:ascii="Segoe UI Light" w:hAnsi="Segoe UI Light" w:cs="Segoe UI Light"/>
                <w:b/>
                <w:bCs/>
                <w:sz w:val="16"/>
                <w:szCs w:val="16"/>
              </w:rPr>
              <w:t>1</w:t>
            </w:r>
          </w:p>
        </w:tc>
        <w:tc>
          <w:tcPr>
            <w:tcW w:w="326" w:type="pct"/>
            <w:shd w:val="clear" w:color="auto" w:fill="auto"/>
          </w:tcPr>
          <w:p w14:paraId="1590AC36" w14:textId="0F32BB78" w:rsidR="000E509C" w:rsidRPr="00CC23F8"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2</w:t>
            </w:r>
            <w:r>
              <w:rPr>
                <w:rFonts w:ascii="Segoe UI Light" w:hAnsi="Segoe UI Light" w:cs="Segoe UI Light"/>
                <w:b/>
                <w:bCs/>
                <w:sz w:val="16"/>
                <w:szCs w:val="16"/>
              </w:rPr>
              <w:t>,</w:t>
            </w:r>
            <w:r w:rsidRPr="00F80859">
              <w:rPr>
                <w:rFonts w:ascii="Segoe UI Light" w:hAnsi="Segoe UI Light" w:cs="Segoe UI Light"/>
                <w:b/>
                <w:bCs/>
                <w:sz w:val="16"/>
                <w:szCs w:val="16"/>
              </w:rPr>
              <w:t>8</w:t>
            </w:r>
          </w:p>
        </w:tc>
        <w:tc>
          <w:tcPr>
            <w:tcW w:w="326" w:type="pct"/>
            <w:shd w:val="clear" w:color="auto" w:fill="auto"/>
          </w:tcPr>
          <w:p w14:paraId="6A2B4152" w14:textId="6C450C6F" w:rsidR="000E509C" w:rsidRPr="00CC23F8"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2</w:t>
            </w:r>
            <w:r>
              <w:rPr>
                <w:rFonts w:ascii="Segoe UI Light" w:hAnsi="Segoe UI Light" w:cs="Segoe UI Light"/>
                <w:b/>
                <w:bCs/>
                <w:sz w:val="16"/>
                <w:szCs w:val="16"/>
              </w:rPr>
              <w:t>,</w:t>
            </w:r>
            <w:r w:rsidR="000E509C" w:rsidRPr="00CC23F8">
              <w:rPr>
                <w:rFonts w:ascii="Segoe UI Light" w:hAnsi="Segoe UI Light" w:cs="Segoe UI Light"/>
                <w:b/>
                <w:sz w:val="16"/>
                <w:szCs w:val="16"/>
              </w:rPr>
              <w:t>0</w:t>
            </w:r>
          </w:p>
        </w:tc>
        <w:tc>
          <w:tcPr>
            <w:tcW w:w="326" w:type="pct"/>
            <w:shd w:val="clear" w:color="auto" w:fill="auto"/>
          </w:tcPr>
          <w:p w14:paraId="1875DF5A" w14:textId="4B49BF95" w:rsidR="000E509C" w:rsidRPr="00CC23F8"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10</w:t>
            </w:r>
            <w:r>
              <w:rPr>
                <w:rFonts w:ascii="Segoe UI Light" w:hAnsi="Segoe UI Light" w:cs="Segoe UI Light"/>
                <w:b/>
                <w:bCs/>
                <w:sz w:val="16"/>
                <w:szCs w:val="16"/>
              </w:rPr>
              <w:t>,</w:t>
            </w:r>
            <w:r w:rsidRPr="00F80859">
              <w:rPr>
                <w:rFonts w:ascii="Segoe UI Light" w:hAnsi="Segoe UI Light" w:cs="Segoe UI Light"/>
                <w:b/>
                <w:bCs/>
                <w:sz w:val="16"/>
                <w:szCs w:val="16"/>
              </w:rPr>
              <w:t>8</w:t>
            </w:r>
          </w:p>
        </w:tc>
        <w:tc>
          <w:tcPr>
            <w:tcW w:w="398" w:type="pct"/>
            <w:shd w:val="clear" w:color="auto" w:fill="auto"/>
          </w:tcPr>
          <w:p w14:paraId="7D063D22" w14:textId="42238E26" w:rsidR="000E509C" w:rsidRPr="00CC23F8"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-21</w:t>
            </w:r>
            <w:r>
              <w:rPr>
                <w:rFonts w:ascii="Segoe UI Light" w:hAnsi="Segoe UI Light" w:cs="Segoe UI Light"/>
                <w:b/>
                <w:bCs/>
                <w:sz w:val="16"/>
                <w:szCs w:val="16"/>
              </w:rPr>
              <w:t>,</w:t>
            </w:r>
            <w:r w:rsidRPr="00F80859">
              <w:rPr>
                <w:rFonts w:ascii="Segoe UI Light" w:hAnsi="Segoe UI Light" w:cs="Segoe UI Light"/>
                <w:b/>
                <w:bCs/>
                <w:sz w:val="16"/>
                <w:szCs w:val="16"/>
              </w:rPr>
              <w:t>6</w:t>
            </w:r>
          </w:p>
        </w:tc>
        <w:tc>
          <w:tcPr>
            <w:tcW w:w="326" w:type="pct"/>
            <w:shd w:val="clear" w:color="auto" w:fill="auto"/>
          </w:tcPr>
          <w:p w14:paraId="73643F74" w14:textId="53808EE0" w:rsidR="000E509C" w:rsidRPr="00CC23F8"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1</w:t>
            </w:r>
            <w:r>
              <w:rPr>
                <w:rFonts w:ascii="Segoe UI Light" w:hAnsi="Segoe UI Light" w:cs="Segoe UI Light"/>
                <w:b/>
                <w:bCs/>
                <w:sz w:val="16"/>
                <w:szCs w:val="16"/>
              </w:rPr>
              <w:t>,</w:t>
            </w:r>
            <w:r w:rsidRPr="00F80859">
              <w:rPr>
                <w:rFonts w:ascii="Segoe UI Light" w:hAnsi="Segoe UI Light" w:cs="Segoe UI Light"/>
                <w:b/>
                <w:bCs/>
                <w:sz w:val="16"/>
                <w:szCs w:val="16"/>
              </w:rPr>
              <w:t>3</w:t>
            </w:r>
          </w:p>
        </w:tc>
        <w:tc>
          <w:tcPr>
            <w:tcW w:w="326" w:type="pct"/>
            <w:shd w:val="clear" w:color="auto" w:fill="auto"/>
          </w:tcPr>
          <w:p w14:paraId="67E339F4" w14:textId="4D1D242C" w:rsidR="000E509C" w:rsidRPr="00CC23F8"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29</w:t>
            </w:r>
            <w:r>
              <w:rPr>
                <w:rFonts w:ascii="Segoe UI Light" w:hAnsi="Segoe UI Light" w:cs="Segoe UI Light"/>
                <w:b/>
                <w:bCs/>
                <w:sz w:val="16"/>
                <w:szCs w:val="16"/>
              </w:rPr>
              <w:t>,</w:t>
            </w:r>
            <w:r w:rsidRPr="00F80859">
              <w:rPr>
                <w:rFonts w:ascii="Segoe UI Light" w:hAnsi="Segoe UI Light" w:cs="Segoe UI Light"/>
                <w:b/>
                <w:bCs/>
                <w:sz w:val="16"/>
                <w:szCs w:val="16"/>
              </w:rPr>
              <w:t>3</w:t>
            </w:r>
          </w:p>
        </w:tc>
        <w:tc>
          <w:tcPr>
            <w:tcW w:w="385" w:type="pct"/>
            <w:shd w:val="clear" w:color="auto" w:fill="auto"/>
          </w:tcPr>
          <w:p w14:paraId="13332660" w14:textId="41914924" w:rsidR="000E509C" w:rsidRPr="00CC23F8"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-13</w:t>
            </w:r>
            <w:r>
              <w:rPr>
                <w:rFonts w:ascii="Segoe UI Light" w:hAnsi="Segoe UI Light" w:cs="Segoe UI Light"/>
                <w:b/>
                <w:bCs/>
                <w:sz w:val="16"/>
                <w:szCs w:val="16"/>
              </w:rPr>
              <w:t>,</w:t>
            </w:r>
            <w:r w:rsidRPr="00F80859">
              <w:rPr>
                <w:rFonts w:ascii="Segoe UI Light" w:hAnsi="Segoe UI Light" w:cs="Segoe UI Light"/>
                <w:b/>
                <w:bCs/>
                <w:sz w:val="16"/>
                <w:szCs w:val="16"/>
              </w:rPr>
              <w:t>3</w:t>
            </w:r>
          </w:p>
        </w:tc>
        <w:tc>
          <w:tcPr>
            <w:tcW w:w="374" w:type="pct"/>
            <w:shd w:val="clear" w:color="auto" w:fill="auto"/>
          </w:tcPr>
          <w:p w14:paraId="2C53F775" w14:textId="5A6C2682" w:rsidR="000E509C" w:rsidRPr="00CC23F8" w:rsidRDefault="00F80859" w:rsidP="000E509C">
            <w:pPr>
              <w:tabs>
                <w:tab w:val="decimal" w:pos="218"/>
              </w:tabs>
              <w:spacing w:before="40" w:after="40"/>
              <w:rPr>
                <w:rFonts w:ascii="Segoe UI Light" w:hAnsi="Segoe UI Light" w:cs="Segoe UI Light"/>
                <w:b/>
                <w:sz w:val="16"/>
                <w:szCs w:val="16"/>
              </w:rPr>
            </w:pPr>
            <w:r w:rsidRPr="00F80859">
              <w:rPr>
                <w:rFonts w:ascii="Segoe UI Light" w:hAnsi="Segoe UI Light" w:cs="Segoe UI Light"/>
                <w:b/>
                <w:bCs/>
                <w:sz w:val="16"/>
                <w:szCs w:val="16"/>
              </w:rPr>
              <w:t>6</w:t>
            </w:r>
            <w:r>
              <w:rPr>
                <w:rFonts w:ascii="Segoe UI Light" w:hAnsi="Segoe UI Light" w:cs="Segoe UI Light"/>
                <w:b/>
                <w:bCs/>
                <w:sz w:val="16"/>
                <w:szCs w:val="16"/>
              </w:rPr>
              <w:t>,</w:t>
            </w:r>
            <w:r w:rsidRPr="00F80859">
              <w:rPr>
                <w:rFonts w:ascii="Segoe UI Light" w:hAnsi="Segoe UI Light" w:cs="Segoe UI Light"/>
                <w:b/>
                <w:bCs/>
                <w:sz w:val="16"/>
                <w:szCs w:val="16"/>
              </w:rPr>
              <w:t>3</w:t>
            </w:r>
          </w:p>
        </w:tc>
      </w:tr>
    </w:tbl>
    <w:p w14:paraId="0C92C3A9" w14:textId="182C52B2" w:rsidR="009A0130" w:rsidRPr="00D829F0" w:rsidRDefault="009A0130" w:rsidP="000E509C">
      <w:pPr>
        <w:spacing w:before="120" w:after="120"/>
        <w:jc w:val="both"/>
        <w:rPr>
          <w:rFonts w:ascii="Source Sans Pro" w:hAnsi="Source Sans Pro" w:cs="Calibri Light"/>
          <w:sz w:val="16"/>
          <w:szCs w:val="14"/>
        </w:rPr>
      </w:pPr>
      <w:r w:rsidRPr="00D829F0">
        <w:rPr>
          <w:rFonts w:ascii="Source Sans Pro" w:hAnsi="Source Sans Pro" w:cs="Calibri Light"/>
          <w:sz w:val="16"/>
          <w:szCs w:val="14"/>
        </w:rPr>
        <w:t>Avots: EM prognozes</w:t>
      </w:r>
    </w:p>
    <w:p w14:paraId="5D789720" w14:textId="77777777" w:rsidR="000E509C" w:rsidRPr="00D829F0" w:rsidRDefault="000E509C" w:rsidP="00591BC7">
      <w:pPr>
        <w:spacing w:after="120"/>
        <w:jc w:val="both"/>
        <w:rPr>
          <w:rFonts w:ascii="Source Sans Pro" w:hAnsi="Source Sans Pro"/>
        </w:rPr>
      </w:pPr>
    </w:p>
    <w:p w14:paraId="1D935F61" w14:textId="77777777" w:rsidR="00357EC8" w:rsidRPr="00D829F0" w:rsidRDefault="00357EC8" w:rsidP="00357EC8">
      <w:pPr>
        <w:spacing w:after="120"/>
        <w:jc w:val="both"/>
        <w:rPr>
          <w:rFonts w:ascii="Source Sans Pro" w:hAnsi="Source Sans Pro"/>
          <w:szCs w:val="20"/>
        </w:rPr>
      </w:pPr>
      <w:r w:rsidRPr="00D829F0">
        <w:rPr>
          <w:rFonts w:ascii="Source Sans Pro" w:hAnsi="Source Sans Pro"/>
          <w:szCs w:val="20"/>
        </w:rPr>
        <w:t>Visstraujākais darbaspēka pieprasījuma kritums būs zemas kvalifikācijas profesijās. Tas skars visas nozares. Ņemot vērā demogrāfijas tendences, atbilstošās kvalifikācijas darbaspēka piedāvājums nākotnē varētu būtiski sarukt, līdz ar to profesionālās vidējās izglītības loma aizvien pieaugs.</w:t>
      </w:r>
    </w:p>
    <w:p w14:paraId="230DD4D3" w14:textId="77777777" w:rsidR="001368CB" w:rsidRPr="00D829F0" w:rsidRDefault="001368CB" w:rsidP="001368CB">
      <w:pPr>
        <w:spacing w:after="120"/>
        <w:jc w:val="both"/>
        <w:rPr>
          <w:rFonts w:ascii="Source Sans Pro" w:hAnsi="Source Sans Pro"/>
        </w:rPr>
      </w:pPr>
      <w:r w:rsidRPr="00D829F0">
        <w:rPr>
          <w:rFonts w:ascii="Source Sans Pro" w:hAnsi="Source Sans Pro"/>
        </w:rPr>
        <w:t>Nākamajos gados darba iespējas galvenokārt veidosies dēļ aizvietojošā pieprasījuma, esošajam darbaspēkam pensionējoties vai atstājot darba tirgu. Demogrāfijas tendences un pensionēšanās vecums ir galvenie faktori, kas ietekmē darba tirgu pametušo iedzīvotāju skaita izmaiņas un aizvietojošā darbaspēka pieprasījuma pieaugumu. Sagaidāms, ka līdz 2040.</w:t>
      </w:r>
      <w:r>
        <w:rPr>
          <w:rFonts w:ascii="Source Sans Pro" w:hAnsi="Source Sans Pro"/>
        </w:rPr>
        <w:t> </w:t>
      </w:r>
      <w:r w:rsidRPr="00D829F0">
        <w:rPr>
          <w:rFonts w:ascii="Source Sans Pro" w:hAnsi="Source Sans Pro"/>
        </w:rPr>
        <w:t>gadam dēļ darbaspēka novecošanās un iziešanas no darba tirgus var atbrīvoties aptuveni 243,5</w:t>
      </w:r>
      <w:r>
        <w:rPr>
          <w:rFonts w:ascii="Source Sans Pro" w:hAnsi="Source Sans Pro"/>
        </w:rPr>
        <w:t> </w:t>
      </w:r>
      <w:r w:rsidRPr="00D829F0">
        <w:rPr>
          <w:rFonts w:ascii="Source Sans Pro" w:hAnsi="Source Sans Pro"/>
        </w:rPr>
        <w:t>tūkst. darbavietu, no kurām 109,6</w:t>
      </w:r>
      <w:r>
        <w:rPr>
          <w:rFonts w:ascii="Source Sans Pro" w:hAnsi="Source Sans Pro"/>
        </w:rPr>
        <w:t> </w:t>
      </w:r>
      <w:r w:rsidRPr="00D829F0">
        <w:rPr>
          <w:rFonts w:ascii="Source Sans Pro" w:hAnsi="Source Sans Pro"/>
        </w:rPr>
        <w:t>tūkst. vakanču veidosies augstākās kvalifikācijas profesijās, 107,2</w:t>
      </w:r>
      <w:r>
        <w:rPr>
          <w:rFonts w:ascii="Source Sans Pro" w:hAnsi="Source Sans Pro"/>
        </w:rPr>
        <w:t> </w:t>
      </w:r>
      <w:r w:rsidRPr="00D829F0">
        <w:rPr>
          <w:rFonts w:ascii="Source Sans Pro" w:hAnsi="Source Sans Pro"/>
        </w:rPr>
        <w:t>tūkst. vidējās kvalifikācijas profesijās, bet 26,7</w:t>
      </w:r>
      <w:r>
        <w:rPr>
          <w:rFonts w:ascii="Source Sans Pro" w:hAnsi="Source Sans Pro"/>
        </w:rPr>
        <w:t> </w:t>
      </w:r>
      <w:r w:rsidRPr="00D829F0">
        <w:rPr>
          <w:rFonts w:ascii="Source Sans Pro" w:hAnsi="Source Sans Pro"/>
        </w:rPr>
        <w:t xml:space="preserve">tūkst. vienkāršajās profesijās. </w:t>
      </w:r>
    </w:p>
    <w:p w14:paraId="63A9668D" w14:textId="77777777" w:rsidR="00357EC8" w:rsidRPr="00D829F0" w:rsidRDefault="00357EC8" w:rsidP="00591BC7">
      <w:pPr>
        <w:spacing w:after="120"/>
        <w:jc w:val="both"/>
        <w:rPr>
          <w:rFonts w:ascii="Source Sans Pro" w:hAnsi="Source Sans Pro"/>
        </w:rPr>
      </w:pPr>
    </w:p>
    <w:p w14:paraId="68C15950" w14:textId="77777777" w:rsidR="007B2A72" w:rsidRDefault="007B2A72">
      <w:pPr>
        <w:spacing w:after="0"/>
        <w:rPr>
          <w:rFonts w:ascii="Source Sans Pro" w:hAnsi="Source Sans Pro"/>
          <w:szCs w:val="20"/>
        </w:rPr>
      </w:pPr>
      <w:r>
        <w:rPr>
          <w:rFonts w:ascii="Source Sans Pro" w:hAnsi="Source Sans Pro"/>
          <w:szCs w:val="20"/>
        </w:rPr>
        <w:br w:type="page"/>
      </w:r>
    </w:p>
    <w:p w14:paraId="08EC58F6" w14:textId="7F0280D4" w:rsidR="00622E14" w:rsidRPr="00D829F0" w:rsidRDefault="00622E14" w:rsidP="001737F4">
      <w:pPr>
        <w:spacing w:after="120"/>
        <w:jc w:val="right"/>
        <w:rPr>
          <w:rFonts w:ascii="Source Sans Pro" w:hAnsi="Source Sans Pro"/>
          <w:szCs w:val="20"/>
        </w:rPr>
      </w:pPr>
      <w:r w:rsidRPr="00D829F0">
        <w:rPr>
          <w:rFonts w:ascii="Source Sans Pro" w:hAnsi="Source Sans Pro"/>
          <w:szCs w:val="20"/>
        </w:rPr>
        <w:lastRenderedPageBreak/>
        <w:t>3.</w:t>
      </w:r>
      <w:r w:rsidR="001179C2" w:rsidRPr="00D829F0">
        <w:rPr>
          <w:rFonts w:ascii="Source Sans Pro" w:hAnsi="Source Sans Pro"/>
          <w:szCs w:val="20"/>
        </w:rPr>
        <w:t>1</w:t>
      </w:r>
      <w:r w:rsidR="0064344A">
        <w:rPr>
          <w:rFonts w:ascii="Source Sans Pro" w:hAnsi="Source Sans Pro"/>
          <w:szCs w:val="20"/>
        </w:rPr>
        <w:t>2</w:t>
      </w:r>
      <w:r w:rsidRPr="00D829F0">
        <w:rPr>
          <w:rFonts w:ascii="Source Sans Pro" w:hAnsi="Source Sans Pro"/>
          <w:szCs w:val="20"/>
        </w:rPr>
        <w:t>.</w:t>
      </w:r>
      <w:r w:rsidR="00105B0A">
        <w:rPr>
          <w:rFonts w:ascii="Source Sans Pro" w:hAnsi="Source Sans Pro"/>
          <w:szCs w:val="20"/>
        </w:rPr>
        <w:t> </w:t>
      </w:r>
      <w:r w:rsidRPr="00D829F0">
        <w:rPr>
          <w:rFonts w:ascii="Source Sans Pro" w:hAnsi="Source Sans Pro"/>
          <w:szCs w:val="20"/>
        </w:rPr>
        <w:t>attēls</w:t>
      </w:r>
    </w:p>
    <w:p w14:paraId="6E1D877E" w14:textId="0922A9EE" w:rsidR="00622E14" w:rsidRPr="001E0B4F" w:rsidRDefault="00622E14" w:rsidP="00343F74">
      <w:pPr>
        <w:spacing w:after="120"/>
        <w:jc w:val="center"/>
        <w:rPr>
          <w:rFonts w:ascii="Segoe UI Light" w:hAnsi="Segoe UI Light"/>
          <w:i/>
          <w:sz w:val="16"/>
          <w:szCs w:val="26"/>
        </w:rPr>
      </w:pPr>
      <w:r w:rsidRPr="001E0B4F">
        <w:rPr>
          <w:rFonts w:ascii="Segoe UI Light" w:hAnsi="Segoe UI Light"/>
          <w:b/>
          <w:sz w:val="18"/>
          <w:szCs w:val="26"/>
        </w:rPr>
        <w:t xml:space="preserve">Paplašinošā un aizvietojošā darbaspēka pieprasījuma izmaiņas </w:t>
      </w:r>
      <w:r w:rsidR="00B95E94" w:rsidRPr="001E0B4F">
        <w:rPr>
          <w:rFonts w:ascii="Segoe UI Light" w:hAnsi="Segoe UI Light"/>
          <w:b/>
          <w:sz w:val="18"/>
          <w:szCs w:val="26"/>
        </w:rPr>
        <w:t>no 202</w:t>
      </w:r>
      <w:r w:rsidR="001E0B4F" w:rsidRPr="001E0B4F">
        <w:rPr>
          <w:rFonts w:ascii="Segoe UI Light" w:hAnsi="Segoe UI Light"/>
          <w:b/>
          <w:sz w:val="18"/>
          <w:szCs w:val="26"/>
        </w:rPr>
        <w:t>6</w:t>
      </w:r>
      <w:r w:rsidR="00B95E94" w:rsidRPr="001E0B4F">
        <w:rPr>
          <w:rFonts w:ascii="Segoe UI Light" w:hAnsi="Segoe UI Light"/>
          <w:b/>
          <w:sz w:val="18"/>
          <w:szCs w:val="26"/>
        </w:rPr>
        <w:t>.-</w:t>
      </w:r>
      <w:r w:rsidRPr="001E0B4F">
        <w:rPr>
          <w:rFonts w:ascii="Segoe UI Light" w:hAnsi="Segoe UI Light"/>
          <w:b/>
          <w:sz w:val="18"/>
          <w:szCs w:val="26"/>
        </w:rPr>
        <w:t>20</w:t>
      </w:r>
      <w:r w:rsidR="001C353B" w:rsidRPr="001E0B4F">
        <w:rPr>
          <w:rFonts w:ascii="Segoe UI Light" w:hAnsi="Segoe UI Light"/>
          <w:b/>
          <w:sz w:val="18"/>
          <w:szCs w:val="26"/>
        </w:rPr>
        <w:t>4</w:t>
      </w:r>
      <w:r w:rsidRPr="001E0B4F">
        <w:rPr>
          <w:rFonts w:ascii="Segoe UI Light" w:hAnsi="Segoe UI Light"/>
          <w:b/>
          <w:sz w:val="18"/>
          <w:szCs w:val="26"/>
        </w:rPr>
        <w:t>0.</w:t>
      </w:r>
      <w:r w:rsidR="00105B0A">
        <w:rPr>
          <w:rFonts w:ascii="Segoe UI Light" w:hAnsi="Segoe UI Light"/>
          <w:b/>
          <w:sz w:val="18"/>
          <w:szCs w:val="26"/>
        </w:rPr>
        <w:t> </w:t>
      </w:r>
      <w:r w:rsidR="0080669C" w:rsidRPr="001E0B4F">
        <w:rPr>
          <w:rFonts w:ascii="Segoe UI Light" w:hAnsi="Segoe UI Light"/>
          <w:b/>
          <w:sz w:val="18"/>
          <w:szCs w:val="26"/>
        </w:rPr>
        <w:t>gad</w:t>
      </w:r>
      <w:r w:rsidRPr="001E0B4F">
        <w:rPr>
          <w:rFonts w:ascii="Segoe UI Light" w:hAnsi="Segoe UI Light"/>
          <w:b/>
          <w:sz w:val="18"/>
          <w:szCs w:val="26"/>
        </w:rPr>
        <w:t>am</w:t>
      </w:r>
      <w:r w:rsidRPr="001E0B4F">
        <w:rPr>
          <w:rFonts w:ascii="Segoe UI Light" w:hAnsi="Segoe UI Light"/>
          <w:b/>
          <w:sz w:val="18"/>
          <w:szCs w:val="26"/>
        </w:rPr>
        <w:br/>
      </w:r>
      <w:r w:rsidR="00591BC7" w:rsidRPr="001E0B4F">
        <w:rPr>
          <w:rFonts w:ascii="Segoe UI Light" w:hAnsi="Segoe UI Light"/>
          <w:i/>
          <w:sz w:val="16"/>
          <w:szCs w:val="26"/>
        </w:rPr>
        <w:t>darbavietu</w:t>
      </w:r>
      <w:r w:rsidR="00172594" w:rsidRPr="001E0B4F">
        <w:rPr>
          <w:rFonts w:ascii="Segoe UI Light" w:hAnsi="Segoe UI Light"/>
          <w:i/>
          <w:sz w:val="16"/>
          <w:szCs w:val="26"/>
        </w:rPr>
        <w:t xml:space="preserve"> samazinājums/atvēršanās, tūkstošos</w:t>
      </w:r>
    </w:p>
    <w:p w14:paraId="7568E50F" w14:textId="08D4B711" w:rsidR="009A0130" w:rsidRPr="00D829F0" w:rsidRDefault="001E0B4F" w:rsidP="009A0130">
      <w:pPr>
        <w:spacing w:after="120"/>
        <w:jc w:val="both"/>
        <w:rPr>
          <w:rFonts w:ascii="Source Sans Pro" w:hAnsi="Source Sans Pro"/>
          <w:color w:val="000000"/>
          <w:szCs w:val="20"/>
        </w:rPr>
      </w:pPr>
      <w:r w:rsidRPr="00D829F0">
        <w:rPr>
          <w:rFonts w:ascii="Source Sans Pro" w:hAnsi="Source Sans Pro"/>
          <w:noProof/>
        </w:rPr>
        <w:drawing>
          <wp:inline distT="0" distB="0" distL="0" distR="0" wp14:anchorId="637FB7F4" wp14:editId="63DEA5DD">
            <wp:extent cx="5760085" cy="2879725"/>
            <wp:effectExtent l="0" t="0" r="0" b="0"/>
            <wp:docPr id="26" name="Chart 26">
              <a:extLst xmlns:a="http://schemas.openxmlformats.org/drawingml/2006/main">
                <a:ext uri="{FF2B5EF4-FFF2-40B4-BE49-F238E27FC236}">
                  <a16:creationId xmlns:a16="http://schemas.microsoft.com/office/drawing/2014/main" id="{C8550E6F-0660-4D98-9FCA-88C004405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46ED193F" w14:textId="77777777" w:rsidR="00172594" w:rsidRPr="00D829F0" w:rsidRDefault="00172594" w:rsidP="001737F4">
      <w:pPr>
        <w:spacing w:after="120"/>
        <w:jc w:val="both"/>
        <w:rPr>
          <w:rFonts w:ascii="Source Sans Pro" w:hAnsi="Source Sans Pro" w:cs="Calibri Light"/>
          <w:sz w:val="16"/>
          <w:szCs w:val="14"/>
        </w:rPr>
      </w:pPr>
      <w:r w:rsidRPr="00D829F0">
        <w:rPr>
          <w:rFonts w:ascii="Source Sans Pro" w:hAnsi="Source Sans Pro" w:cs="Calibri Light"/>
          <w:sz w:val="16"/>
          <w:szCs w:val="14"/>
        </w:rPr>
        <w:t>Avots: EM prognozes</w:t>
      </w:r>
    </w:p>
    <w:p w14:paraId="3C27E76B" w14:textId="77777777" w:rsidR="001737F4" w:rsidRPr="00D829F0" w:rsidRDefault="001737F4" w:rsidP="00343F74">
      <w:pPr>
        <w:spacing w:after="120"/>
        <w:jc w:val="both"/>
        <w:rPr>
          <w:rFonts w:ascii="Source Sans Pro" w:hAnsi="Source Sans Pro"/>
        </w:rPr>
      </w:pPr>
    </w:p>
    <w:p w14:paraId="1164EEE4" w14:textId="02908222" w:rsidR="001737F4" w:rsidRPr="00D829F0" w:rsidRDefault="001737F4" w:rsidP="00343F74">
      <w:pPr>
        <w:spacing w:after="120"/>
        <w:jc w:val="both"/>
        <w:rPr>
          <w:rFonts w:ascii="Source Sans Pro" w:hAnsi="Source Sans Pro"/>
        </w:rPr>
      </w:pPr>
      <w:r w:rsidRPr="00D829F0">
        <w:rPr>
          <w:rFonts w:ascii="Source Sans Pro" w:hAnsi="Source Sans Pro"/>
        </w:rPr>
        <w:t xml:space="preserve">Būtiskākais aizvietojošā darbaspēka pieprasījuma pieaugums augstākās kvalifikācijas profesijās sagaidāms vecāko speciālistu profesijās – </w:t>
      </w:r>
      <w:r w:rsidR="0009772D" w:rsidRPr="00D829F0">
        <w:rPr>
          <w:rFonts w:ascii="Source Sans Pro" w:hAnsi="Source Sans Pro"/>
        </w:rPr>
        <w:t>aptuveni 37%</w:t>
      </w:r>
      <w:r w:rsidRPr="00D829F0">
        <w:rPr>
          <w:rFonts w:ascii="Source Sans Pro" w:hAnsi="Source Sans Pro"/>
        </w:rPr>
        <w:t xml:space="preserve"> no pašlaik nodarbinātajiem atbilstošajās profesijās līdz 2040.</w:t>
      </w:r>
      <w:r w:rsidR="00105B0A">
        <w:rPr>
          <w:rFonts w:ascii="Source Sans Pro" w:hAnsi="Source Sans Pro"/>
        </w:rPr>
        <w:t> </w:t>
      </w:r>
      <w:r w:rsidRPr="00D829F0">
        <w:rPr>
          <w:rFonts w:ascii="Source Sans Pro" w:hAnsi="Source Sans Pro"/>
        </w:rPr>
        <w:t>gadam varētu ieziet no darba tirgus. Nozīmīgākais aizvietojoš</w:t>
      </w:r>
      <w:r w:rsidR="004109D8" w:rsidRPr="00D829F0">
        <w:rPr>
          <w:rFonts w:ascii="Source Sans Pro" w:hAnsi="Source Sans Pro"/>
        </w:rPr>
        <w:t>ais</w:t>
      </w:r>
      <w:r w:rsidRPr="00D829F0">
        <w:rPr>
          <w:rFonts w:ascii="Source Sans Pro" w:hAnsi="Source Sans Pro"/>
        </w:rPr>
        <w:t xml:space="preserve"> darbaspēka pieprasījum</w:t>
      </w:r>
      <w:r w:rsidR="004109D8" w:rsidRPr="00D829F0">
        <w:rPr>
          <w:rFonts w:ascii="Source Sans Pro" w:hAnsi="Source Sans Pro"/>
        </w:rPr>
        <w:t>s</w:t>
      </w:r>
      <w:r w:rsidR="008626C6" w:rsidRPr="00D829F0">
        <w:rPr>
          <w:rFonts w:ascii="Source Sans Pro" w:hAnsi="Source Sans Pro"/>
        </w:rPr>
        <w:t xml:space="preserve"> vecāko speciālistu profesijās </w:t>
      </w:r>
      <w:r w:rsidR="004109D8" w:rsidRPr="00D829F0">
        <w:rPr>
          <w:rFonts w:ascii="Source Sans Pro" w:hAnsi="Source Sans Pro"/>
        </w:rPr>
        <w:t xml:space="preserve"> </w:t>
      </w:r>
      <w:r w:rsidRPr="00D829F0">
        <w:rPr>
          <w:rFonts w:ascii="Source Sans Pro" w:hAnsi="Source Sans Pro"/>
        </w:rPr>
        <w:t xml:space="preserve">sagaidāms </w:t>
      </w:r>
      <w:r w:rsidR="008626C6" w:rsidRPr="00D829F0">
        <w:rPr>
          <w:rFonts w:ascii="Source Sans Pro" w:hAnsi="Source Sans Pro"/>
        </w:rPr>
        <w:t xml:space="preserve">veselības aprūpes </w:t>
      </w:r>
      <w:r w:rsidR="006F7509" w:rsidRPr="00D829F0">
        <w:rPr>
          <w:rFonts w:ascii="Source Sans Pro" w:hAnsi="Source Sans Pro"/>
        </w:rPr>
        <w:t>un</w:t>
      </w:r>
      <w:r w:rsidR="008626C6" w:rsidRPr="00D829F0">
        <w:rPr>
          <w:rFonts w:ascii="Source Sans Pro" w:hAnsi="Source Sans Pro"/>
        </w:rPr>
        <w:t xml:space="preserve"> </w:t>
      </w:r>
      <w:r w:rsidR="006F7509" w:rsidRPr="00D829F0">
        <w:rPr>
          <w:rFonts w:ascii="Source Sans Pro" w:hAnsi="Source Sans Pro"/>
        </w:rPr>
        <w:t xml:space="preserve">izglītības </w:t>
      </w:r>
      <w:r w:rsidRPr="00D829F0">
        <w:rPr>
          <w:rFonts w:ascii="Source Sans Pro" w:hAnsi="Source Sans Pro"/>
        </w:rPr>
        <w:t>jomas vecāko speciālistu profesiju apakšgrupā</w:t>
      </w:r>
      <w:r w:rsidR="008626C6" w:rsidRPr="00D829F0">
        <w:rPr>
          <w:rFonts w:ascii="Source Sans Pro" w:hAnsi="Source Sans Pro"/>
        </w:rPr>
        <w:t xml:space="preserve">s. </w:t>
      </w:r>
      <w:r w:rsidRPr="00D829F0">
        <w:rPr>
          <w:rFonts w:ascii="Source Sans Pro" w:hAnsi="Source Sans Pro"/>
        </w:rPr>
        <w:t xml:space="preserve">Vienlaikus vidējās kvalifikācijas profesijās visbūtiskākais aizvietojošā darbaspēka pieprasījuma pieaugums sagaidāms pašgājēju mašīnu un iekārtu vadītāju un celšanas iekārtu un mašīnu operatoru profesijās, </w:t>
      </w:r>
      <w:r w:rsidR="00B869E2" w:rsidRPr="00D829F0">
        <w:rPr>
          <w:rFonts w:ascii="Source Sans Pro" w:hAnsi="Source Sans Pro"/>
        </w:rPr>
        <w:t>individuālās aprūpes darbinieku profesijās</w:t>
      </w:r>
      <w:r w:rsidR="00C97E73" w:rsidRPr="00D829F0">
        <w:rPr>
          <w:rFonts w:ascii="Source Sans Pro" w:hAnsi="Source Sans Pro"/>
        </w:rPr>
        <w:t xml:space="preserve">, </w:t>
      </w:r>
      <w:r w:rsidR="001E6CE8" w:rsidRPr="00D829F0">
        <w:rPr>
          <w:rFonts w:ascii="Source Sans Pro" w:hAnsi="Source Sans Pro"/>
        </w:rPr>
        <w:t>pārtikas produktu pārstrādes un kokapstrādes strādniek</w:t>
      </w:r>
      <w:r w:rsidR="00B91882" w:rsidRPr="00D829F0">
        <w:rPr>
          <w:rFonts w:ascii="Source Sans Pro" w:hAnsi="Source Sans Pro"/>
        </w:rPr>
        <w:t>u profesijās</w:t>
      </w:r>
      <w:r w:rsidR="004F632F" w:rsidRPr="00D829F0">
        <w:rPr>
          <w:rFonts w:ascii="Source Sans Pro" w:hAnsi="Source Sans Pro"/>
        </w:rPr>
        <w:t xml:space="preserve">, </w:t>
      </w:r>
      <w:r w:rsidR="004D0F32" w:rsidRPr="00D829F0">
        <w:rPr>
          <w:rFonts w:ascii="Source Sans Pro" w:hAnsi="Source Sans Pro"/>
        </w:rPr>
        <w:t xml:space="preserve">rūpniecisko iekārtu operatoru profesijās, </w:t>
      </w:r>
      <w:r w:rsidR="004F632F" w:rsidRPr="00D829F0">
        <w:rPr>
          <w:rFonts w:ascii="Source Sans Pro" w:hAnsi="Source Sans Pro"/>
        </w:rPr>
        <w:t>lauksaimniecības</w:t>
      </w:r>
      <w:r w:rsidRPr="00D829F0">
        <w:rPr>
          <w:rFonts w:ascii="Source Sans Pro" w:hAnsi="Source Sans Pro"/>
        </w:rPr>
        <w:t xml:space="preserve">, kā arī apsardzes pakalpojumu jomas darbinieku profesijās. </w:t>
      </w:r>
      <w:r w:rsidR="002912AE" w:rsidRPr="00D829F0">
        <w:rPr>
          <w:rFonts w:ascii="Source Sans Pro" w:hAnsi="Source Sans Pro"/>
        </w:rPr>
        <w:t xml:space="preserve">Kopumā aizvietojošais pieprasījums līdz 2040. gadam varētu veidot </w:t>
      </w:r>
      <w:r w:rsidR="00A144B8" w:rsidRPr="00D829F0">
        <w:rPr>
          <w:rFonts w:ascii="Source Sans Pro" w:hAnsi="Source Sans Pro"/>
        </w:rPr>
        <w:t>aptuveni 69</w:t>
      </w:r>
      <w:r w:rsidR="002912AE" w:rsidRPr="00D829F0">
        <w:rPr>
          <w:rFonts w:ascii="Source Sans Pro" w:hAnsi="Source Sans Pro"/>
        </w:rPr>
        <w:t>% no kopējā vakanču skaita darba tirgū.</w:t>
      </w:r>
    </w:p>
    <w:p w14:paraId="267C3784" w14:textId="77777777" w:rsidR="001737F4" w:rsidRPr="00D829F0" w:rsidRDefault="001737F4" w:rsidP="00343F74">
      <w:pPr>
        <w:spacing w:after="120"/>
        <w:jc w:val="both"/>
        <w:rPr>
          <w:rFonts w:ascii="Source Sans Pro" w:hAnsi="Source Sans Pro"/>
          <w:color w:val="000000"/>
          <w:szCs w:val="20"/>
        </w:rPr>
      </w:pPr>
    </w:p>
    <w:p w14:paraId="6A94BC0A" w14:textId="77777777" w:rsidR="00DC7FF1" w:rsidRPr="00D829F0" w:rsidRDefault="00DC7FF1" w:rsidP="00343F74">
      <w:pPr>
        <w:spacing w:after="120"/>
        <w:jc w:val="both"/>
        <w:rPr>
          <w:rFonts w:ascii="Source Sans Pro" w:hAnsi="Source Sans Pro"/>
          <w:color w:val="000000"/>
          <w:szCs w:val="20"/>
        </w:rPr>
      </w:pPr>
    </w:p>
    <w:p w14:paraId="2B883641" w14:textId="01D83CAA" w:rsidR="003751AF" w:rsidRPr="004D7DBB" w:rsidRDefault="003751AF" w:rsidP="00080A71">
      <w:pPr>
        <w:pStyle w:val="Heading3"/>
      </w:pPr>
      <w:bookmarkStart w:id="60" w:name="_Toc1466052067"/>
      <w:bookmarkStart w:id="61" w:name="_Hlk168932961"/>
      <w:r w:rsidRPr="004D7DBB">
        <w:t>3.</w:t>
      </w:r>
      <w:r w:rsidR="005E42E4" w:rsidRPr="004D7DBB">
        <w:t>2</w:t>
      </w:r>
      <w:r w:rsidRPr="004D7DBB">
        <w:t>.2. Darbaspēka piedāvājuma prognozes</w:t>
      </w:r>
      <w:bookmarkEnd w:id="60"/>
    </w:p>
    <w:bookmarkEnd w:id="61"/>
    <w:p w14:paraId="10AE0CBD" w14:textId="77777777" w:rsidR="007B2A72" w:rsidRDefault="007B2A72" w:rsidP="00267AA4">
      <w:pPr>
        <w:spacing w:after="120"/>
        <w:jc w:val="both"/>
        <w:rPr>
          <w:rFonts w:ascii="Source Sans Pro" w:hAnsi="Source Sans Pro"/>
        </w:rPr>
      </w:pPr>
    </w:p>
    <w:p w14:paraId="6C2C1AC1" w14:textId="77777777" w:rsidR="007B2A72" w:rsidRPr="004B39FD" w:rsidRDefault="007B2A72" w:rsidP="000D3075">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2C4A9D68" w14:textId="3B2DB059" w:rsidR="00C50082" w:rsidRPr="00C50082" w:rsidRDefault="007B2A72" w:rsidP="00A23652">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C50082" w:rsidRPr="00C50082">
        <w:rPr>
          <w:rFonts w:ascii="Aptos Narrow" w:hAnsi="Aptos Narrow" w:cs="Verdana"/>
          <w:color w:val="262626"/>
          <w:sz w:val="22"/>
        </w:rPr>
        <w:t>Līdz 2030. gadam darbaspēka piedāvājums saglabāsies stabils, jo demogrāfijas negatīvo ietekmi kompensēs iedzīvotāju līdzdalības pieaugums, taču pēc 2030.</w:t>
      </w:r>
      <w:r w:rsidR="00105B0A">
        <w:rPr>
          <w:rFonts w:ascii="Aptos Narrow" w:hAnsi="Aptos Narrow" w:cs="Verdana"/>
          <w:color w:val="262626"/>
          <w:sz w:val="22"/>
        </w:rPr>
        <w:t> </w:t>
      </w:r>
      <w:r w:rsidR="00C50082" w:rsidRPr="00C50082">
        <w:rPr>
          <w:rFonts w:ascii="Aptos Narrow" w:hAnsi="Aptos Narrow" w:cs="Verdana"/>
          <w:color w:val="262626"/>
          <w:sz w:val="22"/>
        </w:rPr>
        <w:t>gada demogrāfiskie procesi ņems virsroku un piedāvājums sāks sarukt.</w:t>
      </w:r>
    </w:p>
    <w:p w14:paraId="45856B6F" w14:textId="2ACA4D1E" w:rsidR="00C50082" w:rsidRPr="00C50082" w:rsidRDefault="00C50082" w:rsidP="000D3075">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C50082">
        <w:rPr>
          <w:rFonts w:ascii="Aptos Narrow" w:hAnsi="Aptos Narrow" w:cs="Verdana"/>
          <w:color w:val="262626"/>
          <w:sz w:val="22"/>
        </w:rPr>
        <w:t>Iedzīvotāju ekonomiskā aktivitāte tuvojas savam potenciālam, tāpēc jaunas darbaspēka rezerves ilgtermiņā galvenokārt nodrošinās ārējā darbaspēka piesaiste.</w:t>
      </w:r>
    </w:p>
    <w:p w14:paraId="4EAE8642" w14:textId="656188F1" w:rsidR="007B2A72" w:rsidRPr="004B39FD" w:rsidRDefault="00C50082" w:rsidP="000D3075">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Pr="00C50082">
        <w:rPr>
          <w:rFonts w:ascii="Aptos Narrow" w:hAnsi="Aptos Narrow" w:cs="Verdana"/>
          <w:color w:val="262626"/>
          <w:sz w:val="22"/>
        </w:rPr>
        <w:t>Darbaspēka piedāvājums arvien vairāk polarizējas – pieaug piedāvājums ar augstāko izglītību, bet strauji sarūk ar profesionālo vidējo izglītību, tāpēc profesionālajā izglītībā būtu jāuzņem ievērojami vairāk audzēkņu nekā pašlaik.</w:t>
      </w:r>
    </w:p>
    <w:p w14:paraId="3F3D3202" w14:textId="77777777" w:rsidR="007B2A72" w:rsidRDefault="007B2A72" w:rsidP="00267AA4">
      <w:pPr>
        <w:spacing w:after="120"/>
        <w:jc w:val="both"/>
        <w:rPr>
          <w:rFonts w:ascii="Source Sans Pro" w:hAnsi="Source Sans Pro"/>
        </w:rPr>
      </w:pPr>
    </w:p>
    <w:p w14:paraId="413283AF" w14:textId="6DB5FE75" w:rsidR="00267AA4" w:rsidRPr="00D829F0" w:rsidRDefault="00267AA4" w:rsidP="00267AA4">
      <w:pPr>
        <w:spacing w:after="120"/>
        <w:jc w:val="both"/>
        <w:rPr>
          <w:rFonts w:ascii="Source Sans Pro" w:hAnsi="Source Sans Pro"/>
          <w:color w:val="000000"/>
        </w:rPr>
      </w:pPr>
      <w:r w:rsidRPr="00D829F0">
        <w:rPr>
          <w:rFonts w:ascii="Source Sans Pro" w:hAnsi="Source Sans Pro"/>
        </w:rPr>
        <w:lastRenderedPageBreak/>
        <w:t>Balstoties uz tautsaimniecības izaugsmes un demogrāfijas scenārijiem, EM ir izstrādājusi darbaspēka piedāvājuma (ekonomiski aktīvo iedzīvotāju) prognozes līdz 2040.</w:t>
      </w:r>
      <w:r w:rsidR="00D41B24">
        <w:rPr>
          <w:rFonts w:ascii="Source Sans Pro" w:hAnsi="Source Sans Pro"/>
        </w:rPr>
        <w:t> </w:t>
      </w:r>
      <w:r w:rsidRPr="00D829F0">
        <w:rPr>
          <w:rFonts w:ascii="Source Sans Pro" w:hAnsi="Source Sans Pro"/>
        </w:rPr>
        <w:t>gadam. Gan vidējā, gan ilgtermiņā kopējo darbaspēka piedāvājumu Latvijas darba tirgū turpinās ietekmēt demogrāfijas procesi – gan darbaspējas vecuma iedzīvotāju skaita sarukums, gan izmaiņas iedzīvotāju vecumstruktūrā. Vienlaikus demogrāfijas tendenču negatīvo ietekmi uz darbaspēka piedāvājumu visā prognožu periodā turpinās kompensēt iedzīvotāju līdzdalības (ekonomiskās aktivitātes) pieaugums.</w:t>
      </w:r>
      <w:r w:rsidRPr="00D829F0">
        <w:rPr>
          <w:rFonts w:ascii="Source Sans Pro" w:hAnsi="Source Sans Pro"/>
          <w:color w:val="000000"/>
        </w:rPr>
        <w:t xml:space="preserve"> </w:t>
      </w:r>
    </w:p>
    <w:p w14:paraId="49F2AE62" w14:textId="46AAA6EB" w:rsidR="00267AA4" w:rsidRPr="00D829F0" w:rsidRDefault="00267AA4" w:rsidP="00267AA4">
      <w:pPr>
        <w:spacing w:after="120"/>
        <w:jc w:val="both"/>
        <w:rPr>
          <w:rFonts w:ascii="Source Sans Pro" w:hAnsi="Source Sans Pro"/>
          <w:color w:val="000000"/>
        </w:rPr>
      </w:pPr>
      <w:r w:rsidRPr="00D829F0">
        <w:rPr>
          <w:rFonts w:ascii="Source Sans Pro" w:hAnsi="Source Sans Pro"/>
          <w:color w:val="000000"/>
        </w:rPr>
        <w:t>Līdz 2030.</w:t>
      </w:r>
      <w:r w:rsidR="00D41B24">
        <w:rPr>
          <w:rFonts w:ascii="Source Sans Pro" w:hAnsi="Source Sans Pro"/>
          <w:color w:val="000000"/>
        </w:rPr>
        <w:t> </w:t>
      </w:r>
      <w:r w:rsidRPr="00D829F0">
        <w:rPr>
          <w:rFonts w:ascii="Source Sans Pro" w:hAnsi="Source Sans Pro"/>
          <w:color w:val="000000"/>
        </w:rPr>
        <w:t>gadam kopumā darbaspēka piedāvājums saglabāsies stabils ar nelielu pieauguma tendenci. To galvenokārt noteiks iedzīvotāju ekonomiskās aktivitātes pieaugums un migrācijas negatīvās ietekmes mazināšanās uz darbaspējīgo iedzīvotāju skaitu. Ekonomiskā izaugsme, kā arī pieaugošā darbaspēka nepietiekamība sekmēs iedzīvotāju līdzdalības palielināšanos darba tirgū. Darbaspēka pieprasījuma pieaugums vidējā termiņā, ierobežotu darba resursu pieejamības apstākļos, pavērs plašākas darba iespējas virknei neaktīvo iedzīvotāju grupu (mājsaimniecēm, studentiem, pensijas vecuma iedzīvotājiem u.c.). Tāpat būtiska loma iedzīvotāju līdzdalības veicināšanā būs atalgojuma pieaugumam.</w:t>
      </w:r>
    </w:p>
    <w:p w14:paraId="6DE80092" w14:textId="311BBD73" w:rsidR="00A408E7" w:rsidRPr="00D829F0" w:rsidRDefault="00A408E7" w:rsidP="00267AA4">
      <w:pPr>
        <w:spacing w:after="120"/>
        <w:jc w:val="right"/>
        <w:rPr>
          <w:rFonts w:ascii="Source Sans Pro" w:hAnsi="Source Sans Pro"/>
          <w:szCs w:val="20"/>
        </w:rPr>
      </w:pPr>
      <w:r w:rsidRPr="00D829F0">
        <w:rPr>
          <w:rFonts w:ascii="Source Sans Pro" w:hAnsi="Source Sans Pro"/>
          <w:szCs w:val="26"/>
        </w:rPr>
        <w:t>3.</w:t>
      </w:r>
      <w:r w:rsidR="0002608F" w:rsidRPr="00D829F0">
        <w:rPr>
          <w:rFonts w:ascii="Source Sans Pro" w:hAnsi="Source Sans Pro"/>
          <w:szCs w:val="26"/>
        </w:rPr>
        <w:t>1</w:t>
      </w:r>
      <w:r w:rsidR="0064344A">
        <w:rPr>
          <w:rFonts w:ascii="Source Sans Pro" w:hAnsi="Source Sans Pro"/>
          <w:szCs w:val="26"/>
        </w:rPr>
        <w:t>3</w:t>
      </w:r>
      <w:r w:rsidRPr="00D829F0">
        <w:rPr>
          <w:rFonts w:ascii="Source Sans Pro" w:hAnsi="Source Sans Pro"/>
          <w:szCs w:val="26"/>
        </w:rPr>
        <w:t>.</w:t>
      </w:r>
      <w:r w:rsidR="00D41B24">
        <w:rPr>
          <w:rFonts w:ascii="Source Sans Pro" w:hAnsi="Source Sans Pro"/>
          <w:szCs w:val="26"/>
        </w:rPr>
        <w:t> </w:t>
      </w:r>
      <w:r w:rsidRPr="00D829F0">
        <w:rPr>
          <w:rFonts w:ascii="Source Sans Pro" w:hAnsi="Source Sans Pro"/>
          <w:szCs w:val="26"/>
        </w:rPr>
        <w:t>attēls</w:t>
      </w:r>
    </w:p>
    <w:p w14:paraId="786AC60A" w14:textId="0DA0D3BB" w:rsidR="00A408E7" w:rsidRPr="00620040" w:rsidRDefault="00A408E7" w:rsidP="00A408E7">
      <w:pPr>
        <w:jc w:val="center"/>
        <w:rPr>
          <w:rFonts w:ascii="Segoe UI Light" w:hAnsi="Segoe UI Light"/>
          <w:b/>
          <w:color w:val="000000"/>
          <w:sz w:val="18"/>
          <w:szCs w:val="26"/>
        </w:rPr>
      </w:pPr>
      <w:r w:rsidRPr="00620040">
        <w:rPr>
          <w:rFonts w:ascii="Segoe UI Light" w:hAnsi="Segoe UI Light"/>
          <w:b/>
          <w:color w:val="000000"/>
          <w:sz w:val="18"/>
          <w:szCs w:val="26"/>
        </w:rPr>
        <w:t>Darbaspēka piedāvājums</w:t>
      </w:r>
      <w:r w:rsidRPr="00620040">
        <w:rPr>
          <w:rFonts w:ascii="Segoe UI Light" w:hAnsi="Segoe UI Light"/>
          <w:b/>
          <w:color w:val="000000"/>
          <w:sz w:val="18"/>
          <w:szCs w:val="26"/>
        </w:rPr>
        <w:br/>
      </w:r>
      <w:r w:rsidRPr="00620040">
        <w:rPr>
          <w:rFonts w:ascii="Segoe UI Light" w:hAnsi="Segoe UI Light"/>
          <w:i/>
          <w:color w:val="000000"/>
          <w:sz w:val="16"/>
          <w:szCs w:val="26"/>
        </w:rPr>
        <w:t>vecuma grupā 15-74</w:t>
      </w:r>
      <w:r w:rsidR="00E002CB" w:rsidRPr="00620040">
        <w:rPr>
          <w:rFonts w:ascii="Segoe UI Light" w:hAnsi="Segoe UI Light"/>
          <w:i/>
          <w:color w:val="000000"/>
          <w:sz w:val="16"/>
          <w:szCs w:val="26"/>
        </w:rPr>
        <w:t xml:space="preserve"> </w:t>
      </w:r>
      <w:r w:rsidR="0080669C" w:rsidRPr="00620040">
        <w:rPr>
          <w:rFonts w:ascii="Segoe UI Light" w:hAnsi="Segoe UI Light"/>
          <w:i/>
          <w:color w:val="000000"/>
          <w:sz w:val="16"/>
          <w:szCs w:val="26"/>
        </w:rPr>
        <w:t>gad</w:t>
      </w:r>
      <w:r w:rsidRPr="00620040">
        <w:rPr>
          <w:rFonts w:ascii="Segoe UI Light" w:hAnsi="Segoe UI Light"/>
          <w:i/>
          <w:color w:val="000000"/>
          <w:sz w:val="16"/>
          <w:szCs w:val="26"/>
        </w:rPr>
        <w:t>i, tūkstošos</w:t>
      </w:r>
    </w:p>
    <w:p w14:paraId="3B385D4B" w14:textId="08F2AD17" w:rsidR="00267AA4" w:rsidRPr="00620040" w:rsidRDefault="007A7446" w:rsidP="00267AA4">
      <w:pPr>
        <w:spacing w:after="120"/>
        <w:jc w:val="center"/>
        <w:rPr>
          <w:rFonts w:ascii="Segoe UI Light" w:hAnsi="Segoe UI Light"/>
          <w:color w:val="000000"/>
          <w:szCs w:val="26"/>
        </w:rPr>
      </w:pPr>
      <w:bookmarkStart w:id="62" w:name="_MON_1400590196"/>
      <w:bookmarkStart w:id="63" w:name="_MON_1400590130"/>
      <w:bookmarkEnd w:id="62"/>
      <w:bookmarkEnd w:id="63"/>
      <w:r w:rsidRPr="00D829F0">
        <w:rPr>
          <w:rFonts w:ascii="Source Sans Pro" w:hAnsi="Source Sans Pro"/>
          <w:noProof/>
        </w:rPr>
        <w:drawing>
          <wp:inline distT="0" distB="0" distL="0" distR="0" wp14:anchorId="3096619C" wp14:editId="60040C84">
            <wp:extent cx="5535295" cy="2201875"/>
            <wp:effectExtent l="0" t="0" r="0" b="0"/>
            <wp:docPr id="789025528" name="Chart 1">
              <a:extLst xmlns:a="http://schemas.openxmlformats.org/drawingml/2006/main">
                <a:ext uri="{FF2B5EF4-FFF2-40B4-BE49-F238E27FC236}">
                  <a16:creationId xmlns:a16="http://schemas.microsoft.com/office/drawing/2014/main" id="{ED720247-6738-40FA-ACFA-7BC8A9B0A6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7C5FEAF2" w14:textId="55514301" w:rsidR="00267AA4" w:rsidRPr="00D829F0" w:rsidRDefault="00267AA4" w:rsidP="00267AA4">
      <w:pPr>
        <w:spacing w:after="120"/>
        <w:jc w:val="both"/>
        <w:rPr>
          <w:rFonts w:ascii="Source Sans Pro" w:hAnsi="Source Sans Pro" w:cs="Calibri Light"/>
          <w:sz w:val="16"/>
          <w:szCs w:val="14"/>
        </w:rPr>
      </w:pPr>
      <w:r w:rsidRPr="00D829F0">
        <w:rPr>
          <w:rFonts w:ascii="Source Sans Pro" w:hAnsi="Source Sans Pro" w:cs="Calibri Light"/>
          <w:sz w:val="16"/>
          <w:szCs w:val="14"/>
        </w:rPr>
        <w:t>Avots: CSP dati līdz 202</w:t>
      </w:r>
      <w:r w:rsidR="00A912FB" w:rsidRPr="00D829F0">
        <w:rPr>
          <w:rFonts w:ascii="Source Sans Pro" w:hAnsi="Source Sans Pro" w:cs="Calibri Light"/>
          <w:sz w:val="16"/>
          <w:szCs w:val="14"/>
        </w:rPr>
        <w:t>5</w:t>
      </w:r>
      <w:r w:rsidRPr="00D829F0">
        <w:rPr>
          <w:rFonts w:ascii="Source Sans Pro" w:hAnsi="Source Sans Pro" w:cs="Calibri Light"/>
          <w:sz w:val="16"/>
          <w:szCs w:val="14"/>
        </w:rPr>
        <w:t>.</w:t>
      </w:r>
      <w:r w:rsidR="00D41B24">
        <w:rPr>
          <w:rFonts w:ascii="Source Sans Pro" w:hAnsi="Source Sans Pro" w:cs="Calibri Light"/>
          <w:sz w:val="16"/>
          <w:szCs w:val="14"/>
        </w:rPr>
        <w:t> </w:t>
      </w:r>
      <w:r w:rsidRPr="00D829F0">
        <w:rPr>
          <w:rFonts w:ascii="Source Sans Pro" w:hAnsi="Source Sans Pro" w:cs="Calibri Light"/>
          <w:sz w:val="16"/>
          <w:szCs w:val="14"/>
        </w:rPr>
        <w:t>gadam, EM prognozes sākot ar 202</w:t>
      </w:r>
      <w:r w:rsidR="00A912FB" w:rsidRPr="00D829F0">
        <w:rPr>
          <w:rFonts w:ascii="Source Sans Pro" w:hAnsi="Source Sans Pro" w:cs="Calibri Light"/>
          <w:sz w:val="16"/>
          <w:szCs w:val="14"/>
        </w:rPr>
        <w:t>6</w:t>
      </w:r>
      <w:r w:rsidRPr="00D829F0">
        <w:rPr>
          <w:rFonts w:ascii="Source Sans Pro" w:hAnsi="Source Sans Pro" w:cs="Calibri Light"/>
          <w:sz w:val="16"/>
          <w:szCs w:val="14"/>
        </w:rPr>
        <w:t>.</w:t>
      </w:r>
      <w:r w:rsidR="00D41B24">
        <w:rPr>
          <w:rFonts w:ascii="Source Sans Pro" w:hAnsi="Source Sans Pro" w:cs="Calibri Light"/>
          <w:sz w:val="16"/>
          <w:szCs w:val="14"/>
        </w:rPr>
        <w:t> </w:t>
      </w:r>
      <w:r w:rsidRPr="00D829F0">
        <w:rPr>
          <w:rFonts w:ascii="Source Sans Pro" w:hAnsi="Source Sans Pro" w:cs="Calibri Light"/>
          <w:sz w:val="16"/>
          <w:szCs w:val="14"/>
        </w:rPr>
        <w:t>gadu</w:t>
      </w:r>
    </w:p>
    <w:p w14:paraId="0870EF14" w14:textId="45A14D3A" w:rsidR="00B018CB" w:rsidRPr="00D829F0" w:rsidRDefault="00B018CB">
      <w:pPr>
        <w:spacing w:after="0"/>
        <w:rPr>
          <w:rFonts w:ascii="Source Sans Pro" w:hAnsi="Source Sans Pro"/>
        </w:rPr>
      </w:pPr>
    </w:p>
    <w:p w14:paraId="1A832458" w14:textId="55244FE8" w:rsidR="00C00800" w:rsidRPr="00D829F0" w:rsidRDefault="00C00800" w:rsidP="00C00800">
      <w:pPr>
        <w:spacing w:after="120"/>
        <w:jc w:val="both"/>
        <w:rPr>
          <w:rFonts w:ascii="Source Sans Pro" w:hAnsi="Source Sans Pro"/>
        </w:rPr>
      </w:pPr>
      <w:r w:rsidRPr="00D829F0">
        <w:rPr>
          <w:rFonts w:ascii="Source Sans Pro" w:hAnsi="Source Sans Pro"/>
          <w:color w:val="000000"/>
        </w:rPr>
        <w:t>Vienlaikus ilgtermiņā (periodā pēc 2030. gada) iedzīvotāju ekonomiskās aktivitātes pieauguma kompensējošā ietekme uz darbaspēka piedāvājumu varētu pamazām izsīkt un demogrāfijas procesi ņems virsroku, tādejādi no 2030. līdz 2040. gadam kopumā sagaidāma darbaspēka piedāvājuma krītoša tendence. Jāņem vērā, ka iedzīvotāju ekonomiskā aktivitāte ir tuvu savam potenciālam, līdz ar to ilgtermiņā iedzīvotāju līdzdalības pieaugums darba tirgū būs ierobežots un jaunas darbaspēka rezerves galvenokārt nodrošinās ārējā darbaspēka piesaiste.</w:t>
      </w:r>
    </w:p>
    <w:p w14:paraId="59E4CE80" w14:textId="61F77A2D" w:rsidR="00267AA4" w:rsidRPr="00D829F0" w:rsidRDefault="00267AA4" w:rsidP="00267AA4">
      <w:pPr>
        <w:spacing w:after="120"/>
        <w:jc w:val="both"/>
        <w:rPr>
          <w:rFonts w:ascii="Source Sans Pro" w:hAnsi="Source Sans Pro"/>
        </w:rPr>
      </w:pPr>
      <w:r w:rsidRPr="00D829F0">
        <w:rPr>
          <w:rFonts w:ascii="Source Sans Pro" w:hAnsi="Source Sans Pro"/>
        </w:rPr>
        <w:t xml:space="preserve">Ņemot vērā iedzīvotāju līdzdalības līmeņa pieaugumu darba tirgū, sagaidāms, ka periodā </w:t>
      </w:r>
      <w:r w:rsidRPr="00D829F0">
        <w:rPr>
          <w:rFonts w:ascii="Source Sans Pro" w:hAnsi="Source Sans Pro"/>
          <w:b/>
        </w:rPr>
        <w:t>līdz 2030.</w:t>
      </w:r>
      <w:r w:rsidR="00D41B24">
        <w:rPr>
          <w:rFonts w:ascii="Source Sans Pro" w:hAnsi="Source Sans Pro"/>
          <w:b/>
          <w:bCs/>
        </w:rPr>
        <w:t> </w:t>
      </w:r>
      <w:r w:rsidRPr="00D829F0">
        <w:rPr>
          <w:rFonts w:ascii="Source Sans Pro" w:hAnsi="Source Sans Pro"/>
          <w:b/>
        </w:rPr>
        <w:t xml:space="preserve">gadam darbaspēka piedāvājums kopumā varētu palielināties par </w:t>
      </w:r>
      <w:r w:rsidR="00A36B8F" w:rsidRPr="00D829F0">
        <w:rPr>
          <w:rFonts w:ascii="Source Sans Pro" w:hAnsi="Source Sans Pro"/>
          <w:b/>
        </w:rPr>
        <w:t>5,1</w:t>
      </w:r>
      <w:r w:rsidRPr="00D829F0">
        <w:rPr>
          <w:rFonts w:ascii="Source Sans Pro" w:hAnsi="Source Sans Pro"/>
          <w:b/>
        </w:rPr>
        <w:t xml:space="preserve"> tūkst. (</w:t>
      </w:r>
      <w:r w:rsidR="00A36B8F" w:rsidRPr="00D829F0">
        <w:rPr>
          <w:rFonts w:ascii="Source Sans Pro" w:hAnsi="Source Sans Pro"/>
          <w:b/>
        </w:rPr>
        <w:t>0</w:t>
      </w:r>
      <w:r w:rsidRPr="00D829F0">
        <w:rPr>
          <w:rFonts w:ascii="Source Sans Pro" w:hAnsi="Source Sans Pro"/>
          <w:b/>
        </w:rPr>
        <w:t>,5%), salīdzinot ar 202</w:t>
      </w:r>
      <w:r w:rsidR="00A36B8F" w:rsidRPr="00D829F0">
        <w:rPr>
          <w:rFonts w:ascii="Source Sans Pro" w:hAnsi="Source Sans Pro"/>
          <w:b/>
        </w:rPr>
        <w:t>5</w:t>
      </w:r>
      <w:r w:rsidRPr="00D829F0">
        <w:rPr>
          <w:rFonts w:ascii="Source Sans Pro" w:hAnsi="Source Sans Pro"/>
          <w:b/>
        </w:rPr>
        <w:t>.</w:t>
      </w:r>
      <w:r w:rsidR="00D41B24">
        <w:rPr>
          <w:rFonts w:ascii="Source Sans Pro" w:hAnsi="Source Sans Pro"/>
          <w:b/>
          <w:bCs/>
        </w:rPr>
        <w:t> </w:t>
      </w:r>
      <w:r w:rsidRPr="00D829F0">
        <w:rPr>
          <w:rFonts w:ascii="Source Sans Pro" w:hAnsi="Source Sans Pro"/>
          <w:b/>
        </w:rPr>
        <w:t>gadu.</w:t>
      </w:r>
      <w:r w:rsidRPr="00D829F0">
        <w:rPr>
          <w:rFonts w:ascii="Source Sans Pro" w:hAnsi="Source Sans Pro"/>
        </w:rPr>
        <w:t xml:space="preserve"> Savukārt pēc 2030.</w:t>
      </w:r>
      <w:r w:rsidR="00D41B24">
        <w:rPr>
          <w:rFonts w:ascii="Source Sans Pro" w:hAnsi="Source Sans Pro"/>
        </w:rPr>
        <w:t> </w:t>
      </w:r>
      <w:r w:rsidRPr="00D829F0">
        <w:rPr>
          <w:rFonts w:ascii="Source Sans Pro" w:hAnsi="Source Sans Pro"/>
        </w:rPr>
        <w:t xml:space="preserve">gada darbaspēka piedāvājumu arvien vairāk ietekmēs demogrāfiskie procesi un tas varētu atkal sarukt. Kopumā ekonomiski aktīvo iedzīvotāju skaits līdz 2040. gadam varētu samazināties par aptuveni </w:t>
      </w:r>
      <w:r w:rsidR="00A36B8F" w:rsidRPr="00D829F0">
        <w:rPr>
          <w:rFonts w:ascii="Source Sans Pro" w:hAnsi="Source Sans Pro"/>
        </w:rPr>
        <w:t>12,7</w:t>
      </w:r>
      <w:r w:rsidRPr="00D829F0">
        <w:rPr>
          <w:rFonts w:ascii="Source Sans Pro" w:hAnsi="Source Sans Pro"/>
        </w:rPr>
        <w:t xml:space="preserve"> tūkst. jeb 1</w:t>
      </w:r>
      <w:r w:rsidR="00A31AFC" w:rsidRPr="00D829F0">
        <w:rPr>
          <w:rFonts w:ascii="Source Sans Pro" w:hAnsi="Source Sans Pro"/>
        </w:rPr>
        <w:t>,3</w:t>
      </w:r>
      <w:r w:rsidRPr="00D829F0">
        <w:rPr>
          <w:rFonts w:ascii="Source Sans Pro" w:hAnsi="Source Sans Pro"/>
        </w:rPr>
        <w:t>%, salīdzinot ar 20</w:t>
      </w:r>
      <w:r w:rsidR="00A31AFC" w:rsidRPr="00D829F0">
        <w:rPr>
          <w:rFonts w:ascii="Source Sans Pro" w:hAnsi="Source Sans Pro"/>
        </w:rPr>
        <w:t>25</w:t>
      </w:r>
      <w:r w:rsidRPr="00D829F0">
        <w:rPr>
          <w:rFonts w:ascii="Source Sans Pro" w:hAnsi="Source Sans Pro"/>
        </w:rPr>
        <w:t>.</w:t>
      </w:r>
      <w:r w:rsidR="00D41B24">
        <w:rPr>
          <w:rFonts w:ascii="Source Sans Pro" w:hAnsi="Source Sans Pro"/>
        </w:rPr>
        <w:t> </w:t>
      </w:r>
      <w:r w:rsidRPr="00D829F0">
        <w:rPr>
          <w:rFonts w:ascii="Source Sans Pro" w:hAnsi="Source Sans Pro"/>
        </w:rPr>
        <w:t>gadu.</w:t>
      </w:r>
    </w:p>
    <w:p w14:paraId="159DD7DA" w14:textId="77777777" w:rsidR="006E1727" w:rsidRDefault="006E1727">
      <w:pPr>
        <w:spacing w:after="0"/>
        <w:rPr>
          <w:rFonts w:ascii="Source Sans Pro" w:hAnsi="Source Sans Pro"/>
          <w:szCs w:val="26"/>
        </w:rPr>
      </w:pPr>
      <w:r>
        <w:rPr>
          <w:rFonts w:ascii="Source Sans Pro" w:hAnsi="Source Sans Pro"/>
          <w:szCs w:val="26"/>
        </w:rPr>
        <w:br w:type="page"/>
      </w:r>
    </w:p>
    <w:p w14:paraId="06277492" w14:textId="5C14661A" w:rsidR="00A408E7" w:rsidRPr="00D829F0" w:rsidRDefault="00A408E7" w:rsidP="00343F74">
      <w:pPr>
        <w:spacing w:after="120"/>
        <w:jc w:val="right"/>
        <w:rPr>
          <w:rFonts w:ascii="Source Sans Pro" w:hAnsi="Source Sans Pro"/>
          <w:szCs w:val="26"/>
        </w:rPr>
      </w:pPr>
      <w:r w:rsidRPr="00D829F0">
        <w:rPr>
          <w:rFonts w:ascii="Source Sans Pro" w:hAnsi="Source Sans Pro"/>
          <w:szCs w:val="26"/>
        </w:rPr>
        <w:lastRenderedPageBreak/>
        <w:t>3.9. tabula</w:t>
      </w:r>
    </w:p>
    <w:p w14:paraId="32AFC69A" w14:textId="77777777" w:rsidR="00A408E7" w:rsidRPr="00DA7765" w:rsidRDefault="00A408E7" w:rsidP="00590200">
      <w:pPr>
        <w:spacing w:after="120"/>
        <w:jc w:val="center"/>
        <w:rPr>
          <w:rFonts w:ascii="Segoe UI Light" w:hAnsi="Segoe UI Light"/>
          <w:b/>
          <w:i/>
          <w:color w:val="000000"/>
          <w:sz w:val="18"/>
          <w:szCs w:val="26"/>
        </w:rPr>
      </w:pPr>
      <w:r w:rsidRPr="00DA7765">
        <w:rPr>
          <w:rFonts w:ascii="Segoe UI Light" w:hAnsi="Segoe UI Light"/>
          <w:b/>
          <w:color w:val="000000"/>
          <w:sz w:val="18"/>
          <w:szCs w:val="26"/>
        </w:rPr>
        <w:t>Iedzīvotāju līdzdalība darba tirgū</w:t>
      </w:r>
      <w:r w:rsidRPr="00DA7765">
        <w:rPr>
          <w:rFonts w:ascii="Segoe UI Light" w:hAnsi="Segoe UI Light"/>
          <w:b/>
          <w:color w:val="000000"/>
          <w:sz w:val="18"/>
          <w:szCs w:val="26"/>
        </w:rPr>
        <w:br/>
      </w:r>
      <w:r w:rsidRPr="00DA7765">
        <w:rPr>
          <w:rFonts w:ascii="Segoe UI Light" w:hAnsi="Segoe UI Light"/>
          <w:i/>
          <w:color w:val="000000"/>
          <w:sz w:val="16"/>
          <w:szCs w:val="26"/>
        </w:rPr>
        <w:t>procenti no iedzīvotāju kopskaita atbilstošajā vecuma grupā</w:t>
      </w:r>
    </w:p>
    <w:tbl>
      <w:tblPr>
        <w:tblStyle w:val="GridTable5Dark-Accent31"/>
        <w:tblW w:w="304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20" w:firstRow="1" w:lastRow="0" w:firstColumn="0" w:lastColumn="0" w:noHBand="0" w:noVBand="1"/>
      </w:tblPr>
      <w:tblGrid>
        <w:gridCol w:w="2209"/>
        <w:gridCol w:w="1105"/>
        <w:gridCol w:w="1110"/>
        <w:gridCol w:w="1094"/>
      </w:tblGrid>
      <w:tr w:rsidR="00A42327" w:rsidRPr="00D829F0" w14:paraId="6448222C" w14:textId="77777777" w:rsidTr="00C00800">
        <w:trPr>
          <w:cnfStyle w:val="100000000000" w:firstRow="1" w:lastRow="0" w:firstColumn="0" w:lastColumn="0" w:oddVBand="0" w:evenVBand="0" w:oddHBand="0" w:evenHBand="0" w:firstRowFirstColumn="0" w:firstRowLastColumn="0" w:lastRowFirstColumn="0" w:lastRowLastColumn="0"/>
          <w:trHeight w:val="454"/>
          <w:jc w:val="center"/>
        </w:trPr>
        <w:tc>
          <w:tcPr>
            <w:tcW w:w="2002" w:type="pct"/>
            <w:shd w:val="clear" w:color="auto" w:fill="006666"/>
            <w:noWrap/>
            <w:vAlign w:val="center"/>
          </w:tcPr>
          <w:p w14:paraId="160D3586" w14:textId="77777777" w:rsidR="00A42327" w:rsidRPr="00DA7765" w:rsidRDefault="00A42327" w:rsidP="00C00800">
            <w:pPr>
              <w:spacing w:before="40" w:after="40"/>
              <w:jc w:val="center"/>
              <w:rPr>
                <w:rFonts w:ascii="Segoe UI Light" w:eastAsia="Arial Unicode MS" w:hAnsi="Segoe UI Light"/>
                <w:b w:val="0"/>
                <w:sz w:val="16"/>
                <w:szCs w:val="16"/>
              </w:rPr>
            </w:pPr>
          </w:p>
        </w:tc>
        <w:tc>
          <w:tcPr>
            <w:tcW w:w="1001" w:type="pct"/>
            <w:shd w:val="clear" w:color="auto" w:fill="006666"/>
            <w:vAlign w:val="center"/>
          </w:tcPr>
          <w:p w14:paraId="13CB240F" w14:textId="77777777" w:rsidR="00A42327" w:rsidRPr="00DA7765" w:rsidRDefault="00A42327">
            <w:pPr>
              <w:spacing w:before="40" w:after="40"/>
              <w:jc w:val="center"/>
              <w:rPr>
                <w:rFonts w:ascii="Segoe UI Light" w:hAnsi="Segoe UI Light"/>
                <w:sz w:val="16"/>
                <w:szCs w:val="16"/>
              </w:rPr>
            </w:pPr>
            <w:r w:rsidRPr="00DA7765">
              <w:rPr>
                <w:rFonts w:ascii="Segoe UI Light" w:hAnsi="Segoe UI Light"/>
                <w:sz w:val="16"/>
                <w:szCs w:val="16"/>
              </w:rPr>
              <w:t>2026</w:t>
            </w:r>
          </w:p>
        </w:tc>
        <w:tc>
          <w:tcPr>
            <w:tcW w:w="1006" w:type="pct"/>
            <w:shd w:val="clear" w:color="auto" w:fill="006666"/>
            <w:vAlign w:val="center"/>
            <w:hideMark/>
          </w:tcPr>
          <w:p w14:paraId="733306C6" w14:textId="77777777" w:rsidR="00A42327" w:rsidRPr="00DA7765" w:rsidRDefault="00A42327">
            <w:pPr>
              <w:spacing w:before="40" w:after="40"/>
              <w:jc w:val="center"/>
              <w:rPr>
                <w:rFonts w:ascii="Segoe UI Light" w:hAnsi="Segoe UI Light"/>
                <w:sz w:val="16"/>
                <w:szCs w:val="16"/>
              </w:rPr>
            </w:pPr>
            <w:r w:rsidRPr="00DA7765">
              <w:rPr>
                <w:rFonts w:ascii="Segoe UI Light" w:hAnsi="Segoe UI Light"/>
                <w:sz w:val="16"/>
                <w:szCs w:val="16"/>
              </w:rPr>
              <w:t>2030</w:t>
            </w:r>
          </w:p>
        </w:tc>
        <w:tc>
          <w:tcPr>
            <w:tcW w:w="991" w:type="pct"/>
            <w:shd w:val="clear" w:color="auto" w:fill="006666"/>
            <w:vAlign w:val="center"/>
            <w:hideMark/>
          </w:tcPr>
          <w:p w14:paraId="0797C408" w14:textId="77777777" w:rsidR="00A42327" w:rsidRPr="00DA7765" w:rsidRDefault="00A42327">
            <w:pPr>
              <w:spacing w:before="40" w:after="40"/>
              <w:jc w:val="center"/>
              <w:rPr>
                <w:rFonts w:ascii="Segoe UI Light" w:hAnsi="Segoe UI Light"/>
                <w:sz w:val="16"/>
                <w:szCs w:val="16"/>
              </w:rPr>
            </w:pPr>
            <w:r w:rsidRPr="00DA7765">
              <w:rPr>
                <w:rFonts w:ascii="Segoe UI Light" w:hAnsi="Segoe UI Light"/>
                <w:sz w:val="16"/>
                <w:szCs w:val="16"/>
              </w:rPr>
              <w:t>2040</w:t>
            </w:r>
          </w:p>
        </w:tc>
      </w:tr>
      <w:tr w:rsidR="00A42327" w:rsidRPr="00D829F0" w14:paraId="61A38800" w14:textId="77777777" w:rsidTr="00C00800">
        <w:trPr>
          <w:cnfStyle w:val="000000100000" w:firstRow="0" w:lastRow="0" w:firstColumn="0" w:lastColumn="0" w:oddVBand="0" w:evenVBand="0" w:oddHBand="1" w:evenHBand="0" w:firstRowFirstColumn="0" w:firstRowLastColumn="0" w:lastRowFirstColumn="0" w:lastRowLastColumn="0"/>
          <w:trHeight w:val="20"/>
          <w:jc w:val="center"/>
        </w:trPr>
        <w:tc>
          <w:tcPr>
            <w:tcW w:w="2002" w:type="pct"/>
            <w:shd w:val="clear" w:color="auto" w:fill="DCE7EB"/>
            <w:hideMark/>
          </w:tcPr>
          <w:p w14:paraId="3E53E5D3" w14:textId="77777777" w:rsidR="00A42327" w:rsidRPr="00DA7765" w:rsidRDefault="00A42327">
            <w:pPr>
              <w:spacing w:before="40" w:after="40"/>
              <w:rPr>
                <w:rFonts w:ascii="Segoe UI Light" w:hAnsi="Segoe UI Light"/>
                <w:b/>
                <w:sz w:val="16"/>
                <w:szCs w:val="16"/>
              </w:rPr>
            </w:pPr>
            <w:r w:rsidRPr="00DA7765">
              <w:rPr>
                <w:rFonts w:ascii="Segoe UI Light" w:hAnsi="Segoe UI Light"/>
                <w:b/>
                <w:bCs/>
                <w:sz w:val="16"/>
                <w:szCs w:val="16"/>
              </w:rPr>
              <w:t>Pavisam</w:t>
            </w:r>
          </w:p>
        </w:tc>
        <w:tc>
          <w:tcPr>
            <w:tcW w:w="1001" w:type="pct"/>
            <w:shd w:val="clear" w:color="auto" w:fill="DCE7EB"/>
          </w:tcPr>
          <w:p w14:paraId="33A4A273" w14:textId="77777777" w:rsidR="00A42327" w:rsidRPr="00DA7765" w:rsidRDefault="00A42327">
            <w:pPr>
              <w:spacing w:before="40" w:after="40"/>
              <w:jc w:val="center"/>
              <w:rPr>
                <w:rFonts w:ascii="Segoe UI Light" w:hAnsi="Segoe UI Light"/>
                <w:b/>
                <w:bCs/>
                <w:color w:val="000000"/>
                <w:sz w:val="16"/>
                <w:szCs w:val="16"/>
              </w:rPr>
            </w:pPr>
            <w:r w:rsidRPr="00DA7765">
              <w:rPr>
                <w:rFonts w:ascii="Segoe UI Light" w:hAnsi="Segoe UI Light"/>
                <w:b/>
                <w:bCs/>
                <w:color w:val="000000"/>
                <w:sz w:val="16"/>
                <w:szCs w:val="16"/>
              </w:rPr>
              <w:t>68,5</w:t>
            </w:r>
          </w:p>
        </w:tc>
        <w:tc>
          <w:tcPr>
            <w:tcW w:w="1006" w:type="pct"/>
            <w:shd w:val="clear" w:color="auto" w:fill="DCE7EB"/>
            <w:hideMark/>
          </w:tcPr>
          <w:p w14:paraId="4DF8E49A" w14:textId="77777777" w:rsidR="00A42327" w:rsidRPr="00DA7765" w:rsidRDefault="00A42327">
            <w:pPr>
              <w:spacing w:before="40" w:after="40"/>
              <w:jc w:val="center"/>
              <w:rPr>
                <w:rFonts w:ascii="Segoe UI Light" w:hAnsi="Segoe UI Light"/>
                <w:b/>
                <w:bCs/>
                <w:color w:val="000000"/>
                <w:sz w:val="16"/>
                <w:szCs w:val="16"/>
              </w:rPr>
            </w:pPr>
            <w:r w:rsidRPr="00DA7765">
              <w:rPr>
                <w:rFonts w:ascii="Segoe UI Light" w:hAnsi="Segoe UI Light"/>
                <w:b/>
                <w:bCs/>
                <w:color w:val="000000"/>
                <w:sz w:val="16"/>
                <w:szCs w:val="16"/>
              </w:rPr>
              <w:t>70,7</w:t>
            </w:r>
          </w:p>
        </w:tc>
        <w:tc>
          <w:tcPr>
            <w:tcW w:w="991" w:type="pct"/>
            <w:shd w:val="clear" w:color="auto" w:fill="DCE7EB"/>
            <w:hideMark/>
          </w:tcPr>
          <w:p w14:paraId="6066C514" w14:textId="77777777" w:rsidR="00A42327" w:rsidRPr="00DA7765" w:rsidRDefault="00A42327">
            <w:pPr>
              <w:spacing w:before="40" w:after="40"/>
              <w:jc w:val="center"/>
              <w:rPr>
                <w:rFonts w:ascii="Segoe UI Light" w:hAnsi="Segoe UI Light"/>
                <w:b/>
                <w:bCs/>
                <w:color w:val="000000"/>
                <w:sz w:val="16"/>
                <w:szCs w:val="16"/>
              </w:rPr>
            </w:pPr>
            <w:r w:rsidRPr="00DA7765">
              <w:rPr>
                <w:rFonts w:ascii="Segoe UI Light" w:hAnsi="Segoe UI Light"/>
                <w:b/>
                <w:bCs/>
                <w:color w:val="000000"/>
                <w:sz w:val="16"/>
                <w:szCs w:val="16"/>
              </w:rPr>
              <w:t>73,4</w:t>
            </w:r>
          </w:p>
        </w:tc>
      </w:tr>
      <w:tr w:rsidR="00A42327" w:rsidRPr="00D829F0" w14:paraId="144D4BAC" w14:textId="77777777" w:rsidTr="00C00800">
        <w:trPr>
          <w:trHeight w:val="20"/>
          <w:jc w:val="center"/>
        </w:trPr>
        <w:tc>
          <w:tcPr>
            <w:tcW w:w="2002" w:type="pct"/>
            <w:shd w:val="clear" w:color="auto" w:fill="auto"/>
            <w:hideMark/>
          </w:tcPr>
          <w:p w14:paraId="59A54BE1" w14:textId="77777777" w:rsidR="00A42327" w:rsidRPr="00DA7765" w:rsidRDefault="00A42327">
            <w:pPr>
              <w:spacing w:before="40" w:after="40"/>
              <w:rPr>
                <w:rFonts w:ascii="Segoe UI Light" w:hAnsi="Segoe UI Light"/>
                <w:color w:val="000000"/>
                <w:sz w:val="16"/>
                <w:szCs w:val="16"/>
              </w:rPr>
            </w:pPr>
            <w:r w:rsidRPr="00DA7765">
              <w:rPr>
                <w:rFonts w:ascii="Segoe UI Light" w:hAnsi="Segoe UI Light"/>
                <w:color w:val="000000"/>
                <w:sz w:val="16"/>
                <w:szCs w:val="16"/>
              </w:rPr>
              <w:t>15-24</w:t>
            </w:r>
          </w:p>
        </w:tc>
        <w:tc>
          <w:tcPr>
            <w:tcW w:w="1001" w:type="pct"/>
            <w:shd w:val="clear" w:color="auto" w:fill="auto"/>
          </w:tcPr>
          <w:p w14:paraId="355CD573"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36,9</w:t>
            </w:r>
          </w:p>
        </w:tc>
        <w:tc>
          <w:tcPr>
            <w:tcW w:w="1006" w:type="pct"/>
            <w:shd w:val="clear" w:color="auto" w:fill="auto"/>
            <w:hideMark/>
          </w:tcPr>
          <w:p w14:paraId="45756708"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41,7</w:t>
            </w:r>
          </w:p>
        </w:tc>
        <w:tc>
          <w:tcPr>
            <w:tcW w:w="991" w:type="pct"/>
            <w:shd w:val="clear" w:color="auto" w:fill="auto"/>
            <w:hideMark/>
          </w:tcPr>
          <w:p w14:paraId="43FE77F8"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46,6</w:t>
            </w:r>
          </w:p>
        </w:tc>
      </w:tr>
      <w:tr w:rsidR="00A42327" w:rsidRPr="00D829F0" w14:paraId="5AB79440" w14:textId="77777777" w:rsidTr="00C00800">
        <w:trPr>
          <w:cnfStyle w:val="000000100000" w:firstRow="0" w:lastRow="0" w:firstColumn="0" w:lastColumn="0" w:oddVBand="0" w:evenVBand="0" w:oddHBand="1" w:evenHBand="0" w:firstRowFirstColumn="0" w:firstRowLastColumn="0" w:lastRowFirstColumn="0" w:lastRowLastColumn="0"/>
          <w:trHeight w:val="20"/>
          <w:jc w:val="center"/>
        </w:trPr>
        <w:tc>
          <w:tcPr>
            <w:tcW w:w="2002" w:type="pct"/>
            <w:shd w:val="clear" w:color="auto" w:fill="DCE7EB"/>
            <w:hideMark/>
          </w:tcPr>
          <w:p w14:paraId="745CD282" w14:textId="77777777" w:rsidR="00A42327" w:rsidRPr="00DA7765" w:rsidRDefault="00A42327">
            <w:pPr>
              <w:spacing w:before="40" w:after="40"/>
              <w:rPr>
                <w:rFonts w:ascii="Segoe UI Light" w:hAnsi="Segoe UI Light"/>
                <w:color w:val="000000"/>
                <w:sz w:val="16"/>
                <w:szCs w:val="16"/>
              </w:rPr>
            </w:pPr>
            <w:r w:rsidRPr="00DA7765">
              <w:rPr>
                <w:rFonts w:ascii="Segoe UI Light" w:hAnsi="Segoe UI Light"/>
                <w:color w:val="000000"/>
                <w:sz w:val="16"/>
                <w:szCs w:val="16"/>
              </w:rPr>
              <w:t>25-34</w:t>
            </w:r>
          </w:p>
        </w:tc>
        <w:tc>
          <w:tcPr>
            <w:tcW w:w="1001" w:type="pct"/>
            <w:shd w:val="clear" w:color="auto" w:fill="DCE7EB"/>
          </w:tcPr>
          <w:p w14:paraId="2804BAF1"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84,7</w:t>
            </w:r>
          </w:p>
        </w:tc>
        <w:tc>
          <w:tcPr>
            <w:tcW w:w="1006" w:type="pct"/>
            <w:shd w:val="clear" w:color="auto" w:fill="DCE7EB"/>
            <w:hideMark/>
          </w:tcPr>
          <w:p w14:paraId="588470D0"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88,7</w:t>
            </w:r>
          </w:p>
        </w:tc>
        <w:tc>
          <w:tcPr>
            <w:tcW w:w="991" w:type="pct"/>
            <w:shd w:val="clear" w:color="auto" w:fill="DCE7EB"/>
            <w:hideMark/>
          </w:tcPr>
          <w:p w14:paraId="6BE8BD6B"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92,1</w:t>
            </w:r>
          </w:p>
        </w:tc>
      </w:tr>
      <w:tr w:rsidR="00A42327" w:rsidRPr="00D829F0" w14:paraId="13C37713" w14:textId="77777777" w:rsidTr="00C00800">
        <w:trPr>
          <w:trHeight w:val="20"/>
          <w:jc w:val="center"/>
        </w:trPr>
        <w:tc>
          <w:tcPr>
            <w:tcW w:w="2002" w:type="pct"/>
            <w:shd w:val="clear" w:color="auto" w:fill="auto"/>
            <w:hideMark/>
          </w:tcPr>
          <w:p w14:paraId="4FBF481F" w14:textId="77777777" w:rsidR="00A42327" w:rsidRPr="00DA7765" w:rsidRDefault="00A42327">
            <w:pPr>
              <w:spacing w:before="40" w:after="40"/>
              <w:rPr>
                <w:rFonts w:ascii="Segoe UI Light" w:hAnsi="Segoe UI Light"/>
                <w:color w:val="000000"/>
                <w:sz w:val="16"/>
                <w:szCs w:val="16"/>
              </w:rPr>
            </w:pPr>
            <w:r w:rsidRPr="00DA7765">
              <w:rPr>
                <w:rFonts w:ascii="Segoe UI Light" w:hAnsi="Segoe UI Light"/>
                <w:color w:val="000000"/>
                <w:sz w:val="16"/>
                <w:szCs w:val="16"/>
              </w:rPr>
              <w:t>35-44</w:t>
            </w:r>
          </w:p>
        </w:tc>
        <w:tc>
          <w:tcPr>
            <w:tcW w:w="1001" w:type="pct"/>
            <w:shd w:val="clear" w:color="auto" w:fill="auto"/>
          </w:tcPr>
          <w:p w14:paraId="783EA42D"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88,3</w:t>
            </w:r>
          </w:p>
        </w:tc>
        <w:tc>
          <w:tcPr>
            <w:tcW w:w="1006" w:type="pct"/>
            <w:shd w:val="clear" w:color="auto" w:fill="auto"/>
            <w:hideMark/>
          </w:tcPr>
          <w:p w14:paraId="162D472A"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88,9</w:t>
            </w:r>
          </w:p>
        </w:tc>
        <w:tc>
          <w:tcPr>
            <w:tcW w:w="991" w:type="pct"/>
            <w:shd w:val="clear" w:color="auto" w:fill="auto"/>
            <w:hideMark/>
          </w:tcPr>
          <w:p w14:paraId="620FD0A0"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93,4</w:t>
            </w:r>
          </w:p>
        </w:tc>
      </w:tr>
      <w:tr w:rsidR="00A42327" w:rsidRPr="00D829F0" w14:paraId="6D6789D0" w14:textId="77777777" w:rsidTr="00C00800">
        <w:trPr>
          <w:cnfStyle w:val="000000100000" w:firstRow="0" w:lastRow="0" w:firstColumn="0" w:lastColumn="0" w:oddVBand="0" w:evenVBand="0" w:oddHBand="1" w:evenHBand="0" w:firstRowFirstColumn="0" w:firstRowLastColumn="0" w:lastRowFirstColumn="0" w:lastRowLastColumn="0"/>
          <w:trHeight w:val="20"/>
          <w:jc w:val="center"/>
        </w:trPr>
        <w:tc>
          <w:tcPr>
            <w:tcW w:w="2002" w:type="pct"/>
            <w:shd w:val="clear" w:color="auto" w:fill="DCE7EB"/>
            <w:hideMark/>
          </w:tcPr>
          <w:p w14:paraId="4CBBCB6C" w14:textId="77777777" w:rsidR="00A42327" w:rsidRPr="00DA7765" w:rsidRDefault="00A42327">
            <w:pPr>
              <w:spacing w:before="40" w:after="40"/>
              <w:rPr>
                <w:rFonts w:ascii="Segoe UI Light" w:hAnsi="Segoe UI Light"/>
                <w:color w:val="000000"/>
                <w:sz w:val="16"/>
                <w:szCs w:val="16"/>
              </w:rPr>
            </w:pPr>
            <w:r w:rsidRPr="00DA7765">
              <w:rPr>
                <w:rFonts w:ascii="Segoe UI Light" w:hAnsi="Segoe UI Light"/>
                <w:color w:val="000000"/>
                <w:sz w:val="16"/>
                <w:szCs w:val="16"/>
              </w:rPr>
              <w:t>45-54</w:t>
            </w:r>
          </w:p>
        </w:tc>
        <w:tc>
          <w:tcPr>
            <w:tcW w:w="1001" w:type="pct"/>
            <w:shd w:val="clear" w:color="auto" w:fill="DCE7EB"/>
          </w:tcPr>
          <w:p w14:paraId="5B77DEED"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85,8</w:t>
            </w:r>
          </w:p>
        </w:tc>
        <w:tc>
          <w:tcPr>
            <w:tcW w:w="1006" w:type="pct"/>
            <w:shd w:val="clear" w:color="auto" w:fill="DCE7EB"/>
            <w:hideMark/>
          </w:tcPr>
          <w:p w14:paraId="20B00B22"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89,1</w:t>
            </w:r>
          </w:p>
        </w:tc>
        <w:tc>
          <w:tcPr>
            <w:tcW w:w="991" w:type="pct"/>
            <w:shd w:val="clear" w:color="auto" w:fill="DCE7EB"/>
            <w:hideMark/>
          </w:tcPr>
          <w:p w14:paraId="1CA7D372"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89,7</w:t>
            </w:r>
          </w:p>
        </w:tc>
      </w:tr>
      <w:tr w:rsidR="00A42327" w:rsidRPr="00D829F0" w14:paraId="677868B6" w14:textId="77777777" w:rsidTr="00C00800">
        <w:trPr>
          <w:trHeight w:val="20"/>
          <w:jc w:val="center"/>
        </w:trPr>
        <w:tc>
          <w:tcPr>
            <w:tcW w:w="2002" w:type="pct"/>
            <w:shd w:val="clear" w:color="auto" w:fill="auto"/>
            <w:hideMark/>
          </w:tcPr>
          <w:p w14:paraId="381EE2C1" w14:textId="77777777" w:rsidR="00A42327" w:rsidRPr="00DA7765" w:rsidRDefault="00A42327">
            <w:pPr>
              <w:spacing w:before="40" w:after="40"/>
              <w:rPr>
                <w:rFonts w:ascii="Segoe UI Light" w:hAnsi="Segoe UI Light"/>
                <w:color w:val="000000"/>
                <w:sz w:val="16"/>
                <w:szCs w:val="16"/>
              </w:rPr>
            </w:pPr>
            <w:r w:rsidRPr="00DA7765">
              <w:rPr>
                <w:rFonts w:ascii="Segoe UI Light" w:hAnsi="Segoe UI Light"/>
                <w:color w:val="000000"/>
                <w:sz w:val="16"/>
                <w:szCs w:val="16"/>
              </w:rPr>
              <w:t>55-64</w:t>
            </w:r>
          </w:p>
        </w:tc>
        <w:tc>
          <w:tcPr>
            <w:tcW w:w="1001" w:type="pct"/>
            <w:shd w:val="clear" w:color="auto" w:fill="auto"/>
          </w:tcPr>
          <w:p w14:paraId="13EDD910"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78,4</w:t>
            </w:r>
          </w:p>
        </w:tc>
        <w:tc>
          <w:tcPr>
            <w:tcW w:w="1006" w:type="pct"/>
            <w:shd w:val="clear" w:color="auto" w:fill="auto"/>
            <w:hideMark/>
          </w:tcPr>
          <w:p w14:paraId="26ACF136"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84,0</w:t>
            </w:r>
          </w:p>
        </w:tc>
        <w:tc>
          <w:tcPr>
            <w:tcW w:w="991" w:type="pct"/>
            <w:shd w:val="clear" w:color="auto" w:fill="auto"/>
            <w:hideMark/>
          </w:tcPr>
          <w:p w14:paraId="53AE7983"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87,4</w:t>
            </w:r>
          </w:p>
        </w:tc>
      </w:tr>
      <w:tr w:rsidR="00A42327" w:rsidRPr="00D829F0" w14:paraId="520BE77A" w14:textId="77777777" w:rsidTr="00C00800">
        <w:trPr>
          <w:cnfStyle w:val="000000100000" w:firstRow="0" w:lastRow="0" w:firstColumn="0" w:lastColumn="0" w:oddVBand="0" w:evenVBand="0" w:oddHBand="1" w:evenHBand="0" w:firstRowFirstColumn="0" w:firstRowLastColumn="0" w:lastRowFirstColumn="0" w:lastRowLastColumn="0"/>
          <w:trHeight w:val="20"/>
          <w:jc w:val="center"/>
        </w:trPr>
        <w:tc>
          <w:tcPr>
            <w:tcW w:w="2002" w:type="pct"/>
            <w:shd w:val="clear" w:color="auto" w:fill="DCE7EB"/>
            <w:hideMark/>
          </w:tcPr>
          <w:p w14:paraId="1155EAF5" w14:textId="77777777" w:rsidR="00A42327" w:rsidRPr="00DA7765" w:rsidRDefault="00A42327">
            <w:pPr>
              <w:spacing w:before="40" w:after="40"/>
              <w:rPr>
                <w:rFonts w:ascii="Segoe UI Light" w:hAnsi="Segoe UI Light"/>
                <w:color w:val="000000"/>
                <w:sz w:val="16"/>
                <w:szCs w:val="16"/>
              </w:rPr>
            </w:pPr>
            <w:r w:rsidRPr="00DA7765">
              <w:rPr>
                <w:rFonts w:ascii="Segoe UI Light" w:hAnsi="Segoe UI Light"/>
                <w:color w:val="000000"/>
                <w:sz w:val="16"/>
                <w:szCs w:val="16"/>
              </w:rPr>
              <w:t>65-74</w:t>
            </w:r>
          </w:p>
        </w:tc>
        <w:tc>
          <w:tcPr>
            <w:tcW w:w="1001" w:type="pct"/>
            <w:shd w:val="clear" w:color="auto" w:fill="DCE7EB"/>
          </w:tcPr>
          <w:p w14:paraId="28236E81"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26,3</w:t>
            </w:r>
          </w:p>
        </w:tc>
        <w:tc>
          <w:tcPr>
            <w:tcW w:w="1006" w:type="pct"/>
            <w:shd w:val="clear" w:color="auto" w:fill="DCE7EB"/>
            <w:hideMark/>
          </w:tcPr>
          <w:p w14:paraId="725318DC"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28,7</w:t>
            </w:r>
          </w:p>
        </w:tc>
        <w:tc>
          <w:tcPr>
            <w:tcW w:w="991" w:type="pct"/>
            <w:shd w:val="clear" w:color="auto" w:fill="DCE7EB"/>
            <w:hideMark/>
          </w:tcPr>
          <w:p w14:paraId="78EDB37E" w14:textId="77777777" w:rsidR="00A42327" w:rsidRPr="00DA7765" w:rsidRDefault="00A42327">
            <w:pPr>
              <w:spacing w:before="40" w:after="40"/>
              <w:jc w:val="center"/>
              <w:rPr>
                <w:rFonts w:ascii="Segoe UI Light" w:hAnsi="Segoe UI Light"/>
                <w:color w:val="000000"/>
                <w:sz w:val="16"/>
                <w:szCs w:val="16"/>
              </w:rPr>
            </w:pPr>
            <w:r w:rsidRPr="00DA7765">
              <w:rPr>
                <w:rFonts w:ascii="Segoe UI Light" w:hAnsi="Segoe UI Light"/>
                <w:color w:val="000000"/>
                <w:sz w:val="16"/>
                <w:szCs w:val="16"/>
              </w:rPr>
              <w:t>29,9</w:t>
            </w:r>
          </w:p>
        </w:tc>
      </w:tr>
    </w:tbl>
    <w:p w14:paraId="391951D6" w14:textId="68EEC0F2" w:rsidR="00267AA4" w:rsidRPr="00D829F0" w:rsidRDefault="00267AA4" w:rsidP="00267AA4">
      <w:pPr>
        <w:spacing w:before="120" w:after="120"/>
        <w:ind w:left="720" w:firstLine="1123"/>
        <w:jc w:val="both"/>
        <w:rPr>
          <w:rFonts w:ascii="Source Sans Pro" w:hAnsi="Source Sans Pro" w:cs="Calibri Light"/>
          <w:sz w:val="16"/>
          <w:szCs w:val="14"/>
        </w:rPr>
      </w:pPr>
      <w:r w:rsidRPr="00D829F0">
        <w:rPr>
          <w:rFonts w:ascii="Source Sans Pro" w:hAnsi="Source Sans Pro" w:cs="Calibri Light"/>
          <w:sz w:val="16"/>
          <w:szCs w:val="14"/>
        </w:rPr>
        <w:t>Avots: CSP dati 202</w:t>
      </w:r>
      <w:r w:rsidR="00DA7765" w:rsidRPr="00D829F0">
        <w:rPr>
          <w:rFonts w:ascii="Source Sans Pro" w:hAnsi="Source Sans Pro" w:cs="Calibri Light"/>
          <w:sz w:val="16"/>
          <w:szCs w:val="14"/>
        </w:rPr>
        <w:t>5</w:t>
      </w:r>
      <w:r w:rsidRPr="00D829F0">
        <w:rPr>
          <w:rFonts w:ascii="Source Sans Pro" w:hAnsi="Source Sans Pro" w:cs="Calibri Light"/>
          <w:sz w:val="16"/>
          <w:szCs w:val="14"/>
        </w:rPr>
        <w:t>.</w:t>
      </w:r>
      <w:r w:rsidR="00D41B24">
        <w:rPr>
          <w:rFonts w:ascii="Source Sans Pro" w:hAnsi="Source Sans Pro" w:cs="Calibri Light"/>
          <w:sz w:val="16"/>
          <w:szCs w:val="14"/>
        </w:rPr>
        <w:t> </w:t>
      </w:r>
      <w:r w:rsidRPr="00D829F0">
        <w:rPr>
          <w:rFonts w:ascii="Source Sans Pro" w:hAnsi="Source Sans Pro" w:cs="Calibri Light"/>
          <w:sz w:val="16"/>
          <w:szCs w:val="14"/>
        </w:rPr>
        <w:t>gadam, EM prognozes 2030.</w:t>
      </w:r>
      <w:r w:rsidR="00D41B24">
        <w:rPr>
          <w:rFonts w:ascii="Source Sans Pro" w:hAnsi="Source Sans Pro" w:cs="Calibri Light"/>
          <w:sz w:val="16"/>
          <w:szCs w:val="14"/>
        </w:rPr>
        <w:t> </w:t>
      </w:r>
      <w:r w:rsidRPr="00D829F0">
        <w:rPr>
          <w:rFonts w:ascii="Source Sans Pro" w:hAnsi="Source Sans Pro" w:cs="Calibri Light"/>
          <w:sz w:val="16"/>
          <w:szCs w:val="14"/>
        </w:rPr>
        <w:t>gadam un 2040.</w:t>
      </w:r>
      <w:r w:rsidR="00D41B24">
        <w:rPr>
          <w:rFonts w:ascii="Source Sans Pro" w:hAnsi="Source Sans Pro" w:cs="Calibri Light"/>
          <w:sz w:val="16"/>
          <w:szCs w:val="14"/>
        </w:rPr>
        <w:t> </w:t>
      </w:r>
      <w:r w:rsidRPr="00D829F0">
        <w:rPr>
          <w:rFonts w:ascii="Source Sans Pro" w:hAnsi="Source Sans Pro" w:cs="Calibri Light"/>
          <w:sz w:val="16"/>
          <w:szCs w:val="14"/>
        </w:rPr>
        <w:t>gadam</w:t>
      </w:r>
    </w:p>
    <w:p w14:paraId="0691F700" w14:textId="28BD602B" w:rsidR="00267AA4" w:rsidRPr="00D829F0" w:rsidRDefault="00267AA4" w:rsidP="00343F74">
      <w:pPr>
        <w:spacing w:after="120"/>
        <w:jc w:val="both"/>
        <w:rPr>
          <w:rFonts w:ascii="Source Sans Pro" w:hAnsi="Source Sans Pro"/>
          <w:color w:val="000000"/>
        </w:rPr>
      </w:pPr>
    </w:p>
    <w:p w14:paraId="74AE91DB" w14:textId="01B520AE" w:rsidR="00267AA4" w:rsidRPr="005B5B6E" w:rsidRDefault="00267AA4" w:rsidP="00343F74">
      <w:pPr>
        <w:spacing w:after="120"/>
        <w:jc w:val="both"/>
        <w:rPr>
          <w:rFonts w:ascii="Segoe UI Light" w:hAnsi="Segoe UI Light"/>
          <w:bCs/>
          <w:sz w:val="4"/>
          <w:szCs w:val="4"/>
        </w:rPr>
      </w:pPr>
      <w:r w:rsidRPr="00D829F0">
        <w:rPr>
          <w:rFonts w:ascii="Source Sans Pro" w:hAnsi="Source Sans Pro"/>
          <w:color w:val="000000"/>
        </w:rPr>
        <w:t>Līdz</w:t>
      </w:r>
      <w:r w:rsidR="003D0DD4" w:rsidRPr="00D829F0">
        <w:rPr>
          <w:rFonts w:ascii="Source Sans Pro" w:hAnsi="Source Sans Pro"/>
          <w:color w:val="000000"/>
        </w:rPr>
        <w:t xml:space="preserve"> </w:t>
      </w:r>
      <w:r w:rsidRPr="00D829F0">
        <w:rPr>
          <w:rFonts w:ascii="Source Sans Pro" w:hAnsi="Source Sans Pro"/>
          <w:color w:val="000000"/>
        </w:rPr>
        <w:t>2040.</w:t>
      </w:r>
      <w:r w:rsidR="00B566DE" w:rsidRPr="00D829F0">
        <w:rPr>
          <w:rFonts w:ascii="Source Sans Pro" w:hAnsi="Source Sans Pro"/>
          <w:color w:val="000000"/>
        </w:rPr>
        <w:t> </w:t>
      </w:r>
      <w:r w:rsidRPr="00D829F0">
        <w:rPr>
          <w:rFonts w:ascii="Source Sans Pro" w:hAnsi="Source Sans Pro"/>
          <w:color w:val="000000"/>
        </w:rPr>
        <w:t xml:space="preserve">gadam iedzīvotāju ekonomiskās aktivitātes līmenis kopumā varētu palielināties par </w:t>
      </w:r>
      <w:r w:rsidR="003827FA" w:rsidRPr="00D829F0">
        <w:rPr>
          <w:rFonts w:ascii="Source Sans Pro" w:hAnsi="Source Sans Pro"/>
          <w:color w:val="000000"/>
        </w:rPr>
        <w:t>5,4</w:t>
      </w:r>
      <w:r w:rsidRPr="00D829F0">
        <w:rPr>
          <w:rFonts w:ascii="Source Sans Pro" w:hAnsi="Source Sans Pro"/>
          <w:color w:val="000000"/>
        </w:rPr>
        <w:t> procentpunktiem, salīdzinot ar 202</w:t>
      </w:r>
      <w:r w:rsidR="00F46DC9" w:rsidRPr="00D829F0">
        <w:rPr>
          <w:rFonts w:ascii="Source Sans Pro" w:hAnsi="Source Sans Pro"/>
          <w:color w:val="000000"/>
        </w:rPr>
        <w:t>5</w:t>
      </w:r>
      <w:r w:rsidRPr="00D829F0">
        <w:rPr>
          <w:rFonts w:ascii="Source Sans Pro" w:hAnsi="Source Sans Pro"/>
          <w:color w:val="000000"/>
        </w:rPr>
        <w:t>.</w:t>
      </w:r>
      <w:r w:rsidR="00B566DE" w:rsidRPr="00D829F0">
        <w:rPr>
          <w:rFonts w:ascii="Source Sans Pro" w:hAnsi="Source Sans Pro"/>
          <w:color w:val="000000"/>
        </w:rPr>
        <w:t> </w:t>
      </w:r>
      <w:r w:rsidRPr="00D829F0">
        <w:rPr>
          <w:rFonts w:ascii="Source Sans Pro" w:hAnsi="Source Sans Pro"/>
          <w:color w:val="000000"/>
        </w:rPr>
        <w:t>gadu, un sasniegt 74,</w:t>
      </w:r>
      <w:r w:rsidR="00B856D4" w:rsidRPr="00D829F0">
        <w:rPr>
          <w:rFonts w:ascii="Source Sans Pro" w:hAnsi="Source Sans Pro"/>
          <w:color w:val="000000"/>
        </w:rPr>
        <w:t>7</w:t>
      </w:r>
      <w:r w:rsidRPr="00D829F0">
        <w:rPr>
          <w:rFonts w:ascii="Source Sans Pro" w:hAnsi="Source Sans Pro"/>
          <w:color w:val="000000"/>
        </w:rPr>
        <w:t>% vecuma grupā no 15 līdz 74 gadiem. Augstākā ekonomiskā aktivitāte saglabāsies starp iedzīvotājiem vecumā no 25 līdz 5</w:t>
      </w:r>
      <w:r w:rsidR="005B5B6E" w:rsidRPr="00D829F0">
        <w:rPr>
          <w:rFonts w:ascii="Source Sans Pro" w:hAnsi="Source Sans Pro"/>
          <w:color w:val="000000"/>
        </w:rPr>
        <w:t>9</w:t>
      </w:r>
      <w:r w:rsidRPr="00D829F0">
        <w:rPr>
          <w:rFonts w:ascii="Source Sans Pro" w:hAnsi="Source Sans Pro"/>
          <w:color w:val="000000"/>
        </w:rPr>
        <w:t> gadiem. Turpretim nozīmīgākais ekonomiskās aktivitātes pieaugums sagaidāms starp iedzīvotājiem pirmspensijas vecuma grupā no 60 līdz 64 gadiem, kā arī jauniešu vidū (vecumā no 15-24 gadiem).</w:t>
      </w:r>
    </w:p>
    <w:p w14:paraId="681E6AE7" w14:textId="608B2AD5" w:rsidR="00267AA4" w:rsidRPr="00D829F0" w:rsidRDefault="00267AA4" w:rsidP="00267AA4">
      <w:pPr>
        <w:spacing w:after="120"/>
        <w:jc w:val="both"/>
        <w:rPr>
          <w:rFonts w:ascii="Source Sans Pro" w:hAnsi="Source Sans Pro"/>
          <w:color w:val="000000"/>
        </w:rPr>
      </w:pPr>
      <w:r w:rsidRPr="00D829F0">
        <w:rPr>
          <w:rFonts w:ascii="Source Sans Pro" w:hAnsi="Source Sans Pro"/>
          <w:color w:val="000000"/>
        </w:rPr>
        <w:t>Līdz 2030.</w:t>
      </w:r>
      <w:r w:rsidR="00B566DE" w:rsidRPr="00D829F0">
        <w:rPr>
          <w:rFonts w:ascii="Source Sans Pro" w:hAnsi="Source Sans Pro"/>
          <w:color w:val="000000"/>
        </w:rPr>
        <w:t> </w:t>
      </w:r>
      <w:r w:rsidRPr="00D829F0">
        <w:rPr>
          <w:rFonts w:ascii="Source Sans Pro" w:hAnsi="Source Sans Pro"/>
          <w:color w:val="000000"/>
        </w:rPr>
        <w:t xml:space="preserve">gadam nozīmīgākais darbaspēka samazinājums paredzams vecuma grupā no </w:t>
      </w:r>
      <w:r w:rsidR="005B5B6E" w:rsidRPr="00D829F0">
        <w:rPr>
          <w:rFonts w:ascii="Source Sans Pro" w:hAnsi="Source Sans Pro"/>
          <w:color w:val="000000"/>
        </w:rPr>
        <w:t>30</w:t>
      </w:r>
      <w:r w:rsidRPr="00D829F0">
        <w:rPr>
          <w:rFonts w:ascii="Source Sans Pro" w:hAnsi="Source Sans Pro"/>
          <w:color w:val="000000"/>
        </w:rPr>
        <w:t xml:space="preserve"> līdz 3</w:t>
      </w:r>
      <w:r w:rsidR="005B5B6E" w:rsidRPr="00D829F0">
        <w:rPr>
          <w:rFonts w:ascii="Source Sans Pro" w:hAnsi="Source Sans Pro"/>
          <w:color w:val="000000"/>
        </w:rPr>
        <w:t>9</w:t>
      </w:r>
      <w:r w:rsidRPr="00D829F0">
        <w:rPr>
          <w:rFonts w:ascii="Source Sans Pro" w:hAnsi="Source Sans Pro"/>
          <w:color w:val="000000"/>
        </w:rPr>
        <w:t xml:space="preserve"> gadiem. Galvenokārt tas saistāms ar 90. gadu zemās dzimstības izraisītās demogrāfiskās bedres ienākšanu atbilstošajā vecuma kohortā. Savukārt darbaspēka piedāvājums galvenokārt augs vecuma grupās </w:t>
      </w:r>
      <w:r w:rsidR="005B5B6E" w:rsidRPr="00D829F0">
        <w:rPr>
          <w:rFonts w:ascii="Source Sans Pro" w:hAnsi="Source Sans Pro"/>
          <w:color w:val="000000"/>
        </w:rPr>
        <w:t>20-29</w:t>
      </w:r>
      <w:r w:rsidR="00172129" w:rsidRPr="00D829F0">
        <w:rPr>
          <w:rFonts w:ascii="Source Sans Pro" w:hAnsi="Source Sans Pro"/>
          <w:color w:val="000000"/>
        </w:rPr>
        <w:t xml:space="preserve">, </w:t>
      </w:r>
      <w:r w:rsidR="005B5B6E" w:rsidRPr="00D829F0">
        <w:rPr>
          <w:rFonts w:ascii="Source Sans Pro" w:hAnsi="Source Sans Pro"/>
          <w:color w:val="000000"/>
        </w:rPr>
        <w:t>40-49</w:t>
      </w:r>
      <w:r w:rsidR="00964812" w:rsidRPr="00D829F0">
        <w:rPr>
          <w:rFonts w:ascii="Source Sans Pro" w:hAnsi="Source Sans Pro"/>
          <w:color w:val="000000"/>
        </w:rPr>
        <w:t xml:space="preserve">, </w:t>
      </w:r>
      <w:r w:rsidR="00172129" w:rsidRPr="00D829F0">
        <w:rPr>
          <w:rFonts w:ascii="Source Sans Pro" w:hAnsi="Source Sans Pro"/>
          <w:color w:val="000000"/>
        </w:rPr>
        <w:t xml:space="preserve">un </w:t>
      </w:r>
      <w:r w:rsidR="00964812" w:rsidRPr="00D829F0">
        <w:rPr>
          <w:rFonts w:ascii="Source Sans Pro" w:hAnsi="Source Sans Pro"/>
          <w:color w:val="000000"/>
        </w:rPr>
        <w:t>70-74</w:t>
      </w:r>
      <w:r w:rsidRPr="00D829F0">
        <w:rPr>
          <w:rFonts w:ascii="Source Sans Pro" w:hAnsi="Source Sans Pro"/>
          <w:color w:val="000000"/>
        </w:rPr>
        <w:t>, ko ietekmēs gan demogrāfiskās izmaiņas (iedzīvotāju skaita pieaugums attiecīgajā vecuma kohortā), gan ekonomiskās aktivitātes pieaugums.</w:t>
      </w:r>
    </w:p>
    <w:p w14:paraId="1A27831A" w14:textId="32A88B8E" w:rsidR="00267AA4" w:rsidRPr="00D829F0" w:rsidRDefault="00267AA4" w:rsidP="00267AA4">
      <w:pPr>
        <w:spacing w:after="120"/>
        <w:jc w:val="right"/>
        <w:rPr>
          <w:rFonts w:ascii="Source Sans Pro" w:hAnsi="Source Sans Pro"/>
          <w:szCs w:val="26"/>
        </w:rPr>
      </w:pPr>
      <w:r w:rsidRPr="00D829F0">
        <w:rPr>
          <w:rFonts w:ascii="Source Sans Pro" w:hAnsi="Source Sans Pro"/>
          <w:szCs w:val="26"/>
        </w:rPr>
        <w:t>3.10.</w:t>
      </w:r>
      <w:r w:rsidR="00D41B24">
        <w:rPr>
          <w:rFonts w:ascii="Source Sans Pro" w:hAnsi="Source Sans Pro"/>
          <w:szCs w:val="26"/>
        </w:rPr>
        <w:t> </w:t>
      </w:r>
      <w:r w:rsidRPr="00D829F0">
        <w:rPr>
          <w:rFonts w:ascii="Source Sans Pro" w:hAnsi="Source Sans Pro"/>
          <w:szCs w:val="26"/>
        </w:rPr>
        <w:t>tabula</w:t>
      </w:r>
    </w:p>
    <w:p w14:paraId="78DD432D" w14:textId="77777777" w:rsidR="00267AA4" w:rsidRPr="002D23E4" w:rsidRDefault="00267AA4" w:rsidP="00267AA4">
      <w:pPr>
        <w:spacing w:after="120"/>
        <w:jc w:val="center"/>
        <w:rPr>
          <w:rFonts w:ascii="Segoe UI Light" w:hAnsi="Segoe UI Light"/>
          <w:i/>
          <w:color w:val="000000"/>
          <w:sz w:val="16"/>
          <w:szCs w:val="16"/>
        </w:rPr>
      </w:pPr>
      <w:r w:rsidRPr="002D23E4">
        <w:rPr>
          <w:rFonts w:ascii="Segoe UI Light" w:hAnsi="Segoe UI Light"/>
          <w:b/>
          <w:color w:val="000000"/>
          <w:sz w:val="18"/>
          <w:szCs w:val="16"/>
        </w:rPr>
        <w:t>Ekonomiski aktīvo iedzīvotāju izmaiņas pa vecuma grupām</w:t>
      </w:r>
      <w:r w:rsidRPr="002D23E4">
        <w:rPr>
          <w:rFonts w:ascii="Segoe UI Light" w:hAnsi="Segoe UI Light"/>
          <w:b/>
          <w:color w:val="000000"/>
          <w:sz w:val="18"/>
          <w:szCs w:val="16"/>
        </w:rPr>
        <w:br/>
      </w:r>
      <w:r w:rsidRPr="002D23E4">
        <w:rPr>
          <w:rFonts w:ascii="Segoe UI Light" w:hAnsi="Segoe UI Light"/>
          <w:i/>
          <w:color w:val="000000"/>
          <w:sz w:val="16"/>
          <w:szCs w:val="16"/>
        </w:rPr>
        <w:t>tūkstošos</w:t>
      </w:r>
    </w:p>
    <w:tbl>
      <w:tblPr>
        <w:tblStyle w:val="GridTable5Dark-Accent31"/>
        <w:tblW w:w="4999"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BACC6"/>
        <w:tblLook w:val="0420" w:firstRow="1" w:lastRow="0" w:firstColumn="0" w:lastColumn="0" w:noHBand="0" w:noVBand="1"/>
      </w:tblPr>
      <w:tblGrid>
        <w:gridCol w:w="872"/>
        <w:gridCol w:w="1074"/>
        <w:gridCol w:w="948"/>
        <w:gridCol w:w="940"/>
        <w:gridCol w:w="871"/>
        <w:gridCol w:w="871"/>
        <w:gridCol w:w="871"/>
        <w:gridCol w:w="873"/>
        <w:gridCol w:w="871"/>
        <w:gridCol w:w="868"/>
      </w:tblGrid>
      <w:tr w:rsidR="002D23E4" w:rsidRPr="00D829F0" w14:paraId="3B01C3E3" w14:textId="77777777" w:rsidTr="00C00800">
        <w:trPr>
          <w:cnfStyle w:val="100000000000" w:firstRow="1" w:lastRow="0" w:firstColumn="0" w:lastColumn="0" w:oddVBand="0" w:evenVBand="0" w:oddHBand="0" w:evenHBand="0" w:firstRowFirstColumn="0" w:firstRowLastColumn="0" w:lastRowFirstColumn="0" w:lastRowLastColumn="0"/>
          <w:trHeight w:val="20"/>
        </w:trPr>
        <w:tc>
          <w:tcPr>
            <w:tcW w:w="481" w:type="pct"/>
            <w:shd w:val="clear" w:color="auto" w:fill="006666"/>
            <w:vAlign w:val="center"/>
          </w:tcPr>
          <w:p w14:paraId="753EEB78" w14:textId="77777777" w:rsidR="002D23E4" w:rsidRPr="002D23E4" w:rsidRDefault="002D23E4">
            <w:pPr>
              <w:spacing w:before="40" w:after="40"/>
              <w:jc w:val="center"/>
              <w:rPr>
                <w:rFonts w:ascii="Segoe UI Light" w:hAnsi="Segoe UI Light"/>
                <w:sz w:val="16"/>
                <w:szCs w:val="16"/>
              </w:rPr>
            </w:pPr>
          </w:p>
        </w:tc>
        <w:tc>
          <w:tcPr>
            <w:tcW w:w="1634" w:type="pct"/>
            <w:gridSpan w:val="3"/>
            <w:shd w:val="clear" w:color="auto" w:fill="006666"/>
            <w:vAlign w:val="center"/>
          </w:tcPr>
          <w:p w14:paraId="09DC522F" w14:textId="77777777" w:rsidR="002D23E4" w:rsidRPr="002D23E4" w:rsidRDefault="002D23E4">
            <w:pPr>
              <w:spacing w:before="40" w:after="40"/>
              <w:jc w:val="center"/>
              <w:rPr>
                <w:rFonts w:ascii="Segoe UI Light" w:hAnsi="Segoe UI Light"/>
                <w:sz w:val="16"/>
                <w:szCs w:val="16"/>
              </w:rPr>
            </w:pPr>
            <w:r w:rsidRPr="002D23E4">
              <w:rPr>
                <w:rFonts w:ascii="Segoe UI Light" w:hAnsi="Segoe UI Light"/>
                <w:sz w:val="16"/>
                <w:szCs w:val="16"/>
              </w:rPr>
              <w:t>Ekonomiski aktīvo iedzīvotāju skaits</w:t>
            </w:r>
          </w:p>
        </w:tc>
        <w:tc>
          <w:tcPr>
            <w:tcW w:w="962" w:type="pct"/>
            <w:gridSpan w:val="2"/>
            <w:shd w:val="clear" w:color="auto" w:fill="006666"/>
            <w:vAlign w:val="center"/>
            <w:hideMark/>
          </w:tcPr>
          <w:p w14:paraId="644984A7" w14:textId="77777777" w:rsidR="002D23E4" w:rsidRPr="002D23E4" w:rsidRDefault="002D23E4">
            <w:pPr>
              <w:spacing w:before="40" w:after="40"/>
              <w:jc w:val="center"/>
              <w:rPr>
                <w:rFonts w:ascii="Segoe UI Light" w:hAnsi="Segoe UI Light"/>
                <w:sz w:val="16"/>
                <w:szCs w:val="16"/>
              </w:rPr>
            </w:pPr>
            <w:r w:rsidRPr="002D23E4">
              <w:rPr>
                <w:rFonts w:ascii="Segoe UI Light" w:hAnsi="Segoe UI Light"/>
                <w:sz w:val="16"/>
                <w:szCs w:val="16"/>
              </w:rPr>
              <w:t xml:space="preserve">Izmaiņas pret </w:t>
            </w:r>
            <w:r w:rsidRPr="002D23E4">
              <w:rPr>
                <w:rFonts w:ascii="Segoe UI Light" w:hAnsi="Segoe UI Light"/>
                <w:sz w:val="16"/>
                <w:szCs w:val="16"/>
              </w:rPr>
              <w:br/>
              <w:t>2026.gadu</w:t>
            </w:r>
          </w:p>
        </w:tc>
        <w:tc>
          <w:tcPr>
            <w:tcW w:w="963" w:type="pct"/>
            <w:gridSpan w:val="2"/>
            <w:shd w:val="clear" w:color="auto" w:fill="006666"/>
            <w:vAlign w:val="center"/>
            <w:hideMark/>
          </w:tcPr>
          <w:p w14:paraId="7372E19E" w14:textId="77777777" w:rsidR="002D23E4" w:rsidRPr="002D23E4" w:rsidRDefault="002D23E4">
            <w:pPr>
              <w:tabs>
                <w:tab w:val="decimal" w:pos="424"/>
              </w:tabs>
              <w:spacing w:before="40" w:after="40"/>
              <w:jc w:val="center"/>
              <w:rPr>
                <w:rFonts w:ascii="Segoe UI Light" w:hAnsi="Segoe UI Light"/>
                <w:sz w:val="16"/>
                <w:szCs w:val="16"/>
              </w:rPr>
            </w:pPr>
            <w:r w:rsidRPr="002D23E4">
              <w:rPr>
                <w:rFonts w:ascii="Segoe UI Light" w:hAnsi="Segoe UI Light"/>
                <w:sz w:val="16"/>
                <w:szCs w:val="16"/>
              </w:rPr>
              <w:t xml:space="preserve">Līdzdalības līmeņa izmaiņu ietekme pret </w:t>
            </w:r>
            <w:r w:rsidRPr="002D23E4">
              <w:rPr>
                <w:rFonts w:ascii="Segoe UI Light" w:hAnsi="Segoe UI Light"/>
                <w:sz w:val="16"/>
                <w:szCs w:val="16"/>
              </w:rPr>
              <w:br/>
              <w:t>2026.gadu</w:t>
            </w:r>
          </w:p>
        </w:tc>
        <w:tc>
          <w:tcPr>
            <w:tcW w:w="960" w:type="pct"/>
            <w:gridSpan w:val="2"/>
            <w:shd w:val="clear" w:color="auto" w:fill="006666"/>
            <w:vAlign w:val="center"/>
            <w:hideMark/>
          </w:tcPr>
          <w:p w14:paraId="19465A45" w14:textId="77777777" w:rsidR="002D23E4" w:rsidRPr="002D23E4" w:rsidRDefault="002D23E4">
            <w:pPr>
              <w:tabs>
                <w:tab w:val="decimal" w:pos="472"/>
              </w:tabs>
              <w:spacing w:before="40" w:after="40"/>
              <w:jc w:val="center"/>
              <w:rPr>
                <w:rFonts w:ascii="Segoe UI Light" w:hAnsi="Segoe UI Light"/>
                <w:sz w:val="16"/>
                <w:szCs w:val="16"/>
              </w:rPr>
            </w:pPr>
            <w:r w:rsidRPr="002D23E4">
              <w:rPr>
                <w:rFonts w:ascii="Segoe UI Light" w:hAnsi="Segoe UI Light"/>
                <w:sz w:val="16"/>
                <w:szCs w:val="16"/>
              </w:rPr>
              <w:t xml:space="preserve">Demogrāfijas izmaiņu ietekme pret </w:t>
            </w:r>
            <w:r w:rsidRPr="002D23E4">
              <w:rPr>
                <w:rFonts w:ascii="Segoe UI Light" w:hAnsi="Segoe UI Light"/>
                <w:sz w:val="16"/>
                <w:szCs w:val="16"/>
              </w:rPr>
              <w:br/>
              <w:t>2026.gadu</w:t>
            </w:r>
          </w:p>
        </w:tc>
      </w:tr>
      <w:tr w:rsidR="002D23E4" w:rsidRPr="00D829F0" w14:paraId="769600AE" w14:textId="77777777" w:rsidTr="00C00800">
        <w:trPr>
          <w:cnfStyle w:val="000000100000" w:firstRow="0" w:lastRow="0" w:firstColumn="0" w:lastColumn="0" w:oddVBand="0" w:evenVBand="0" w:oddHBand="1" w:evenHBand="0" w:firstRowFirstColumn="0" w:firstRowLastColumn="0" w:lastRowFirstColumn="0" w:lastRowLastColumn="0"/>
          <w:trHeight w:val="20"/>
        </w:trPr>
        <w:tc>
          <w:tcPr>
            <w:tcW w:w="481" w:type="pct"/>
            <w:shd w:val="clear" w:color="auto" w:fill="006666"/>
            <w:vAlign w:val="center"/>
          </w:tcPr>
          <w:p w14:paraId="4DC4A57E" w14:textId="77777777" w:rsidR="002D23E4" w:rsidRPr="002D23E4" w:rsidRDefault="002D23E4">
            <w:pPr>
              <w:spacing w:before="40" w:after="40"/>
              <w:jc w:val="center"/>
              <w:rPr>
                <w:rFonts w:ascii="Segoe UI Light" w:hAnsi="Segoe UI Light"/>
                <w:bCs/>
                <w:color w:val="FFFFFF"/>
                <w:sz w:val="16"/>
                <w:szCs w:val="16"/>
              </w:rPr>
            </w:pPr>
          </w:p>
        </w:tc>
        <w:tc>
          <w:tcPr>
            <w:tcW w:w="592" w:type="pct"/>
            <w:shd w:val="clear" w:color="auto" w:fill="006666"/>
            <w:vAlign w:val="center"/>
          </w:tcPr>
          <w:p w14:paraId="0C0DBE4D" w14:textId="77777777" w:rsidR="002D23E4" w:rsidRPr="002D23E4" w:rsidRDefault="002D23E4">
            <w:pPr>
              <w:tabs>
                <w:tab w:val="decimal" w:pos="545"/>
              </w:tabs>
              <w:spacing w:before="40" w:after="40"/>
              <w:rPr>
                <w:rFonts w:ascii="Segoe UI Light" w:hAnsi="Segoe UI Light"/>
                <w:b/>
                <w:bCs/>
                <w:color w:val="FFFFFF"/>
                <w:sz w:val="16"/>
                <w:szCs w:val="16"/>
              </w:rPr>
            </w:pPr>
            <w:r w:rsidRPr="002D23E4">
              <w:rPr>
                <w:rFonts w:ascii="Segoe UI Light" w:hAnsi="Segoe UI Light"/>
                <w:b/>
                <w:color w:val="FFFFFF"/>
                <w:sz w:val="16"/>
                <w:szCs w:val="16"/>
              </w:rPr>
              <w:t>2026</w:t>
            </w:r>
          </w:p>
        </w:tc>
        <w:tc>
          <w:tcPr>
            <w:tcW w:w="523" w:type="pct"/>
            <w:shd w:val="clear" w:color="auto" w:fill="006666"/>
            <w:vAlign w:val="center"/>
            <w:hideMark/>
          </w:tcPr>
          <w:p w14:paraId="064A3631" w14:textId="77777777" w:rsidR="002D23E4" w:rsidRPr="002D23E4" w:rsidRDefault="002D23E4">
            <w:pPr>
              <w:tabs>
                <w:tab w:val="decimal" w:pos="352"/>
              </w:tabs>
              <w:spacing w:before="40" w:after="40"/>
              <w:jc w:val="center"/>
              <w:rPr>
                <w:rFonts w:ascii="Segoe UI Light" w:hAnsi="Segoe UI Light"/>
                <w:b/>
                <w:bCs/>
                <w:color w:val="FFFFFF"/>
                <w:sz w:val="16"/>
                <w:szCs w:val="16"/>
              </w:rPr>
            </w:pPr>
            <w:r w:rsidRPr="002D23E4">
              <w:rPr>
                <w:rFonts w:ascii="Segoe UI Light" w:hAnsi="Segoe UI Light"/>
                <w:b/>
                <w:bCs/>
                <w:color w:val="FFFFFF"/>
                <w:sz w:val="16"/>
                <w:szCs w:val="16"/>
              </w:rPr>
              <w:t>2030</w:t>
            </w:r>
          </w:p>
        </w:tc>
        <w:tc>
          <w:tcPr>
            <w:tcW w:w="519" w:type="pct"/>
            <w:shd w:val="clear" w:color="auto" w:fill="006666"/>
            <w:vAlign w:val="center"/>
            <w:hideMark/>
          </w:tcPr>
          <w:p w14:paraId="680D9B56" w14:textId="77777777" w:rsidR="002D23E4" w:rsidRPr="002D23E4" w:rsidRDefault="002D23E4">
            <w:pPr>
              <w:tabs>
                <w:tab w:val="decimal" w:pos="352"/>
              </w:tabs>
              <w:spacing w:before="40" w:after="40"/>
              <w:jc w:val="center"/>
              <w:rPr>
                <w:rFonts w:ascii="Segoe UI Light" w:hAnsi="Segoe UI Light"/>
                <w:b/>
                <w:color w:val="FFFFFF"/>
                <w:sz w:val="16"/>
                <w:szCs w:val="16"/>
              </w:rPr>
            </w:pPr>
            <w:r w:rsidRPr="002D23E4">
              <w:rPr>
                <w:rFonts w:ascii="Segoe UI Light" w:hAnsi="Segoe UI Light"/>
                <w:b/>
                <w:color w:val="FFFFFF"/>
                <w:sz w:val="16"/>
                <w:szCs w:val="16"/>
              </w:rPr>
              <w:t>2040</w:t>
            </w:r>
          </w:p>
        </w:tc>
        <w:tc>
          <w:tcPr>
            <w:tcW w:w="481" w:type="pct"/>
            <w:shd w:val="clear" w:color="auto" w:fill="006666"/>
            <w:vAlign w:val="center"/>
            <w:hideMark/>
          </w:tcPr>
          <w:p w14:paraId="6D0D3284" w14:textId="77777777" w:rsidR="002D23E4" w:rsidRPr="002D23E4" w:rsidRDefault="002D23E4">
            <w:pPr>
              <w:tabs>
                <w:tab w:val="decimal" w:pos="352"/>
              </w:tabs>
              <w:spacing w:before="40" w:after="40"/>
              <w:jc w:val="center"/>
              <w:rPr>
                <w:rFonts w:ascii="Segoe UI Light" w:hAnsi="Segoe UI Light"/>
                <w:b/>
                <w:bCs/>
                <w:color w:val="FFFFFF"/>
                <w:sz w:val="16"/>
                <w:szCs w:val="16"/>
              </w:rPr>
            </w:pPr>
            <w:r w:rsidRPr="002D23E4">
              <w:rPr>
                <w:rFonts w:ascii="Segoe UI Light" w:hAnsi="Segoe UI Light"/>
                <w:b/>
                <w:bCs/>
                <w:color w:val="FFFFFF"/>
                <w:sz w:val="16"/>
                <w:szCs w:val="16"/>
              </w:rPr>
              <w:t>2030</w:t>
            </w:r>
          </w:p>
        </w:tc>
        <w:tc>
          <w:tcPr>
            <w:tcW w:w="481" w:type="pct"/>
            <w:shd w:val="clear" w:color="auto" w:fill="006666"/>
            <w:vAlign w:val="center"/>
            <w:hideMark/>
          </w:tcPr>
          <w:p w14:paraId="2E57F0F5" w14:textId="77777777" w:rsidR="002D23E4" w:rsidRPr="002D23E4" w:rsidRDefault="002D23E4">
            <w:pPr>
              <w:tabs>
                <w:tab w:val="decimal" w:pos="352"/>
              </w:tabs>
              <w:spacing w:before="40" w:after="40"/>
              <w:jc w:val="center"/>
              <w:rPr>
                <w:rFonts w:ascii="Segoe UI Light" w:hAnsi="Segoe UI Light"/>
                <w:b/>
                <w:color w:val="FFFFFF"/>
                <w:sz w:val="16"/>
                <w:szCs w:val="16"/>
              </w:rPr>
            </w:pPr>
            <w:r w:rsidRPr="002D23E4">
              <w:rPr>
                <w:rFonts w:ascii="Segoe UI Light" w:hAnsi="Segoe UI Light"/>
                <w:b/>
                <w:color w:val="FFFFFF"/>
                <w:sz w:val="16"/>
                <w:szCs w:val="16"/>
              </w:rPr>
              <w:t>2040</w:t>
            </w:r>
          </w:p>
        </w:tc>
        <w:tc>
          <w:tcPr>
            <w:tcW w:w="481" w:type="pct"/>
            <w:shd w:val="clear" w:color="auto" w:fill="006666"/>
            <w:vAlign w:val="center"/>
            <w:hideMark/>
          </w:tcPr>
          <w:p w14:paraId="7EC3BC58" w14:textId="77777777" w:rsidR="002D23E4" w:rsidRPr="002D23E4" w:rsidRDefault="002D23E4">
            <w:pPr>
              <w:tabs>
                <w:tab w:val="decimal" w:pos="352"/>
              </w:tabs>
              <w:spacing w:before="40" w:after="40"/>
              <w:jc w:val="center"/>
              <w:rPr>
                <w:rFonts w:ascii="Segoe UI Light" w:hAnsi="Segoe UI Light"/>
                <w:b/>
                <w:bCs/>
                <w:color w:val="FFFFFF"/>
                <w:sz w:val="16"/>
                <w:szCs w:val="16"/>
              </w:rPr>
            </w:pPr>
            <w:r w:rsidRPr="002D23E4">
              <w:rPr>
                <w:rFonts w:ascii="Segoe UI Light" w:hAnsi="Segoe UI Light"/>
                <w:b/>
                <w:bCs/>
                <w:color w:val="FFFFFF"/>
                <w:sz w:val="16"/>
                <w:szCs w:val="16"/>
              </w:rPr>
              <w:t>2030</w:t>
            </w:r>
          </w:p>
        </w:tc>
        <w:tc>
          <w:tcPr>
            <w:tcW w:w="482" w:type="pct"/>
            <w:shd w:val="clear" w:color="auto" w:fill="006666"/>
            <w:vAlign w:val="center"/>
            <w:hideMark/>
          </w:tcPr>
          <w:p w14:paraId="361D77E7" w14:textId="77777777" w:rsidR="002D23E4" w:rsidRPr="002D23E4" w:rsidRDefault="002D23E4">
            <w:pPr>
              <w:tabs>
                <w:tab w:val="decimal" w:pos="352"/>
              </w:tabs>
              <w:spacing w:before="40" w:after="40"/>
              <w:jc w:val="center"/>
              <w:rPr>
                <w:rFonts w:ascii="Segoe UI Light" w:hAnsi="Segoe UI Light"/>
                <w:b/>
                <w:color w:val="FFFFFF"/>
                <w:sz w:val="16"/>
                <w:szCs w:val="16"/>
              </w:rPr>
            </w:pPr>
            <w:r w:rsidRPr="002D23E4">
              <w:rPr>
                <w:rFonts w:ascii="Segoe UI Light" w:hAnsi="Segoe UI Light"/>
                <w:b/>
                <w:color w:val="FFFFFF"/>
                <w:sz w:val="16"/>
                <w:szCs w:val="16"/>
              </w:rPr>
              <w:t>2040</w:t>
            </w:r>
          </w:p>
        </w:tc>
        <w:tc>
          <w:tcPr>
            <w:tcW w:w="481" w:type="pct"/>
            <w:shd w:val="clear" w:color="auto" w:fill="006666"/>
            <w:vAlign w:val="center"/>
            <w:hideMark/>
          </w:tcPr>
          <w:p w14:paraId="238D9D2E" w14:textId="77777777" w:rsidR="002D23E4" w:rsidRPr="002D23E4" w:rsidRDefault="002D23E4">
            <w:pPr>
              <w:tabs>
                <w:tab w:val="decimal" w:pos="352"/>
              </w:tabs>
              <w:spacing w:before="40" w:after="40"/>
              <w:jc w:val="center"/>
              <w:rPr>
                <w:rFonts w:ascii="Segoe UI Light" w:hAnsi="Segoe UI Light"/>
                <w:b/>
                <w:bCs/>
                <w:color w:val="FFFFFF"/>
                <w:sz w:val="16"/>
                <w:szCs w:val="16"/>
              </w:rPr>
            </w:pPr>
            <w:r w:rsidRPr="002D23E4">
              <w:rPr>
                <w:rFonts w:ascii="Segoe UI Light" w:hAnsi="Segoe UI Light"/>
                <w:b/>
                <w:bCs/>
                <w:color w:val="FFFFFF"/>
                <w:sz w:val="16"/>
                <w:szCs w:val="16"/>
              </w:rPr>
              <w:t>2030</w:t>
            </w:r>
          </w:p>
        </w:tc>
        <w:tc>
          <w:tcPr>
            <w:tcW w:w="479" w:type="pct"/>
            <w:shd w:val="clear" w:color="auto" w:fill="006666"/>
            <w:vAlign w:val="center"/>
            <w:hideMark/>
          </w:tcPr>
          <w:p w14:paraId="0AD3B366" w14:textId="77777777" w:rsidR="002D23E4" w:rsidRPr="002D23E4" w:rsidRDefault="002D23E4">
            <w:pPr>
              <w:tabs>
                <w:tab w:val="decimal" w:pos="352"/>
              </w:tabs>
              <w:spacing w:before="40" w:after="40"/>
              <w:jc w:val="center"/>
              <w:rPr>
                <w:rFonts w:ascii="Segoe UI Light" w:hAnsi="Segoe UI Light"/>
                <w:b/>
                <w:color w:val="FFFFFF"/>
                <w:sz w:val="16"/>
                <w:szCs w:val="16"/>
              </w:rPr>
            </w:pPr>
            <w:r w:rsidRPr="002D23E4">
              <w:rPr>
                <w:rFonts w:ascii="Segoe UI Light" w:hAnsi="Segoe UI Light"/>
                <w:b/>
                <w:color w:val="FFFFFF"/>
                <w:sz w:val="16"/>
                <w:szCs w:val="16"/>
              </w:rPr>
              <w:t>2040</w:t>
            </w:r>
          </w:p>
        </w:tc>
      </w:tr>
      <w:tr w:rsidR="002D23E4" w:rsidRPr="00D829F0" w14:paraId="5940219E" w14:textId="77777777" w:rsidTr="00C00800">
        <w:trPr>
          <w:trHeight w:val="20"/>
        </w:trPr>
        <w:tc>
          <w:tcPr>
            <w:tcW w:w="481" w:type="pct"/>
            <w:shd w:val="clear" w:color="auto" w:fill="DCE7EB"/>
            <w:hideMark/>
          </w:tcPr>
          <w:p w14:paraId="73A50EFD" w14:textId="77777777" w:rsidR="002D23E4" w:rsidRPr="002D23E4" w:rsidRDefault="002D23E4">
            <w:pPr>
              <w:spacing w:before="40" w:after="40"/>
              <w:jc w:val="center"/>
              <w:rPr>
                <w:rFonts w:ascii="Segoe UI Light" w:hAnsi="Segoe UI Light"/>
                <w:b/>
                <w:sz w:val="16"/>
                <w:szCs w:val="16"/>
              </w:rPr>
            </w:pPr>
            <w:r w:rsidRPr="002D23E4">
              <w:rPr>
                <w:rFonts w:ascii="Segoe UI Light" w:hAnsi="Segoe UI Light"/>
                <w:b/>
                <w:bCs/>
                <w:sz w:val="16"/>
                <w:szCs w:val="16"/>
              </w:rPr>
              <w:t>Kopā</w:t>
            </w:r>
          </w:p>
        </w:tc>
        <w:tc>
          <w:tcPr>
            <w:tcW w:w="592" w:type="pct"/>
            <w:shd w:val="clear" w:color="auto" w:fill="DCE7EB"/>
          </w:tcPr>
          <w:p w14:paraId="1E3D02D0" w14:textId="77777777" w:rsidR="002D23E4" w:rsidRPr="00804B13" w:rsidRDefault="002D23E4">
            <w:pPr>
              <w:tabs>
                <w:tab w:val="decimal" w:pos="274"/>
              </w:tabs>
              <w:spacing w:before="40" w:after="40"/>
              <w:jc w:val="center"/>
              <w:rPr>
                <w:rFonts w:ascii="Segoe UI Light" w:hAnsi="Segoe UI Light"/>
                <w:b/>
                <w:bCs/>
                <w:color w:val="000000" w:themeColor="text1"/>
                <w:sz w:val="16"/>
                <w:szCs w:val="16"/>
              </w:rPr>
            </w:pPr>
            <w:r w:rsidRPr="00804B13">
              <w:rPr>
                <w:rFonts w:ascii="Segoe UI Light" w:hAnsi="Segoe UI Light"/>
                <w:b/>
                <w:bCs/>
                <w:color w:val="000000" w:themeColor="text1"/>
                <w:sz w:val="16"/>
                <w:szCs w:val="16"/>
              </w:rPr>
              <w:t>946,5</w:t>
            </w:r>
          </w:p>
        </w:tc>
        <w:tc>
          <w:tcPr>
            <w:tcW w:w="523" w:type="pct"/>
            <w:shd w:val="clear" w:color="auto" w:fill="DCE7EB"/>
            <w:hideMark/>
          </w:tcPr>
          <w:p w14:paraId="25A1A5A1" w14:textId="77777777" w:rsidR="002D23E4" w:rsidRPr="00804B13" w:rsidRDefault="002D23E4">
            <w:pPr>
              <w:tabs>
                <w:tab w:val="decimal" w:pos="352"/>
                <w:tab w:val="decimal" w:pos="462"/>
              </w:tabs>
              <w:spacing w:before="40" w:after="40"/>
              <w:jc w:val="center"/>
              <w:rPr>
                <w:rFonts w:ascii="Segoe UI Light" w:hAnsi="Segoe UI Light"/>
                <w:b/>
                <w:bCs/>
                <w:color w:val="000000" w:themeColor="text1"/>
                <w:sz w:val="16"/>
                <w:szCs w:val="16"/>
              </w:rPr>
            </w:pPr>
            <w:r w:rsidRPr="00804B13">
              <w:rPr>
                <w:rFonts w:ascii="Segoe UI Light" w:hAnsi="Segoe UI Light"/>
                <w:b/>
                <w:bCs/>
                <w:color w:val="000000" w:themeColor="text1"/>
                <w:sz w:val="16"/>
                <w:szCs w:val="16"/>
              </w:rPr>
              <w:t>953,9</w:t>
            </w:r>
          </w:p>
        </w:tc>
        <w:tc>
          <w:tcPr>
            <w:tcW w:w="519" w:type="pct"/>
            <w:shd w:val="clear" w:color="auto" w:fill="DCE7EB"/>
            <w:hideMark/>
          </w:tcPr>
          <w:p w14:paraId="455BD094" w14:textId="77777777" w:rsidR="002D23E4" w:rsidRPr="00804B13" w:rsidRDefault="002D23E4">
            <w:pPr>
              <w:tabs>
                <w:tab w:val="decimal" w:pos="352"/>
                <w:tab w:val="decimal" w:pos="462"/>
              </w:tabs>
              <w:spacing w:before="40" w:after="40"/>
              <w:jc w:val="center"/>
              <w:rPr>
                <w:rFonts w:ascii="Segoe UI Light" w:hAnsi="Segoe UI Light"/>
                <w:b/>
                <w:bCs/>
                <w:color w:val="000000" w:themeColor="text1"/>
                <w:sz w:val="16"/>
                <w:szCs w:val="16"/>
              </w:rPr>
            </w:pPr>
            <w:r w:rsidRPr="00804B13">
              <w:rPr>
                <w:rFonts w:ascii="Segoe UI Light" w:hAnsi="Segoe UI Light"/>
                <w:b/>
                <w:bCs/>
                <w:color w:val="000000" w:themeColor="text1"/>
                <w:sz w:val="16"/>
                <w:szCs w:val="16"/>
              </w:rPr>
              <w:t>936,1</w:t>
            </w:r>
          </w:p>
        </w:tc>
        <w:tc>
          <w:tcPr>
            <w:tcW w:w="481" w:type="pct"/>
            <w:shd w:val="clear" w:color="auto" w:fill="DCE7EB"/>
            <w:hideMark/>
          </w:tcPr>
          <w:p w14:paraId="6E5D955B" w14:textId="77777777" w:rsidR="002D23E4" w:rsidRPr="00804B13" w:rsidRDefault="002D23E4">
            <w:pPr>
              <w:tabs>
                <w:tab w:val="decimal" w:pos="352"/>
                <w:tab w:val="decimal" w:pos="462"/>
              </w:tabs>
              <w:spacing w:before="40" w:after="40"/>
              <w:jc w:val="center"/>
              <w:rPr>
                <w:rFonts w:ascii="Segoe UI Light" w:hAnsi="Segoe UI Light"/>
                <w:b/>
                <w:bCs/>
                <w:color w:val="000000" w:themeColor="text1"/>
                <w:sz w:val="16"/>
                <w:szCs w:val="16"/>
              </w:rPr>
            </w:pPr>
            <w:r w:rsidRPr="00804B13">
              <w:rPr>
                <w:rFonts w:ascii="Segoe UI Light" w:hAnsi="Segoe UI Light"/>
                <w:b/>
                <w:bCs/>
                <w:color w:val="000000" w:themeColor="text1"/>
                <w:sz w:val="16"/>
                <w:szCs w:val="16"/>
              </w:rPr>
              <w:t>7,4</w:t>
            </w:r>
          </w:p>
        </w:tc>
        <w:tc>
          <w:tcPr>
            <w:tcW w:w="481" w:type="pct"/>
            <w:shd w:val="clear" w:color="auto" w:fill="DCE7EB"/>
            <w:hideMark/>
          </w:tcPr>
          <w:p w14:paraId="1737AADD" w14:textId="77777777" w:rsidR="002D23E4" w:rsidRPr="00804B13" w:rsidRDefault="002D23E4">
            <w:pPr>
              <w:tabs>
                <w:tab w:val="decimal" w:pos="352"/>
                <w:tab w:val="decimal" w:pos="462"/>
              </w:tabs>
              <w:spacing w:before="40" w:after="40"/>
              <w:jc w:val="center"/>
              <w:rPr>
                <w:rFonts w:ascii="Segoe UI Light" w:hAnsi="Segoe UI Light"/>
                <w:b/>
                <w:bCs/>
                <w:color w:val="000000" w:themeColor="text1"/>
                <w:sz w:val="16"/>
                <w:szCs w:val="16"/>
              </w:rPr>
            </w:pPr>
            <w:r w:rsidRPr="00804B13">
              <w:rPr>
                <w:rFonts w:ascii="Segoe UI Light" w:hAnsi="Segoe UI Light"/>
                <w:b/>
                <w:bCs/>
                <w:color w:val="000000" w:themeColor="text1"/>
                <w:sz w:val="16"/>
                <w:szCs w:val="16"/>
              </w:rPr>
              <w:t>-10,4</w:t>
            </w:r>
          </w:p>
        </w:tc>
        <w:tc>
          <w:tcPr>
            <w:tcW w:w="481" w:type="pct"/>
            <w:shd w:val="clear" w:color="auto" w:fill="DCE7EB"/>
          </w:tcPr>
          <w:p w14:paraId="4DA29BDA" w14:textId="77777777" w:rsidR="002D23E4" w:rsidRPr="00804B13" w:rsidRDefault="002D23E4">
            <w:pPr>
              <w:tabs>
                <w:tab w:val="decimal" w:pos="352"/>
                <w:tab w:val="decimal" w:pos="462"/>
              </w:tabs>
              <w:spacing w:before="40" w:after="40"/>
              <w:jc w:val="center"/>
              <w:rPr>
                <w:rFonts w:ascii="Segoe UI Light" w:hAnsi="Segoe UI Light"/>
                <w:b/>
                <w:bCs/>
                <w:color w:val="000000" w:themeColor="text1"/>
                <w:sz w:val="16"/>
                <w:szCs w:val="16"/>
              </w:rPr>
            </w:pPr>
            <w:r w:rsidRPr="00804B13">
              <w:rPr>
                <w:rFonts w:ascii="Segoe UI Light" w:hAnsi="Segoe UI Light"/>
                <w:b/>
                <w:bCs/>
                <w:color w:val="000000" w:themeColor="text1"/>
                <w:sz w:val="16"/>
                <w:szCs w:val="16"/>
              </w:rPr>
              <w:t>2,2</w:t>
            </w:r>
          </w:p>
        </w:tc>
        <w:tc>
          <w:tcPr>
            <w:tcW w:w="482" w:type="pct"/>
            <w:shd w:val="clear" w:color="auto" w:fill="DCE7EB"/>
          </w:tcPr>
          <w:p w14:paraId="7241E38B" w14:textId="77777777" w:rsidR="002D23E4" w:rsidRPr="00804B13" w:rsidRDefault="002D23E4">
            <w:pPr>
              <w:tabs>
                <w:tab w:val="decimal" w:pos="352"/>
                <w:tab w:val="decimal" w:pos="462"/>
              </w:tabs>
              <w:spacing w:before="40" w:after="40"/>
              <w:jc w:val="center"/>
              <w:rPr>
                <w:rFonts w:ascii="Segoe UI Light" w:hAnsi="Segoe UI Light"/>
                <w:b/>
                <w:bCs/>
                <w:color w:val="000000" w:themeColor="text1"/>
                <w:sz w:val="16"/>
                <w:szCs w:val="16"/>
              </w:rPr>
            </w:pPr>
            <w:r w:rsidRPr="00804B13">
              <w:rPr>
                <w:rFonts w:ascii="Segoe UI Light" w:hAnsi="Segoe UI Light"/>
                <w:b/>
                <w:bCs/>
                <w:color w:val="000000" w:themeColor="text1"/>
                <w:sz w:val="16"/>
                <w:szCs w:val="16"/>
              </w:rPr>
              <w:t>5,1</w:t>
            </w:r>
          </w:p>
        </w:tc>
        <w:tc>
          <w:tcPr>
            <w:tcW w:w="481" w:type="pct"/>
            <w:shd w:val="clear" w:color="auto" w:fill="DCE7EB"/>
            <w:hideMark/>
          </w:tcPr>
          <w:p w14:paraId="64C3342B" w14:textId="77777777" w:rsidR="002D23E4" w:rsidRPr="00804B13" w:rsidRDefault="002D23E4">
            <w:pPr>
              <w:tabs>
                <w:tab w:val="decimal" w:pos="352"/>
                <w:tab w:val="decimal" w:pos="462"/>
              </w:tabs>
              <w:spacing w:before="40" w:after="40"/>
              <w:jc w:val="center"/>
              <w:rPr>
                <w:rFonts w:ascii="Segoe UI Light" w:hAnsi="Segoe UI Light"/>
                <w:b/>
                <w:bCs/>
                <w:color w:val="000000" w:themeColor="text1"/>
                <w:sz w:val="16"/>
                <w:szCs w:val="16"/>
              </w:rPr>
            </w:pPr>
            <w:r w:rsidRPr="00804B13">
              <w:rPr>
                <w:rFonts w:ascii="Segoe UI Light" w:hAnsi="Segoe UI Light"/>
                <w:b/>
                <w:bCs/>
                <w:color w:val="000000" w:themeColor="text1"/>
                <w:sz w:val="16"/>
                <w:szCs w:val="16"/>
              </w:rPr>
              <w:t>-33,6</w:t>
            </w:r>
          </w:p>
        </w:tc>
        <w:tc>
          <w:tcPr>
            <w:tcW w:w="479" w:type="pct"/>
            <w:shd w:val="clear" w:color="auto" w:fill="DCE7EB"/>
            <w:hideMark/>
          </w:tcPr>
          <w:p w14:paraId="2FB54C62" w14:textId="77777777" w:rsidR="002D23E4" w:rsidRPr="002D23E4" w:rsidRDefault="002D23E4">
            <w:pPr>
              <w:tabs>
                <w:tab w:val="decimal" w:pos="352"/>
                <w:tab w:val="decimal" w:pos="462"/>
              </w:tabs>
              <w:spacing w:before="40" w:after="40"/>
              <w:jc w:val="center"/>
              <w:rPr>
                <w:rFonts w:ascii="Segoe UI Light" w:hAnsi="Segoe UI Light"/>
                <w:b/>
                <w:bCs/>
                <w:sz w:val="16"/>
                <w:szCs w:val="16"/>
              </w:rPr>
            </w:pPr>
            <w:r w:rsidRPr="002D23E4">
              <w:rPr>
                <w:rFonts w:ascii="Segoe UI Light" w:hAnsi="Segoe UI Light"/>
                <w:b/>
                <w:bCs/>
                <w:sz w:val="16"/>
                <w:szCs w:val="16"/>
              </w:rPr>
              <w:t>-108</w:t>
            </w:r>
          </w:p>
        </w:tc>
      </w:tr>
      <w:tr w:rsidR="002D23E4" w:rsidRPr="00D829F0" w14:paraId="7FAE496C" w14:textId="77777777" w:rsidTr="00C00800">
        <w:trPr>
          <w:cnfStyle w:val="000000100000" w:firstRow="0" w:lastRow="0" w:firstColumn="0" w:lastColumn="0" w:oddVBand="0" w:evenVBand="0" w:oddHBand="1" w:evenHBand="0" w:firstRowFirstColumn="0" w:firstRowLastColumn="0" w:lastRowFirstColumn="0" w:lastRowLastColumn="0"/>
          <w:trHeight w:val="20"/>
        </w:trPr>
        <w:tc>
          <w:tcPr>
            <w:tcW w:w="481" w:type="pct"/>
            <w:shd w:val="clear" w:color="auto" w:fill="auto"/>
            <w:hideMark/>
          </w:tcPr>
          <w:p w14:paraId="0C569852" w14:textId="77777777" w:rsidR="002D23E4" w:rsidRPr="002D23E4" w:rsidRDefault="002D23E4">
            <w:pPr>
              <w:spacing w:before="40" w:after="40"/>
              <w:jc w:val="center"/>
              <w:rPr>
                <w:rFonts w:ascii="Segoe UI Light" w:hAnsi="Segoe UI Light"/>
                <w:sz w:val="16"/>
                <w:szCs w:val="16"/>
              </w:rPr>
            </w:pPr>
            <w:r w:rsidRPr="002D23E4">
              <w:rPr>
                <w:rFonts w:ascii="Segoe UI Light" w:hAnsi="Segoe UI Light"/>
                <w:sz w:val="16"/>
                <w:szCs w:val="16"/>
              </w:rPr>
              <w:t>15-24</w:t>
            </w:r>
          </w:p>
        </w:tc>
        <w:tc>
          <w:tcPr>
            <w:tcW w:w="592" w:type="pct"/>
            <w:shd w:val="clear" w:color="auto" w:fill="auto"/>
            <w:vAlign w:val="bottom"/>
          </w:tcPr>
          <w:p w14:paraId="711E472C" w14:textId="34CED7EF" w:rsidR="002D23E4" w:rsidRPr="00804B13" w:rsidRDefault="002D23E4">
            <w:pPr>
              <w:tabs>
                <w:tab w:val="decimal" w:pos="274"/>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69</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8</w:t>
            </w:r>
          </w:p>
        </w:tc>
        <w:tc>
          <w:tcPr>
            <w:tcW w:w="523" w:type="pct"/>
            <w:shd w:val="clear" w:color="auto" w:fill="auto"/>
            <w:vAlign w:val="bottom"/>
            <w:hideMark/>
          </w:tcPr>
          <w:p w14:paraId="319D4478" w14:textId="00EFA92F"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81</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5</w:t>
            </w:r>
          </w:p>
        </w:tc>
        <w:tc>
          <w:tcPr>
            <w:tcW w:w="519" w:type="pct"/>
            <w:shd w:val="clear" w:color="auto" w:fill="auto"/>
            <w:vAlign w:val="bottom"/>
            <w:hideMark/>
          </w:tcPr>
          <w:p w14:paraId="79586F34" w14:textId="082B29AB"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84</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5</w:t>
            </w:r>
          </w:p>
        </w:tc>
        <w:tc>
          <w:tcPr>
            <w:tcW w:w="481" w:type="pct"/>
            <w:shd w:val="clear" w:color="auto" w:fill="auto"/>
            <w:vAlign w:val="bottom"/>
            <w:hideMark/>
          </w:tcPr>
          <w:p w14:paraId="50AF2642" w14:textId="5B7DCCFB"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11</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7</w:t>
            </w:r>
          </w:p>
        </w:tc>
        <w:tc>
          <w:tcPr>
            <w:tcW w:w="481" w:type="pct"/>
            <w:shd w:val="clear" w:color="auto" w:fill="auto"/>
            <w:vAlign w:val="bottom"/>
            <w:hideMark/>
          </w:tcPr>
          <w:p w14:paraId="6A5BA24B" w14:textId="0864DF35"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14</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7</w:t>
            </w:r>
          </w:p>
        </w:tc>
        <w:tc>
          <w:tcPr>
            <w:tcW w:w="481" w:type="pct"/>
            <w:shd w:val="clear" w:color="auto" w:fill="auto"/>
            <w:vAlign w:val="bottom"/>
            <w:hideMark/>
          </w:tcPr>
          <w:p w14:paraId="586DFBCC" w14:textId="37A6DA77"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6</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9</w:t>
            </w:r>
          </w:p>
        </w:tc>
        <w:tc>
          <w:tcPr>
            <w:tcW w:w="482" w:type="pct"/>
            <w:shd w:val="clear" w:color="auto" w:fill="auto"/>
            <w:vAlign w:val="bottom"/>
            <w:hideMark/>
          </w:tcPr>
          <w:p w14:paraId="0E61B82C" w14:textId="00F5AB14"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13</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4</w:t>
            </w:r>
          </w:p>
        </w:tc>
        <w:tc>
          <w:tcPr>
            <w:tcW w:w="481" w:type="pct"/>
            <w:shd w:val="clear" w:color="auto" w:fill="auto"/>
            <w:vAlign w:val="bottom"/>
            <w:hideMark/>
          </w:tcPr>
          <w:p w14:paraId="55E33B83" w14:textId="62B79901"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5</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9</w:t>
            </w:r>
          </w:p>
        </w:tc>
        <w:tc>
          <w:tcPr>
            <w:tcW w:w="479" w:type="pct"/>
            <w:shd w:val="clear" w:color="auto" w:fill="auto"/>
            <w:vAlign w:val="bottom"/>
            <w:hideMark/>
          </w:tcPr>
          <w:p w14:paraId="096EEE07" w14:textId="1A76BC99" w:rsidR="002D23E4" w:rsidRPr="002D23E4" w:rsidRDefault="002D23E4">
            <w:pPr>
              <w:tabs>
                <w:tab w:val="decimal" w:pos="352"/>
                <w:tab w:val="decimal" w:pos="462"/>
              </w:tabs>
              <w:spacing w:before="40" w:after="40"/>
              <w:jc w:val="center"/>
              <w:rPr>
                <w:rFonts w:ascii="Segoe UI Light" w:hAnsi="Segoe UI Light" w:cs="Segoe UI Light"/>
                <w:sz w:val="16"/>
                <w:szCs w:val="16"/>
              </w:rPr>
            </w:pPr>
            <w:r w:rsidRPr="002D23E4">
              <w:rPr>
                <w:rFonts w:ascii="Segoe UI Light" w:hAnsi="Segoe UI Light" w:cs="Segoe UI Light"/>
                <w:color w:val="000000"/>
                <w:sz w:val="16"/>
                <w:szCs w:val="16"/>
              </w:rPr>
              <w:t>-8</w:t>
            </w:r>
            <w:r w:rsidR="00804B13">
              <w:rPr>
                <w:rFonts w:ascii="Segoe UI Light" w:hAnsi="Segoe UI Light" w:cs="Segoe UI Light"/>
                <w:color w:val="000000"/>
                <w:sz w:val="16"/>
                <w:szCs w:val="16"/>
              </w:rPr>
              <w:t>,</w:t>
            </w:r>
            <w:r w:rsidRPr="002D23E4">
              <w:rPr>
                <w:rFonts w:ascii="Segoe UI Light" w:hAnsi="Segoe UI Light" w:cs="Segoe UI Light"/>
                <w:color w:val="000000"/>
                <w:sz w:val="16"/>
                <w:szCs w:val="16"/>
              </w:rPr>
              <w:t>2</w:t>
            </w:r>
          </w:p>
        </w:tc>
      </w:tr>
      <w:tr w:rsidR="002D23E4" w:rsidRPr="00D829F0" w14:paraId="23CA82CC" w14:textId="77777777" w:rsidTr="00C00800">
        <w:trPr>
          <w:trHeight w:val="20"/>
        </w:trPr>
        <w:tc>
          <w:tcPr>
            <w:tcW w:w="481" w:type="pct"/>
            <w:shd w:val="clear" w:color="auto" w:fill="DCE7EB"/>
            <w:hideMark/>
          </w:tcPr>
          <w:p w14:paraId="5C43ADFE" w14:textId="77777777" w:rsidR="002D23E4" w:rsidRPr="002D23E4" w:rsidRDefault="002D23E4">
            <w:pPr>
              <w:spacing w:before="40" w:after="40"/>
              <w:jc w:val="center"/>
              <w:rPr>
                <w:rFonts w:ascii="Segoe UI Light" w:hAnsi="Segoe UI Light"/>
                <w:sz w:val="16"/>
                <w:szCs w:val="16"/>
              </w:rPr>
            </w:pPr>
            <w:r w:rsidRPr="002D23E4">
              <w:rPr>
                <w:rFonts w:ascii="Segoe UI Light" w:hAnsi="Segoe UI Light"/>
                <w:sz w:val="16"/>
                <w:szCs w:val="16"/>
              </w:rPr>
              <w:t>25-34</w:t>
            </w:r>
          </w:p>
        </w:tc>
        <w:tc>
          <w:tcPr>
            <w:tcW w:w="592" w:type="pct"/>
            <w:shd w:val="clear" w:color="auto" w:fill="DCE7EB"/>
            <w:vAlign w:val="bottom"/>
          </w:tcPr>
          <w:p w14:paraId="2B76C98F" w14:textId="46CAB81B" w:rsidR="002D23E4" w:rsidRPr="00804B13" w:rsidRDefault="002D23E4">
            <w:pPr>
              <w:tabs>
                <w:tab w:val="decimal" w:pos="274"/>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159</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4</w:t>
            </w:r>
          </w:p>
        </w:tc>
        <w:tc>
          <w:tcPr>
            <w:tcW w:w="523" w:type="pct"/>
            <w:shd w:val="clear" w:color="auto" w:fill="DCE7EB"/>
            <w:vAlign w:val="bottom"/>
            <w:hideMark/>
          </w:tcPr>
          <w:p w14:paraId="071F3617" w14:textId="22EE4456"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146</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7</w:t>
            </w:r>
          </w:p>
        </w:tc>
        <w:tc>
          <w:tcPr>
            <w:tcW w:w="519" w:type="pct"/>
            <w:shd w:val="clear" w:color="auto" w:fill="DCE7EB"/>
            <w:vAlign w:val="bottom"/>
            <w:hideMark/>
          </w:tcPr>
          <w:p w14:paraId="536ABA3D" w14:textId="25C27EBC"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167</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8</w:t>
            </w:r>
          </w:p>
        </w:tc>
        <w:tc>
          <w:tcPr>
            <w:tcW w:w="481" w:type="pct"/>
            <w:shd w:val="clear" w:color="auto" w:fill="DCE7EB"/>
            <w:vAlign w:val="bottom"/>
            <w:hideMark/>
          </w:tcPr>
          <w:p w14:paraId="4077A49B" w14:textId="67BDED30"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-12</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7</w:t>
            </w:r>
          </w:p>
        </w:tc>
        <w:tc>
          <w:tcPr>
            <w:tcW w:w="481" w:type="pct"/>
            <w:shd w:val="clear" w:color="auto" w:fill="DCE7EB"/>
            <w:vAlign w:val="bottom"/>
            <w:hideMark/>
          </w:tcPr>
          <w:p w14:paraId="48F29E1B" w14:textId="733569D6"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8</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4</w:t>
            </w:r>
          </w:p>
        </w:tc>
        <w:tc>
          <w:tcPr>
            <w:tcW w:w="481" w:type="pct"/>
            <w:shd w:val="clear" w:color="auto" w:fill="DCE7EB"/>
            <w:vAlign w:val="bottom"/>
            <w:hideMark/>
          </w:tcPr>
          <w:p w14:paraId="1EA85CCF" w14:textId="0BA64FC1"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4</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1</w:t>
            </w:r>
          </w:p>
        </w:tc>
        <w:tc>
          <w:tcPr>
            <w:tcW w:w="482" w:type="pct"/>
            <w:shd w:val="clear" w:color="auto" w:fill="DCE7EB"/>
            <w:vAlign w:val="bottom"/>
            <w:hideMark/>
          </w:tcPr>
          <w:p w14:paraId="3BFD335D" w14:textId="76351CAE"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9</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5</w:t>
            </w:r>
          </w:p>
        </w:tc>
        <w:tc>
          <w:tcPr>
            <w:tcW w:w="481" w:type="pct"/>
            <w:shd w:val="clear" w:color="auto" w:fill="DCE7EB"/>
            <w:vAlign w:val="bottom"/>
            <w:hideMark/>
          </w:tcPr>
          <w:p w14:paraId="7BA8392B" w14:textId="1678C90F"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-22</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7</w:t>
            </w:r>
          </w:p>
        </w:tc>
        <w:tc>
          <w:tcPr>
            <w:tcW w:w="479" w:type="pct"/>
            <w:shd w:val="clear" w:color="auto" w:fill="DCE7EB"/>
            <w:vAlign w:val="bottom"/>
            <w:hideMark/>
          </w:tcPr>
          <w:p w14:paraId="7FA62446" w14:textId="783C23F8" w:rsidR="002D23E4" w:rsidRPr="002D23E4" w:rsidRDefault="002D23E4">
            <w:pPr>
              <w:tabs>
                <w:tab w:val="decimal" w:pos="352"/>
                <w:tab w:val="decimal" w:pos="462"/>
              </w:tabs>
              <w:spacing w:before="40" w:after="40"/>
              <w:jc w:val="center"/>
              <w:rPr>
                <w:rFonts w:ascii="Segoe UI Light" w:hAnsi="Segoe UI Light" w:cs="Segoe UI Light"/>
                <w:sz w:val="16"/>
                <w:szCs w:val="16"/>
              </w:rPr>
            </w:pPr>
            <w:r w:rsidRPr="002D23E4">
              <w:rPr>
                <w:rFonts w:ascii="Segoe UI Light" w:hAnsi="Segoe UI Light" w:cs="Segoe UI Light"/>
                <w:color w:val="000000"/>
                <w:sz w:val="16"/>
                <w:szCs w:val="16"/>
              </w:rPr>
              <w:t>-5</w:t>
            </w:r>
            <w:r w:rsidR="00804B13">
              <w:rPr>
                <w:rFonts w:ascii="Segoe UI Light" w:hAnsi="Segoe UI Light" w:cs="Segoe UI Light"/>
                <w:color w:val="000000"/>
                <w:sz w:val="16"/>
                <w:szCs w:val="16"/>
              </w:rPr>
              <w:t>,</w:t>
            </w:r>
            <w:r w:rsidRPr="002D23E4">
              <w:rPr>
                <w:rFonts w:ascii="Segoe UI Light" w:hAnsi="Segoe UI Light" w:cs="Segoe UI Light"/>
                <w:color w:val="000000"/>
                <w:sz w:val="16"/>
                <w:szCs w:val="16"/>
              </w:rPr>
              <w:t>9</w:t>
            </w:r>
          </w:p>
        </w:tc>
      </w:tr>
      <w:tr w:rsidR="002D23E4" w:rsidRPr="00D829F0" w14:paraId="649F469E" w14:textId="77777777" w:rsidTr="00C00800">
        <w:trPr>
          <w:cnfStyle w:val="000000100000" w:firstRow="0" w:lastRow="0" w:firstColumn="0" w:lastColumn="0" w:oddVBand="0" w:evenVBand="0" w:oddHBand="1" w:evenHBand="0" w:firstRowFirstColumn="0" w:firstRowLastColumn="0" w:lastRowFirstColumn="0" w:lastRowLastColumn="0"/>
          <w:trHeight w:val="20"/>
        </w:trPr>
        <w:tc>
          <w:tcPr>
            <w:tcW w:w="481" w:type="pct"/>
            <w:shd w:val="clear" w:color="auto" w:fill="auto"/>
            <w:hideMark/>
          </w:tcPr>
          <w:p w14:paraId="2B089F35" w14:textId="77777777" w:rsidR="002D23E4" w:rsidRPr="002D23E4" w:rsidRDefault="002D23E4">
            <w:pPr>
              <w:spacing w:before="40" w:after="40"/>
              <w:jc w:val="center"/>
              <w:rPr>
                <w:rFonts w:ascii="Segoe UI Light" w:hAnsi="Segoe UI Light"/>
                <w:sz w:val="16"/>
                <w:szCs w:val="16"/>
              </w:rPr>
            </w:pPr>
            <w:r w:rsidRPr="002D23E4">
              <w:rPr>
                <w:rFonts w:ascii="Segoe UI Light" w:hAnsi="Segoe UI Light"/>
                <w:sz w:val="16"/>
                <w:szCs w:val="16"/>
              </w:rPr>
              <w:t>35-44</w:t>
            </w:r>
          </w:p>
        </w:tc>
        <w:tc>
          <w:tcPr>
            <w:tcW w:w="592" w:type="pct"/>
            <w:shd w:val="clear" w:color="auto" w:fill="auto"/>
            <w:vAlign w:val="bottom"/>
          </w:tcPr>
          <w:p w14:paraId="04D07898" w14:textId="7926DC86" w:rsidR="002D23E4" w:rsidRPr="00804B13" w:rsidRDefault="002D23E4">
            <w:pPr>
              <w:tabs>
                <w:tab w:val="decimal" w:pos="274"/>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246</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0</w:t>
            </w:r>
          </w:p>
        </w:tc>
        <w:tc>
          <w:tcPr>
            <w:tcW w:w="523" w:type="pct"/>
            <w:shd w:val="clear" w:color="auto" w:fill="auto"/>
            <w:vAlign w:val="bottom"/>
            <w:hideMark/>
          </w:tcPr>
          <w:p w14:paraId="4CAF0582" w14:textId="54D79C37"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228</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1</w:t>
            </w:r>
          </w:p>
        </w:tc>
        <w:tc>
          <w:tcPr>
            <w:tcW w:w="519" w:type="pct"/>
            <w:shd w:val="clear" w:color="auto" w:fill="auto"/>
            <w:vAlign w:val="bottom"/>
            <w:hideMark/>
          </w:tcPr>
          <w:p w14:paraId="71731F18" w14:textId="4B7BF036"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166</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7</w:t>
            </w:r>
          </w:p>
        </w:tc>
        <w:tc>
          <w:tcPr>
            <w:tcW w:w="481" w:type="pct"/>
            <w:shd w:val="clear" w:color="auto" w:fill="auto"/>
            <w:vAlign w:val="bottom"/>
            <w:hideMark/>
          </w:tcPr>
          <w:p w14:paraId="687CD7DF" w14:textId="6E581894"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-17</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9</w:t>
            </w:r>
          </w:p>
        </w:tc>
        <w:tc>
          <w:tcPr>
            <w:tcW w:w="481" w:type="pct"/>
            <w:shd w:val="clear" w:color="auto" w:fill="auto"/>
            <w:vAlign w:val="bottom"/>
            <w:hideMark/>
          </w:tcPr>
          <w:p w14:paraId="18728578" w14:textId="64896F32"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-79</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3</w:t>
            </w:r>
          </w:p>
        </w:tc>
        <w:tc>
          <w:tcPr>
            <w:tcW w:w="481" w:type="pct"/>
            <w:shd w:val="clear" w:color="auto" w:fill="auto"/>
            <w:vAlign w:val="bottom"/>
            <w:hideMark/>
          </w:tcPr>
          <w:p w14:paraId="7C76FEF1" w14:textId="088EFC54"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4</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2</w:t>
            </w:r>
          </w:p>
        </w:tc>
        <w:tc>
          <w:tcPr>
            <w:tcW w:w="482" w:type="pct"/>
            <w:shd w:val="clear" w:color="auto" w:fill="auto"/>
            <w:vAlign w:val="bottom"/>
            <w:hideMark/>
          </w:tcPr>
          <w:p w14:paraId="7C1F6626" w14:textId="2E90D67B"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9</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6</w:t>
            </w:r>
          </w:p>
        </w:tc>
        <w:tc>
          <w:tcPr>
            <w:tcW w:w="481" w:type="pct"/>
            <w:shd w:val="clear" w:color="auto" w:fill="auto"/>
            <w:vAlign w:val="bottom"/>
            <w:hideMark/>
          </w:tcPr>
          <w:p w14:paraId="5B9EB0B8" w14:textId="6B4F623C"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-22</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0</w:t>
            </w:r>
          </w:p>
        </w:tc>
        <w:tc>
          <w:tcPr>
            <w:tcW w:w="479" w:type="pct"/>
            <w:shd w:val="clear" w:color="auto" w:fill="auto"/>
            <w:vAlign w:val="bottom"/>
            <w:hideMark/>
          </w:tcPr>
          <w:p w14:paraId="71EE78DA" w14:textId="549400B5" w:rsidR="002D23E4" w:rsidRPr="002D23E4" w:rsidRDefault="002D23E4">
            <w:pPr>
              <w:tabs>
                <w:tab w:val="decimal" w:pos="352"/>
                <w:tab w:val="decimal" w:pos="462"/>
              </w:tabs>
              <w:spacing w:before="40" w:after="40"/>
              <w:jc w:val="center"/>
              <w:rPr>
                <w:rFonts w:ascii="Segoe UI Light" w:hAnsi="Segoe UI Light" w:cs="Segoe UI Light"/>
                <w:sz w:val="16"/>
                <w:szCs w:val="16"/>
              </w:rPr>
            </w:pPr>
            <w:r w:rsidRPr="002D23E4">
              <w:rPr>
                <w:rFonts w:ascii="Segoe UI Light" w:hAnsi="Segoe UI Light" w:cs="Segoe UI Light"/>
                <w:color w:val="000000"/>
                <w:sz w:val="16"/>
                <w:szCs w:val="16"/>
              </w:rPr>
              <w:t>-100</w:t>
            </w:r>
            <w:r w:rsidR="00804B13">
              <w:rPr>
                <w:rFonts w:ascii="Segoe UI Light" w:hAnsi="Segoe UI Light" w:cs="Segoe UI Light"/>
                <w:color w:val="000000"/>
                <w:sz w:val="16"/>
                <w:szCs w:val="16"/>
              </w:rPr>
              <w:t>,</w:t>
            </w:r>
            <w:r w:rsidRPr="002D23E4">
              <w:rPr>
                <w:rFonts w:ascii="Segoe UI Light" w:hAnsi="Segoe UI Light" w:cs="Segoe UI Light"/>
                <w:color w:val="000000"/>
                <w:sz w:val="16"/>
                <w:szCs w:val="16"/>
              </w:rPr>
              <w:t>0</w:t>
            </w:r>
          </w:p>
        </w:tc>
      </w:tr>
      <w:tr w:rsidR="002D23E4" w:rsidRPr="00D829F0" w14:paraId="54202DF3" w14:textId="77777777" w:rsidTr="00C00800">
        <w:trPr>
          <w:trHeight w:val="20"/>
        </w:trPr>
        <w:tc>
          <w:tcPr>
            <w:tcW w:w="481" w:type="pct"/>
            <w:shd w:val="clear" w:color="auto" w:fill="DCE7EB"/>
            <w:hideMark/>
          </w:tcPr>
          <w:p w14:paraId="4D650C51" w14:textId="77777777" w:rsidR="002D23E4" w:rsidRPr="002D23E4" w:rsidRDefault="002D23E4">
            <w:pPr>
              <w:spacing w:before="40" w:after="40"/>
              <w:jc w:val="center"/>
              <w:rPr>
                <w:rFonts w:ascii="Segoe UI Light" w:hAnsi="Segoe UI Light"/>
                <w:sz w:val="16"/>
                <w:szCs w:val="16"/>
              </w:rPr>
            </w:pPr>
            <w:r w:rsidRPr="002D23E4">
              <w:rPr>
                <w:rFonts w:ascii="Segoe UI Light" w:hAnsi="Segoe UI Light"/>
                <w:sz w:val="16"/>
                <w:szCs w:val="16"/>
              </w:rPr>
              <w:t>45-54</w:t>
            </w:r>
          </w:p>
        </w:tc>
        <w:tc>
          <w:tcPr>
            <w:tcW w:w="592" w:type="pct"/>
            <w:shd w:val="clear" w:color="auto" w:fill="DCE7EB"/>
            <w:vAlign w:val="bottom"/>
          </w:tcPr>
          <w:p w14:paraId="38964F00" w14:textId="54B1DD7C" w:rsidR="002D23E4" w:rsidRPr="00804B13" w:rsidRDefault="002D23E4">
            <w:pPr>
              <w:tabs>
                <w:tab w:val="decimal" w:pos="274"/>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214</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1</w:t>
            </w:r>
          </w:p>
        </w:tc>
        <w:tc>
          <w:tcPr>
            <w:tcW w:w="523" w:type="pct"/>
            <w:shd w:val="clear" w:color="auto" w:fill="DCE7EB"/>
            <w:vAlign w:val="bottom"/>
            <w:hideMark/>
          </w:tcPr>
          <w:p w14:paraId="79618917" w14:textId="43ADC5BD"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224</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6</w:t>
            </w:r>
          </w:p>
        </w:tc>
        <w:tc>
          <w:tcPr>
            <w:tcW w:w="519" w:type="pct"/>
            <w:shd w:val="clear" w:color="auto" w:fill="DCE7EB"/>
            <w:vAlign w:val="bottom"/>
            <w:hideMark/>
          </w:tcPr>
          <w:p w14:paraId="2DD52C3F" w14:textId="6086C81E"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232</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7</w:t>
            </w:r>
          </w:p>
        </w:tc>
        <w:tc>
          <w:tcPr>
            <w:tcW w:w="481" w:type="pct"/>
            <w:shd w:val="clear" w:color="auto" w:fill="DCE7EB"/>
            <w:vAlign w:val="bottom"/>
            <w:hideMark/>
          </w:tcPr>
          <w:p w14:paraId="660F2E26" w14:textId="40FDD5B5"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10</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5</w:t>
            </w:r>
          </w:p>
        </w:tc>
        <w:tc>
          <w:tcPr>
            <w:tcW w:w="481" w:type="pct"/>
            <w:shd w:val="clear" w:color="auto" w:fill="DCE7EB"/>
            <w:vAlign w:val="bottom"/>
            <w:hideMark/>
          </w:tcPr>
          <w:p w14:paraId="6F6A49A9" w14:textId="32588920"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18</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5</w:t>
            </w:r>
          </w:p>
        </w:tc>
        <w:tc>
          <w:tcPr>
            <w:tcW w:w="481" w:type="pct"/>
            <w:shd w:val="clear" w:color="auto" w:fill="DCE7EB"/>
            <w:vAlign w:val="bottom"/>
            <w:hideMark/>
          </w:tcPr>
          <w:p w14:paraId="5B98BAC6" w14:textId="01E9D30B"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5</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0</w:t>
            </w:r>
          </w:p>
        </w:tc>
        <w:tc>
          <w:tcPr>
            <w:tcW w:w="482" w:type="pct"/>
            <w:shd w:val="clear" w:color="auto" w:fill="DCE7EB"/>
            <w:vAlign w:val="bottom"/>
            <w:hideMark/>
          </w:tcPr>
          <w:p w14:paraId="0D422ACE" w14:textId="3F2C73A6"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10</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0</w:t>
            </w:r>
          </w:p>
        </w:tc>
        <w:tc>
          <w:tcPr>
            <w:tcW w:w="481" w:type="pct"/>
            <w:shd w:val="clear" w:color="auto" w:fill="DCE7EB"/>
            <w:vAlign w:val="bottom"/>
            <w:hideMark/>
          </w:tcPr>
          <w:p w14:paraId="3E70D164" w14:textId="2C391972"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7</w:t>
            </w:r>
          </w:p>
        </w:tc>
        <w:tc>
          <w:tcPr>
            <w:tcW w:w="479" w:type="pct"/>
            <w:shd w:val="clear" w:color="auto" w:fill="DCE7EB"/>
            <w:vAlign w:val="bottom"/>
            <w:hideMark/>
          </w:tcPr>
          <w:p w14:paraId="091DB7C8" w14:textId="1700894B" w:rsidR="002D23E4" w:rsidRPr="002D23E4" w:rsidRDefault="002D23E4">
            <w:pPr>
              <w:tabs>
                <w:tab w:val="decimal" w:pos="352"/>
                <w:tab w:val="decimal" w:pos="462"/>
              </w:tabs>
              <w:spacing w:before="40" w:after="40"/>
              <w:jc w:val="center"/>
              <w:rPr>
                <w:rFonts w:ascii="Segoe UI Light" w:hAnsi="Segoe UI Light" w:cs="Segoe UI Light"/>
                <w:sz w:val="16"/>
                <w:szCs w:val="16"/>
              </w:rPr>
            </w:pPr>
            <w:r w:rsidRPr="002D23E4">
              <w:rPr>
                <w:rFonts w:ascii="Segoe UI Light" w:hAnsi="Segoe UI Light" w:cs="Segoe UI Light"/>
                <w:color w:val="000000"/>
                <w:sz w:val="16"/>
                <w:szCs w:val="16"/>
              </w:rPr>
              <w:t>9</w:t>
            </w:r>
            <w:r w:rsidR="00804B13">
              <w:rPr>
                <w:rFonts w:ascii="Segoe UI Light" w:hAnsi="Segoe UI Light" w:cs="Segoe UI Light"/>
                <w:color w:val="000000"/>
                <w:sz w:val="16"/>
                <w:szCs w:val="16"/>
              </w:rPr>
              <w:t>,</w:t>
            </w:r>
            <w:r w:rsidRPr="002D23E4">
              <w:rPr>
                <w:rFonts w:ascii="Segoe UI Light" w:hAnsi="Segoe UI Light" w:cs="Segoe UI Light"/>
                <w:color w:val="000000"/>
                <w:sz w:val="16"/>
                <w:szCs w:val="16"/>
              </w:rPr>
              <w:t>8</w:t>
            </w:r>
          </w:p>
        </w:tc>
      </w:tr>
      <w:tr w:rsidR="002D23E4" w:rsidRPr="00D829F0" w14:paraId="4CFC8923" w14:textId="77777777" w:rsidTr="00C00800">
        <w:trPr>
          <w:cnfStyle w:val="000000100000" w:firstRow="0" w:lastRow="0" w:firstColumn="0" w:lastColumn="0" w:oddVBand="0" w:evenVBand="0" w:oddHBand="1" w:evenHBand="0" w:firstRowFirstColumn="0" w:firstRowLastColumn="0" w:lastRowFirstColumn="0" w:lastRowLastColumn="0"/>
          <w:trHeight w:val="20"/>
        </w:trPr>
        <w:tc>
          <w:tcPr>
            <w:tcW w:w="481" w:type="pct"/>
            <w:shd w:val="clear" w:color="auto" w:fill="auto"/>
            <w:hideMark/>
          </w:tcPr>
          <w:p w14:paraId="718FA941" w14:textId="77777777" w:rsidR="002D23E4" w:rsidRPr="002D23E4" w:rsidRDefault="002D23E4">
            <w:pPr>
              <w:spacing w:before="40" w:after="40"/>
              <w:jc w:val="center"/>
              <w:rPr>
                <w:rFonts w:ascii="Segoe UI Light" w:hAnsi="Segoe UI Light"/>
                <w:sz w:val="16"/>
                <w:szCs w:val="16"/>
              </w:rPr>
            </w:pPr>
            <w:r w:rsidRPr="002D23E4">
              <w:rPr>
                <w:rFonts w:ascii="Segoe UI Light" w:hAnsi="Segoe UI Light"/>
                <w:sz w:val="16"/>
                <w:szCs w:val="16"/>
              </w:rPr>
              <w:t>55-64</w:t>
            </w:r>
          </w:p>
        </w:tc>
        <w:tc>
          <w:tcPr>
            <w:tcW w:w="592" w:type="pct"/>
            <w:shd w:val="clear" w:color="auto" w:fill="auto"/>
            <w:vAlign w:val="bottom"/>
          </w:tcPr>
          <w:p w14:paraId="2F5D049F" w14:textId="5241B6B2" w:rsidR="002D23E4" w:rsidRPr="00804B13" w:rsidRDefault="002D23E4">
            <w:pPr>
              <w:tabs>
                <w:tab w:val="decimal" w:pos="274"/>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198</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2</w:t>
            </w:r>
          </w:p>
        </w:tc>
        <w:tc>
          <w:tcPr>
            <w:tcW w:w="523" w:type="pct"/>
            <w:shd w:val="clear" w:color="auto" w:fill="auto"/>
            <w:vAlign w:val="bottom"/>
            <w:hideMark/>
          </w:tcPr>
          <w:p w14:paraId="1E8711B8" w14:textId="7C3EC309"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205</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7</w:t>
            </w:r>
          </w:p>
        </w:tc>
        <w:tc>
          <w:tcPr>
            <w:tcW w:w="519" w:type="pct"/>
            <w:shd w:val="clear" w:color="auto" w:fill="auto"/>
            <w:vAlign w:val="bottom"/>
            <w:hideMark/>
          </w:tcPr>
          <w:p w14:paraId="3EBF7E09" w14:textId="075D2033"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217</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3</w:t>
            </w:r>
          </w:p>
        </w:tc>
        <w:tc>
          <w:tcPr>
            <w:tcW w:w="481" w:type="pct"/>
            <w:shd w:val="clear" w:color="auto" w:fill="auto"/>
            <w:vAlign w:val="bottom"/>
            <w:hideMark/>
          </w:tcPr>
          <w:p w14:paraId="5352EFF7" w14:textId="40D5E343"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7</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5</w:t>
            </w:r>
          </w:p>
        </w:tc>
        <w:tc>
          <w:tcPr>
            <w:tcW w:w="481" w:type="pct"/>
            <w:shd w:val="clear" w:color="auto" w:fill="auto"/>
            <w:vAlign w:val="bottom"/>
            <w:hideMark/>
          </w:tcPr>
          <w:p w14:paraId="2FCCC89F" w14:textId="29D6929A"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19</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2</w:t>
            </w:r>
          </w:p>
        </w:tc>
        <w:tc>
          <w:tcPr>
            <w:tcW w:w="481" w:type="pct"/>
            <w:shd w:val="clear" w:color="auto" w:fill="auto"/>
            <w:vAlign w:val="bottom"/>
            <w:hideMark/>
          </w:tcPr>
          <w:p w14:paraId="5E395932" w14:textId="1DA14260"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10</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2</w:t>
            </w:r>
          </w:p>
        </w:tc>
        <w:tc>
          <w:tcPr>
            <w:tcW w:w="482" w:type="pct"/>
            <w:shd w:val="clear" w:color="auto" w:fill="auto"/>
            <w:vAlign w:val="bottom"/>
            <w:hideMark/>
          </w:tcPr>
          <w:p w14:paraId="591FC069" w14:textId="49193B26"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15</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8</w:t>
            </w:r>
          </w:p>
        </w:tc>
        <w:tc>
          <w:tcPr>
            <w:tcW w:w="481" w:type="pct"/>
            <w:shd w:val="clear" w:color="auto" w:fill="auto"/>
            <w:vAlign w:val="bottom"/>
            <w:hideMark/>
          </w:tcPr>
          <w:p w14:paraId="32254F8A" w14:textId="6922582D"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-7</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8</w:t>
            </w:r>
          </w:p>
        </w:tc>
        <w:tc>
          <w:tcPr>
            <w:tcW w:w="479" w:type="pct"/>
            <w:shd w:val="clear" w:color="auto" w:fill="auto"/>
            <w:vAlign w:val="bottom"/>
            <w:hideMark/>
          </w:tcPr>
          <w:p w14:paraId="5C694157" w14:textId="2F6C84F4" w:rsidR="002D23E4" w:rsidRPr="002D23E4" w:rsidRDefault="002D23E4">
            <w:pPr>
              <w:tabs>
                <w:tab w:val="decimal" w:pos="352"/>
                <w:tab w:val="decimal" w:pos="462"/>
              </w:tabs>
              <w:spacing w:before="40" w:after="40"/>
              <w:jc w:val="center"/>
              <w:rPr>
                <w:rFonts w:ascii="Segoe UI Light" w:hAnsi="Segoe UI Light" w:cs="Segoe UI Light"/>
                <w:sz w:val="16"/>
                <w:szCs w:val="16"/>
              </w:rPr>
            </w:pPr>
            <w:r w:rsidRPr="002D23E4">
              <w:rPr>
                <w:rFonts w:ascii="Segoe UI Light" w:hAnsi="Segoe UI Light" w:cs="Segoe UI Light"/>
                <w:color w:val="000000"/>
                <w:sz w:val="16"/>
                <w:szCs w:val="16"/>
              </w:rPr>
              <w:t>-4</w:t>
            </w:r>
            <w:r w:rsidR="00804B13">
              <w:rPr>
                <w:rFonts w:ascii="Segoe UI Light" w:hAnsi="Segoe UI Light" w:cs="Segoe UI Light"/>
                <w:color w:val="000000"/>
                <w:sz w:val="16"/>
                <w:szCs w:val="16"/>
              </w:rPr>
              <w:t>,</w:t>
            </w:r>
            <w:r w:rsidRPr="002D23E4">
              <w:rPr>
                <w:rFonts w:ascii="Segoe UI Light" w:hAnsi="Segoe UI Light" w:cs="Segoe UI Light"/>
                <w:color w:val="000000"/>
                <w:sz w:val="16"/>
                <w:szCs w:val="16"/>
              </w:rPr>
              <w:t>1</w:t>
            </w:r>
          </w:p>
        </w:tc>
      </w:tr>
      <w:tr w:rsidR="002D23E4" w:rsidRPr="00D829F0" w14:paraId="652492A1" w14:textId="77777777" w:rsidTr="00C00800">
        <w:trPr>
          <w:trHeight w:val="20"/>
        </w:trPr>
        <w:tc>
          <w:tcPr>
            <w:tcW w:w="481" w:type="pct"/>
            <w:shd w:val="clear" w:color="auto" w:fill="DCE7EB"/>
            <w:hideMark/>
          </w:tcPr>
          <w:p w14:paraId="0F25D816" w14:textId="77777777" w:rsidR="002D23E4" w:rsidRPr="002D23E4" w:rsidRDefault="002D23E4">
            <w:pPr>
              <w:spacing w:before="40" w:after="40"/>
              <w:jc w:val="center"/>
              <w:rPr>
                <w:rFonts w:ascii="Segoe UI Light" w:hAnsi="Segoe UI Light"/>
                <w:sz w:val="16"/>
                <w:szCs w:val="16"/>
              </w:rPr>
            </w:pPr>
            <w:r w:rsidRPr="002D23E4">
              <w:rPr>
                <w:rFonts w:ascii="Segoe UI Light" w:hAnsi="Segoe UI Light"/>
                <w:sz w:val="16"/>
                <w:szCs w:val="16"/>
              </w:rPr>
              <w:t>65-74</w:t>
            </w:r>
          </w:p>
        </w:tc>
        <w:tc>
          <w:tcPr>
            <w:tcW w:w="592" w:type="pct"/>
            <w:shd w:val="clear" w:color="auto" w:fill="DCE7EB"/>
            <w:vAlign w:val="bottom"/>
          </w:tcPr>
          <w:p w14:paraId="39DF8BB3" w14:textId="3CD3B251" w:rsidR="002D23E4" w:rsidRPr="00804B13" w:rsidRDefault="002D23E4">
            <w:pPr>
              <w:tabs>
                <w:tab w:val="decimal" w:pos="274"/>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59</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0</w:t>
            </w:r>
          </w:p>
        </w:tc>
        <w:tc>
          <w:tcPr>
            <w:tcW w:w="523" w:type="pct"/>
            <w:shd w:val="clear" w:color="auto" w:fill="DCE7EB"/>
            <w:vAlign w:val="bottom"/>
            <w:hideMark/>
          </w:tcPr>
          <w:p w14:paraId="4FFF2559" w14:textId="6DC7065C"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67</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3</w:t>
            </w:r>
          </w:p>
        </w:tc>
        <w:tc>
          <w:tcPr>
            <w:tcW w:w="519" w:type="pct"/>
            <w:shd w:val="clear" w:color="auto" w:fill="DCE7EB"/>
            <w:vAlign w:val="bottom"/>
            <w:hideMark/>
          </w:tcPr>
          <w:p w14:paraId="0A48A093" w14:textId="5CA9EDC7"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67</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1</w:t>
            </w:r>
          </w:p>
        </w:tc>
        <w:tc>
          <w:tcPr>
            <w:tcW w:w="481" w:type="pct"/>
            <w:shd w:val="clear" w:color="auto" w:fill="DCE7EB"/>
            <w:vAlign w:val="bottom"/>
            <w:hideMark/>
          </w:tcPr>
          <w:p w14:paraId="1F44E7B1" w14:textId="03C03C89"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8</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3</w:t>
            </w:r>
          </w:p>
        </w:tc>
        <w:tc>
          <w:tcPr>
            <w:tcW w:w="481" w:type="pct"/>
            <w:shd w:val="clear" w:color="auto" w:fill="DCE7EB"/>
            <w:vAlign w:val="bottom"/>
            <w:hideMark/>
          </w:tcPr>
          <w:p w14:paraId="3179454C" w14:textId="7F0A204E"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8</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1</w:t>
            </w:r>
          </w:p>
        </w:tc>
        <w:tc>
          <w:tcPr>
            <w:tcW w:w="481" w:type="pct"/>
            <w:shd w:val="clear" w:color="auto" w:fill="DCE7EB"/>
            <w:vAlign w:val="bottom"/>
            <w:hideMark/>
          </w:tcPr>
          <w:p w14:paraId="14643FD7" w14:textId="0D575924"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6</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6</w:t>
            </w:r>
          </w:p>
        </w:tc>
        <w:tc>
          <w:tcPr>
            <w:tcW w:w="482" w:type="pct"/>
            <w:shd w:val="clear" w:color="auto" w:fill="DCE7EB"/>
            <w:vAlign w:val="bottom"/>
            <w:hideMark/>
          </w:tcPr>
          <w:p w14:paraId="64F1DCAA" w14:textId="3B0227B4"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8</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4</w:t>
            </w:r>
          </w:p>
        </w:tc>
        <w:tc>
          <w:tcPr>
            <w:tcW w:w="481" w:type="pct"/>
            <w:shd w:val="clear" w:color="auto" w:fill="DCE7EB"/>
            <w:vAlign w:val="bottom"/>
            <w:hideMark/>
          </w:tcPr>
          <w:p w14:paraId="2DAB637D" w14:textId="6E00F5F0" w:rsidR="002D23E4" w:rsidRPr="00804B13" w:rsidRDefault="002D23E4">
            <w:pPr>
              <w:tabs>
                <w:tab w:val="decimal" w:pos="352"/>
                <w:tab w:val="decimal" w:pos="462"/>
              </w:tabs>
              <w:spacing w:before="40" w:after="40"/>
              <w:jc w:val="center"/>
              <w:rPr>
                <w:rFonts w:ascii="Segoe UI Light" w:hAnsi="Segoe UI Light" w:cs="Segoe UI Light"/>
                <w:color w:val="000000" w:themeColor="text1"/>
                <w:sz w:val="16"/>
                <w:szCs w:val="16"/>
              </w:rPr>
            </w:pPr>
            <w:r w:rsidRPr="00804B13">
              <w:rPr>
                <w:rFonts w:ascii="Segoe UI Light" w:hAnsi="Segoe UI Light" w:cs="Segoe UI Light"/>
                <w:color w:val="000000" w:themeColor="text1"/>
                <w:sz w:val="16"/>
                <w:szCs w:val="16"/>
              </w:rPr>
              <w:t>10</w:t>
            </w:r>
            <w:r w:rsidR="00804B13" w:rsidRPr="00804B13">
              <w:rPr>
                <w:rFonts w:ascii="Segoe UI Light" w:hAnsi="Segoe UI Light" w:cs="Segoe UI Light"/>
                <w:color w:val="000000" w:themeColor="text1"/>
                <w:sz w:val="16"/>
                <w:szCs w:val="16"/>
              </w:rPr>
              <w:t>,</w:t>
            </w:r>
            <w:r w:rsidRPr="00804B13">
              <w:rPr>
                <w:rFonts w:ascii="Segoe UI Light" w:hAnsi="Segoe UI Light" w:cs="Segoe UI Light"/>
                <w:color w:val="000000" w:themeColor="text1"/>
                <w:sz w:val="16"/>
                <w:szCs w:val="16"/>
              </w:rPr>
              <w:t>3</w:t>
            </w:r>
          </w:p>
        </w:tc>
        <w:tc>
          <w:tcPr>
            <w:tcW w:w="479" w:type="pct"/>
            <w:shd w:val="clear" w:color="auto" w:fill="DCE7EB"/>
            <w:vAlign w:val="bottom"/>
            <w:hideMark/>
          </w:tcPr>
          <w:p w14:paraId="2314844F" w14:textId="25799D40" w:rsidR="002D23E4" w:rsidRPr="002D23E4" w:rsidRDefault="002D23E4">
            <w:pPr>
              <w:tabs>
                <w:tab w:val="decimal" w:pos="352"/>
                <w:tab w:val="decimal" w:pos="462"/>
              </w:tabs>
              <w:spacing w:before="40" w:after="40"/>
              <w:jc w:val="center"/>
              <w:rPr>
                <w:rFonts w:ascii="Segoe UI Light" w:hAnsi="Segoe UI Light" w:cs="Segoe UI Light"/>
                <w:sz w:val="16"/>
                <w:szCs w:val="16"/>
              </w:rPr>
            </w:pPr>
            <w:r w:rsidRPr="002D23E4">
              <w:rPr>
                <w:rFonts w:ascii="Segoe UI Light" w:hAnsi="Segoe UI Light" w:cs="Segoe UI Light"/>
                <w:color w:val="000000"/>
                <w:sz w:val="16"/>
                <w:szCs w:val="16"/>
              </w:rPr>
              <w:t>0</w:t>
            </w:r>
            <w:r w:rsidR="00804B13">
              <w:rPr>
                <w:rFonts w:ascii="Segoe UI Light" w:hAnsi="Segoe UI Light" w:cs="Segoe UI Light"/>
                <w:color w:val="000000"/>
                <w:sz w:val="16"/>
                <w:szCs w:val="16"/>
              </w:rPr>
              <w:t>,</w:t>
            </w:r>
            <w:r w:rsidRPr="002D23E4">
              <w:rPr>
                <w:rFonts w:ascii="Segoe UI Light" w:hAnsi="Segoe UI Light" w:cs="Segoe UI Light"/>
                <w:color w:val="000000"/>
                <w:sz w:val="16"/>
                <w:szCs w:val="16"/>
              </w:rPr>
              <w:t>3</w:t>
            </w:r>
          </w:p>
        </w:tc>
      </w:tr>
    </w:tbl>
    <w:p w14:paraId="16817A89" w14:textId="6F1EB5E8" w:rsidR="00B018CB" w:rsidRPr="00EF7F3C" w:rsidRDefault="00267AA4" w:rsidP="00C00800">
      <w:pPr>
        <w:spacing w:before="120" w:after="120"/>
        <w:jc w:val="both"/>
        <w:rPr>
          <w:rFonts w:ascii="Aptos Narrow" w:hAnsi="Aptos Narrow"/>
          <w:b/>
          <w:color w:val="5F497A" w:themeColor="accent4" w:themeShade="BF"/>
          <w:sz w:val="28"/>
          <w:szCs w:val="28"/>
          <w:highlight w:val="yellow"/>
        </w:rPr>
      </w:pPr>
      <w:r w:rsidRPr="00D829F0">
        <w:rPr>
          <w:rFonts w:ascii="Source Sans Pro" w:hAnsi="Source Sans Pro" w:cs="Calibri Light"/>
          <w:sz w:val="16"/>
          <w:szCs w:val="14"/>
        </w:rPr>
        <w:t>Avots: CSP dati 202</w:t>
      </w:r>
      <w:r w:rsidR="002D23E4" w:rsidRPr="00D829F0">
        <w:rPr>
          <w:rFonts w:ascii="Source Sans Pro" w:hAnsi="Source Sans Pro" w:cs="Calibri Light"/>
          <w:sz w:val="16"/>
          <w:szCs w:val="14"/>
        </w:rPr>
        <w:t>5</w:t>
      </w:r>
      <w:r w:rsidRPr="00D829F0">
        <w:rPr>
          <w:rFonts w:ascii="Source Sans Pro" w:hAnsi="Source Sans Pro" w:cs="Calibri Light"/>
          <w:sz w:val="16"/>
          <w:szCs w:val="14"/>
        </w:rPr>
        <w:t>.</w:t>
      </w:r>
      <w:r w:rsidR="002D23E4" w:rsidRPr="00D829F0">
        <w:rPr>
          <w:rFonts w:ascii="Source Sans Pro" w:hAnsi="Source Sans Pro" w:cs="Calibri Light"/>
          <w:sz w:val="16"/>
          <w:szCs w:val="14"/>
        </w:rPr>
        <w:t xml:space="preserve"> </w:t>
      </w:r>
      <w:r w:rsidRPr="00D829F0">
        <w:rPr>
          <w:rFonts w:ascii="Source Sans Pro" w:hAnsi="Source Sans Pro" w:cs="Calibri Light"/>
          <w:sz w:val="16"/>
          <w:szCs w:val="14"/>
        </w:rPr>
        <w:t>gadam, EM prognozes 2030.</w:t>
      </w:r>
      <w:r w:rsidR="00D41B24">
        <w:rPr>
          <w:rFonts w:ascii="Source Sans Pro" w:hAnsi="Source Sans Pro" w:cs="Calibri Light"/>
          <w:sz w:val="16"/>
          <w:szCs w:val="14"/>
        </w:rPr>
        <w:t> </w:t>
      </w:r>
      <w:r w:rsidRPr="00D829F0">
        <w:rPr>
          <w:rFonts w:ascii="Source Sans Pro" w:hAnsi="Source Sans Pro" w:cs="Calibri Light"/>
          <w:sz w:val="16"/>
          <w:szCs w:val="14"/>
        </w:rPr>
        <w:t>gadam un 2040.</w:t>
      </w:r>
      <w:r w:rsidR="00D41B24">
        <w:rPr>
          <w:rFonts w:ascii="Source Sans Pro" w:hAnsi="Source Sans Pro" w:cs="Calibri Light"/>
          <w:sz w:val="16"/>
          <w:szCs w:val="14"/>
        </w:rPr>
        <w:t> </w:t>
      </w:r>
      <w:r w:rsidRPr="00D829F0">
        <w:rPr>
          <w:rFonts w:ascii="Source Sans Pro" w:hAnsi="Source Sans Pro" w:cs="Calibri Light"/>
          <w:sz w:val="16"/>
          <w:szCs w:val="14"/>
        </w:rPr>
        <w:t>gadam.</w:t>
      </w:r>
      <w:r w:rsidR="00B018CB" w:rsidRPr="00EF7F3C">
        <w:rPr>
          <w:rFonts w:ascii="Aptos Narrow" w:hAnsi="Aptos Narrow"/>
          <w:b/>
          <w:color w:val="5F497A" w:themeColor="accent4" w:themeShade="BF"/>
          <w:sz w:val="28"/>
          <w:szCs w:val="28"/>
          <w:highlight w:val="yellow"/>
        </w:rPr>
        <w:br w:type="page"/>
      </w:r>
    </w:p>
    <w:p w14:paraId="558B3611" w14:textId="6F90866A" w:rsidR="00267AA4" w:rsidRPr="00C50082" w:rsidRDefault="00267AA4" w:rsidP="00B018CB">
      <w:pPr>
        <w:spacing w:after="120"/>
        <w:jc w:val="both"/>
        <w:rPr>
          <w:rFonts w:ascii="Aptos Narrow" w:hAnsi="Aptos Narrow"/>
          <w:b/>
          <w:color w:val="003E4C"/>
          <w:sz w:val="28"/>
          <w:szCs w:val="28"/>
          <w:highlight w:val="yellow"/>
        </w:rPr>
      </w:pPr>
      <w:r w:rsidRPr="00C50082">
        <w:rPr>
          <w:rFonts w:ascii="Aptos Narrow" w:hAnsi="Aptos Narrow"/>
          <w:b/>
          <w:color w:val="003E4C"/>
          <w:sz w:val="28"/>
          <w:szCs w:val="28"/>
        </w:rPr>
        <w:lastRenderedPageBreak/>
        <w:t>Darbaspēka piedāvājums pēc iegūtās izglītības</w:t>
      </w:r>
    </w:p>
    <w:p w14:paraId="58A60E0E" w14:textId="77777777" w:rsidR="00267AA4" w:rsidRPr="00D829F0" w:rsidRDefault="00267AA4" w:rsidP="00267AA4">
      <w:pPr>
        <w:spacing w:after="120"/>
        <w:jc w:val="both"/>
        <w:rPr>
          <w:rFonts w:ascii="Source Sans Pro" w:hAnsi="Source Sans Pro"/>
          <w:color w:val="000000"/>
          <w:spacing w:val="-4"/>
          <w:szCs w:val="20"/>
        </w:rPr>
      </w:pPr>
      <w:r w:rsidRPr="00D829F0">
        <w:rPr>
          <w:rFonts w:ascii="Source Sans Pro" w:hAnsi="Source Sans Pro"/>
          <w:color w:val="000000"/>
          <w:spacing w:val="-4"/>
          <w:szCs w:val="20"/>
        </w:rPr>
        <w:t xml:space="preserve">Kopumā gan vidējā, gan ilgtermiņā turpinās palielināties darbaspēka piedāvājums ar augstāko izglītību, savukārt samazinājums sagaidāms starp ekonomiski aktīviem iedzīvotājiem ar profesionālo un vidējo vispārējo izglītību. Vienlaikus vidējā termiņā palielināsies darbaspēka piedāvājums ar pamatizglītību un zemāku izglītību. </w:t>
      </w:r>
      <w:r w:rsidRPr="00D829F0">
        <w:rPr>
          <w:rFonts w:ascii="Source Sans Pro" w:hAnsi="Source Sans Pro"/>
          <w:color w:val="000000"/>
          <w:szCs w:val="20"/>
        </w:rPr>
        <w:t>Atbilstošās izmaiņas turpmākajos gados iezīmēs zināmu darbaspēka piedāvājuma polarizāciju, no vienas ievērojami palielinot augstākās kvalifikācijas un arī zemākās kvalifikācijas darbaspēka piedāvājumu, bet vienlaikus samazinot vidējās kvalifikācijas darbaspēka piedāvājumu.</w:t>
      </w:r>
    </w:p>
    <w:p w14:paraId="75760DCB" w14:textId="0835827D" w:rsidR="00267AA4" w:rsidRPr="00D829F0" w:rsidRDefault="00267AA4" w:rsidP="00267AA4">
      <w:pPr>
        <w:spacing w:after="120"/>
        <w:jc w:val="both"/>
        <w:rPr>
          <w:rFonts w:ascii="Source Sans Pro" w:hAnsi="Source Sans Pro"/>
          <w:color w:val="000000"/>
          <w:szCs w:val="20"/>
        </w:rPr>
      </w:pPr>
      <w:r w:rsidRPr="00D829F0">
        <w:rPr>
          <w:rFonts w:ascii="Source Sans Pro" w:hAnsi="Source Sans Pro"/>
          <w:color w:val="000000"/>
          <w:szCs w:val="20"/>
        </w:rPr>
        <w:t>Līdz 2040.</w:t>
      </w:r>
      <w:r w:rsidR="00B566DE" w:rsidRPr="00D829F0">
        <w:rPr>
          <w:rFonts w:ascii="Source Sans Pro" w:hAnsi="Source Sans Pro"/>
          <w:color w:val="000000"/>
          <w:szCs w:val="20"/>
        </w:rPr>
        <w:t> </w:t>
      </w:r>
      <w:r w:rsidRPr="00D829F0">
        <w:rPr>
          <w:rFonts w:ascii="Source Sans Pro" w:hAnsi="Source Sans Pro"/>
          <w:color w:val="000000"/>
          <w:szCs w:val="20"/>
        </w:rPr>
        <w:t>gadam darbaspēka piedāvājuma īpatsvars ar augstāko izglītību kopējā darbaspēka piedāvājumā varētu palielināsies par</w:t>
      </w:r>
      <w:r w:rsidR="00006AC6" w:rsidRPr="00D829F0">
        <w:rPr>
          <w:rFonts w:ascii="Source Sans Pro" w:hAnsi="Source Sans Pro"/>
          <w:color w:val="000000"/>
          <w:szCs w:val="20"/>
        </w:rPr>
        <w:t xml:space="preserve"> 3,6</w:t>
      </w:r>
      <w:r w:rsidRPr="00D829F0">
        <w:rPr>
          <w:rFonts w:ascii="Source Sans Pro" w:hAnsi="Source Sans Pro"/>
          <w:color w:val="000000"/>
          <w:szCs w:val="20"/>
        </w:rPr>
        <w:t> procentpunktiem, salīdzinot ar 202</w:t>
      </w:r>
      <w:r w:rsidR="00006AC6" w:rsidRPr="00D829F0">
        <w:rPr>
          <w:rFonts w:ascii="Source Sans Pro" w:hAnsi="Source Sans Pro"/>
          <w:color w:val="000000"/>
          <w:szCs w:val="20"/>
        </w:rPr>
        <w:t>5</w:t>
      </w:r>
      <w:r w:rsidRPr="00D829F0">
        <w:rPr>
          <w:rFonts w:ascii="Source Sans Pro" w:hAnsi="Source Sans Pro"/>
          <w:color w:val="000000"/>
          <w:szCs w:val="20"/>
        </w:rPr>
        <w:t>.</w:t>
      </w:r>
      <w:r w:rsidR="00B566DE" w:rsidRPr="00D829F0">
        <w:rPr>
          <w:rFonts w:ascii="Source Sans Pro" w:hAnsi="Source Sans Pro"/>
          <w:color w:val="000000"/>
          <w:szCs w:val="20"/>
        </w:rPr>
        <w:t> </w:t>
      </w:r>
      <w:r w:rsidRPr="00D829F0">
        <w:rPr>
          <w:rFonts w:ascii="Source Sans Pro" w:hAnsi="Source Sans Pro"/>
          <w:color w:val="000000"/>
          <w:szCs w:val="20"/>
        </w:rPr>
        <w:t>gadu, un sasniegt gandrīz pusi (4</w:t>
      </w:r>
      <w:r w:rsidR="00006AC6" w:rsidRPr="00D829F0">
        <w:rPr>
          <w:rFonts w:ascii="Source Sans Pro" w:hAnsi="Source Sans Pro"/>
          <w:color w:val="000000"/>
          <w:szCs w:val="20"/>
        </w:rPr>
        <w:t>5,2</w:t>
      </w:r>
      <w:r w:rsidRPr="00D829F0">
        <w:rPr>
          <w:rFonts w:ascii="Source Sans Pro" w:hAnsi="Source Sans Pro"/>
          <w:color w:val="000000"/>
          <w:szCs w:val="20"/>
        </w:rPr>
        <w:t xml:space="preserve">%) no kopējā darbaspēka piedāvājuma. Turpretim turpinās samazināties darbaspēka piedāvājuma īpatsvars ar arodizglītību un profesionālo vidējo izglītību </w:t>
      </w:r>
      <w:r w:rsidR="00997A11" w:rsidRPr="00D829F0">
        <w:rPr>
          <w:rFonts w:ascii="Source Sans Pro" w:hAnsi="Source Sans Pro"/>
          <w:color w:val="000000"/>
          <w:szCs w:val="20"/>
        </w:rPr>
        <w:t>–</w:t>
      </w:r>
      <w:r w:rsidRPr="00D829F0">
        <w:rPr>
          <w:rFonts w:ascii="Source Sans Pro" w:hAnsi="Source Sans Pro"/>
          <w:color w:val="000000"/>
          <w:szCs w:val="20"/>
        </w:rPr>
        <w:t xml:space="preserve"> par </w:t>
      </w:r>
      <w:r w:rsidR="00117768" w:rsidRPr="00D829F0">
        <w:rPr>
          <w:rFonts w:ascii="Source Sans Pro" w:hAnsi="Source Sans Pro"/>
          <w:color w:val="000000"/>
          <w:szCs w:val="20"/>
        </w:rPr>
        <w:t>8,4</w:t>
      </w:r>
      <w:r w:rsidRPr="00D829F0">
        <w:rPr>
          <w:rFonts w:ascii="Source Sans Pro" w:hAnsi="Source Sans Pro"/>
          <w:color w:val="000000"/>
          <w:szCs w:val="20"/>
        </w:rPr>
        <w:t xml:space="preserve"> procentpunktiem, salīdzinot ar 202</w:t>
      </w:r>
      <w:r w:rsidR="00117768" w:rsidRPr="00D829F0">
        <w:rPr>
          <w:rFonts w:ascii="Source Sans Pro" w:hAnsi="Source Sans Pro"/>
          <w:color w:val="000000"/>
          <w:szCs w:val="20"/>
        </w:rPr>
        <w:t>5</w:t>
      </w:r>
      <w:r w:rsidRPr="00D829F0">
        <w:rPr>
          <w:rFonts w:ascii="Source Sans Pro" w:hAnsi="Source Sans Pro"/>
          <w:color w:val="000000"/>
          <w:szCs w:val="20"/>
        </w:rPr>
        <w:t>.</w:t>
      </w:r>
      <w:r w:rsidR="00B566DE" w:rsidRPr="00D829F0">
        <w:rPr>
          <w:rFonts w:ascii="Source Sans Pro" w:hAnsi="Source Sans Pro"/>
          <w:color w:val="000000"/>
          <w:szCs w:val="20"/>
        </w:rPr>
        <w:t> </w:t>
      </w:r>
      <w:r w:rsidRPr="00D829F0">
        <w:rPr>
          <w:rFonts w:ascii="Source Sans Pro" w:hAnsi="Source Sans Pro"/>
          <w:color w:val="000000"/>
          <w:szCs w:val="20"/>
        </w:rPr>
        <w:t xml:space="preserve">gadu, nokrītoties līdz </w:t>
      </w:r>
      <w:r w:rsidR="0037734D" w:rsidRPr="00D829F0">
        <w:rPr>
          <w:rFonts w:ascii="Source Sans Pro" w:hAnsi="Source Sans Pro"/>
          <w:color w:val="000000"/>
          <w:szCs w:val="20"/>
        </w:rPr>
        <w:t>20,5</w:t>
      </w:r>
      <w:r w:rsidRPr="00D829F0">
        <w:rPr>
          <w:rFonts w:ascii="Source Sans Pro" w:hAnsi="Source Sans Pro"/>
          <w:color w:val="000000"/>
          <w:szCs w:val="20"/>
        </w:rPr>
        <w:t>% no kopējā darbaspēka piedāvājuma. Nedaudz samazināsies arī darbaspēka piedāvājums ar vispārējo vidējo izglītīb</w:t>
      </w:r>
      <w:r w:rsidR="0037734D" w:rsidRPr="00D829F0">
        <w:rPr>
          <w:rFonts w:ascii="Source Sans Pro" w:hAnsi="Source Sans Pro"/>
          <w:color w:val="000000"/>
          <w:szCs w:val="20"/>
        </w:rPr>
        <w:t>ā</w:t>
      </w:r>
      <w:r w:rsidR="009B175C" w:rsidRPr="00D829F0">
        <w:rPr>
          <w:rFonts w:ascii="Source Sans Pro" w:hAnsi="Source Sans Pro"/>
          <w:color w:val="000000"/>
          <w:szCs w:val="20"/>
        </w:rPr>
        <w:t>.</w:t>
      </w:r>
      <w:r w:rsidR="003E4A04">
        <w:rPr>
          <w:rFonts w:ascii="Source Sans Pro" w:hAnsi="Source Sans Pro"/>
          <w:color w:val="000000"/>
          <w:szCs w:val="20"/>
        </w:rPr>
        <w:t xml:space="preserve"> Kopumā d</w:t>
      </w:r>
      <w:r w:rsidR="0037734D" w:rsidRPr="00D829F0">
        <w:rPr>
          <w:rFonts w:ascii="Source Sans Pro" w:hAnsi="Source Sans Pro"/>
          <w:color w:val="000000"/>
          <w:szCs w:val="20"/>
        </w:rPr>
        <w:t>arbaspēka piedāvājums nedaudz samazināsies vidējā termiņā,</w:t>
      </w:r>
      <w:r w:rsidR="00CD24F9" w:rsidRPr="00D829F0">
        <w:rPr>
          <w:rFonts w:ascii="Source Sans Pro" w:hAnsi="Source Sans Pro"/>
          <w:color w:val="000000"/>
          <w:szCs w:val="20"/>
        </w:rPr>
        <w:t xml:space="preserve"> taču ilgtermiņā būs vērojams neliels pieaugums</w:t>
      </w:r>
      <w:r w:rsidRPr="00D829F0">
        <w:rPr>
          <w:rFonts w:ascii="Source Sans Pro" w:hAnsi="Source Sans Pro"/>
          <w:color w:val="000000"/>
          <w:szCs w:val="20"/>
        </w:rPr>
        <w:t xml:space="preserve"> par</w:t>
      </w:r>
      <w:r w:rsidR="00CD24F9" w:rsidRPr="00D829F0">
        <w:rPr>
          <w:rFonts w:ascii="Source Sans Pro" w:hAnsi="Source Sans Pro"/>
          <w:color w:val="000000"/>
          <w:szCs w:val="20"/>
        </w:rPr>
        <w:t xml:space="preserve"> aptuveni</w:t>
      </w:r>
      <w:r w:rsidRPr="00D829F0">
        <w:rPr>
          <w:rFonts w:ascii="Source Sans Pro" w:hAnsi="Source Sans Pro"/>
          <w:color w:val="000000"/>
          <w:szCs w:val="20"/>
        </w:rPr>
        <w:t xml:space="preserve"> </w:t>
      </w:r>
      <w:r w:rsidR="00CD24F9" w:rsidRPr="00D829F0">
        <w:rPr>
          <w:rFonts w:ascii="Source Sans Pro" w:hAnsi="Source Sans Pro"/>
          <w:color w:val="000000"/>
          <w:szCs w:val="20"/>
        </w:rPr>
        <w:t>1</w:t>
      </w:r>
      <w:r w:rsidRPr="00D829F0">
        <w:rPr>
          <w:rFonts w:ascii="Source Sans Pro" w:hAnsi="Source Sans Pro"/>
          <w:color w:val="000000"/>
          <w:szCs w:val="20"/>
        </w:rPr>
        <w:t> procentpunkt</w:t>
      </w:r>
      <w:r w:rsidR="00CD24F9" w:rsidRPr="00D829F0">
        <w:rPr>
          <w:rFonts w:ascii="Source Sans Pro" w:hAnsi="Source Sans Pro"/>
          <w:color w:val="000000"/>
          <w:szCs w:val="20"/>
        </w:rPr>
        <w:t>u</w:t>
      </w:r>
      <w:r w:rsidRPr="00D829F0">
        <w:rPr>
          <w:rFonts w:ascii="Source Sans Pro" w:hAnsi="Source Sans Pro"/>
          <w:color w:val="000000"/>
          <w:szCs w:val="20"/>
        </w:rPr>
        <w:t xml:space="preserve"> (līdz 22,</w:t>
      </w:r>
      <w:r w:rsidR="00CD24F9" w:rsidRPr="00D829F0">
        <w:rPr>
          <w:rFonts w:ascii="Source Sans Pro" w:hAnsi="Source Sans Pro"/>
          <w:color w:val="000000"/>
          <w:szCs w:val="20"/>
        </w:rPr>
        <w:t>8</w:t>
      </w:r>
      <w:r w:rsidRPr="00D829F0">
        <w:rPr>
          <w:rFonts w:ascii="Source Sans Pro" w:hAnsi="Source Sans Pro"/>
          <w:color w:val="000000"/>
          <w:szCs w:val="20"/>
        </w:rPr>
        <w:t>% 2040.</w:t>
      </w:r>
      <w:r w:rsidR="00B566DE" w:rsidRPr="00D829F0">
        <w:rPr>
          <w:rFonts w:ascii="Source Sans Pro" w:hAnsi="Source Sans Pro"/>
          <w:color w:val="000000"/>
          <w:szCs w:val="20"/>
        </w:rPr>
        <w:t> </w:t>
      </w:r>
      <w:r w:rsidRPr="00D829F0">
        <w:rPr>
          <w:rFonts w:ascii="Source Sans Pro" w:hAnsi="Source Sans Pro"/>
          <w:color w:val="000000"/>
          <w:szCs w:val="20"/>
        </w:rPr>
        <w:t xml:space="preserve">gadā). Savukārt īpatsvars ar </w:t>
      </w:r>
      <w:r w:rsidRPr="00D829F0">
        <w:rPr>
          <w:rFonts w:ascii="Source Sans Pro" w:hAnsi="Source Sans Pro"/>
          <w:color w:val="000000"/>
          <w:spacing w:val="-4"/>
          <w:szCs w:val="20"/>
        </w:rPr>
        <w:t>pamatizglītību un zemāku izglītību līdz 20</w:t>
      </w:r>
      <w:r w:rsidR="00BB67CA" w:rsidRPr="00D829F0">
        <w:rPr>
          <w:rFonts w:ascii="Source Sans Pro" w:hAnsi="Source Sans Pro"/>
          <w:color w:val="000000"/>
          <w:spacing w:val="-4"/>
          <w:szCs w:val="20"/>
        </w:rPr>
        <w:t>4</w:t>
      </w:r>
      <w:r w:rsidRPr="00D829F0">
        <w:rPr>
          <w:rFonts w:ascii="Source Sans Pro" w:hAnsi="Source Sans Pro"/>
          <w:color w:val="000000"/>
          <w:spacing w:val="-4"/>
          <w:szCs w:val="20"/>
        </w:rPr>
        <w:t>0.</w:t>
      </w:r>
      <w:r w:rsidR="00B566DE" w:rsidRPr="00D829F0">
        <w:rPr>
          <w:rFonts w:ascii="Source Sans Pro" w:hAnsi="Source Sans Pro"/>
          <w:color w:val="000000"/>
          <w:spacing w:val="-4"/>
          <w:szCs w:val="20"/>
        </w:rPr>
        <w:t> </w:t>
      </w:r>
      <w:r w:rsidRPr="00D829F0">
        <w:rPr>
          <w:rFonts w:ascii="Source Sans Pro" w:hAnsi="Source Sans Pro"/>
          <w:color w:val="000000"/>
          <w:spacing w:val="-4"/>
          <w:szCs w:val="20"/>
        </w:rPr>
        <w:t>gadam, salīdzinot ar 202</w:t>
      </w:r>
      <w:r w:rsidR="00CD24F9" w:rsidRPr="00D829F0">
        <w:rPr>
          <w:rFonts w:ascii="Source Sans Pro" w:hAnsi="Source Sans Pro"/>
          <w:color w:val="000000"/>
          <w:spacing w:val="-4"/>
          <w:szCs w:val="20"/>
        </w:rPr>
        <w:t>5</w:t>
      </w:r>
      <w:r w:rsidRPr="00D829F0">
        <w:rPr>
          <w:rFonts w:ascii="Source Sans Pro" w:hAnsi="Source Sans Pro"/>
          <w:color w:val="000000"/>
          <w:spacing w:val="-4"/>
          <w:szCs w:val="20"/>
        </w:rPr>
        <w:t>.</w:t>
      </w:r>
      <w:r w:rsidR="00B566DE" w:rsidRPr="00D829F0">
        <w:rPr>
          <w:rFonts w:ascii="Source Sans Pro" w:hAnsi="Source Sans Pro"/>
          <w:color w:val="000000"/>
          <w:spacing w:val="-4"/>
          <w:szCs w:val="20"/>
        </w:rPr>
        <w:t> </w:t>
      </w:r>
      <w:r w:rsidRPr="00D829F0">
        <w:rPr>
          <w:rFonts w:ascii="Source Sans Pro" w:hAnsi="Source Sans Pro"/>
          <w:color w:val="000000"/>
          <w:spacing w:val="-4"/>
          <w:szCs w:val="20"/>
        </w:rPr>
        <w:t xml:space="preserve">gadu, kopējā darbaspēka piedāvājumā varētu palielināties par </w:t>
      </w:r>
      <w:r w:rsidR="00BB67CA" w:rsidRPr="00D829F0">
        <w:rPr>
          <w:rFonts w:ascii="Source Sans Pro" w:hAnsi="Source Sans Pro"/>
          <w:color w:val="000000"/>
          <w:spacing w:val="-4"/>
          <w:szCs w:val="20"/>
        </w:rPr>
        <w:t>3,8</w:t>
      </w:r>
      <w:r w:rsidRPr="00D829F0">
        <w:rPr>
          <w:rFonts w:ascii="Source Sans Pro" w:hAnsi="Source Sans Pro"/>
          <w:color w:val="000000"/>
          <w:spacing w:val="-4"/>
          <w:szCs w:val="20"/>
        </w:rPr>
        <w:t xml:space="preserve"> procentpunktiem (11,</w:t>
      </w:r>
      <w:r w:rsidR="00CD24F9" w:rsidRPr="00D829F0">
        <w:rPr>
          <w:rFonts w:ascii="Source Sans Pro" w:hAnsi="Source Sans Pro"/>
          <w:color w:val="000000"/>
          <w:spacing w:val="-4"/>
          <w:szCs w:val="20"/>
        </w:rPr>
        <w:t>5</w:t>
      </w:r>
      <w:r w:rsidRPr="00D829F0">
        <w:rPr>
          <w:rFonts w:ascii="Source Sans Pro" w:hAnsi="Source Sans Pro"/>
          <w:color w:val="000000"/>
          <w:spacing w:val="-4"/>
          <w:szCs w:val="20"/>
        </w:rPr>
        <w:t>%).</w:t>
      </w:r>
    </w:p>
    <w:p w14:paraId="4CFC155D" w14:textId="19F479EE" w:rsidR="00267AA4" w:rsidRPr="00D829F0" w:rsidRDefault="00267AA4" w:rsidP="00267AA4">
      <w:pPr>
        <w:spacing w:after="120"/>
        <w:jc w:val="both"/>
        <w:rPr>
          <w:rFonts w:ascii="Source Sans Pro" w:hAnsi="Source Sans Pro"/>
          <w:color w:val="000000"/>
          <w:spacing w:val="-2"/>
        </w:rPr>
      </w:pPr>
      <w:r w:rsidRPr="00D829F0">
        <w:rPr>
          <w:rFonts w:ascii="Source Sans Pro" w:hAnsi="Source Sans Pro"/>
          <w:color w:val="000000"/>
          <w:spacing w:val="-2"/>
        </w:rPr>
        <w:t xml:space="preserve">Saglabājoties līdzšinējai izglītības piedāvājuma struktūrai, </w:t>
      </w:r>
      <w:r w:rsidRPr="00D829F0">
        <w:rPr>
          <w:rFonts w:ascii="Source Sans Pro" w:hAnsi="Source Sans Pro"/>
          <w:b/>
          <w:color w:val="000000"/>
          <w:spacing w:val="-2"/>
        </w:rPr>
        <w:t>vislielākais darbaspēka pieaugums ar augstāko izglītību sagaidāms sociālo zinātņu, komerczinību un tiesību zinību jomās</w:t>
      </w:r>
      <w:r w:rsidRPr="00D829F0">
        <w:rPr>
          <w:rFonts w:ascii="Source Sans Pro" w:hAnsi="Source Sans Pro"/>
          <w:color w:val="000000"/>
          <w:spacing w:val="-2"/>
        </w:rPr>
        <w:t>. Atbilstošās kvalifikācijas darbaspēka piedāvājuma pieaugums līdz 2040.</w:t>
      </w:r>
      <w:r w:rsidR="00B566DE" w:rsidRPr="00D829F0">
        <w:rPr>
          <w:rFonts w:ascii="Source Sans Pro" w:hAnsi="Source Sans Pro"/>
          <w:color w:val="000000"/>
          <w:spacing w:val="-2"/>
        </w:rPr>
        <w:t> </w:t>
      </w:r>
      <w:r w:rsidRPr="00D829F0">
        <w:rPr>
          <w:rFonts w:ascii="Source Sans Pro" w:hAnsi="Source Sans Pro"/>
          <w:color w:val="000000"/>
          <w:spacing w:val="-2"/>
        </w:rPr>
        <w:t xml:space="preserve">gadam veidos aptuveni </w:t>
      </w:r>
      <w:r w:rsidR="004601FF" w:rsidRPr="00D829F0">
        <w:rPr>
          <w:rFonts w:ascii="Source Sans Pro" w:hAnsi="Source Sans Pro"/>
          <w:color w:val="000000"/>
          <w:spacing w:val="-2"/>
        </w:rPr>
        <w:t>77</w:t>
      </w:r>
      <w:r w:rsidRPr="00D829F0">
        <w:rPr>
          <w:rFonts w:ascii="Source Sans Pro" w:hAnsi="Source Sans Pro"/>
          <w:color w:val="000000"/>
          <w:spacing w:val="-2"/>
        </w:rPr>
        <w:t>% no kopējā darbaspēka pieauguma ar augstāko izglītību.</w:t>
      </w:r>
    </w:p>
    <w:p w14:paraId="7DCC6AEC" w14:textId="1A7B16C4" w:rsidR="00267AA4" w:rsidRPr="00D829F0" w:rsidRDefault="00267AA4" w:rsidP="00267AA4">
      <w:pPr>
        <w:spacing w:before="120" w:after="120"/>
        <w:jc w:val="both"/>
        <w:rPr>
          <w:rFonts w:ascii="Source Sans Pro" w:hAnsi="Source Sans Pro"/>
          <w:color w:val="000000"/>
          <w:szCs w:val="20"/>
        </w:rPr>
      </w:pPr>
      <w:r w:rsidRPr="00D829F0">
        <w:rPr>
          <w:rFonts w:ascii="Source Sans Pro" w:hAnsi="Source Sans Pro"/>
          <w:color w:val="000000"/>
          <w:szCs w:val="20"/>
        </w:rPr>
        <w:t>Vienlaikus atsevišķās augstākās izglītības tematiskajās grupās sagaidāms darbaspēka piedāvājuma samazinājums, ko galvenokārt nosaka zemāks atbilstošās kvalifikācijas darbaspēka atražošanās līmenis – jauno darba tirgū ienākošo speciālistu skaits ir mazāks nekā tie kuri iziet no darba tirgus pensionēšanās u.c. faktor</w:t>
      </w:r>
      <w:r w:rsidR="002E3F41" w:rsidRPr="00D829F0">
        <w:rPr>
          <w:rFonts w:ascii="Source Sans Pro" w:hAnsi="Source Sans Pro"/>
          <w:color w:val="000000"/>
          <w:szCs w:val="20"/>
        </w:rPr>
        <w:t>u dēļ</w:t>
      </w:r>
      <w:r w:rsidRPr="00D829F0">
        <w:rPr>
          <w:rFonts w:ascii="Source Sans Pro" w:hAnsi="Source Sans Pro"/>
          <w:color w:val="000000"/>
          <w:szCs w:val="20"/>
        </w:rPr>
        <w:t xml:space="preserve">. </w:t>
      </w:r>
    </w:p>
    <w:p w14:paraId="262ECD48" w14:textId="6730EB87" w:rsidR="00267AA4" w:rsidRPr="00D829F0" w:rsidRDefault="00267AA4" w:rsidP="00267AA4">
      <w:pPr>
        <w:spacing w:before="120" w:after="120"/>
        <w:jc w:val="both"/>
        <w:rPr>
          <w:rFonts w:ascii="Source Sans Pro" w:hAnsi="Source Sans Pro"/>
          <w:color w:val="000000"/>
          <w:szCs w:val="20"/>
        </w:rPr>
      </w:pPr>
      <w:r w:rsidRPr="00D829F0">
        <w:rPr>
          <w:rFonts w:ascii="Source Sans Pro" w:hAnsi="Source Sans Pro"/>
          <w:color w:val="000000"/>
          <w:szCs w:val="20"/>
        </w:rPr>
        <w:t>Visvairāk darbaspēka novecošanās turpmākajos gados izpaudīsies tādās izglītības tematiskajās grupās kā izglītība, inženierzinātnes, ražošana un būvniecība un lauksaimniecība. Jāatzīmē, ka 202</w:t>
      </w:r>
      <w:r w:rsidR="00AA458B" w:rsidRPr="00D829F0">
        <w:rPr>
          <w:rFonts w:ascii="Source Sans Pro" w:hAnsi="Source Sans Pro"/>
          <w:color w:val="000000"/>
          <w:szCs w:val="20"/>
        </w:rPr>
        <w:t>5</w:t>
      </w:r>
      <w:r w:rsidRPr="00D829F0">
        <w:rPr>
          <w:rFonts w:ascii="Source Sans Pro" w:hAnsi="Source Sans Pro"/>
          <w:color w:val="000000"/>
          <w:szCs w:val="20"/>
        </w:rPr>
        <w:t>.</w:t>
      </w:r>
      <w:r w:rsidR="00B566DE" w:rsidRPr="00D829F0">
        <w:rPr>
          <w:rFonts w:ascii="Source Sans Pro" w:hAnsi="Source Sans Pro"/>
          <w:color w:val="000000"/>
          <w:szCs w:val="20"/>
        </w:rPr>
        <w:t> </w:t>
      </w:r>
      <w:r w:rsidRPr="00D829F0">
        <w:rPr>
          <w:rFonts w:ascii="Source Sans Pro" w:hAnsi="Source Sans Pro"/>
          <w:color w:val="000000"/>
          <w:szCs w:val="20"/>
        </w:rPr>
        <w:t>gadā no kopējā darbaspēka piedāvājuma ar atbilstošo izglītību vairāk nekā puse bija vecumā virs 45 gadiem –</w:t>
      </w:r>
      <w:r w:rsidR="00AB2324" w:rsidRPr="00D829F0">
        <w:rPr>
          <w:rFonts w:ascii="Source Sans Pro" w:hAnsi="Source Sans Pro"/>
          <w:color w:val="000000"/>
          <w:szCs w:val="20"/>
        </w:rPr>
        <w:t xml:space="preserve"> </w:t>
      </w:r>
      <w:r w:rsidRPr="00D829F0">
        <w:rPr>
          <w:rFonts w:ascii="Source Sans Pro" w:hAnsi="Source Sans Pro"/>
          <w:color w:val="000000"/>
          <w:szCs w:val="20"/>
        </w:rPr>
        <w:t>tematiskajā grup</w:t>
      </w:r>
      <w:r w:rsidR="00AB2324" w:rsidRPr="00D829F0">
        <w:rPr>
          <w:rFonts w:ascii="Source Sans Pro" w:hAnsi="Source Sans Pro"/>
          <w:color w:val="000000"/>
          <w:szCs w:val="20"/>
        </w:rPr>
        <w:t>ā “</w:t>
      </w:r>
      <w:r w:rsidR="0054419B" w:rsidRPr="00D829F0">
        <w:rPr>
          <w:rFonts w:ascii="Source Sans Pro" w:hAnsi="Source Sans Pro"/>
          <w:color w:val="000000"/>
          <w:szCs w:val="20"/>
        </w:rPr>
        <w:t>Izglītība</w:t>
      </w:r>
      <w:r w:rsidR="00AB2324" w:rsidRPr="00D829F0">
        <w:rPr>
          <w:rFonts w:ascii="Source Sans Pro" w:hAnsi="Source Sans Pro"/>
          <w:color w:val="000000"/>
          <w:szCs w:val="20"/>
        </w:rPr>
        <w:t>”</w:t>
      </w:r>
      <w:r w:rsidRPr="00D829F0">
        <w:rPr>
          <w:rFonts w:ascii="Source Sans Pro" w:hAnsi="Source Sans Pro"/>
          <w:color w:val="000000"/>
          <w:szCs w:val="20"/>
        </w:rPr>
        <w:t xml:space="preserve"> (</w:t>
      </w:r>
      <w:r w:rsidR="004614A3" w:rsidRPr="00D829F0">
        <w:rPr>
          <w:rFonts w:ascii="Source Sans Pro" w:hAnsi="Source Sans Pro"/>
          <w:color w:val="000000"/>
          <w:szCs w:val="20"/>
        </w:rPr>
        <w:t>68</w:t>
      </w:r>
      <w:r w:rsidR="00682F09" w:rsidRPr="00D829F0">
        <w:rPr>
          <w:rFonts w:ascii="Source Sans Pro" w:hAnsi="Source Sans Pro"/>
          <w:color w:val="000000"/>
          <w:szCs w:val="20"/>
        </w:rPr>
        <w:t>,</w:t>
      </w:r>
      <w:r w:rsidR="004614A3" w:rsidRPr="00D829F0">
        <w:rPr>
          <w:rFonts w:ascii="Source Sans Pro" w:hAnsi="Source Sans Pro"/>
          <w:color w:val="000000"/>
          <w:szCs w:val="20"/>
        </w:rPr>
        <w:t>7</w:t>
      </w:r>
      <w:r w:rsidRPr="00D829F0">
        <w:rPr>
          <w:rFonts w:ascii="Source Sans Pro" w:hAnsi="Source Sans Pro"/>
          <w:color w:val="000000"/>
          <w:szCs w:val="20"/>
        </w:rPr>
        <w:t>%), inženierzinātnes, ražošana un būvniecība (5</w:t>
      </w:r>
      <w:r w:rsidR="00682F09" w:rsidRPr="00D829F0">
        <w:rPr>
          <w:rFonts w:ascii="Source Sans Pro" w:hAnsi="Source Sans Pro"/>
          <w:color w:val="000000"/>
          <w:szCs w:val="20"/>
        </w:rPr>
        <w:t>9,4</w:t>
      </w:r>
      <w:r w:rsidRPr="00D829F0">
        <w:rPr>
          <w:rFonts w:ascii="Source Sans Pro" w:hAnsi="Source Sans Pro"/>
          <w:color w:val="000000"/>
          <w:szCs w:val="20"/>
        </w:rPr>
        <w:t>%), bet lauksaimniecībā (6</w:t>
      </w:r>
      <w:r w:rsidR="004614A3" w:rsidRPr="00D829F0">
        <w:rPr>
          <w:rFonts w:ascii="Source Sans Pro" w:hAnsi="Source Sans Pro"/>
          <w:color w:val="000000"/>
          <w:szCs w:val="20"/>
        </w:rPr>
        <w:t>5,5</w:t>
      </w:r>
      <w:r w:rsidRPr="00D829F0">
        <w:rPr>
          <w:rFonts w:ascii="Source Sans Pro" w:hAnsi="Source Sans Pro"/>
          <w:color w:val="000000"/>
          <w:szCs w:val="20"/>
        </w:rPr>
        <w:t>%). Nākamo 10-20 gadu laikā vairums no tiem pametīs darba tirgu.</w:t>
      </w:r>
    </w:p>
    <w:p w14:paraId="08E9C35D" w14:textId="30AFD3D3" w:rsidR="00343F74" w:rsidRPr="00D829F0" w:rsidRDefault="00343F74" w:rsidP="00343F74">
      <w:pPr>
        <w:spacing w:after="120"/>
        <w:jc w:val="both"/>
        <w:rPr>
          <w:rFonts w:ascii="Source Sans Pro" w:hAnsi="Source Sans Pro"/>
          <w:color w:val="000000"/>
        </w:rPr>
      </w:pPr>
      <w:r w:rsidRPr="00D829F0">
        <w:rPr>
          <w:rFonts w:ascii="Source Sans Pro" w:hAnsi="Source Sans Pro"/>
          <w:color w:val="000000"/>
        </w:rPr>
        <w:t xml:space="preserve">Tāpat </w:t>
      </w:r>
      <w:r w:rsidRPr="00D829F0">
        <w:rPr>
          <w:rFonts w:ascii="Source Sans Pro" w:hAnsi="Source Sans Pro"/>
          <w:b/>
          <w:color w:val="000000"/>
        </w:rPr>
        <w:t>būtiska problēma joprojām saglabājās studējošo atbirums STEM virzienos</w:t>
      </w:r>
      <w:r w:rsidRPr="00D829F0">
        <w:rPr>
          <w:rFonts w:ascii="Source Sans Pro" w:hAnsi="Source Sans Pro"/>
          <w:color w:val="000000"/>
        </w:rPr>
        <w:t xml:space="preserve">, kas būtiski ierobežo potenciālo darbaspēka pieaugumu šajās jomās. </w:t>
      </w:r>
      <w:r w:rsidR="00505FDD" w:rsidRPr="00505FDD">
        <w:rPr>
          <w:rFonts w:ascii="Source Sans Pro" w:hAnsi="Source Sans Pro"/>
          <w:color w:val="000000"/>
        </w:rPr>
        <w:t>Vairāk par 20%</w:t>
      </w:r>
      <w:r w:rsidRPr="00505FDD">
        <w:rPr>
          <w:rFonts w:ascii="Source Sans Pro" w:hAnsi="Source Sans Pro"/>
          <w:color w:val="000000"/>
        </w:rPr>
        <w:t xml:space="preserve"> no studējošiem STEM izglītības programmās ik gadu izkrīt no studijām.</w:t>
      </w:r>
    </w:p>
    <w:p w14:paraId="0AF87D7D" w14:textId="699A05F3" w:rsidR="00343F74" w:rsidRPr="00D829F0" w:rsidRDefault="00343F74" w:rsidP="00343F74">
      <w:pPr>
        <w:spacing w:after="120"/>
        <w:jc w:val="both"/>
        <w:rPr>
          <w:rFonts w:ascii="Source Sans Pro" w:hAnsi="Source Sans Pro"/>
          <w:color w:val="000000"/>
        </w:rPr>
      </w:pPr>
      <w:r w:rsidRPr="00D829F0">
        <w:rPr>
          <w:rFonts w:ascii="Source Sans Pro" w:hAnsi="Source Sans Pro"/>
          <w:b/>
          <w:color w:val="000000"/>
          <w:spacing w:val="-2"/>
        </w:rPr>
        <w:t>Gan vidējā, gan ilgtermiņā turpinās samazināties vidējās kvalifikācijas darbaspēka piedāvājums</w:t>
      </w:r>
      <w:r w:rsidRPr="00D829F0">
        <w:rPr>
          <w:rFonts w:ascii="Source Sans Pro" w:hAnsi="Source Sans Pro"/>
          <w:color w:val="000000"/>
          <w:spacing w:val="-2"/>
        </w:rPr>
        <w:t>. Būtiskākais samazinājums sagaidāms starp iedzīvotājiem ar arodizglītību un profesionālo vidējo izglītību – līdz 2030.</w:t>
      </w:r>
      <w:r w:rsidR="00B566DE" w:rsidRPr="00D829F0">
        <w:rPr>
          <w:rFonts w:ascii="Source Sans Pro" w:hAnsi="Source Sans Pro"/>
          <w:color w:val="000000"/>
          <w:spacing w:val="-2"/>
        </w:rPr>
        <w:t> </w:t>
      </w:r>
      <w:r w:rsidRPr="00D829F0">
        <w:rPr>
          <w:rFonts w:ascii="Source Sans Pro" w:hAnsi="Source Sans Pro"/>
          <w:color w:val="000000"/>
          <w:spacing w:val="-2"/>
        </w:rPr>
        <w:t xml:space="preserve">gadam darbaspēka piedāvājums samazināsies par aptuveni </w:t>
      </w:r>
      <w:r w:rsidR="000B3AE6" w:rsidRPr="00D829F0">
        <w:rPr>
          <w:rFonts w:ascii="Source Sans Pro" w:hAnsi="Source Sans Pro"/>
          <w:color w:val="000000"/>
          <w:spacing w:val="-2"/>
        </w:rPr>
        <w:t>14,2</w:t>
      </w:r>
      <w:r w:rsidRPr="00D829F0">
        <w:rPr>
          <w:rFonts w:ascii="Source Sans Pro" w:hAnsi="Source Sans Pro"/>
          <w:color w:val="000000"/>
          <w:spacing w:val="-2"/>
        </w:rPr>
        <w:t xml:space="preserve">% jeb </w:t>
      </w:r>
      <w:r w:rsidR="0011568E" w:rsidRPr="00D829F0">
        <w:rPr>
          <w:rFonts w:ascii="Source Sans Pro" w:hAnsi="Source Sans Pro"/>
          <w:color w:val="000000"/>
          <w:spacing w:val="-2"/>
        </w:rPr>
        <w:t>38,8</w:t>
      </w:r>
      <w:r w:rsidRPr="00D829F0">
        <w:rPr>
          <w:rFonts w:ascii="Source Sans Pro" w:hAnsi="Source Sans Pro"/>
          <w:color w:val="000000"/>
          <w:spacing w:val="-2"/>
        </w:rPr>
        <w:t xml:space="preserve"> tūkst., salīdzinot ar 202</w:t>
      </w:r>
      <w:r w:rsidR="0011568E" w:rsidRPr="00D829F0">
        <w:rPr>
          <w:rFonts w:ascii="Source Sans Pro" w:hAnsi="Source Sans Pro"/>
          <w:color w:val="000000"/>
          <w:spacing w:val="-2"/>
        </w:rPr>
        <w:t>5</w:t>
      </w:r>
      <w:r w:rsidRPr="00D829F0">
        <w:rPr>
          <w:rFonts w:ascii="Source Sans Pro" w:hAnsi="Source Sans Pro"/>
          <w:color w:val="000000"/>
          <w:spacing w:val="-2"/>
        </w:rPr>
        <w:t>. gadu, bet līdz 2040.</w:t>
      </w:r>
      <w:r w:rsidR="00B566DE" w:rsidRPr="00D829F0">
        <w:rPr>
          <w:rFonts w:ascii="Source Sans Pro" w:hAnsi="Source Sans Pro"/>
          <w:color w:val="000000"/>
          <w:spacing w:val="-2"/>
        </w:rPr>
        <w:t> </w:t>
      </w:r>
      <w:r w:rsidRPr="00D829F0">
        <w:rPr>
          <w:rFonts w:ascii="Source Sans Pro" w:hAnsi="Source Sans Pro"/>
          <w:color w:val="000000"/>
          <w:spacing w:val="-2"/>
        </w:rPr>
        <w:t xml:space="preserve">gadam gandrīz par </w:t>
      </w:r>
      <w:r w:rsidR="004B1399" w:rsidRPr="00D829F0">
        <w:rPr>
          <w:rFonts w:ascii="Source Sans Pro" w:hAnsi="Source Sans Pro"/>
          <w:color w:val="000000"/>
          <w:spacing w:val="-2"/>
        </w:rPr>
        <w:t>82,2</w:t>
      </w:r>
      <w:r w:rsidRPr="00D829F0">
        <w:rPr>
          <w:rFonts w:ascii="Source Sans Pro" w:hAnsi="Source Sans Pro"/>
          <w:color w:val="000000"/>
          <w:spacing w:val="-2"/>
        </w:rPr>
        <w:t> tūkst. jeb 3</w:t>
      </w:r>
      <w:r w:rsidR="004B1399" w:rsidRPr="00D829F0">
        <w:rPr>
          <w:rFonts w:ascii="Source Sans Pro" w:hAnsi="Source Sans Pro"/>
          <w:color w:val="000000"/>
          <w:spacing w:val="-2"/>
        </w:rPr>
        <w:t>0</w:t>
      </w:r>
      <w:r w:rsidRPr="00D829F0">
        <w:rPr>
          <w:rFonts w:ascii="Source Sans Pro" w:hAnsi="Source Sans Pro"/>
          <w:color w:val="000000"/>
          <w:spacing w:val="-2"/>
        </w:rPr>
        <w:t xml:space="preserve">%. </w:t>
      </w:r>
      <w:r w:rsidRPr="00D829F0">
        <w:rPr>
          <w:rFonts w:ascii="Source Sans Pro" w:hAnsi="Source Sans Pro"/>
          <w:color w:val="000000"/>
        </w:rPr>
        <w:t xml:space="preserve">Mērenāks darbaspēka piedāvājuma samazinājums sagaidāms ar vispārējo vidējo izglītību – aptuveni par </w:t>
      </w:r>
      <w:r w:rsidR="003E32C7" w:rsidRPr="00D829F0">
        <w:rPr>
          <w:rFonts w:ascii="Source Sans Pro" w:hAnsi="Source Sans Pro"/>
          <w:color w:val="000000"/>
        </w:rPr>
        <w:t>2,7</w:t>
      </w:r>
      <w:r w:rsidRPr="00D829F0">
        <w:rPr>
          <w:rFonts w:ascii="Source Sans Pro" w:hAnsi="Source Sans Pro"/>
          <w:color w:val="000000"/>
        </w:rPr>
        <w:t xml:space="preserve"> tūkst. jeb </w:t>
      </w:r>
      <w:r w:rsidR="003E32C7" w:rsidRPr="00D829F0">
        <w:rPr>
          <w:rFonts w:ascii="Source Sans Pro" w:hAnsi="Source Sans Pro"/>
          <w:color w:val="000000"/>
        </w:rPr>
        <w:t>1,3</w:t>
      </w:r>
      <w:r w:rsidRPr="00D829F0">
        <w:rPr>
          <w:rFonts w:ascii="Source Sans Pro" w:hAnsi="Source Sans Pro"/>
          <w:color w:val="000000"/>
        </w:rPr>
        <w:t>% līdz 2030.</w:t>
      </w:r>
      <w:r w:rsidR="00B566DE" w:rsidRPr="00D829F0">
        <w:rPr>
          <w:rFonts w:ascii="Source Sans Pro" w:hAnsi="Source Sans Pro"/>
          <w:color w:val="000000"/>
        </w:rPr>
        <w:t> </w:t>
      </w:r>
      <w:r w:rsidRPr="00D829F0">
        <w:rPr>
          <w:rFonts w:ascii="Source Sans Pro" w:hAnsi="Source Sans Pro"/>
          <w:color w:val="000000"/>
        </w:rPr>
        <w:t>gadam, bet līdz 2040.</w:t>
      </w:r>
      <w:r w:rsidR="00B566DE" w:rsidRPr="00D829F0">
        <w:rPr>
          <w:rFonts w:ascii="Source Sans Pro" w:hAnsi="Source Sans Pro"/>
          <w:color w:val="000000"/>
        </w:rPr>
        <w:t> </w:t>
      </w:r>
      <w:r w:rsidRPr="00D829F0">
        <w:rPr>
          <w:rFonts w:ascii="Source Sans Pro" w:hAnsi="Source Sans Pro"/>
          <w:color w:val="000000"/>
        </w:rPr>
        <w:t xml:space="preserve">gadam par </w:t>
      </w:r>
      <w:r w:rsidR="008838A1" w:rsidRPr="00D829F0">
        <w:rPr>
          <w:rFonts w:ascii="Source Sans Pro" w:hAnsi="Source Sans Pro"/>
          <w:color w:val="000000"/>
        </w:rPr>
        <w:t>6,9</w:t>
      </w:r>
      <w:r w:rsidR="00221377">
        <w:rPr>
          <w:rFonts w:ascii="Source Sans Pro" w:hAnsi="Source Sans Pro"/>
          <w:color w:val="000000"/>
        </w:rPr>
        <w:t> </w:t>
      </w:r>
      <w:r w:rsidRPr="00D829F0">
        <w:rPr>
          <w:rFonts w:ascii="Source Sans Pro" w:hAnsi="Source Sans Pro"/>
          <w:color w:val="000000"/>
        </w:rPr>
        <w:t xml:space="preserve">tūkst. jeb </w:t>
      </w:r>
      <w:r w:rsidR="008838A1" w:rsidRPr="00D829F0">
        <w:rPr>
          <w:rFonts w:ascii="Source Sans Pro" w:hAnsi="Source Sans Pro"/>
          <w:color w:val="000000"/>
        </w:rPr>
        <w:t>3,4</w:t>
      </w:r>
      <w:r w:rsidR="0053196C">
        <w:rPr>
          <w:rFonts w:ascii="Source Sans Pro" w:hAnsi="Source Sans Pro"/>
          <w:color w:val="000000"/>
        </w:rPr>
        <w:t>%</w:t>
      </w:r>
      <w:r w:rsidRPr="00D829F0">
        <w:rPr>
          <w:rFonts w:ascii="Source Sans Pro" w:hAnsi="Source Sans Pro"/>
          <w:color w:val="000000"/>
        </w:rPr>
        <w:t>.</w:t>
      </w:r>
    </w:p>
    <w:p w14:paraId="7C6806A6" w14:textId="07A7BE18" w:rsidR="00B018CB" w:rsidRPr="00D829F0" w:rsidRDefault="00B018CB" w:rsidP="00B018CB">
      <w:pPr>
        <w:spacing w:after="120"/>
        <w:jc w:val="both"/>
        <w:rPr>
          <w:rFonts w:ascii="Source Sans Pro" w:hAnsi="Source Sans Pro"/>
          <w:color w:val="000000"/>
        </w:rPr>
      </w:pPr>
      <w:r w:rsidRPr="00D829F0">
        <w:rPr>
          <w:rFonts w:ascii="Source Sans Pro" w:hAnsi="Source Sans Pro"/>
          <w:color w:val="000000"/>
        </w:rPr>
        <w:t>Darbaspēka piedāvājuma samazinājums ar profesionālo vidējo izglītību sagaidāms gandrīz visās izglītības tematiskajās grupās, izņemot dabaszinātnes un informācijas tehnoloģijas, kā arī humanitārās zinātnēs un mākslā.</w:t>
      </w:r>
      <w:r w:rsidR="0053196C">
        <w:rPr>
          <w:rFonts w:ascii="Source Sans Pro" w:hAnsi="Source Sans Pro"/>
          <w:color w:val="000000"/>
        </w:rPr>
        <w:t xml:space="preserve"> </w:t>
      </w:r>
      <w:r w:rsidRPr="00D829F0">
        <w:rPr>
          <w:rFonts w:ascii="Source Sans Pro" w:hAnsi="Source Sans Pro"/>
          <w:color w:val="000000"/>
        </w:rPr>
        <w:t>Būtiskākais samazinājums sagaidāms inženierzinātņu, ražošanas un būvniecības izglītības tematiskajā grupā, kas pašlaik veido aptuveni pusi no kopējā darbaspēka piedāvājuma ar profesionālo izglītību. Jāatzīmē, ka aptuveni 5</w:t>
      </w:r>
      <w:r w:rsidR="00905F87" w:rsidRPr="00D829F0">
        <w:rPr>
          <w:rFonts w:ascii="Source Sans Pro" w:hAnsi="Source Sans Pro"/>
          <w:color w:val="000000"/>
        </w:rPr>
        <w:t>4</w:t>
      </w:r>
      <w:r w:rsidRPr="00D829F0">
        <w:rPr>
          <w:rFonts w:ascii="Source Sans Pro" w:hAnsi="Source Sans Pro"/>
          <w:color w:val="000000"/>
        </w:rPr>
        <w:t>% no ekonomiski aktīvajiem iedzīvotājiem ar izglītību šajā tematiskajā grupā ir vecumā virs 50 gadiem</w:t>
      </w:r>
      <w:r w:rsidRPr="00A02E2D">
        <w:rPr>
          <w:rFonts w:ascii="Source Sans Pro" w:hAnsi="Source Sans Pro"/>
          <w:color w:val="000000"/>
        </w:rPr>
        <w:t>, līdz ar to līdz 2040.</w:t>
      </w:r>
      <w:r w:rsidR="00221377">
        <w:rPr>
          <w:rFonts w:ascii="Source Sans Pro" w:hAnsi="Source Sans Pro"/>
          <w:color w:val="000000"/>
        </w:rPr>
        <w:t> </w:t>
      </w:r>
      <w:r w:rsidRPr="00A02E2D">
        <w:rPr>
          <w:rFonts w:ascii="Source Sans Pro" w:hAnsi="Source Sans Pro"/>
          <w:color w:val="000000"/>
        </w:rPr>
        <w:t xml:space="preserve">gadam aptuveni </w:t>
      </w:r>
      <w:r w:rsidR="001A03FA" w:rsidRPr="00A02E2D">
        <w:rPr>
          <w:rFonts w:ascii="Source Sans Pro" w:hAnsi="Source Sans Pro"/>
          <w:color w:val="000000"/>
        </w:rPr>
        <w:t>58</w:t>
      </w:r>
      <w:r w:rsidRPr="00A02E2D">
        <w:rPr>
          <w:rFonts w:ascii="Source Sans Pro" w:hAnsi="Source Sans Pro"/>
          <w:color w:val="000000"/>
        </w:rPr>
        <w:t xml:space="preserve"> tūkst. atbilstošās kvalifikācijas darbinieki varētu pamest darba tirgu, kas ir vidēji </w:t>
      </w:r>
      <w:r w:rsidR="003126C6" w:rsidRPr="00A02E2D">
        <w:rPr>
          <w:rFonts w:ascii="Source Sans Pro" w:hAnsi="Source Sans Pro"/>
          <w:color w:val="000000"/>
        </w:rPr>
        <w:t>4175</w:t>
      </w:r>
      <w:r w:rsidRPr="00A02E2D">
        <w:rPr>
          <w:rFonts w:ascii="Source Sans Pro" w:hAnsi="Source Sans Pro"/>
          <w:color w:val="000000"/>
        </w:rPr>
        <w:t xml:space="preserve"> speciālistu gadā. Vienlaikus</w:t>
      </w:r>
      <w:r w:rsidRPr="00D829F0">
        <w:rPr>
          <w:rFonts w:ascii="Source Sans Pro" w:hAnsi="Source Sans Pro"/>
          <w:color w:val="000000"/>
        </w:rPr>
        <w:t xml:space="preserve"> atbilstošo izglītības tematisko grupu beidz aptuveni 189</w:t>
      </w:r>
      <w:r w:rsidR="00301D9C" w:rsidRPr="00D829F0">
        <w:rPr>
          <w:rFonts w:ascii="Source Sans Pro" w:hAnsi="Source Sans Pro"/>
          <w:color w:val="000000"/>
        </w:rPr>
        <w:t>0</w:t>
      </w:r>
      <w:r w:rsidRPr="00D829F0">
        <w:rPr>
          <w:rFonts w:ascii="Source Sans Pro" w:hAnsi="Source Sans Pro"/>
          <w:color w:val="000000"/>
        </w:rPr>
        <w:t> absolvent</w:t>
      </w:r>
      <w:r w:rsidR="00301D9C" w:rsidRPr="00D829F0">
        <w:rPr>
          <w:rFonts w:ascii="Source Sans Pro" w:hAnsi="Source Sans Pro"/>
          <w:color w:val="000000"/>
        </w:rPr>
        <w:t>u</w:t>
      </w:r>
      <w:r w:rsidRPr="00D829F0">
        <w:rPr>
          <w:rFonts w:ascii="Source Sans Pro" w:hAnsi="Source Sans Pro"/>
          <w:color w:val="000000"/>
        </w:rPr>
        <w:t xml:space="preserve"> gadā, līdz ar to, lai nodrošinātu atbilstošās kvalifikācijas darbaspēka piedāvājuma saglabāšanu esošā līmenī, sagatavoto jauno speciālistu skaitam būtu jābūt</w:t>
      </w:r>
      <w:r w:rsidR="00A02E2D">
        <w:rPr>
          <w:rFonts w:ascii="Source Sans Pro" w:hAnsi="Source Sans Pro"/>
          <w:color w:val="000000"/>
        </w:rPr>
        <w:t xml:space="preserve"> </w:t>
      </w:r>
      <w:r w:rsidRPr="00D829F0">
        <w:rPr>
          <w:rFonts w:ascii="Source Sans Pro" w:hAnsi="Source Sans Pro"/>
          <w:color w:val="000000"/>
        </w:rPr>
        <w:t>divreiz lielākam nekā tas ir pašreiz.</w:t>
      </w:r>
    </w:p>
    <w:p w14:paraId="2DC7FA02" w14:textId="77777777" w:rsidR="00B018CB" w:rsidRPr="00D829F0" w:rsidRDefault="00B018CB">
      <w:pPr>
        <w:spacing w:after="0"/>
        <w:rPr>
          <w:rFonts w:ascii="Source Sans Pro" w:hAnsi="Source Sans Pro"/>
          <w:szCs w:val="26"/>
        </w:rPr>
      </w:pPr>
      <w:r w:rsidRPr="00D829F0">
        <w:rPr>
          <w:rFonts w:ascii="Source Sans Pro" w:hAnsi="Source Sans Pro"/>
          <w:szCs w:val="26"/>
        </w:rPr>
        <w:br w:type="page"/>
      </w:r>
    </w:p>
    <w:p w14:paraId="1876E772" w14:textId="769E4134" w:rsidR="00267AA4" w:rsidRPr="00D829F0" w:rsidRDefault="00267AA4" w:rsidP="00267AA4">
      <w:pPr>
        <w:spacing w:after="120"/>
        <w:jc w:val="right"/>
        <w:rPr>
          <w:rFonts w:ascii="Source Sans Pro" w:hAnsi="Source Sans Pro"/>
          <w:szCs w:val="26"/>
        </w:rPr>
      </w:pPr>
      <w:r w:rsidRPr="00D829F0">
        <w:rPr>
          <w:rFonts w:ascii="Source Sans Pro" w:hAnsi="Source Sans Pro"/>
          <w:szCs w:val="26"/>
        </w:rPr>
        <w:lastRenderedPageBreak/>
        <w:t>3.11.</w:t>
      </w:r>
      <w:r w:rsidR="00221377">
        <w:rPr>
          <w:rFonts w:ascii="Source Sans Pro" w:hAnsi="Source Sans Pro"/>
          <w:szCs w:val="26"/>
        </w:rPr>
        <w:t> </w:t>
      </w:r>
      <w:r w:rsidRPr="00D829F0">
        <w:rPr>
          <w:rFonts w:ascii="Source Sans Pro" w:hAnsi="Source Sans Pro"/>
          <w:szCs w:val="26"/>
        </w:rPr>
        <w:t>tabula</w:t>
      </w:r>
    </w:p>
    <w:p w14:paraId="2499CDF8" w14:textId="77777777" w:rsidR="00267AA4" w:rsidRPr="00316D3D" w:rsidRDefault="00267AA4" w:rsidP="00267AA4">
      <w:pPr>
        <w:spacing w:after="120"/>
        <w:jc w:val="center"/>
        <w:rPr>
          <w:rFonts w:ascii="Segoe UI Light" w:hAnsi="Segoe UI Light"/>
          <w:b/>
          <w:sz w:val="18"/>
          <w:szCs w:val="26"/>
        </w:rPr>
      </w:pPr>
      <w:r w:rsidRPr="00316D3D">
        <w:rPr>
          <w:rFonts w:ascii="Segoe UI Light" w:hAnsi="Segoe UI Light"/>
          <w:b/>
          <w:sz w:val="18"/>
          <w:szCs w:val="26"/>
        </w:rPr>
        <w:t>Darbaspēka piedāvājums pa izglītības tematiskajām grupām</w:t>
      </w:r>
    </w:p>
    <w:tbl>
      <w:tblPr>
        <w:tblStyle w:val="GridTable5Dark-Accent31"/>
        <w:tblW w:w="91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373"/>
        <w:gridCol w:w="623"/>
        <w:gridCol w:w="737"/>
        <w:gridCol w:w="737"/>
        <w:gridCol w:w="737"/>
        <w:gridCol w:w="737"/>
        <w:gridCol w:w="737"/>
        <w:gridCol w:w="737"/>
        <w:gridCol w:w="737"/>
      </w:tblGrid>
      <w:tr w:rsidR="0078478C" w:rsidRPr="00D829F0" w14:paraId="33BDE286" w14:textId="77777777" w:rsidTr="00C00800">
        <w:trPr>
          <w:cnfStyle w:val="100000000000" w:firstRow="1" w:lastRow="0" w:firstColumn="0" w:lastColumn="0" w:oddVBand="0" w:evenVBand="0" w:oddHBand="0" w:evenHBand="0" w:firstRowFirstColumn="0" w:firstRowLastColumn="0" w:lastRowFirstColumn="0" w:lastRowLastColumn="0"/>
          <w:cantSplit/>
          <w:trHeight w:val="20"/>
          <w:jc w:val="center"/>
        </w:trPr>
        <w:tc>
          <w:tcPr>
            <w:tcW w:w="3373" w:type="dxa"/>
            <w:shd w:val="clear" w:color="auto" w:fill="006666"/>
            <w:vAlign w:val="center"/>
          </w:tcPr>
          <w:p w14:paraId="3B7F567F" w14:textId="77777777" w:rsidR="00267AA4" w:rsidRPr="00EF7F3C" w:rsidRDefault="00267AA4">
            <w:pPr>
              <w:spacing w:before="40" w:after="40"/>
              <w:jc w:val="center"/>
              <w:rPr>
                <w:rFonts w:ascii="Segoe UI Light" w:eastAsia="Times New Roman" w:hAnsi="Segoe UI Light"/>
                <w:sz w:val="16"/>
                <w:szCs w:val="18"/>
                <w:highlight w:val="yellow"/>
                <w:lang w:eastAsia="lv-LV"/>
              </w:rPr>
            </w:pPr>
          </w:p>
        </w:tc>
        <w:tc>
          <w:tcPr>
            <w:tcW w:w="2097" w:type="dxa"/>
            <w:gridSpan w:val="3"/>
            <w:shd w:val="clear" w:color="auto" w:fill="006666"/>
            <w:noWrap/>
            <w:vAlign w:val="center"/>
            <w:hideMark/>
          </w:tcPr>
          <w:p w14:paraId="1F2610D8" w14:textId="77777777" w:rsidR="00267AA4" w:rsidRPr="00063556" w:rsidRDefault="00267AA4">
            <w:pPr>
              <w:spacing w:before="40" w:after="40"/>
              <w:jc w:val="center"/>
              <w:rPr>
                <w:rFonts w:ascii="Segoe UI Light" w:eastAsia="Times New Roman" w:hAnsi="Segoe UI Light"/>
                <w:sz w:val="16"/>
                <w:szCs w:val="18"/>
                <w:lang w:eastAsia="lv-LV"/>
              </w:rPr>
            </w:pPr>
            <w:r w:rsidRPr="00063556">
              <w:rPr>
                <w:rFonts w:ascii="Segoe UI Light" w:eastAsia="Times New Roman" w:hAnsi="Segoe UI Light"/>
                <w:sz w:val="16"/>
                <w:szCs w:val="18"/>
                <w:lang w:eastAsia="lv-LV"/>
              </w:rPr>
              <w:t>tūkstošos</w:t>
            </w:r>
          </w:p>
        </w:tc>
        <w:tc>
          <w:tcPr>
            <w:tcW w:w="2211" w:type="dxa"/>
            <w:gridSpan w:val="3"/>
            <w:shd w:val="clear" w:color="auto" w:fill="006666"/>
            <w:vAlign w:val="center"/>
            <w:hideMark/>
          </w:tcPr>
          <w:p w14:paraId="1260E59E" w14:textId="77777777" w:rsidR="00267AA4" w:rsidRPr="00063556" w:rsidRDefault="00267AA4">
            <w:pPr>
              <w:spacing w:before="40" w:after="40"/>
              <w:jc w:val="center"/>
              <w:rPr>
                <w:rFonts w:ascii="Segoe UI Light" w:eastAsia="Times New Roman" w:hAnsi="Segoe UI Light"/>
                <w:sz w:val="16"/>
                <w:szCs w:val="18"/>
                <w:lang w:eastAsia="lv-LV"/>
              </w:rPr>
            </w:pPr>
            <w:r w:rsidRPr="00063556">
              <w:rPr>
                <w:rFonts w:ascii="Segoe UI Light" w:eastAsia="Times New Roman" w:hAnsi="Segoe UI Light"/>
                <w:sz w:val="16"/>
                <w:szCs w:val="18"/>
                <w:lang w:eastAsia="lv-LV"/>
              </w:rPr>
              <w:t>struktūra, %</w:t>
            </w:r>
          </w:p>
        </w:tc>
        <w:tc>
          <w:tcPr>
            <w:tcW w:w="1474" w:type="dxa"/>
            <w:gridSpan w:val="2"/>
            <w:shd w:val="clear" w:color="auto" w:fill="006666"/>
            <w:vAlign w:val="center"/>
            <w:hideMark/>
          </w:tcPr>
          <w:p w14:paraId="2A55AC40" w14:textId="5A440849" w:rsidR="00267AA4" w:rsidRPr="00063556" w:rsidRDefault="00267AA4">
            <w:pPr>
              <w:spacing w:before="40" w:after="40"/>
              <w:jc w:val="center"/>
              <w:rPr>
                <w:rFonts w:ascii="Segoe UI Light" w:eastAsia="Times New Roman" w:hAnsi="Segoe UI Light"/>
                <w:sz w:val="16"/>
                <w:szCs w:val="18"/>
                <w:lang w:eastAsia="lv-LV"/>
              </w:rPr>
            </w:pPr>
            <w:r w:rsidRPr="00063556">
              <w:rPr>
                <w:rFonts w:ascii="Segoe UI Light" w:eastAsia="Times New Roman" w:hAnsi="Segoe UI Light"/>
                <w:sz w:val="16"/>
                <w:szCs w:val="18"/>
                <w:lang w:eastAsia="lv-LV"/>
              </w:rPr>
              <w:t>izmaiņas tūkstošos pret 202</w:t>
            </w:r>
            <w:r w:rsidR="00046D2C">
              <w:rPr>
                <w:rFonts w:ascii="Segoe UI Light" w:eastAsia="Times New Roman" w:hAnsi="Segoe UI Light"/>
                <w:sz w:val="16"/>
                <w:szCs w:val="18"/>
                <w:lang w:eastAsia="lv-LV"/>
              </w:rPr>
              <w:t>5</w:t>
            </w:r>
            <w:r w:rsidRPr="00063556">
              <w:rPr>
                <w:rFonts w:ascii="Segoe UI Light" w:eastAsia="Times New Roman" w:hAnsi="Segoe UI Light"/>
                <w:sz w:val="16"/>
                <w:szCs w:val="18"/>
                <w:lang w:eastAsia="lv-LV"/>
              </w:rPr>
              <w:t>. gadu</w:t>
            </w:r>
          </w:p>
        </w:tc>
      </w:tr>
      <w:tr w:rsidR="00C03C20" w:rsidRPr="00D829F0" w14:paraId="03972FED"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006666"/>
            <w:vAlign w:val="center"/>
            <w:hideMark/>
          </w:tcPr>
          <w:p w14:paraId="16A80F44" w14:textId="77777777" w:rsidR="00267AA4" w:rsidRPr="00EF7F3C" w:rsidRDefault="00267AA4">
            <w:pPr>
              <w:spacing w:before="40" w:after="40"/>
              <w:jc w:val="center"/>
              <w:rPr>
                <w:rFonts w:ascii="Segoe UI Light" w:eastAsia="Times New Roman" w:hAnsi="Segoe UI Light"/>
                <w:bCs/>
                <w:color w:val="FFFFFF"/>
                <w:sz w:val="16"/>
                <w:szCs w:val="18"/>
                <w:highlight w:val="yellow"/>
                <w:lang w:eastAsia="lv-LV"/>
              </w:rPr>
            </w:pPr>
          </w:p>
        </w:tc>
        <w:tc>
          <w:tcPr>
            <w:tcW w:w="623" w:type="dxa"/>
            <w:shd w:val="clear" w:color="auto" w:fill="006666"/>
            <w:vAlign w:val="center"/>
            <w:hideMark/>
          </w:tcPr>
          <w:p w14:paraId="485E5C59" w14:textId="4D7A8C42" w:rsidR="00267AA4" w:rsidRPr="00063556" w:rsidRDefault="00267AA4">
            <w:pPr>
              <w:spacing w:before="40" w:after="40"/>
              <w:jc w:val="center"/>
              <w:rPr>
                <w:rFonts w:ascii="Segoe UI Light" w:eastAsia="Times New Roman" w:hAnsi="Segoe UI Light"/>
                <w:b/>
                <w:color w:val="FFFFFF"/>
                <w:sz w:val="16"/>
                <w:szCs w:val="18"/>
                <w:lang w:eastAsia="lv-LV"/>
              </w:rPr>
            </w:pPr>
            <w:r w:rsidRPr="00063556">
              <w:rPr>
                <w:rFonts w:ascii="Segoe UI Light" w:eastAsia="Times New Roman" w:hAnsi="Segoe UI Light"/>
                <w:b/>
                <w:color w:val="FFFFFF"/>
                <w:sz w:val="16"/>
                <w:szCs w:val="18"/>
                <w:lang w:eastAsia="lv-LV"/>
              </w:rPr>
              <w:t>202</w:t>
            </w:r>
            <w:r w:rsidR="00063556">
              <w:rPr>
                <w:rFonts w:ascii="Segoe UI Light" w:eastAsia="Times New Roman" w:hAnsi="Segoe UI Light"/>
                <w:b/>
                <w:color w:val="FFFFFF"/>
                <w:sz w:val="16"/>
                <w:szCs w:val="18"/>
                <w:lang w:eastAsia="lv-LV"/>
              </w:rPr>
              <w:t>5</w:t>
            </w:r>
          </w:p>
        </w:tc>
        <w:tc>
          <w:tcPr>
            <w:tcW w:w="737" w:type="dxa"/>
            <w:shd w:val="clear" w:color="auto" w:fill="006666"/>
            <w:vAlign w:val="center"/>
            <w:hideMark/>
          </w:tcPr>
          <w:p w14:paraId="6709A875" w14:textId="77777777" w:rsidR="00267AA4" w:rsidRPr="00063556" w:rsidRDefault="00267AA4">
            <w:pPr>
              <w:spacing w:before="40" w:after="40"/>
              <w:jc w:val="center"/>
              <w:rPr>
                <w:rFonts w:ascii="Segoe UI Light" w:eastAsia="Times New Roman" w:hAnsi="Segoe UI Light"/>
                <w:b/>
                <w:color w:val="FFFFFF"/>
                <w:sz w:val="16"/>
                <w:szCs w:val="18"/>
                <w:lang w:eastAsia="lv-LV"/>
              </w:rPr>
            </w:pPr>
            <w:r w:rsidRPr="00063556">
              <w:rPr>
                <w:rFonts w:ascii="Segoe UI Light" w:eastAsia="Times New Roman" w:hAnsi="Segoe UI Light"/>
                <w:b/>
                <w:color w:val="FFFFFF"/>
                <w:sz w:val="16"/>
                <w:szCs w:val="18"/>
                <w:lang w:eastAsia="lv-LV"/>
              </w:rPr>
              <w:t>2030</w:t>
            </w:r>
          </w:p>
        </w:tc>
        <w:tc>
          <w:tcPr>
            <w:tcW w:w="737" w:type="dxa"/>
            <w:shd w:val="clear" w:color="auto" w:fill="006666"/>
            <w:vAlign w:val="center"/>
            <w:hideMark/>
          </w:tcPr>
          <w:p w14:paraId="78908072" w14:textId="77777777" w:rsidR="00267AA4" w:rsidRPr="00063556" w:rsidRDefault="00267AA4">
            <w:pPr>
              <w:spacing w:before="40" w:after="40"/>
              <w:jc w:val="center"/>
              <w:rPr>
                <w:rFonts w:ascii="Segoe UI Light" w:eastAsia="Times New Roman" w:hAnsi="Segoe UI Light"/>
                <w:b/>
                <w:color w:val="FFFFFF"/>
                <w:sz w:val="16"/>
                <w:szCs w:val="18"/>
                <w:lang w:eastAsia="lv-LV"/>
              </w:rPr>
            </w:pPr>
            <w:r w:rsidRPr="00063556">
              <w:rPr>
                <w:rFonts w:ascii="Segoe UI Light" w:eastAsia="Times New Roman" w:hAnsi="Segoe UI Light"/>
                <w:b/>
                <w:color w:val="FFFFFF"/>
                <w:sz w:val="16"/>
                <w:szCs w:val="18"/>
                <w:lang w:eastAsia="lv-LV"/>
              </w:rPr>
              <w:t>2040</w:t>
            </w:r>
          </w:p>
        </w:tc>
        <w:tc>
          <w:tcPr>
            <w:tcW w:w="737" w:type="dxa"/>
            <w:shd w:val="clear" w:color="auto" w:fill="006666"/>
            <w:vAlign w:val="center"/>
            <w:hideMark/>
          </w:tcPr>
          <w:p w14:paraId="5A9C7D7D" w14:textId="16DCA3E9" w:rsidR="00267AA4" w:rsidRPr="00063556" w:rsidRDefault="00267AA4">
            <w:pPr>
              <w:spacing w:before="40" w:after="40"/>
              <w:jc w:val="center"/>
              <w:rPr>
                <w:rFonts w:ascii="Segoe UI Light" w:eastAsia="Times New Roman" w:hAnsi="Segoe UI Light"/>
                <w:b/>
                <w:color w:val="FFFFFF"/>
                <w:sz w:val="16"/>
                <w:szCs w:val="18"/>
                <w:lang w:eastAsia="lv-LV"/>
              </w:rPr>
            </w:pPr>
            <w:r w:rsidRPr="00063556">
              <w:rPr>
                <w:rFonts w:ascii="Segoe UI Light" w:eastAsia="Times New Roman" w:hAnsi="Segoe UI Light"/>
                <w:b/>
                <w:color w:val="FFFFFF"/>
                <w:sz w:val="16"/>
                <w:szCs w:val="18"/>
                <w:lang w:eastAsia="lv-LV"/>
              </w:rPr>
              <w:t>202</w:t>
            </w:r>
            <w:r w:rsidR="00063556">
              <w:rPr>
                <w:rFonts w:ascii="Segoe UI Light" w:eastAsia="Times New Roman" w:hAnsi="Segoe UI Light"/>
                <w:b/>
                <w:color w:val="FFFFFF"/>
                <w:sz w:val="16"/>
                <w:szCs w:val="18"/>
                <w:lang w:eastAsia="lv-LV"/>
              </w:rPr>
              <w:t>5</w:t>
            </w:r>
          </w:p>
        </w:tc>
        <w:tc>
          <w:tcPr>
            <w:tcW w:w="737" w:type="dxa"/>
            <w:shd w:val="clear" w:color="auto" w:fill="006666"/>
            <w:vAlign w:val="center"/>
            <w:hideMark/>
          </w:tcPr>
          <w:p w14:paraId="408709CA" w14:textId="77777777" w:rsidR="00267AA4" w:rsidRPr="00063556" w:rsidRDefault="00267AA4">
            <w:pPr>
              <w:spacing w:before="40" w:after="40"/>
              <w:jc w:val="center"/>
              <w:rPr>
                <w:rFonts w:ascii="Segoe UI Light" w:eastAsia="Times New Roman" w:hAnsi="Segoe UI Light"/>
                <w:b/>
                <w:color w:val="FFFFFF"/>
                <w:sz w:val="16"/>
                <w:szCs w:val="18"/>
                <w:lang w:eastAsia="lv-LV"/>
              </w:rPr>
            </w:pPr>
            <w:r w:rsidRPr="00063556">
              <w:rPr>
                <w:rFonts w:ascii="Segoe UI Light" w:eastAsia="Times New Roman" w:hAnsi="Segoe UI Light"/>
                <w:b/>
                <w:color w:val="FFFFFF"/>
                <w:sz w:val="16"/>
                <w:szCs w:val="18"/>
                <w:lang w:eastAsia="lv-LV"/>
              </w:rPr>
              <w:t>2030</w:t>
            </w:r>
          </w:p>
        </w:tc>
        <w:tc>
          <w:tcPr>
            <w:tcW w:w="737" w:type="dxa"/>
            <w:shd w:val="clear" w:color="auto" w:fill="006666"/>
            <w:vAlign w:val="center"/>
            <w:hideMark/>
          </w:tcPr>
          <w:p w14:paraId="178F5B02" w14:textId="77777777" w:rsidR="00267AA4" w:rsidRPr="00063556" w:rsidRDefault="00267AA4">
            <w:pPr>
              <w:spacing w:before="40" w:after="40"/>
              <w:jc w:val="center"/>
              <w:rPr>
                <w:rFonts w:ascii="Segoe UI Light" w:eastAsia="Times New Roman" w:hAnsi="Segoe UI Light"/>
                <w:b/>
                <w:color w:val="FFFFFF"/>
                <w:sz w:val="16"/>
                <w:szCs w:val="18"/>
                <w:lang w:eastAsia="lv-LV"/>
              </w:rPr>
            </w:pPr>
            <w:r w:rsidRPr="00063556">
              <w:rPr>
                <w:rFonts w:ascii="Segoe UI Light" w:eastAsia="Times New Roman" w:hAnsi="Segoe UI Light"/>
                <w:b/>
                <w:color w:val="FFFFFF"/>
                <w:sz w:val="16"/>
                <w:szCs w:val="18"/>
                <w:lang w:eastAsia="lv-LV"/>
              </w:rPr>
              <w:t>2040</w:t>
            </w:r>
          </w:p>
        </w:tc>
        <w:tc>
          <w:tcPr>
            <w:tcW w:w="737" w:type="dxa"/>
            <w:shd w:val="clear" w:color="auto" w:fill="006666"/>
            <w:vAlign w:val="center"/>
            <w:hideMark/>
          </w:tcPr>
          <w:p w14:paraId="71A32049" w14:textId="77777777" w:rsidR="00267AA4" w:rsidRPr="00063556" w:rsidRDefault="00267AA4">
            <w:pPr>
              <w:spacing w:before="40" w:after="40"/>
              <w:jc w:val="center"/>
              <w:rPr>
                <w:rFonts w:ascii="Segoe UI Light" w:eastAsia="Times New Roman" w:hAnsi="Segoe UI Light"/>
                <w:b/>
                <w:color w:val="FFFFFF"/>
                <w:sz w:val="16"/>
                <w:szCs w:val="18"/>
                <w:lang w:eastAsia="lv-LV"/>
              </w:rPr>
            </w:pPr>
            <w:r w:rsidRPr="00063556">
              <w:rPr>
                <w:rFonts w:ascii="Segoe UI Light" w:eastAsia="Times New Roman" w:hAnsi="Segoe UI Light"/>
                <w:b/>
                <w:color w:val="FFFFFF"/>
                <w:sz w:val="16"/>
                <w:szCs w:val="18"/>
                <w:lang w:eastAsia="lv-LV"/>
              </w:rPr>
              <w:t>2030</w:t>
            </w:r>
          </w:p>
        </w:tc>
        <w:tc>
          <w:tcPr>
            <w:tcW w:w="737" w:type="dxa"/>
            <w:shd w:val="clear" w:color="auto" w:fill="006666"/>
            <w:vAlign w:val="center"/>
            <w:hideMark/>
          </w:tcPr>
          <w:p w14:paraId="1A1A7214" w14:textId="77777777" w:rsidR="00267AA4" w:rsidRPr="00063556" w:rsidRDefault="00267AA4">
            <w:pPr>
              <w:spacing w:before="40" w:after="40"/>
              <w:jc w:val="center"/>
              <w:rPr>
                <w:rFonts w:ascii="Segoe UI Light" w:eastAsia="Times New Roman" w:hAnsi="Segoe UI Light"/>
                <w:b/>
                <w:color w:val="FFFFFF"/>
                <w:sz w:val="16"/>
                <w:szCs w:val="18"/>
                <w:lang w:eastAsia="lv-LV"/>
              </w:rPr>
            </w:pPr>
            <w:r w:rsidRPr="00063556">
              <w:rPr>
                <w:rFonts w:ascii="Segoe UI Light" w:eastAsia="Times New Roman" w:hAnsi="Segoe UI Light"/>
                <w:b/>
                <w:color w:val="FFFFFF"/>
                <w:sz w:val="16"/>
                <w:szCs w:val="18"/>
                <w:lang w:eastAsia="lv-LV"/>
              </w:rPr>
              <w:t>2040</w:t>
            </w:r>
          </w:p>
        </w:tc>
      </w:tr>
      <w:tr w:rsidR="00C03C20" w:rsidRPr="00D829F0" w14:paraId="5C0F7056" w14:textId="77777777" w:rsidTr="00C00800">
        <w:trPr>
          <w:cantSplit/>
          <w:trHeight w:val="20"/>
          <w:jc w:val="center"/>
        </w:trPr>
        <w:tc>
          <w:tcPr>
            <w:tcW w:w="3373" w:type="dxa"/>
            <w:shd w:val="clear" w:color="auto" w:fill="DCE7EB"/>
            <w:vAlign w:val="bottom"/>
            <w:hideMark/>
          </w:tcPr>
          <w:p w14:paraId="5A165596" w14:textId="77777777" w:rsidR="00267AA4" w:rsidRPr="00205888" w:rsidRDefault="00267AA4">
            <w:pPr>
              <w:spacing w:before="40" w:after="40"/>
              <w:rPr>
                <w:rFonts w:ascii="Segoe UI Light" w:eastAsia="Times New Roman" w:hAnsi="Segoe UI Light"/>
                <w:sz w:val="16"/>
                <w:szCs w:val="18"/>
                <w:lang w:eastAsia="lv-LV"/>
              </w:rPr>
            </w:pPr>
            <w:bookmarkStart w:id="64" w:name="_Hlk40117391"/>
            <w:r w:rsidRPr="00205888">
              <w:rPr>
                <w:rFonts w:ascii="Segoe UI Light" w:eastAsia="Times New Roman" w:hAnsi="Segoe UI Light"/>
                <w:sz w:val="16"/>
                <w:szCs w:val="18"/>
                <w:lang w:eastAsia="lv-LV"/>
              </w:rPr>
              <w:t>Augstākā izglītība, tai skaitā:</w:t>
            </w:r>
          </w:p>
        </w:tc>
        <w:tc>
          <w:tcPr>
            <w:tcW w:w="623" w:type="dxa"/>
            <w:shd w:val="clear" w:color="auto" w:fill="DCE7EB"/>
            <w:noWrap/>
            <w:hideMark/>
          </w:tcPr>
          <w:p w14:paraId="25DE4811" w14:textId="2EF3E01C" w:rsidR="00267AA4" w:rsidRPr="00205888" w:rsidRDefault="00B07B5A">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39</w:t>
            </w:r>
            <w:r w:rsidR="00796291" w:rsidRPr="00205888">
              <w:rPr>
                <w:rFonts w:ascii="Segoe UI Light" w:hAnsi="Segoe UI Light" w:cs="Segoe UI Light"/>
                <w:color w:val="000000"/>
                <w:sz w:val="16"/>
                <w:szCs w:val="16"/>
              </w:rPr>
              <w:t>4,2</w:t>
            </w:r>
          </w:p>
        </w:tc>
        <w:tc>
          <w:tcPr>
            <w:tcW w:w="737" w:type="dxa"/>
            <w:shd w:val="clear" w:color="auto" w:fill="DCE7EB"/>
            <w:noWrap/>
            <w:hideMark/>
          </w:tcPr>
          <w:p w14:paraId="5B7F6F38" w14:textId="3BD7594C"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405</w:t>
            </w:r>
            <w:r w:rsidR="007C6512" w:rsidRPr="00205888">
              <w:rPr>
                <w:rFonts w:ascii="Segoe UI Light" w:hAnsi="Segoe UI Light" w:cs="Segoe UI Light"/>
                <w:color w:val="000000"/>
                <w:sz w:val="16"/>
                <w:szCs w:val="16"/>
              </w:rPr>
              <w:t>,</w:t>
            </w:r>
            <w:r w:rsidR="00796291" w:rsidRPr="00205888">
              <w:rPr>
                <w:rFonts w:ascii="Segoe UI Light" w:hAnsi="Segoe UI Light" w:cs="Segoe UI Light"/>
                <w:color w:val="000000"/>
                <w:sz w:val="16"/>
                <w:szCs w:val="16"/>
              </w:rPr>
              <w:t>9</w:t>
            </w:r>
          </w:p>
        </w:tc>
        <w:tc>
          <w:tcPr>
            <w:tcW w:w="737" w:type="dxa"/>
            <w:shd w:val="clear" w:color="auto" w:fill="DCE7EB"/>
            <w:hideMark/>
          </w:tcPr>
          <w:p w14:paraId="42DA9647" w14:textId="07CD72BD" w:rsidR="00267AA4" w:rsidRPr="00205888" w:rsidRDefault="0079629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422,7</w:t>
            </w:r>
          </w:p>
        </w:tc>
        <w:tc>
          <w:tcPr>
            <w:tcW w:w="737" w:type="dxa"/>
            <w:shd w:val="clear" w:color="auto" w:fill="DCE7EB"/>
            <w:hideMark/>
          </w:tcPr>
          <w:p w14:paraId="56C400F3" w14:textId="66D9EE00"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w:t>
            </w:r>
            <w:r w:rsidR="008B6FD1" w:rsidRPr="00205888">
              <w:rPr>
                <w:rFonts w:ascii="Segoe UI Light" w:hAnsi="Segoe UI Light" w:cs="Segoe UI Light"/>
                <w:color w:val="000000"/>
                <w:sz w:val="16"/>
                <w:szCs w:val="16"/>
              </w:rPr>
              <w:t>1,5</w:t>
            </w:r>
          </w:p>
        </w:tc>
        <w:tc>
          <w:tcPr>
            <w:tcW w:w="737" w:type="dxa"/>
            <w:shd w:val="clear" w:color="auto" w:fill="DCE7EB"/>
            <w:hideMark/>
          </w:tcPr>
          <w:p w14:paraId="38655E58" w14:textId="714F8B8D"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42</w:t>
            </w:r>
            <w:r w:rsidR="007C6512" w:rsidRPr="00205888">
              <w:rPr>
                <w:rFonts w:ascii="Segoe UI Light" w:hAnsi="Segoe UI Light" w:cs="Segoe UI Light"/>
                <w:color w:val="000000"/>
                <w:sz w:val="16"/>
                <w:szCs w:val="16"/>
              </w:rPr>
              <w:t>,</w:t>
            </w:r>
            <w:r w:rsidR="004D44A1" w:rsidRPr="00205888">
              <w:rPr>
                <w:rFonts w:ascii="Segoe UI Light" w:hAnsi="Segoe UI Light" w:cs="Segoe UI Light"/>
                <w:color w:val="000000"/>
                <w:sz w:val="16"/>
                <w:szCs w:val="16"/>
              </w:rPr>
              <w:t>5</w:t>
            </w:r>
          </w:p>
        </w:tc>
        <w:tc>
          <w:tcPr>
            <w:tcW w:w="737" w:type="dxa"/>
            <w:shd w:val="clear" w:color="auto" w:fill="DCE7EB"/>
            <w:hideMark/>
          </w:tcPr>
          <w:p w14:paraId="23E1174F" w14:textId="5BF65468"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w:t>
            </w:r>
            <w:r w:rsidR="004D44A1" w:rsidRPr="00205888">
              <w:rPr>
                <w:rFonts w:ascii="Segoe UI Light" w:hAnsi="Segoe UI Light" w:cs="Segoe UI Light"/>
                <w:color w:val="000000"/>
                <w:sz w:val="16"/>
                <w:szCs w:val="16"/>
              </w:rPr>
              <w:t>5,2</w:t>
            </w:r>
          </w:p>
        </w:tc>
        <w:tc>
          <w:tcPr>
            <w:tcW w:w="737" w:type="dxa"/>
            <w:shd w:val="clear" w:color="auto" w:fill="DCE7EB"/>
            <w:hideMark/>
          </w:tcPr>
          <w:p w14:paraId="0D47F42A" w14:textId="7FC06FD8" w:rsidR="00267AA4" w:rsidRPr="00205888" w:rsidRDefault="000966A8">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11,7</w:t>
            </w:r>
          </w:p>
        </w:tc>
        <w:tc>
          <w:tcPr>
            <w:tcW w:w="737" w:type="dxa"/>
            <w:shd w:val="clear" w:color="auto" w:fill="DCE7EB"/>
            <w:hideMark/>
          </w:tcPr>
          <w:p w14:paraId="1C6EA728" w14:textId="79191017" w:rsidR="00267AA4" w:rsidRPr="00205888" w:rsidRDefault="00754DC0">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28,5</w:t>
            </w:r>
          </w:p>
        </w:tc>
      </w:tr>
      <w:bookmarkEnd w:id="64"/>
      <w:tr w:rsidR="001A5203" w:rsidRPr="00D829F0" w14:paraId="5D290A3D"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hideMark/>
          </w:tcPr>
          <w:p w14:paraId="57558608" w14:textId="77777777" w:rsidR="001A5203" w:rsidRPr="00BD03C5" w:rsidRDefault="001A5203" w:rsidP="001A5203">
            <w:pPr>
              <w:spacing w:before="40" w:after="40"/>
              <w:ind w:left="171"/>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Izglītība</w:t>
            </w:r>
          </w:p>
        </w:tc>
        <w:tc>
          <w:tcPr>
            <w:tcW w:w="623" w:type="dxa"/>
            <w:shd w:val="clear" w:color="auto" w:fill="auto"/>
            <w:noWrap/>
            <w:vAlign w:val="bottom"/>
            <w:hideMark/>
          </w:tcPr>
          <w:p w14:paraId="0703C53D" w14:textId="4ECB9A64"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39,7</w:t>
            </w:r>
          </w:p>
        </w:tc>
        <w:tc>
          <w:tcPr>
            <w:tcW w:w="737" w:type="dxa"/>
            <w:shd w:val="clear" w:color="auto" w:fill="auto"/>
            <w:noWrap/>
            <w:vAlign w:val="bottom"/>
            <w:hideMark/>
          </w:tcPr>
          <w:p w14:paraId="36B270F4" w14:textId="712FA442"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39,4</w:t>
            </w:r>
          </w:p>
        </w:tc>
        <w:tc>
          <w:tcPr>
            <w:tcW w:w="737" w:type="dxa"/>
            <w:shd w:val="clear" w:color="auto" w:fill="auto"/>
            <w:vAlign w:val="bottom"/>
            <w:hideMark/>
          </w:tcPr>
          <w:p w14:paraId="76A41887" w14:textId="749768F2"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34,0</w:t>
            </w:r>
          </w:p>
        </w:tc>
        <w:tc>
          <w:tcPr>
            <w:tcW w:w="737" w:type="dxa"/>
            <w:shd w:val="clear" w:color="auto" w:fill="auto"/>
            <w:vAlign w:val="bottom"/>
            <w:hideMark/>
          </w:tcPr>
          <w:p w14:paraId="104DF5B9" w14:textId="272114F5"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4,2</w:t>
            </w:r>
          </w:p>
        </w:tc>
        <w:tc>
          <w:tcPr>
            <w:tcW w:w="737" w:type="dxa"/>
            <w:shd w:val="clear" w:color="auto" w:fill="auto"/>
            <w:vAlign w:val="bottom"/>
            <w:hideMark/>
          </w:tcPr>
          <w:p w14:paraId="19D8654B" w14:textId="765D92E0"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1</w:t>
            </w:r>
          </w:p>
        </w:tc>
        <w:tc>
          <w:tcPr>
            <w:tcW w:w="737" w:type="dxa"/>
            <w:shd w:val="clear" w:color="auto" w:fill="auto"/>
            <w:vAlign w:val="bottom"/>
            <w:hideMark/>
          </w:tcPr>
          <w:p w14:paraId="1DB2B2BC" w14:textId="7A765C89"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6</w:t>
            </w:r>
          </w:p>
        </w:tc>
        <w:tc>
          <w:tcPr>
            <w:tcW w:w="737" w:type="dxa"/>
            <w:shd w:val="clear" w:color="auto" w:fill="auto"/>
            <w:vAlign w:val="bottom"/>
            <w:hideMark/>
          </w:tcPr>
          <w:p w14:paraId="6B7F8A85" w14:textId="53B4A0C2"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-0,3</w:t>
            </w:r>
          </w:p>
        </w:tc>
        <w:tc>
          <w:tcPr>
            <w:tcW w:w="737" w:type="dxa"/>
            <w:shd w:val="clear" w:color="auto" w:fill="auto"/>
            <w:vAlign w:val="bottom"/>
            <w:hideMark/>
          </w:tcPr>
          <w:p w14:paraId="16F20150" w14:textId="40282F0A"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-5,6</w:t>
            </w:r>
          </w:p>
        </w:tc>
      </w:tr>
      <w:tr w:rsidR="001A5203" w:rsidRPr="00D829F0" w14:paraId="673F0CAF" w14:textId="77777777" w:rsidTr="00C00800">
        <w:trPr>
          <w:cantSplit/>
          <w:trHeight w:val="20"/>
          <w:jc w:val="center"/>
        </w:trPr>
        <w:tc>
          <w:tcPr>
            <w:tcW w:w="3373" w:type="dxa"/>
            <w:shd w:val="clear" w:color="auto" w:fill="DCE7EB"/>
            <w:vAlign w:val="bottom"/>
            <w:hideMark/>
          </w:tcPr>
          <w:p w14:paraId="0A7ABE80" w14:textId="77777777" w:rsidR="001A5203" w:rsidRPr="00BD03C5" w:rsidRDefault="001A5203" w:rsidP="001A5203">
            <w:pPr>
              <w:spacing w:before="40" w:after="40"/>
              <w:ind w:left="171"/>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Humanitārās zinātnes un māksla</w:t>
            </w:r>
          </w:p>
        </w:tc>
        <w:tc>
          <w:tcPr>
            <w:tcW w:w="623" w:type="dxa"/>
            <w:shd w:val="clear" w:color="auto" w:fill="DCE7EB"/>
            <w:noWrap/>
            <w:vAlign w:val="bottom"/>
            <w:hideMark/>
          </w:tcPr>
          <w:p w14:paraId="21EADD0A" w14:textId="4ADF3912"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16,8</w:t>
            </w:r>
          </w:p>
        </w:tc>
        <w:tc>
          <w:tcPr>
            <w:tcW w:w="737" w:type="dxa"/>
            <w:shd w:val="clear" w:color="auto" w:fill="DCE7EB"/>
            <w:noWrap/>
            <w:vAlign w:val="bottom"/>
            <w:hideMark/>
          </w:tcPr>
          <w:p w14:paraId="4A2E8660" w14:textId="3B121890"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19,0</w:t>
            </w:r>
          </w:p>
        </w:tc>
        <w:tc>
          <w:tcPr>
            <w:tcW w:w="737" w:type="dxa"/>
            <w:shd w:val="clear" w:color="auto" w:fill="DCE7EB"/>
            <w:vAlign w:val="bottom"/>
            <w:hideMark/>
          </w:tcPr>
          <w:p w14:paraId="75E5DE20" w14:textId="32707DFF"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23,1</w:t>
            </w:r>
          </w:p>
        </w:tc>
        <w:tc>
          <w:tcPr>
            <w:tcW w:w="737" w:type="dxa"/>
            <w:shd w:val="clear" w:color="auto" w:fill="DCE7EB"/>
            <w:vAlign w:val="bottom"/>
            <w:hideMark/>
          </w:tcPr>
          <w:p w14:paraId="0E8755E2" w14:textId="65EF8F4C"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1,8</w:t>
            </w:r>
          </w:p>
        </w:tc>
        <w:tc>
          <w:tcPr>
            <w:tcW w:w="737" w:type="dxa"/>
            <w:shd w:val="clear" w:color="auto" w:fill="DCE7EB"/>
            <w:vAlign w:val="bottom"/>
            <w:hideMark/>
          </w:tcPr>
          <w:p w14:paraId="78F67413" w14:textId="574B2922"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0</w:t>
            </w:r>
          </w:p>
        </w:tc>
        <w:tc>
          <w:tcPr>
            <w:tcW w:w="737" w:type="dxa"/>
            <w:shd w:val="clear" w:color="auto" w:fill="DCE7EB"/>
            <w:vAlign w:val="bottom"/>
            <w:hideMark/>
          </w:tcPr>
          <w:p w14:paraId="21CFE6DA" w14:textId="1BE5B8FC"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5</w:t>
            </w:r>
          </w:p>
        </w:tc>
        <w:tc>
          <w:tcPr>
            <w:tcW w:w="737" w:type="dxa"/>
            <w:shd w:val="clear" w:color="auto" w:fill="DCE7EB"/>
            <w:vAlign w:val="bottom"/>
            <w:hideMark/>
          </w:tcPr>
          <w:p w14:paraId="3FD80D0A" w14:textId="27753845"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2,2</w:t>
            </w:r>
          </w:p>
        </w:tc>
        <w:tc>
          <w:tcPr>
            <w:tcW w:w="737" w:type="dxa"/>
            <w:shd w:val="clear" w:color="auto" w:fill="DCE7EB"/>
            <w:vAlign w:val="bottom"/>
            <w:hideMark/>
          </w:tcPr>
          <w:p w14:paraId="5E791C49" w14:textId="2E9B76FA"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6,3</w:t>
            </w:r>
          </w:p>
        </w:tc>
      </w:tr>
      <w:tr w:rsidR="001A5203" w:rsidRPr="00D829F0" w14:paraId="72EC228B"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hideMark/>
          </w:tcPr>
          <w:p w14:paraId="78D6928D" w14:textId="77777777" w:rsidR="001A5203" w:rsidRPr="00BD03C5" w:rsidRDefault="001A5203" w:rsidP="001A5203">
            <w:pPr>
              <w:spacing w:before="40" w:after="40"/>
              <w:ind w:left="171"/>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Sociālās zinātnes, komerczinības un tiesības</w:t>
            </w:r>
          </w:p>
        </w:tc>
        <w:tc>
          <w:tcPr>
            <w:tcW w:w="623" w:type="dxa"/>
            <w:shd w:val="clear" w:color="auto" w:fill="auto"/>
            <w:noWrap/>
            <w:vAlign w:val="bottom"/>
            <w:hideMark/>
          </w:tcPr>
          <w:p w14:paraId="5AC12A86" w14:textId="5A32CB4F"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130,3</w:t>
            </w:r>
          </w:p>
        </w:tc>
        <w:tc>
          <w:tcPr>
            <w:tcW w:w="737" w:type="dxa"/>
            <w:shd w:val="clear" w:color="auto" w:fill="auto"/>
            <w:noWrap/>
            <w:vAlign w:val="bottom"/>
            <w:hideMark/>
          </w:tcPr>
          <w:p w14:paraId="3F8947E6" w14:textId="39598662"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139,1</w:t>
            </w:r>
          </w:p>
        </w:tc>
        <w:tc>
          <w:tcPr>
            <w:tcW w:w="737" w:type="dxa"/>
            <w:shd w:val="clear" w:color="auto" w:fill="auto"/>
            <w:vAlign w:val="bottom"/>
            <w:hideMark/>
          </w:tcPr>
          <w:p w14:paraId="109807A4" w14:textId="76853E95"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152,3</w:t>
            </w:r>
          </w:p>
        </w:tc>
        <w:tc>
          <w:tcPr>
            <w:tcW w:w="737" w:type="dxa"/>
            <w:shd w:val="clear" w:color="auto" w:fill="auto"/>
            <w:vAlign w:val="bottom"/>
            <w:hideMark/>
          </w:tcPr>
          <w:p w14:paraId="3369E430" w14:textId="25C9593D"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13,7</w:t>
            </w:r>
          </w:p>
        </w:tc>
        <w:tc>
          <w:tcPr>
            <w:tcW w:w="737" w:type="dxa"/>
            <w:shd w:val="clear" w:color="auto" w:fill="auto"/>
            <w:vAlign w:val="bottom"/>
            <w:hideMark/>
          </w:tcPr>
          <w:p w14:paraId="0063D577" w14:textId="3C2B9DAD"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14</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6</w:t>
            </w:r>
          </w:p>
        </w:tc>
        <w:tc>
          <w:tcPr>
            <w:tcW w:w="737" w:type="dxa"/>
            <w:shd w:val="clear" w:color="auto" w:fill="auto"/>
            <w:vAlign w:val="bottom"/>
            <w:hideMark/>
          </w:tcPr>
          <w:p w14:paraId="1100E969" w14:textId="43D7B89E"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16</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3</w:t>
            </w:r>
          </w:p>
        </w:tc>
        <w:tc>
          <w:tcPr>
            <w:tcW w:w="737" w:type="dxa"/>
            <w:shd w:val="clear" w:color="auto" w:fill="auto"/>
            <w:vAlign w:val="bottom"/>
            <w:hideMark/>
          </w:tcPr>
          <w:p w14:paraId="6B0716F1" w14:textId="2D73E81D"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8,8</w:t>
            </w:r>
          </w:p>
        </w:tc>
        <w:tc>
          <w:tcPr>
            <w:tcW w:w="737" w:type="dxa"/>
            <w:shd w:val="clear" w:color="auto" w:fill="auto"/>
            <w:vAlign w:val="bottom"/>
            <w:hideMark/>
          </w:tcPr>
          <w:p w14:paraId="0A0813CC" w14:textId="5D04D4DB"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22,0</w:t>
            </w:r>
          </w:p>
        </w:tc>
      </w:tr>
      <w:tr w:rsidR="001A5203" w:rsidRPr="00D829F0" w14:paraId="5C035F89" w14:textId="77777777" w:rsidTr="00C00800">
        <w:trPr>
          <w:cantSplit/>
          <w:trHeight w:val="20"/>
          <w:jc w:val="center"/>
        </w:trPr>
        <w:tc>
          <w:tcPr>
            <w:tcW w:w="3373" w:type="dxa"/>
            <w:shd w:val="clear" w:color="auto" w:fill="DCE7EB"/>
            <w:vAlign w:val="bottom"/>
            <w:hideMark/>
          </w:tcPr>
          <w:p w14:paraId="67F6197E" w14:textId="77777777" w:rsidR="001A5203" w:rsidRPr="00BD03C5" w:rsidRDefault="001A5203" w:rsidP="001A5203">
            <w:pPr>
              <w:spacing w:before="40" w:after="40"/>
              <w:ind w:left="171"/>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Dabas zinātnes, matemātika un informācijas tehnoloģijas</w:t>
            </w:r>
          </w:p>
        </w:tc>
        <w:tc>
          <w:tcPr>
            <w:tcW w:w="623" w:type="dxa"/>
            <w:shd w:val="clear" w:color="auto" w:fill="DCE7EB"/>
            <w:noWrap/>
            <w:vAlign w:val="bottom"/>
            <w:hideMark/>
          </w:tcPr>
          <w:p w14:paraId="673CDF4C" w14:textId="648F4C14"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22,5</w:t>
            </w:r>
          </w:p>
        </w:tc>
        <w:tc>
          <w:tcPr>
            <w:tcW w:w="737" w:type="dxa"/>
            <w:shd w:val="clear" w:color="auto" w:fill="DCE7EB"/>
            <w:noWrap/>
            <w:vAlign w:val="bottom"/>
            <w:hideMark/>
          </w:tcPr>
          <w:p w14:paraId="254F4F5C" w14:textId="20B8BDBD"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23,6</w:t>
            </w:r>
          </w:p>
        </w:tc>
        <w:tc>
          <w:tcPr>
            <w:tcW w:w="737" w:type="dxa"/>
            <w:shd w:val="clear" w:color="auto" w:fill="DCE7EB"/>
            <w:vAlign w:val="bottom"/>
            <w:hideMark/>
          </w:tcPr>
          <w:p w14:paraId="6EA453B6" w14:textId="6207A070"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25,5</w:t>
            </w:r>
          </w:p>
        </w:tc>
        <w:tc>
          <w:tcPr>
            <w:tcW w:w="737" w:type="dxa"/>
            <w:shd w:val="clear" w:color="auto" w:fill="DCE7EB"/>
            <w:vAlign w:val="bottom"/>
            <w:hideMark/>
          </w:tcPr>
          <w:p w14:paraId="312C5E69" w14:textId="6E05BE9E"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2,4</w:t>
            </w:r>
          </w:p>
        </w:tc>
        <w:tc>
          <w:tcPr>
            <w:tcW w:w="737" w:type="dxa"/>
            <w:shd w:val="clear" w:color="auto" w:fill="DCE7EB"/>
            <w:vAlign w:val="bottom"/>
            <w:hideMark/>
          </w:tcPr>
          <w:p w14:paraId="0E2EAE33" w14:textId="4C6F7421"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5</w:t>
            </w:r>
          </w:p>
        </w:tc>
        <w:tc>
          <w:tcPr>
            <w:tcW w:w="737" w:type="dxa"/>
            <w:shd w:val="clear" w:color="auto" w:fill="DCE7EB"/>
            <w:vAlign w:val="bottom"/>
            <w:hideMark/>
          </w:tcPr>
          <w:p w14:paraId="2FDD9C04" w14:textId="31B3A34F"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7</w:t>
            </w:r>
          </w:p>
        </w:tc>
        <w:tc>
          <w:tcPr>
            <w:tcW w:w="737" w:type="dxa"/>
            <w:shd w:val="clear" w:color="auto" w:fill="DCE7EB"/>
            <w:vAlign w:val="bottom"/>
            <w:hideMark/>
          </w:tcPr>
          <w:p w14:paraId="63B715D9" w14:textId="581B0607"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1,0</w:t>
            </w:r>
          </w:p>
        </w:tc>
        <w:tc>
          <w:tcPr>
            <w:tcW w:w="737" w:type="dxa"/>
            <w:shd w:val="clear" w:color="auto" w:fill="DCE7EB"/>
            <w:vAlign w:val="bottom"/>
            <w:hideMark/>
          </w:tcPr>
          <w:p w14:paraId="01CE2238" w14:textId="0C2C36A3"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3,0</w:t>
            </w:r>
          </w:p>
        </w:tc>
      </w:tr>
      <w:tr w:rsidR="001A5203" w:rsidRPr="00D829F0" w14:paraId="6C3E0E67"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hideMark/>
          </w:tcPr>
          <w:p w14:paraId="0874F686" w14:textId="77777777" w:rsidR="001A5203" w:rsidRPr="00BD03C5" w:rsidRDefault="001A5203" w:rsidP="001A5203">
            <w:pPr>
              <w:spacing w:before="40" w:after="40"/>
              <w:ind w:left="171"/>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Inženierzinātnes, ražošana un būvniecība</w:t>
            </w:r>
          </w:p>
        </w:tc>
        <w:tc>
          <w:tcPr>
            <w:tcW w:w="623" w:type="dxa"/>
            <w:shd w:val="clear" w:color="auto" w:fill="auto"/>
            <w:noWrap/>
            <w:vAlign w:val="bottom"/>
            <w:hideMark/>
          </w:tcPr>
          <w:p w14:paraId="0A221E71" w14:textId="3FF783D7"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46,2</w:t>
            </w:r>
          </w:p>
        </w:tc>
        <w:tc>
          <w:tcPr>
            <w:tcW w:w="737" w:type="dxa"/>
            <w:shd w:val="clear" w:color="auto" w:fill="auto"/>
            <w:noWrap/>
            <w:vAlign w:val="bottom"/>
            <w:hideMark/>
          </w:tcPr>
          <w:p w14:paraId="59F68B86" w14:textId="28D4337B"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46,7</w:t>
            </w:r>
          </w:p>
        </w:tc>
        <w:tc>
          <w:tcPr>
            <w:tcW w:w="737" w:type="dxa"/>
            <w:shd w:val="clear" w:color="auto" w:fill="auto"/>
            <w:vAlign w:val="bottom"/>
            <w:hideMark/>
          </w:tcPr>
          <w:p w14:paraId="62536F8A" w14:textId="577D1F24"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51,5</w:t>
            </w:r>
          </w:p>
        </w:tc>
        <w:tc>
          <w:tcPr>
            <w:tcW w:w="737" w:type="dxa"/>
            <w:shd w:val="clear" w:color="auto" w:fill="auto"/>
            <w:vAlign w:val="bottom"/>
            <w:hideMark/>
          </w:tcPr>
          <w:p w14:paraId="35EAF57F" w14:textId="00FAD143"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4,9</w:t>
            </w:r>
          </w:p>
        </w:tc>
        <w:tc>
          <w:tcPr>
            <w:tcW w:w="737" w:type="dxa"/>
            <w:shd w:val="clear" w:color="auto" w:fill="auto"/>
            <w:vAlign w:val="bottom"/>
            <w:hideMark/>
          </w:tcPr>
          <w:p w14:paraId="11D8E65A" w14:textId="6C3EF172"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9</w:t>
            </w:r>
          </w:p>
        </w:tc>
        <w:tc>
          <w:tcPr>
            <w:tcW w:w="737" w:type="dxa"/>
            <w:shd w:val="clear" w:color="auto" w:fill="auto"/>
            <w:vAlign w:val="bottom"/>
            <w:hideMark/>
          </w:tcPr>
          <w:p w14:paraId="4909BCAC" w14:textId="5DD25F5E"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5</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5</w:t>
            </w:r>
          </w:p>
        </w:tc>
        <w:tc>
          <w:tcPr>
            <w:tcW w:w="737" w:type="dxa"/>
            <w:shd w:val="clear" w:color="auto" w:fill="auto"/>
            <w:vAlign w:val="bottom"/>
            <w:hideMark/>
          </w:tcPr>
          <w:p w14:paraId="1597F23F" w14:textId="1D27E04A"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0,6</w:t>
            </w:r>
          </w:p>
        </w:tc>
        <w:tc>
          <w:tcPr>
            <w:tcW w:w="737" w:type="dxa"/>
            <w:shd w:val="clear" w:color="auto" w:fill="auto"/>
            <w:vAlign w:val="bottom"/>
            <w:hideMark/>
          </w:tcPr>
          <w:p w14:paraId="0135139D" w14:textId="7845CEF8"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5,3</w:t>
            </w:r>
          </w:p>
        </w:tc>
      </w:tr>
      <w:tr w:rsidR="001A5203" w:rsidRPr="00D829F0" w14:paraId="317C8976" w14:textId="77777777" w:rsidTr="00C00800">
        <w:trPr>
          <w:cantSplit/>
          <w:trHeight w:val="20"/>
          <w:jc w:val="center"/>
        </w:trPr>
        <w:tc>
          <w:tcPr>
            <w:tcW w:w="3373" w:type="dxa"/>
            <w:shd w:val="clear" w:color="auto" w:fill="DCE7EB"/>
            <w:vAlign w:val="bottom"/>
            <w:hideMark/>
          </w:tcPr>
          <w:p w14:paraId="23BB713E" w14:textId="77777777" w:rsidR="001A5203" w:rsidRPr="00BD03C5" w:rsidRDefault="001A5203" w:rsidP="001A5203">
            <w:pPr>
              <w:spacing w:before="40" w:after="40"/>
              <w:ind w:left="171"/>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Lauksaimniecība</w:t>
            </w:r>
          </w:p>
        </w:tc>
        <w:tc>
          <w:tcPr>
            <w:tcW w:w="623" w:type="dxa"/>
            <w:shd w:val="clear" w:color="auto" w:fill="DCE7EB"/>
            <w:noWrap/>
            <w:vAlign w:val="bottom"/>
            <w:hideMark/>
          </w:tcPr>
          <w:p w14:paraId="68F42539" w14:textId="5C5426E5"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7,4</w:t>
            </w:r>
          </w:p>
        </w:tc>
        <w:tc>
          <w:tcPr>
            <w:tcW w:w="737" w:type="dxa"/>
            <w:shd w:val="clear" w:color="auto" w:fill="DCE7EB"/>
            <w:noWrap/>
            <w:vAlign w:val="bottom"/>
            <w:hideMark/>
          </w:tcPr>
          <w:p w14:paraId="7944E368" w14:textId="5E268839"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7,0</w:t>
            </w:r>
          </w:p>
        </w:tc>
        <w:tc>
          <w:tcPr>
            <w:tcW w:w="737" w:type="dxa"/>
            <w:shd w:val="clear" w:color="auto" w:fill="DCE7EB"/>
            <w:vAlign w:val="bottom"/>
            <w:hideMark/>
          </w:tcPr>
          <w:p w14:paraId="62D4F59B" w14:textId="58D15E48"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6,7</w:t>
            </w:r>
          </w:p>
        </w:tc>
        <w:tc>
          <w:tcPr>
            <w:tcW w:w="737" w:type="dxa"/>
            <w:shd w:val="clear" w:color="auto" w:fill="DCE7EB"/>
            <w:vAlign w:val="bottom"/>
            <w:hideMark/>
          </w:tcPr>
          <w:p w14:paraId="1EDF19A5" w14:textId="3050C147"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0,8</w:t>
            </w:r>
          </w:p>
        </w:tc>
        <w:tc>
          <w:tcPr>
            <w:tcW w:w="737" w:type="dxa"/>
            <w:shd w:val="clear" w:color="auto" w:fill="DCE7EB"/>
            <w:vAlign w:val="bottom"/>
            <w:hideMark/>
          </w:tcPr>
          <w:p w14:paraId="6FE79CB7" w14:textId="2D4C7E64"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7</w:t>
            </w:r>
          </w:p>
        </w:tc>
        <w:tc>
          <w:tcPr>
            <w:tcW w:w="737" w:type="dxa"/>
            <w:shd w:val="clear" w:color="auto" w:fill="DCE7EB"/>
            <w:vAlign w:val="bottom"/>
            <w:hideMark/>
          </w:tcPr>
          <w:p w14:paraId="23740727" w14:textId="4F29C10E"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7</w:t>
            </w:r>
          </w:p>
        </w:tc>
        <w:tc>
          <w:tcPr>
            <w:tcW w:w="737" w:type="dxa"/>
            <w:shd w:val="clear" w:color="auto" w:fill="DCE7EB"/>
            <w:vAlign w:val="bottom"/>
            <w:hideMark/>
          </w:tcPr>
          <w:p w14:paraId="35432196" w14:textId="70F0CB81"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-0,4</w:t>
            </w:r>
          </w:p>
        </w:tc>
        <w:tc>
          <w:tcPr>
            <w:tcW w:w="737" w:type="dxa"/>
            <w:shd w:val="clear" w:color="auto" w:fill="DCE7EB"/>
            <w:vAlign w:val="bottom"/>
            <w:hideMark/>
          </w:tcPr>
          <w:p w14:paraId="6B6C36BB" w14:textId="15BA94A8"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-0,7</w:t>
            </w:r>
          </w:p>
        </w:tc>
      </w:tr>
      <w:tr w:rsidR="001A5203" w:rsidRPr="00D829F0" w14:paraId="3F8A0A4D"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hideMark/>
          </w:tcPr>
          <w:p w14:paraId="11B25281" w14:textId="77777777" w:rsidR="001A5203" w:rsidRPr="00BD03C5" w:rsidRDefault="001A5203" w:rsidP="001A5203">
            <w:pPr>
              <w:spacing w:before="40" w:after="40"/>
              <w:ind w:left="171"/>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Veselības aprūpe un sociālā labklājība</w:t>
            </w:r>
          </w:p>
        </w:tc>
        <w:tc>
          <w:tcPr>
            <w:tcW w:w="623" w:type="dxa"/>
            <w:shd w:val="clear" w:color="auto" w:fill="auto"/>
            <w:noWrap/>
            <w:vAlign w:val="bottom"/>
            <w:hideMark/>
          </w:tcPr>
          <w:p w14:paraId="0113E227" w14:textId="77DA09B9"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28,8</w:t>
            </w:r>
          </w:p>
        </w:tc>
        <w:tc>
          <w:tcPr>
            <w:tcW w:w="737" w:type="dxa"/>
            <w:shd w:val="clear" w:color="auto" w:fill="auto"/>
            <w:noWrap/>
            <w:vAlign w:val="bottom"/>
            <w:hideMark/>
          </w:tcPr>
          <w:p w14:paraId="72D7A9FD" w14:textId="7761D1C4"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32,2</w:t>
            </w:r>
          </w:p>
        </w:tc>
        <w:tc>
          <w:tcPr>
            <w:tcW w:w="737" w:type="dxa"/>
            <w:shd w:val="clear" w:color="auto" w:fill="auto"/>
            <w:vAlign w:val="bottom"/>
            <w:hideMark/>
          </w:tcPr>
          <w:p w14:paraId="56A1351D" w14:textId="68E8E918"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39,8</w:t>
            </w:r>
          </w:p>
        </w:tc>
        <w:tc>
          <w:tcPr>
            <w:tcW w:w="737" w:type="dxa"/>
            <w:shd w:val="clear" w:color="auto" w:fill="auto"/>
            <w:vAlign w:val="bottom"/>
            <w:hideMark/>
          </w:tcPr>
          <w:p w14:paraId="017F75A0" w14:textId="77F70A6F"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3,0</w:t>
            </w:r>
          </w:p>
        </w:tc>
        <w:tc>
          <w:tcPr>
            <w:tcW w:w="737" w:type="dxa"/>
            <w:shd w:val="clear" w:color="auto" w:fill="auto"/>
            <w:vAlign w:val="bottom"/>
            <w:hideMark/>
          </w:tcPr>
          <w:p w14:paraId="11D037AC" w14:textId="22A7082F"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4</w:t>
            </w:r>
          </w:p>
        </w:tc>
        <w:tc>
          <w:tcPr>
            <w:tcW w:w="737" w:type="dxa"/>
            <w:shd w:val="clear" w:color="auto" w:fill="auto"/>
            <w:vAlign w:val="bottom"/>
            <w:hideMark/>
          </w:tcPr>
          <w:p w14:paraId="7BF46BF7" w14:textId="232019A4"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2</w:t>
            </w:r>
          </w:p>
        </w:tc>
        <w:tc>
          <w:tcPr>
            <w:tcW w:w="737" w:type="dxa"/>
            <w:shd w:val="clear" w:color="auto" w:fill="auto"/>
            <w:vAlign w:val="bottom"/>
            <w:hideMark/>
          </w:tcPr>
          <w:p w14:paraId="6ADEEE0F" w14:textId="26C88B0D"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3,4</w:t>
            </w:r>
          </w:p>
        </w:tc>
        <w:tc>
          <w:tcPr>
            <w:tcW w:w="737" w:type="dxa"/>
            <w:shd w:val="clear" w:color="auto" w:fill="auto"/>
            <w:vAlign w:val="bottom"/>
            <w:hideMark/>
          </w:tcPr>
          <w:p w14:paraId="055F9955" w14:textId="52D935E8"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11,0</w:t>
            </w:r>
          </w:p>
        </w:tc>
      </w:tr>
      <w:tr w:rsidR="001A5203" w:rsidRPr="00D829F0" w14:paraId="0E00137A" w14:textId="77777777" w:rsidTr="00C00800">
        <w:trPr>
          <w:cantSplit/>
          <w:trHeight w:val="20"/>
          <w:jc w:val="center"/>
        </w:trPr>
        <w:tc>
          <w:tcPr>
            <w:tcW w:w="3373" w:type="dxa"/>
            <w:shd w:val="clear" w:color="auto" w:fill="DCE7EB"/>
            <w:vAlign w:val="bottom"/>
          </w:tcPr>
          <w:p w14:paraId="2DB9FD32" w14:textId="77777777" w:rsidR="001A5203" w:rsidRPr="00BD03C5" w:rsidRDefault="001A5203" w:rsidP="001A5203">
            <w:pPr>
              <w:spacing w:before="40" w:after="40"/>
              <w:ind w:left="171"/>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Pakalpojumi</w:t>
            </w:r>
          </w:p>
        </w:tc>
        <w:tc>
          <w:tcPr>
            <w:tcW w:w="623" w:type="dxa"/>
            <w:shd w:val="clear" w:color="auto" w:fill="DCE7EB"/>
            <w:noWrap/>
            <w:vAlign w:val="bottom"/>
          </w:tcPr>
          <w:p w14:paraId="53333D1B" w14:textId="4F9843DB"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102,6</w:t>
            </w:r>
          </w:p>
        </w:tc>
        <w:tc>
          <w:tcPr>
            <w:tcW w:w="737" w:type="dxa"/>
            <w:shd w:val="clear" w:color="auto" w:fill="DCE7EB"/>
            <w:noWrap/>
            <w:vAlign w:val="bottom"/>
          </w:tcPr>
          <w:p w14:paraId="6FBC1BC2" w14:textId="0A8F6148"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98,9</w:t>
            </w:r>
          </w:p>
        </w:tc>
        <w:tc>
          <w:tcPr>
            <w:tcW w:w="737" w:type="dxa"/>
            <w:shd w:val="clear" w:color="auto" w:fill="DCE7EB"/>
            <w:vAlign w:val="bottom"/>
          </w:tcPr>
          <w:p w14:paraId="1E81D159" w14:textId="102CDE1A"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89,7</w:t>
            </w:r>
          </w:p>
        </w:tc>
        <w:tc>
          <w:tcPr>
            <w:tcW w:w="737" w:type="dxa"/>
            <w:shd w:val="clear" w:color="auto" w:fill="DCE7EB"/>
            <w:vAlign w:val="bottom"/>
          </w:tcPr>
          <w:p w14:paraId="7548FE26" w14:textId="65F1BDC0"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10,8</w:t>
            </w:r>
          </w:p>
        </w:tc>
        <w:tc>
          <w:tcPr>
            <w:tcW w:w="737" w:type="dxa"/>
            <w:shd w:val="clear" w:color="auto" w:fill="DCE7EB"/>
            <w:vAlign w:val="bottom"/>
          </w:tcPr>
          <w:p w14:paraId="0C4AE833" w14:textId="5E051B97"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10</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4</w:t>
            </w:r>
          </w:p>
        </w:tc>
        <w:tc>
          <w:tcPr>
            <w:tcW w:w="737" w:type="dxa"/>
            <w:shd w:val="clear" w:color="auto" w:fill="DCE7EB"/>
            <w:vAlign w:val="bottom"/>
          </w:tcPr>
          <w:p w14:paraId="30BAB1B0" w14:textId="70365AF3"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9</w:t>
            </w:r>
            <w:r w:rsidR="00F76D2A"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6</w:t>
            </w:r>
          </w:p>
        </w:tc>
        <w:tc>
          <w:tcPr>
            <w:tcW w:w="737" w:type="dxa"/>
            <w:shd w:val="clear" w:color="auto" w:fill="DCE7EB"/>
            <w:vAlign w:val="bottom"/>
          </w:tcPr>
          <w:p w14:paraId="053F7985" w14:textId="5504B158"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-3,7</w:t>
            </w:r>
          </w:p>
        </w:tc>
        <w:tc>
          <w:tcPr>
            <w:tcW w:w="737" w:type="dxa"/>
            <w:shd w:val="clear" w:color="auto" w:fill="DCE7EB"/>
            <w:vAlign w:val="bottom"/>
          </w:tcPr>
          <w:p w14:paraId="6F2588DA" w14:textId="7FABA35F" w:rsidR="001A5203" w:rsidRPr="00C00800" w:rsidRDefault="001A5203" w:rsidP="001A5203">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-12,9</w:t>
            </w:r>
          </w:p>
        </w:tc>
      </w:tr>
      <w:tr w:rsidR="00C03C20" w:rsidRPr="00D829F0" w14:paraId="311ED492"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tcPr>
          <w:p w14:paraId="33F7E199" w14:textId="77777777" w:rsidR="00267AA4" w:rsidRPr="00BD03C5" w:rsidRDefault="00267AA4">
            <w:pPr>
              <w:spacing w:before="40" w:after="40"/>
              <w:ind w:left="171"/>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Citur neklasificētās tematiskās grupas</w:t>
            </w:r>
          </w:p>
        </w:tc>
        <w:tc>
          <w:tcPr>
            <w:tcW w:w="623" w:type="dxa"/>
            <w:shd w:val="clear" w:color="auto" w:fill="auto"/>
            <w:noWrap/>
          </w:tcPr>
          <w:p w14:paraId="47967FDA" w14:textId="2422C10D" w:rsidR="00267AA4" w:rsidRPr="00C00800" w:rsidRDefault="00267AA4">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8</w:t>
            </w:r>
            <w:r w:rsidR="00717317" w:rsidRPr="00C00800">
              <w:rPr>
                <w:rFonts w:ascii="Segoe UI Light" w:hAnsi="Segoe UI Light" w:cs="Segoe UI Light"/>
                <w:color w:val="000000"/>
                <w:sz w:val="16"/>
                <w:szCs w:val="16"/>
              </w:rPr>
              <w:t>2,3</w:t>
            </w:r>
          </w:p>
        </w:tc>
        <w:tc>
          <w:tcPr>
            <w:tcW w:w="737" w:type="dxa"/>
            <w:shd w:val="clear" w:color="auto" w:fill="auto"/>
            <w:noWrap/>
          </w:tcPr>
          <w:p w14:paraId="73B39CCB" w14:textId="29B2B079" w:rsidR="00267AA4" w:rsidRPr="00C00800" w:rsidRDefault="00267AA4">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7</w:t>
            </w:r>
            <w:r w:rsidR="005E7847" w:rsidRPr="00C00800">
              <w:rPr>
                <w:rFonts w:ascii="Segoe UI Light" w:hAnsi="Segoe UI Light" w:cs="Segoe UI Light"/>
                <w:color w:val="000000"/>
                <w:sz w:val="16"/>
                <w:szCs w:val="16"/>
              </w:rPr>
              <w:t>6,3</w:t>
            </w:r>
          </w:p>
        </w:tc>
        <w:tc>
          <w:tcPr>
            <w:tcW w:w="737" w:type="dxa"/>
            <w:shd w:val="clear" w:color="auto" w:fill="auto"/>
          </w:tcPr>
          <w:p w14:paraId="4C930657" w14:textId="2DF058F4" w:rsidR="00267AA4" w:rsidRPr="00C00800" w:rsidRDefault="005E7847">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61,6</w:t>
            </w:r>
          </w:p>
        </w:tc>
        <w:tc>
          <w:tcPr>
            <w:tcW w:w="737" w:type="dxa"/>
            <w:shd w:val="clear" w:color="auto" w:fill="auto"/>
          </w:tcPr>
          <w:p w14:paraId="3F671557" w14:textId="6D1BEAEC" w:rsidR="00267AA4" w:rsidRPr="00C00800" w:rsidRDefault="00DC4DB1">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8,7</w:t>
            </w:r>
          </w:p>
        </w:tc>
        <w:tc>
          <w:tcPr>
            <w:tcW w:w="737" w:type="dxa"/>
            <w:shd w:val="clear" w:color="auto" w:fill="auto"/>
          </w:tcPr>
          <w:p w14:paraId="70AA8D5C" w14:textId="4187D9A8" w:rsidR="00267AA4" w:rsidRPr="00C00800" w:rsidRDefault="00DC4DB1">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8,0</w:t>
            </w:r>
          </w:p>
        </w:tc>
        <w:tc>
          <w:tcPr>
            <w:tcW w:w="737" w:type="dxa"/>
            <w:shd w:val="clear" w:color="auto" w:fill="auto"/>
          </w:tcPr>
          <w:p w14:paraId="59FDEBB2" w14:textId="68DBECC3" w:rsidR="00267AA4" w:rsidRPr="00C00800" w:rsidRDefault="00DC4DB1">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6,6</w:t>
            </w:r>
          </w:p>
        </w:tc>
        <w:tc>
          <w:tcPr>
            <w:tcW w:w="737" w:type="dxa"/>
            <w:shd w:val="clear" w:color="auto" w:fill="auto"/>
          </w:tcPr>
          <w:p w14:paraId="7D47ED71" w14:textId="62E7F336" w:rsidR="00267AA4" w:rsidRPr="00C00800" w:rsidRDefault="00267AA4">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w:t>
            </w:r>
            <w:r w:rsidR="00B052D1" w:rsidRPr="00C00800">
              <w:rPr>
                <w:rFonts w:ascii="Segoe UI Light" w:hAnsi="Segoe UI Light" w:cs="Segoe UI Light"/>
                <w:color w:val="000000"/>
                <w:sz w:val="16"/>
                <w:szCs w:val="16"/>
              </w:rPr>
              <w:t>6,0</w:t>
            </w:r>
          </w:p>
        </w:tc>
        <w:tc>
          <w:tcPr>
            <w:tcW w:w="737" w:type="dxa"/>
            <w:shd w:val="clear" w:color="auto" w:fill="auto"/>
          </w:tcPr>
          <w:p w14:paraId="4B6D09D4" w14:textId="52EF261E" w:rsidR="00267AA4" w:rsidRPr="00C00800" w:rsidRDefault="00267AA4">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w:t>
            </w:r>
            <w:r w:rsidR="00C6692E" w:rsidRPr="00C00800">
              <w:rPr>
                <w:rFonts w:ascii="Segoe UI Light" w:hAnsi="Segoe UI Light" w:cs="Segoe UI Light"/>
                <w:color w:val="000000"/>
                <w:sz w:val="16"/>
                <w:szCs w:val="16"/>
              </w:rPr>
              <w:t>20,8</w:t>
            </w:r>
          </w:p>
        </w:tc>
      </w:tr>
      <w:tr w:rsidR="00FD2CA1" w:rsidRPr="00D829F0" w14:paraId="6EB4B368" w14:textId="77777777" w:rsidTr="00C00800">
        <w:trPr>
          <w:cantSplit/>
          <w:trHeight w:val="20"/>
          <w:jc w:val="center"/>
        </w:trPr>
        <w:tc>
          <w:tcPr>
            <w:tcW w:w="3373" w:type="dxa"/>
            <w:shd w:val="clear" w:color="auto" w:fill="DCE7EB"/>
            <w:vAlign w:val="bottom"/>
            <w:hideMark/>
          </w:tcPr>
          <w:p w14:paraId="06CDB49E" w14:textId="77777777" w:rsidR="00FD2CA1" w:rsidRPr="00205888" w:rsidRDefault="00FD2CA1" w:rsidP="00FD2CA1">
            <w:pPr>
              <w:spacing w:before="40" w:after="40"/>
              <w:rPr>
                <w:rFonts w:ascii="Segoe UI Light" w:eastAsia="Times New Roman" w:hAnsi="Segoe UI Light"/>
                <w:sz w:val="16"/>
                <w:szCs w:val="18"/>
                <w:lang w:eastAsia="lv-LV"/>
              </w:rPr>
            </w:pPr>
            <w:r w:rsidRPr="00205888">
              <w:rPr>
                <w:rFonts w:ascii="Segoe UI Light" w:eastAsia="Times New Roman" w:hAnsi="Segoe UI Light"/>
                <w:sz w:val="16"/>
                <w:szCs w:val="18"/>
                <w:lang w:eastAsia="lv-LV"/>
              </w:rPr>
              <w:t>Vidējā izglītība, tai skaitā:</w:t>
            </w:r>
          </w:p>
        </w:tc>
        <w:tc>
          <w:tcPr>
            <w:tcW w:w="623" w:type="dxa"/>
            <w:shd w:val="clear" w:color="auto" w:fill="DCE7EB"/>
            <w:noWrap/>
            <w:hideMark/>
          </w:tcPr>
          <w:p w14:paraId="1C96C121" w14:textId="3C3BF4A8" w:rsidR="00FD2CA1" w:rsidRPr="00205888" w:rsidRDefault="0034416B" w:rsidP="00FD2CA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480,7</w:t>
            </w:r>
          </w:p>
        </w:tc>
        <w:tc>
          <w:tcPr>
            <w:tcW w:w="737" w:type="dxa"/>
            <w:shd w:val="clear" w:color="auto" w:fill="DCE7EB"/>
            <w:noWrap/>
            <w:hideMark/>
          </w:tcPr>
          <w:p w14:paraId="5E7BDD83" w14:textId="310A2A37" w:rsidR="00FD2CA1" w:rsidRPr="00205888" w:rsidRDefault="0034416B" w:rsidP="00FD2CA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439,1</w:t>
            </w:r>
          </w:p>
        </w:tc>
        <w:tc>
          <w:tcPr>
            <w:tcW w:w="737" w:type="dxa"/>
            <w:shd w:val="clear" w:color="auto" w:fill="DCE7EB"/>
            <w:hideMark/>
          </w:tcPr>
          <w:p w14:paraId="50EDD237" w14:textId="733EEE53" w:rsidR="00FD2CA1" w:rsidRPr="00205888" w:rsidRDefault="00523E5B" w:rsidP="00FD2CA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405,4</w:t>
            </w:r>
          </w:p>
        </w:tc>
        <w:tc>
          <w:tcPr>
            <w:tcW w:w="737" w:type="dxa"/>
            <w:shd w:val="clear" w:color="auto" w:fill="DCE7EB"/>
            <w:vAlign w:val="bottom"/>
            <w:hideMark/>
          </w:tcPr>
          <w:p w14:paraId="4EA669D6" w14:textId="62001528" w:rsidR="00FD2CA1" w:rsidRPr="00205888" w:rsidRDefault="00FD2CA1" w:rsidP="00FD2CA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50</w:t>
            </w:r>
            <w:r w:rsidR="00D34FB6" w:rsidRPr="00205888">
              <w:rPr>
                <w:rFonts w:ascii="Segoe UI Light" w:hAnsi="Segoe UI Light" w:cs="Segoe UI Light"/>
                <w:color w:val="000000"/>
                <w:sz w:val="16"/>
                <w:szCs w:val="16"/>
              </w:rPr>
              <w:t>,</w:t>
            </w:r>
            <w:r w:rsidR="00CC0EE1" w:rsidRPr="00205888">
              <w:rPr>
                <w:rFonts w:ascii="Segoe UI Light" w:hAnsi="Segoe UI Light" w:cs="Segoe UI Light"/>
                <w:color w:val="000000"/>
                <w:sz w:val="16"/>
                <w:szCs w:val="16"/>
              </w:rPr>
              <w:t>7</w:t>
            </w:r>
          </w:p>
        </w:tc>
        <w:tc>
          <w:tcPr>
            <w:tcW w:w="737" w:type="dxa"/>
            <w:shd w:val="clear" w:color="auto" w:fill="DCE7EB"/>
            <w:vAlign w:val="bottom"/>
            <w:hideMark/>
          </w:tcPr>
          <w:p w14:paraId="6137191F" w14:textId="66ACC2D7" w:rsidR="00FD2CA1" w:rsidRPr="00205888" w:rsidRDefault="00FD2CA1" w:rsidP="00FD2CA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w:t>
            </w:r>
            <w:r w:rsidR="00CC0EE1" w:rsidRPr="00205888">
              <w:rPr>
                <w:rFonts w:ascii="Segoe UI Light" w:hAnsi="Segoe UI Light" w:cs="Segoe UI Light"/>
                <w:color w:val="000000"/>
                <w:sz w:val="16"/>
                <w:szCs w:val="16"/>
              </w:rPr>
              <w:t>6,0</w:t>
            </w:r>
          </w:p>
        </w:tc>
        <w:tc>
          <w:tcPr>
            <w:tcW w:w="737" w:type="dxa"/>
            <w:shd w:val="clear" w:color="auto" w:fill="DCE7EB"/>
            <w:vAlign w:val="bottom"/>
            <w:hideMark/>
          </w:tcPr>
          <w:p w14:paraId="19CBA70F" w14:textId="179793AB" w:rsidR="00FD2CA1" w:rsidRPr="00205888" w:rsidRDefault="00FD2CA1" w:rsidP="00FD2CA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43</w:t>
            </w:r>
            <w:r w:rsidR="00D34FB6" w:rsidRPr="00205888">
              <w:rPr>
                <w:rFonts w:ascii="Segoe UI Light" w:hAnsi="Segoe UI Light" w:cs="Segoe UI Light"/>
                <w:color w:val="000000"/>
                <w:sz w:val="16"/>
                <w:szCs w:val="16"/>
              </w:rPr>
              <w:t>,</w:t>
            </w:r>
            <w:r w:rsidR="00CC0EE1" w:rsidRPr="00205888">
              <w:rPr>
                <w:rFonts w:ascii="Segoe UI Light" w:hAnsi="Segoe UI Light" w:cs="Segoe UI Light"/>
                <w:color w:val="000000"/>
                <w:sz w:val="16"/>
                <w:szCs w:val="16"/>
              </w:rPr>
              <w:t>3</w:t>
            </w:r>
          </w:p>
        </w:tc>
        <w:tc>
          <w:tcPr>
            <w:tcW w:w="737" w:type="dxa"/>
            <w:shd w:val="clear" w:color="auto" w:fill="DCE7EB"/>
            <w:hideMark/>
          </w:tcPr>
          <w:p w14:paraId="34D4BA66" w14:textId="50914BF1" w:rsidR="00FD2CA1" w:rsidRPr="00205888" w:rsidRDefault="00FD2CA1" w:rsidP="00FD2CA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-4</w:t>
            </w:r>
            <w:r w:rsidR="00523E5B" w:rsidRPr="00205888">
              <w:rPr>
                <w:rFonts w:ascii="Segoe UI Light" w:hAnsi="Segoe UI Light" w:cs="Segoe UI Light"/>
                <w:color w:val="000000"/>
                <w:sz w:val="16"/>
                <w:szCs w:val="16"/>
              </w:rPr>
              <w:t>1,6</w:t>
            </w:r>
          </w:p>
        </w:tc>
        <w:tc>
          <w:tcPr>
            <w:tcW w:w="737" w:type="dxa"/>
            <w:shd w:val="clear" w:color="auto" w:fill="DCE7EB"/>
            <w:hideMark/>
          </w:tcPr>
          <w:p w14:paraId="5FFFADA0" w14:textId="553A80A4" w:rsidR="00FD2CA1" w:rsidRPr="00205888" w:rsidRDefault="00FD2CA1" w:rsidP="00FD2CA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-7</w:t>
            </w:r>
            <w:r w:rsidR="003C4E70" w:rsidRPr="00205888">
              <w:rPr>
                <w:rFonts w:ascii="Segoe UI Light" w:hAnsi="Segoe UI Light" w:cs="Segoe UI Light"/>
                <w:color w:val="000000"/>
                <w:sz w:val="16"/>
                <w:szCs w:val="16"/>
              </w:rPr>
              <w:t>5</w:t>
            </w:r>
            <w:r w:rsidRPr="00205888">
              <w:rPr>
                <w:rFonts w:ascii="Segoe UI Light" w:hAnsi="Segoe UI Light" w:cs="Segoe UI Light"/>
                <w:color w:val="000000"/>
                <w:sz w:val="16"/>
                <w:szCs w:val="16"/>
              </w:rPr>
              <w:t>,3</w:t>
            </w:r>
          </w:p>
        </w:tc>
      </w:tr>
      <w:tr w:rsidR="00C03C20" w:rsidRPr="00D829F0" w14:paraId="33D7778C" w14:textId="77777777" w:rsidTr="00C00800">
        <w:trPr>
          <w:cnfStyle w:val="000000100000" w:firstRow="0" w:lastRow="0" w:firstColumn="0" w:lastColumn="0" w:oddVBand="0" w:evenVBand="0" w:oddHBand="1" w:evenHBand="0" w:firstRowFirstColumn="0" w:firstRowLastColumn="0" w:lastRowFirstColumn="0" w:lastRowLastColumn="0"/>
          <w:cantSplit/>
          <w:trHeight w:val="283"/>
          <w:jc w:val="center"/>
        </w:trPr>
        <w:tc>
          <w:tcPr>
            <w:tcW w:w="3373" w:type="dxa"/>
            <w:shd w:val="clear" w:color="auto" w:fill="auto"/>
            <w:vAlign w:val="bottom"/>
          </w:tcPr>
          <w:p w14:paraId="25538648" w14:textId="77777777" w:rsidR="00267AA4" w:rsidRPr="00205888" w:rsidRDefault="00267AA4">
            <w:pPr>
              <w:spacing w:before="40" w:after="40"/>
              <w:ind w:left="170"/>
              <w:rPr>
                <w:rFonts w:ascii="Segoe UI Light" w:eastAsia="Times New Roman" w:hAnsi="Segoe UI Light"/>
                <w:sz w:val="16"/>
                <w:szCs w:val="18"/>
                <w:lang w:eastAsia="lv-LV"/>
              </w:rPr>
            </w:pPr>
            <w:r w:rsidRPr="00205888">
              <w:rPr>
                <w:rFonts w:ascii="Segoe UI Light" w:eastAsia="Times New Roman" w:hAnsi="Segoe UI Light"/>
                <w:sz w:val="16"/>
                <w:szCs w:val="18"/>
                <w:lang w:eastAsia="lv-LV"/>
              </w:rPr>
              <w:t>Arodizglītība un profesionālā vidējā izglītība:</w:t>
            </w:r>
          </w:p>
        </w:tc>
        <w:tc>
          <w:tcPr>
            <w:tcW w:w="623" w:type="dxa"/>
            <w:shd w:val="clear" w:color="auto" w:fill="auto"/>
            <w:noWrap/>
          </w:tcPr>
          <w:p w14:paraId="10534868" w14:textId="702A2A00" w:rsidR="00267AA4" w:rsidRPr="00205888" w:rsidRDefault="006D23E1">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274,5</w:t>
            </w:r>
          </w:p>
        </w:tc>
        <w:tc>
          <w:tcPr>
            <w:tcW w:w="737" w:type="dxa"/>
            <w:shd w:val="clear" w:color="auto" w:fill="auto"/>
            <w:noWrap/>
          </w:tcPr>
          <w:p w14:paraId="660D85DC" w14:textId="20F61984"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23</w:t>
            </w:r>
            <w:r w:rsidR="00FA55E9" w:rsidRPr="00205888">
              <w:rPr>
                <w:rFonts w:ascii="Segoe UI Light" w:hAnsi="Segoe UI Light" w:cs="Segoe UI Light"/>
                <w:color w:val="000000"/>
                <w:sz w:val="16"/>
                <w:szCs w:val="16"/>
              </w:rPr>
              <w:t>5,7</w:t>
            </w:r>
          </w:p>
        </w:tc>
        <w:tc>
          <w:tcPr>
            <w:tcW w:w="737" w:type="dxa"/>
            <w:shd w:val="clear" w:color="auto" w:fill="auto"/>
          </w:tcPr>
          <w:p w14:paraId="2FD53F16" w14:textId="798B84C2"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1</w:t>
            </w:r>
            <w:r w:rsidR="00AB3980" w:rsidRPr="00205888">
              <w:rPr>
                <w:rFonts w:ascii="Segoe UI Light" w:hAnsi="Segoe UI Light" w:cs="Segoe UI Light"/>
                <w:color w:val="000000"/>
                <w:sz w:val="16"/>
                <w:szCs w:val="16"/>
              </w:rPr>
              <w:t>92,3</w:t>
            </w:r>
          </w:p>
        </w:tc>
        <w:tc>
          <w:tcPr>
            <w:tcW w:w="737" w:type="dxa"/>
            <w:shd w:val="clear" w:color="auto" w:fill="auto"/>
          </w:tcPr>
          <w:p w14:paraId="22E1F3A1" w14:textId="29FF13D9"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w:t>
            </w:r>
            <w:r w:rsidR="00CF0B88" w:rsidRPr="00205888">
              <w:rPr>
                <w:rFonts w:ascii="Segoe UI Light" w:hAnsi="Segoe UI Light" w:cs="Segoe UI Light"/>
                <w:color w:val="000000"/>
                <w:sz w:val="16"/>
                <w:szCs w:val="16"/>
              </w:rPr>
              <w:t>8,9</w:t>
            </w:r>
          </w:p>
        </w:tc>
        <w:tc>
          <w:tcPr>
            <w:tcW w:w="737" w:type="dxa"/>
            <w:shd w:val="clear" w:color="auto" w:fill="auto"/>
          </w:tcPr>
          <w:p w14:paraId="514C29A6" w14:textId="2D9ACC64"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24</w:t>
            </w:r>
            <w:r w:rsidR="007C6512" w:rsidRPr="00205888">
              <w:rPr>
                <w:rFonts w:ascii="Segoe UI Light" w:hAnsi="Segoe UI Light" w:cs="Segoe UI Light"/>
                <w:color w:val="000000"/>
                <w:sz w:val="16"/>
                <w:szCs w:val="16"/>
              </w:rPr>
              <w:t>,</w:t>
            </w:r>
            <w:r w:rsidR="00CF0B88" w:rsidRPr="00205888">
              <w:rPr>
                <w:rFonts w:ascii="Segoe UI Light" w:hAnsi="Segoe UI Light" w:cs="Segoe UI Light"/>
                <w:color w:val="000000"/>
                <w:sz w:val="16"/>
                <w:szCs w:val="16"/>
              </w:rPr>
              <w:t>7</w:t>
            </w:r>
          </w:p>
        </w:tc>
        <w:tc>
          <w:tcPr>
            <w:tcW w:w="737" w:type="dxa"/>
            <w:shd w:val="clear" w:color="auto" w:fill="auto"/>
          </w:tcPr>
          <w:p w14:paraId="71E6AE0D" w14:textId="6582FA12" w:rsidR="00267AA4" w:rsidRPr="00205888" w:rsidRDefault="00CF0B88">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20,5</w:t>
            </w:r>
          </w:p>
        </w:tc>
        <w:tc>
          <w:tcPr>
            <w:tcW w:w="737" w:type="dxa"/>
            <w:shd w:val="clear" w:color="auto" w:fill="auto"/>
          </w:tcPr>
          <w:p w14:paraId="39B02661" w14:textId="052A069C"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w:t>
            </w:r>
            <w:r w:rsidR="001B5DBB" w:rsidRPr="00205888">
              <w:rPr>
                <w:rFonts w:ascii="Segoe UI Light" w:hAnsi="Segoe UI Light" w:cs="Segoe UI Light"/>
                <w:color w:val="000000"/>
                <w:sz w:val="16"/>
                <w:szCs w:val="16"/>
              </w:rPr>
              <w:t>38,8</w:t>
            </w:r>
          </w:p>
        </w:tc>
        <w:tc>
          <w:tcPr>
            <w:tcW w:w="737" w:type="dxa"/>
            <w:shd w:val="clear" w:color="auto" w:fill="auto"/>
          </w:tcPr>
          <w:p w14:paraId="35BD223E" w14:textId="0ED540A0"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w:t>
            </w:r>
            <w:r w:rsidR="005C1FD6" w:rsidRPr="00205888">
              <w:rPr>
                <w:rFonts w:ascii="Segoe UI Light" w:hAnsi="Segoe UI Light" w:cs="Segoe UI Light"/>
                <w:color w:val="000000"/>
                <w:sz w:val="16"/>
                <w:szCs w:val="16"/>
              </w:rPr>
              <w:t>82,2</w:t>
            </w:r>
          </w:p>
        </w:tc>
      </w:tr>
      <w:tr w:rsidR="00DA09FC" w:rsidRPr="00D829F0" w14:paraId="5CAFF3A3" w14:textId="77777777" w:rsidTr="00C00800">
        <w:trPr>
          <w:cantSplit/>
          <w:trHeight w:val="20"/>
          <w:jc w:val="center"/>
        </w:trPr>
        <w:tc>
          <w:tcPr>
            <w:tcW w:w="3373" w:type="dxa"/>
            <w:shd w:val="clear" w:color="auto" w:fill="DCE7EB"/>
            <w:vAlign w:val="bottom"/>
            <w:hideMark/>
          </w:tcPr>
          <w:p w14:paraId="6C11F339" w14:textId="77777777" w:rsidR="00DA09FC" w:rsidRPr="00BD03C5" w:rsidRDefault="00DA09FC" w:rsidP="00DA09FC">
            <w:pPr>
              <w:spacing w:before="40" w:after="40"/>
              <w:ind w:left="340"/>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Izglītība</w:t>
            </w:r>
          </w:p>
        </w:tc>
        <w:tc>
          <w:tcPr>
            <w:tcW w:w="623" w:type="dxa"/>
            <w:shd w:val="clear" w:color="auto" w:fill="DCE7EB"/>
            <w:noWrap/>
            <w:vAlign w:val="bottom"/>
            <w:hideMark/>
          </w:tcPr>
          <w:p w14:paraId="07ACC8D9" w14:textId="52E73175"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2,8</w:t>
            </w:r>
          </w:p>
        </w:tc>
        <w:tc>
          <w:tcPr>
            <w:tcW w:w="737" w:type="dxa"/>
            <w:shd w:val="clear" w:color="auto" w:fill="DCE7EB"/>
            <w:noWrap/>
            <w:vAlign w:val="bottom"/>
            <w:hideMark/>
          </w:tcPr>
          <w:p w14:paraId="0AA1D91E" w14:textId="13ACE2F1"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2,0</w:t>
            </w:r>
          </w:p>
        </w:tc>
        <w:tc>
          <w:tcPr>
            <w:tcW w:w="737" w:type="dxa"/>
            <w:shd w:val="clear" w:color="auto" w:fill="DCE7EB"/>
            <w:vAlign w:val="bottom"/>
            <w:hideMark/>
          </w:tcPr>
          <w:p w14:paraId="7E1314C8" w14:textId="4A2FFB63"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0,8</w:t>
            </w:r>
          </w:p>
        </w:tc>
        <w:tc>
          <w:tcPr>
            <w:tcW w:w="737" w:type="dxa"/>
            <w:shd w:val="clear" w:color="auto" w:fill="DCE7EB"/>
            <w:vAlign w:val="bottom"/>
            <w:hideMark/>
          </w:tcPr>
          <w:p w14:paraId="3D114866" w14:textId="7916DCE0"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0,3</w:t>
            </w:r>
          </w:p>
        </w:tc>
        <w:tc>
          <w:tcPr>
            <w:tcW w:w="737" w:type="dxa"/>
            <w:shd w:val="clear" w:color="auto" w:fill="DCE7EB"/>
            <w:vAlign w:val="bottom"/>
            <w:hideMark/>
          </w:tcPr>
          <w:p w14:paraId="5B1341C0" w14:textId="5363D48F"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0,2</w:t>
            </w:r>
          </w:p>
        </w:tc>
        <w:tc>
          <w:tcPr>
            <w:tcW w:w="737" w:type="dxa"/>
            <w:shd w:val="clear" w:color="auto" w:fill="DCE7EB"/>
            <w:vAlign w:val="bottom"/>
            <w:hideMark/>
          </w:tcPr>
          <w:p w14:paraId="0CCE54A5" w14:textId="315FFFCB"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0,1</w:t>
            </w:r>
          </w:p>
        </w:tc>
        <w:tc>
          <w:tcPr>
            <w:tcW w:w="737" w:type="dxa"/>
            <w:shd w:val="clear" w:color="auto" w:fill="DCE7EB"/>
            <w:vAlign w:val="bottom"/>
            <w:hideMark/>
          </w:tcPr>
          <w:p w14:paraId="6291F503" w14:textId="71F206F4"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-0,8</w:t>
            </w:r>
          </w:p>
        </w:tc>
        <w:tc>
          <w:tcPr>
            <w:tcW w:w="737" w:type="dxa"/>
            <w:shd w:val="clear" w:color="auto" w:fill="DCE7EB"/>
            <w:vAlign w:val="bottom"/>
            <w:hideMark/>
          </w:tcPr>
          <w:p w14:paraId="14716157" w14:textId="633F210F"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0</w:t>
            </w:r>
          </w:p>
        </w:tc>
      </w:tr>
      <w:tr w:rsidR="00DA09FC" w:rsidRPr="00D829F0" w14:paraId="3597461A"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hideMark/>
          </w:tcPr>
          <w:p w14:paraId="6522946C" w14:textId="77777777" w:rsidR="00DA09FC" w:rsidRPr="00BD03C5" w:rsidRDefault="00DA09FC" w:rsidP="00DA09FC">
            <w:pPr>
              <w:spacing w:before="40" w:after="40"/>
              <w:ind w:left="340"/>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Humanitārās zinātnes un māksla</w:t>
            </w:r>
          </w:p>
        </w:tc>
        <w:tc>
          <w:tcPr>
            <w:tcW w:w="623" w:type="dxa"/>
            <w:shd w:val="clear" w:color="auto" w:fill="auto"/>
            <w:noWrap/>
            <w:vAlign w:val="bottom"/>
            <w:hideMark/>
          </w:tcPr>
          <w:p w14:paraId="7AA4D5C3" w14:textId="4E50A9E8"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7,7</w:t>
            </w:r>
          </w:p>
        </w:tc>
        <w:tc>
          <w:tcPr>
            <w:tcW w:w="737" w:type="dxa"/>
            <w:shd w:val="clear" w:color="auto" w:fill="auto"/>
            <w:noWrap/>
            <w:vAlign w:val="bottom"/>
            <w:hideMark/>
          </w:tcPr>
          <w:p w14:paraId="20A99493" w14:textId="70F0DFFC"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7,9</w:t>
            </w:r>
          </w:p>
        </w:tc>
        <w:tc>
          <w:tcPr>
            <w:tcW w:w="737" w:type="dxa"/>
            <w:shd w:val="clear" w:color="auto" w:fill="auto"/>
            <w:vAlign w:val="bottom"/>
            <w:hideMark/>
          </w:tcPr>
          <w:p w14:paraId="24B59343" w14:textId="004F2099"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10,2</w:t>
            </w:r>
          </w:p>
        </w:tc>
        <w:tc>
          <w:tcPr>
            <w:tcW w:w="737" w:type="dxa"/>
            <w:shd w:val="clear" w:color="auto" w:fill="auto"/>
            <w:vAlign w:val="bottom"/>
            <w:hideMark/>
          </w:tcPr>
          <w:p w14:paraId="64DF2C3B" w14:textId="7C17C6C1"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0,8</w:t>
            </w:r>
          </w:p>
        </w:tc>
        <w:tc>
          <w:tcPr>
            <w:tcW w:w="737" w:type="dxa"/>
            <w:shd w:val="clear" w:color="auto" w:fill="auto"/>
            <w:vAlign w:val="bottom"/>
            <w:hideMark/>
          </w:tcPr>
          <w:p w14:paraId="60B0CACB" w14:textId="668CD05D"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0,8</w:t>
            </w:r>
          </w:p>
        </w:tc>
        <w:tc>
          <w:tcPr>
            <w:tcW w:w="737" w:type="dxa"/>
            <w:shd w:val="clear" w:color="auto" w:fill="auto"/>
            <w:vAlign w:val="bottom"/>
            <w:hideMark/>
          </w:tcPr>
          <w:p w14:paraId="7960B525" w14:textId="4831F164"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1,1</w:t>
            </w:r>
          </w:p>
        </w:tc>
        <w:tc>
          <w:tcPr>
            <w:tcW w:w="737" w:type="dxa"/>
            <w:shd w:val="clear" w:color="auto" w:fill="auto"/>
            <w:vAlign w:val="bottom"/>
            <w:hideMark/>
          </w:tcPr>
          <w:p w14:paraId="0E123FC2" w14:textId="745FB488"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0,3</w:t>
            </w:r>
          </w:p>
        </w:tc>
        <w:tc>
          <w:tcPr>
            <w:tcW w:w="737" w:type="dxa"/>
            <w:shd w:val="clear" w:color="auto" w:fill="auto"/>
            <w:vAlign w:val="bottom"/>
            <w:hideMark/>
          </w:tcPr>
          <w:p w14:paraId="6D24BDEE" w14:textId="55AD95BE"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5</w:t>
            </w:r>
          </w:p>
        </w:tc>
      </w:tr>
      <w:tr w:rsidR="00DA09FC" w:rsidRPr="00D829F0" w14:paraId="74480F68" w14:textId="77777777" w:rsidTr="00C00800">
        <w:trPr>
          <w:cantSplit/>
          <w:trHeight w:val="20"/>
          <w:jc w:val="center"/>
        </w:trPr>
        <w:tc>
          <w:tcPr>
            <w:tcW w:w="3373" w:type="dxa"/>
            <w:shd w:val="clear" w:color="auto" w:fill="DCE7EB"/>
            <w:vAlign w:val="bottom"/>
            <w:hideMark/>
          </w:tcPr>
          <w:p w14:paraId="076929FE" w14:textId="77777777" w:rsidR="00DA09FC" w:rsidRPr="00BD03C5" w:rsidRDefault="00DA09FC" w:rsidP="00DA09FC">
            <w:pPr>
              <w:spacing w:before="40" w:after="40"/>
              <w:ind w:left="340"/>
              <w:rPr>
                <w:rFonts w:ascii="Segoe UI Light" w:eastAsia="Times New Roman" w:hAnsi="Segoe UI Light"/>
                <w:spacing w:val="-4"/>
                <w:sz w:val="16"/>
                <w:szCs w:val="18"/>
                <w:lang w:eastAsia="lv-LV"/>
              </w:rPr>
            </w:pPr>
            <w:r w:rsidRPr="00BD03C5">
              <w:rPr>
                <w:rFonts w:ascii="Segoe UI Light" w:eastAsia="Times New Roman" w:hAnsi="Segoe UI Light"/>
                <w:spacing w:val="-4"/>
                <w:sz w:val="16"/>
                <w:szCs w:val="18"/>
                <w:lang w:eastAsia="lv-LV"/>
              </w:rPr>
              <w:t>Sociālās zinātnes, komerczinības un tiesības</w:t>
            </w:r>
          </w:p>
        </w:tc>
        <w:tc>
          <w:tcPr>
            <w:tcW w:w="623" w:type="dxa"/>
            <w:shd w:val="clear" w:color="auto" w:fill="DCE7EB"/>
            <w:noWrap/>
            <w:vAlign w:val="bottom"/>
            <w:hideMark/>
          </w:tcPr>
          <w:p w14:paraId="687CA0E1" w14:textId="2E55E926"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22,2</w:t>
            </w:r>
          </w:p>
        </w:tc>
        <w:tc>
          <w:tcPr>
            <w:tcW w:w="737" w:type="dxa"/>
            <w:shd w:val="clear" w:color="auto" w:fill="DCE7EB"/>
            <w:noWrap/>
            <w:vAlign w:val="bottom"/>
            <w:hideMark/>
          </w:tcPr>
          <w:p w14:paraId="1034CD01" w14:textId="66A518A3"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18,8</w:t>
            </w:r>
          </w:p>
        </w:tc>
        <w:tc>
          <w:tcPr>
            <w:tcW w:w="737" w:type="dxa"/>
            <w:shd w:val="clear" w:color="auto" w:fill="DCE7EB"/>
            <w:vAlign w:val="bottom"/>
            <w:hideMark/>
          </w:tcPr>
          <w:p w14:paraId="54A95D1A" w14:textId="4BC315CF"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13,3</w:t>
            </w:r>
          </w:p>
        </w:tc>
        <w:tc>
          <w:tcPr>
            <w:tcW w:w="737" w:type="dxa"/>
            <w:shd w:val="clear" w:color="auto" w:fill="DCE7EB"/>
            <w:vAlign w:val="bottom"/>
            <w:hideMark/>
          </w:tcPr>
          <w:p w14:paraId="0065A210" w14:textId="65DE4212"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2,3</w:t>
            </w:r>
          </w:p>
        </w:tc>
        <w:tc>
          <w:tcPr>
            <w:tcW w:w="737" w:type="dxa"/>
            <w:shd w:val="clear" w:color="auto" w:fill="DCE7EB"/>
            <w:vAlign w:val="bottom"/>
            <w:hideMark/>
          </w:tcPr>
          <w:p w14:paraId="5606FDB4" w14:textId="19564F78"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2,0</w:t>
            </w:r>
          </w:p>
        </w:tc>
        <w:tc>
          <w:tcPr>
            <w:tcW w:w="737" w:type="dxa"/>
            <w:shd w:val="clear" w:color="auto" w:fill="DCE7EB"/>
            <w:vAlign w:val="bottom"/>
            <w:hideMark/>
          </w:tcPr>
          <w:p w14:paraId="653FBD94" w14:textId="749E28B4"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1,4</w:t>
            </w:r>
          </w:p>
        </w:tc>
        <w:tc>
          <w:tcPr>
            <w:tcW w:w="737" w:type="dxa"/>
            <w:shd w:val="clear" w:color="auto" w:fill="DCE7EB"/>
            <w:vAlign w:val="bottom"/>
            <w:hideMark/>
          </w:tcPr>
          <w:p w14:paraId="5958C12A" w14:textId="394BF61D"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-3,4</w:t>
            </w:r>
          </w:p>
        </w:tc>
        <w:tc>
          <w:tcPr>
            <w:tcW w:w="737" w:type="dxa"/>
            <w:shd w:val="clear" w:color="auto" w:fill="DCE7EB"/>
            <w:vAlign w:val="bottom"/>
            <w:hideMark/>
          </w:tcPr>
          <w:p w14:paraId="3CF73F66" w14:textId="32CA3568"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-8</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9</w:t>
            </w:r>
          </w:p>
        </w:tc>
      </w:tr>
      <w:tr w:rsidR="00DA09FC" w:rsidRPr="00D829F0" w14:paraId="2CE0728B"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hideMark/>
          </w:tcPr>
          <w:p w14:paraId="0B840371" w14:textId="77777777" w:rsidR="00DA09FC" w:rsidRPr="00BD03C5" w:rsidRDefault="00DA09FC" w:rsidP="00DA09FC">
            <w:pPr>
              <w:spacing w:before="40" w:after="40"/>
              <w:ind w:left="340"/>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Dabas zinātnes, matemātika un informācijas tehnoloģijas</w:t>
            </w:r>
          </w:p>
        </w:tc>
        <w:tc>
          <w:tcPr>
            <w:tcW w:w="623" w:type="dxa"/>
            <w:shd w:val="clear" w:color="auto" w:fill="auto"/>
            <w:noWrap/>
            <w:vAlign w:val="bottom"/>
            <w:hideMark/>
          </w:tcPr>
          <w:p w14:paraId="6284C6DD" w14:textId="3B07BEF2"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4,9</w:t>
            </w:r>
          </w:p>
        </w:tc>
        <w:tc>
          <w:tcPr>
            <w:tcW w:w="737" w:type="dxa"/>
            <w:shd w:val="clear" w:color="auto" w:fill="auto"/>
            <w:noWrap/>
            <w:vAlign w:val="bottom"/>
            <w:hideMark/>
          </w:tcPr>
          <w:p w14:paraId="1ACDEAB3" w14:textId="62E0293B"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5,2</w:t>
            </w:r>
          </w:p>
        </w:tc>
        <w:tc>
          <w:tcPr>
            <w:tcW w:w="737" w:type="dxa"/>
            <w:shd w:val="clear" w:color="auto" w:fill="auto"/>
            <w:vAlign w:val="bottom"/>
            <w:hideMark/>
          </w:tcPr>
          <w:p w14:paraId="68B18368" w14:textId="2BBC062F"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7,4</w:t>
            </w:r>
          </w:p>
        </w:tc>
        <w:tc>
          <w:tcPr>
            <w:tcW w:w="737" w:type="dxa"/>
            <w:shd w:val="clear" w:color="auto" w:fill="auto"/>
            <w:vAlign w:val="bottom"/>
            <w:hideMark/>
          </w:tcPr>
          <w:p w14:paraId="7D0B1753" w14:textId="11B906E7"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0,5</w:t>
            </w:r>
          </w:p>
        </w:tc>
        <w:tc>
          <w:tcPr>
            <w:tcW w:w="737" w:type="dxa"/>
            <w:shd w:val="clear" w:color="auto" w:fill="auto"/>
            <w:vAlign w:val="bottom"/>
            <w:hideMark/>
          </w:tcPr>
          <w:p w14:paraId="2D8AD698" w14:textId="14AFF6E6"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0,5</w:t>
            </w:r>
          </w:p>
        </w:tc>
        <w:tc>
          <w:tcPr>
            <w:tcW w:w="737" w:type="dxa"/>
            <w:shd w:val="clear" w:color="auto" w:fill="auto"/>
            <w:vAlign w:val="bottom"/>
            <w:hideMark/>
          </w:tcPr>
          <w:p w14:paraId="42576068" w14:textId="0FC25F18"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0,8</w:t>
            </w:r>
          </w:p>
        </w:tc>
        <w:tc>
          <w:tcPr>
            <w:tcW w:w="737" w:type="dxa"/>
            <w:shd w:val="clear" w:color="auto" w:fill="auto"/>
            <w:vAlign w:val="bottom"/>
            <w:hideMark/>
          </w:tcPr>
          <w:p w14:paraId="2D1A51CB" w14:textId="3A228C8A"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3</w:t>
            </w:r>
          </w:p>
        </w:tc>
        <w:tc>
          <w:tcPr>
            <w:tcW w:w="737" w:type="dxa"/>
            <w:shd w:val="clear" w:color="auto" w:fill="auto"/>
            <w:vAlign w:val="bottom"/>
            <w:hideMark/>
          </w:tcPr>
          <w:p w14:paraId="65C0B4AE" w14:textId="6022A917"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5</w:t>
            </w:r>
          </w:p>
        </w:tc>
      </w:tr>
      <w:tr w:rsidR="00DA09FC" w:rsidRPr="00D829F0" w14:paraId="1A9CC8C1" w14:textId="77777777" w:rsidTr="00C00800">
        <w:trPr>
          <w:cantSplit/>
          <w:trHeight w:val="20"/>
          <w:jc w:val="center"/>
        </w:trPr>
        <w:tc>
          <w:tcPr>
            <w:tcW w:w="3373" w:type="dxa"/>
            <w:shd w:val="clear" w:color="auto" w:fill="DCE7EB"/>
            <w:vAlign w:val="bottom"/>
            <w:hideMark/>
          </w:tcPr>
          <w:p w14:paraId="39971796" w14:textId="77777777" w:rsidR="00DA09FC" w:rsidRPr="00BD03C5" w:rsidRDefault="00DA09FC" w:rsidP="00DA09FC">
            <w:pPr>
              <w:spacing w:before="40" w:after="40"/>
              <w:ind w:left="340"/>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Inženierzinātnes, ražošana un būvniecība</w:t>
            </w:r>
          </w:p>
        </w:tc>
        <w:tc>
          <w:tcPr>
            <w:tcW w:w="623" w:type="dxa"/>
            <w:shd w:val="clear" w:color="auto" w:fill="DCE7EB"/>
            <w:noWrap/>
            <w:vAlign w:val="bottom"/>
            <w:hideMark/>
          </w:tcPr>
          <w:p w14:paraId="7470AE34" w14:textId="18E2F234"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108,6</w:t>
            </w:r>
          </w:p>
        </w:tc>
        <w:tc>
          <w:tcPr>
            <w:tcW w:w="737" w:type="dxa"/>
            <w:shd w:val="clear" w:color="auto" w:fill="DCE7EB"/>
            <w:noWrap/>
            <w:vAlign w:val="bottom"/>
            <w:hideMark/>
          </w:tcPr>
          <w:p w14:paraId="21D8037E" w14:textId="62D41DF8"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90,6</w:t>
            </w:r>
          </w:p>
        </w:tc>
        <w:tc>
          <w:tcPr>
            <w:tcW w:w="737" w:type="dxa"/>
            <w:shd w:val="clear" w:color="auto" w:fill="DCE7EB"/>
            <w:vAlign w:val="bottom"/>
            <w:hideMark/>
          </w:tcPr>
          <w:p w14:paraId="770AC353" w14:textId="04E07D3D"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72,1</w:t>
            </w:r>
          </w:p>
        </w:tc>
        <w:tc>
          <w:tcPr>
            <w:tcW w:w="737" w:type="dxa"/>
            <w:shd w:val="clear" w:color="auto" w:fill="DCE7EB"/>
            <w:vAlign w:val="bottom"/>
            <w:hideMark/>
          </w:tcPr>
          <w:p w14:paraId="72F43D16" w14:textId="7D8208D2"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11,4</w:t>
            </w:r>
          </w:p>
        </w:tc>
        <w:tc>
          <w:tcPr>
            <w:tcW w:w="737" w:type="dxa"/>
            <w:shd w:val="clear" w:color="auto" w:fill="DCE7EB"/>
            <w:vAlign w:val="bottom"/>
            <w:hideMark/>
          </w:tcPr>
          <w:p w14:paraId="1ED8719A" w14:textId="2E417398"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9,5</w:t>
            </w:r>
          </w:p>
        </w:tc>
        <w:tc>
          <w:tcPr>
            <w:tcW w:w="737" w:type="dxa"/>
            <w:shd w:val="clear" w:color="auto" w:fill="DCE7EB"/>
            <w:vAlign w:val="bottom"/>
            <w:hideMark/>
          </w:tcPr>
          <w:p w14:paraId="708AD71E" w14:textId="1DF02CDA"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7,7</w:t>
            </w:r>
          </w:p>
        </w:tc>
        <w:tc>
          <w:tcPr>
            <w:tcW w:w="737" w:type="dxa"/>
            <w:shd w:val="clear" w:color="auto" w:fill="DCE7EB"/>
            <w:vAlign w:val="bottom"/>
            <w:hideMark/>
          </w:tcPr>
          <w:p w14:paraId="196B8041" w14:textId="02F3E3D7"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-18</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0</w:t>
            </w:r>
          </w:p>
        </w:tc>
        <w:tc>
          <w:tcPr>
            <w:tcW w:w="737" w:type="dxa"/>
            <w:shd w:val="clear" w:color="auto" w:fill="DCE7EB"/>
            <w:vAlign w:val="bottom"/>
            <w:hideMark/>
          </w:tcPr>
          <w:p w14:paraId="4C23F5E2" w14:textId="061547E4"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-36</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5</w:t>
            </w:r>
          </w:p>
        </w:tc>
      </w:tr>
      <w:tr w:rsidR="00DA09FC" w:rsidRPr="00D829F0" w14:paraId="6FE2450D"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hideMark/>
          </w:tcPr>
          <w:p w14:paraId="0BCE4BF0" w14:textId="77777777" w:rsidR="00DA09FC" w:rsidRPr="00BD03C5" w:rsidRDefault="00DA09FC" w:rsidP="00DA09FC">
            <w:pPr>
              <w:spacing w:before="40" w:after="40"/>
              <w:ind w:left="340"/>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Lauksaimniecība</w:t>
            </w:r>
          </w:p>
        </w:tc>
        <w:tc>
          <w:tcPr>
            <w:tcW w:w="623" w:type="dxa"/>
            <w:shd w:val="clear" w:color="auto" w:fill="auto"/>
            <w:noWrap/>
            <w:vAlign w:val="bottom"/>
            <w:hideMark/>
          </w:tcPr>
          <w:p w14:paraId="0443F608" w14:textId="202EFA6D"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13,0</w:t>
            </w:r>
          </w:p>
        </w:tc>
        <w:tc>
          <w:tcPr>
            <w:tcW w:w="737" w:type="dxa"/>
            <w:shd w:val="clear" w:color="auto" w:fill="auto"/>
            <w:noWrap/>
            <w:vAlign w:val="bottom"/>
            <w:hideMark/>
          </w:tcPr>
          <w:p w14:paraId="3E423B17" w14:textId="402B82B1"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10,7</w:t>
            </w:r>
          </w:p>
        </w:tc>
        <w:tc>
          <w:tcPr>
            <w:tcW w:w="737" w:type="dxa"/>
            <w:shd w:val="clear" w:color="auto" w:fill="auto"/>
            <w:vAlign w:val="bottom"/>
            <w:hideMark/>
          </w:tcPr>
          <w:p w14:paraId="0DE1C550" w14:textId="360E4FCA"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8,2</w:t>
            </w:r>
          </w:p>
        </w:tc>
        <w:tc>
          <w:tcPr>
            <w:tcW w:w="737" w:type="dxa"/>
            <w:shd w:val="clear" w:color="auto" w:fill="auto"/>
            <w:vAlign w:val="bottom"/>
            <w:hideMark/>
          </w:tcPr>
          <w:p w14:paraId="295B4D61" w14:textId="14296C48"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1,4</w:t>
            </w:r>
          </w:p>
        </w:tc>
        <w:tc>
          <w:tcPr>
            <w:tcW w:w="737" w:type="dxa"/>
            <w:shd w:val="clear" w:color="auto" w:fill="auto"/>
            <w:vAlign w:val="bottom"/>
            <w:hideMark/>
          </w:tcPr>
          <w:p w14:paraId="2EB4485F" w14:textId="2F9E6B3A"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1,1</w:t>
            </w:r>
          </w:p>
        </w:tc>
        <w:tc>
          <w:tcPr>
            <w:tcW w:w="737" w:type="dxa"/>
            <w:shd w:val="clear" w:color="auto" w:fill="auto"/>
            <w:vAlign w:val="bottom"/>
            <w:hideMark/>
          </w:tcPr>
          <w:p w14:paraId="55493EF3" w14:textId="60D19A0C"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0,9</w:t>
            </w:r>
          </w:p>
        </w:tc>
        <w:tc>
          <w:tcPr>
            <w:tcW w:w="737" w:type="dxa"/>
            <w:shd w:val="clear" w:color="auto" w:fill="auto"/>
            <w:vAlign w:val="bottom"/>
            <w:hideMark/>
          </w:tcPr>
          <w:p w14:paraId="7600D354" w14:textId="6265000F"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-2</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3</w:t>
            </w:r>
          </w:p>
        </w:tc>
        <w:tc>
          <w:tcPr>
            <w:tcW w:w="737" w:type="dxa"/>
            <w:shd w:val="clear" w:color="auto" w:fill="auto"/>
            <w:vAlign w:val="bottom"/>
            <w:hideMark/>
          </w:tcPr>
          <w:p w14:paraId="18B842AA" w14:textId="62D1826C"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7</w:t>
            </w:r>
          </w:p>
        </w:tc>
      </w:tr>
      <w:tr w:rsidR="00DA09FC" w:rsidRPr="00D829F0" w14:paraId="557DF9CC" w14:textId="77777777" w:rsidTr="00C00800">
        <w:trPr>
          <w:cantSplit/>
          <w:trHeight w:val="20"/>
          <w:jc w:val="center"/>
        </w:trPr>
        <w:tc>
          <w:tcPr>
            <w:tcW w:w="3373" w:type="dxa"/>
            <w:shd w:val="clear" w:color="auto" w:fill="DCE7EB"/>
            <w:vAlign w:val="bottom"/>
            <w:hideMark/>
          </w:tcPr>
          <w:p w14:paraId="568006FF" w14:textId="77777777" w:rsidR="00DA09FC" w:rsidRPr="00BD03C5" w:rsidRDefault="00DA09FC" w:rsidP="00DA09FC">
            <w:pPr>
              <w:spacing w:before="40" w:after="40"/>
              <w:ind w:left="340"/>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Veselības aprūpe un sociālā labklājība</w:t>
            </w:r>
          </w:p>
        </w:tc>
        <w:tc>
          <w:tcPr>
            <w:tcW w:w="623" w:type="dxa"/>
            <w:shd w:val="clear" w:color="auto" w:fill="DCE7EB"/>
            <w:noWrap/>
            <w:vAlign w:val="bottom"/>
            <w:hideMark/>
          </w:tcPr>
          <w:p w14:paraId="08994779" w14:textId="41FB04CF"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8,5</w:t>
            </w:r>
          </w:p>
        </w:tc>
        <w:tc>
          <w:tcPr>
            <w:tcW w:w="737" w:type="dxa"/>
            <w:shd w:val="clear" w:color="auto" w:fill="DCE7EB"/>
            <w:noWrap/>
            <w:vAlign w:val="bottom"/>
            <w:hideMark/>
          </w:tcPr>
          <w:p w14:paraId="7B579078" w14:textId="4F27EFBC"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7,1</w:t>
            </w:r>
          </w:p>
        </w:tc>
        <w:tc>
          <w:tcPr>
            <w:tcW w:w="737" w:type="dxa"/>
            <w:shd w:val="clear" w:color="auto" w:fill="DCE7EB"/>
            <w:vAlign w:val="bottom"/>
            <w:hideMark/>
          </w:tcPr>
          <w:p w14:paraId="694E4F8A" w14:textId="526FEBCF"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6,6</w:t>
            </w:r>
          </w:p>
        </w:tc>
        <w:tc>
          <w:tcPr>
            <w:tcW w:w="737" w:type="dxa"/>
            <w:shd w:val="clear" w:color="auto" w:fill="DCE7EB"/>
            <w:vAlign w:val="bottom"/>
            <w:hideMark/>
          </w:tcPr>
          <w:p w14:paraId="7C4E5C63" w14:textId="6C523AF6"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0,9</w:t>
            </w:r>
          </w:p>
        </w:tc>
        <w:tc>
          <w:tcPr>
            <w:tcW w:w="737" w:type="dxa"/>
            <w:shd w:val="clear" w:color="auto" w:fill="DCE7EB"/>
            <w:vAlign w:val="bottom"/>
            <w:hideMark/>
          </w:tcPr>
          <w:p w14:paraId="653B3A73" w14:textId="52081F81"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0,7</w:t>
            </w:r>
          </w:p>
        </w:tc>
        <w:tc>
          <w:tcPr>
            <w:tcW w:w="737" w:type="dxa"/>
            <w:shd w:val="clear" w:color="auto" w:fill="DCE7EB"/>
            <w:vAlign w:val="bottom"/>
            <w:hideMark/>
          </w:tcPr>
          <w:p w14:paraId="2C3E2A9D" w14:textId="4576EC63"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0,7</w:t>
            </w:r>
          </w:p>
        </w:tc>
        <w:tc>
          <w:tcPr>
            <w:tcW w:w="737" w:type="dxa"/>
            <w:shd w:val="clear" w:color="auto" w:fill="DCE7EB"/>
            <w:vAlign w:val="bottom"/>
            <w:hideMark/>
          </w:tcPr>
          <w:p w14:paraId="67F5A4E5" w14:textId="04346868"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5</w:t>
            </w:r>
          </w:p>
        </w:tc>
        <w:tc>
          <w:tcPr>
            <w:tcW w:w="737" w:type="dxa"/>
            <w:shd w:val="clear" w:color="auto" w:fill="DCE7EB"/>
            <w:vAlign w:val="bottom"/>
            <w:hideMark/>
          </w:tcPr>
          <w:p w14:paraId="55C3D98E" w14:textId="09D1CEE2"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-1</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9</w:t>
            </w:r>
          </w:p>
        </w:tc>
      </w:tr>
      <w:tr w:rsidR="00DA09FC" w:rsidRPr="00D829F0" w14:paraId="169168D9"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hideMark/>
          </w:tcPr>
          <w:p w14:paraId="5CE4DF73" w14:textId="77777777" w:rsidR="00DA09FC" w:rsidRPr="00BD03C5" w:rsidRDefault="00DA09FC" w:rsidP="00DA09FC">
            <w:pPr>
              <w:spacing w:before="40" w:after="40"/>
              <w:ind w:left="340"/>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Pakalpojumi</w:t>
            </w:r>
          </w:p>
        </w:tc>
        <w:tc>
          <w:tcPr>
            <w:tcW w:w="623" w:type="dxa"/>
            <w:shd w:val="clear" w:color="auto" w:fill="auto"/>
            <w:noWrap/>
            <w:vAlign w:val="bottom"/>
            <w:hideMark/>
          </w:tcPr>
          <w:p w14:paraId="535D1E89" w14:textId="1A0E2DB4"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44,2</w:t>
            </w:r>
          </w:p>
        </w:tc>
        <w:tc>
          <w:tcPr>
            <w:tcW w:w="737" w:type="dxa"/>
            <w:shd w:val="clear" w:color="auto" w:fill="auto"/>
            <w:noWrap/>
            <w:vAlign w:val="bottom"/>
            <w:hideMark/>
          </w:tcPr>
          <w:p w14:paraId="36694CDB" w14:textId="0174735C"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40,8</w:t>
            </w:r>
          </w:p>
        </w:tc>
        <w:tc>
          <w:tcPr>
            <w:tcW w:w="737" w:type="dxa"/>
            <w:shd w:val="clear" w:color="auto" w:fill="auto"/>
            <w:vAlign w:val="bottom"/>
            <w:hideMark/>
          </w:tcPr>
          <w:p w14:paraId="00B6344C" w14:textId="2F56B633"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39,3</w:t>
            </w:r>
          </w:p>
        </w:tc>
        <w:tc>
          <w:tcPr>
            <w:tcW w:w="737" w:type="dxa"/>
            <w:shd w:val="clear" w:color="auto" w:fill="auto"/>
            <w:vAlign w:val="bottom"/>
            <w:hideMark/>
          </w:tcPr>
          <w:p w14:paraId="6900E6B4" w14:textId="6A5436FA"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4,7</w:t>
            </w:r>
          </w:p>
        </w:tc>
        <w:tc>
          <w:tcPr>
            <w:tcW w:w="737" w:type="dxa"/>
            <w:shd w:val="clear" w:color="auto" w:fill="auto"/>
            <w:vAlign w:val="bottom"/>
            <w:hideMark/>
          </w:tcPr>
          <w:p w14:paraId="629F6FD7" w14:textId="47B8B7FD"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4,3</w:t>
            </w:r>
          </w:p>
        </w:tc>
        <w:tc>
          <w:tcPr>
            <w:tcW w:w="737" w:type="dxa"/>
            <w:shd w:val="clear" w:color="auto" w:fill="auto"/>
            <w:vAlign w:val="bottom"/>
            <w:hideMark/>
          </w:tcPr>
          <w:p w14:paraId="1992785B" w14:textId="7D986F6E"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4,2</w:t>
            </w:r>
          </w:p>
        </w:tc>
        <w:tc>
          <w:tcPr>
            <w:tcW w:w="737" w:type="dxa"/>
            <w:shd w:val="clear" w:color="auto" w:fill="auto"/>
            <w:vAlign w:val="bottom"/>
            <w:hideMark/>
          </w:tcPr>
          <w:p w14:paraId="231FE818" w14:textId="3C324D62"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5</w:t>
            </w:r>
          </w:p>
        </w:tc>
        <w:tc>
          <w:tcPr>
            <w:tcW w:w="737" w:type="dxa"/>
            <w:shd w:val="clear" w:color="auto" w:fill="auto"/>
            <w:vAlign w:val="bottom"/>
            <w:hideMark/>
          </w:tcPr>
          <w:p w14:paraId="1A179A91" w14:textId="30B23275" w:rsidR="00DA09FC" w:rsidRPr="00C00800" w:rsidRDefault="00DA09FC" w:rsidP="00DA09FC">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-5</w:t>
            </w:r>
            <w:r w:rsidR="00F05DD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0</w:t>
            </w:r>
          </w:p>
        </w:tc>
      </w:tr>
      <w:tr w:rsidR="00645D8F" w:rsidRPr="00D829F0" w14:paraId="205B5787" w14:textId="77777777" w:rsidTr="00C00800">
        <w:trPr>
          <w:cantSplit/>
          <w:trHeight w:val="20"/>
          <w:jc w:val="center"/>
        </w:trPr>
        <w:tc>
          <w:tcPr>
            <w:tcW w:w="3373" w:type="dxa"/>
            <w:shd w:val="clear" w:color="auto" w:fill="DCE7EB"/>
            <w:vAlign w:val="bottom"/>
          </w:tcPr>
          <w:p w14:paraId="636FFAD6" w14:textId="77777777" w:rsidR="00645D8F" w:rsidRPr="00BD03C5" w:rsidRDefault="00645D8F" w:rsidP="00645D8F">
            <w:pPr>
              <w:spacing w:before="40" w:after="40"/>
              <w:ind w:left="340"/>
              <w:rPr>
                <w:rFonts w:ascii="Segoe UI Light" w:eastAsia="Times New Roman" w:hAnsi="Segoe UI Light"/>
                <w:sz w:val="16"/>
                <w:szCs w:val="18"/>
                <w:lang w:eastAsia="lv-LV"/>
              </w:rPr>
            </w:pPr>
            <w:r w:rsidRPr="00BD03C5">
              <w:rPr>
                <w:rFonts w:ascii="Segoe UI Light" w:eastAsia="Times New Roman" w:hAnsi="Segoe UI Light"/>
                <w:sz w:val="16"/>
                <w:szCs w:val="18"/>
                <w:lang w:eastAsia="lv-LV"/>
              </w:rPr>
              <w:t>Citur neklasificētās tematiskās grupas</w:t>
            </w:r>
          </w:p>
        </w:tc>
        <w:tc>
          <w:tcPr>
            <w:tcW w:w="623" w:type="dxa"/>
            <w:shd w:val="clear" w:color="auto" w:fill="DCE7EB"/>
            <w:noWrap/>
          </w:tcPr>
          <w:p w14:paraId="59F6D1D0" w14:textId="2D872F24" w:rsidR="00645D8F" w:rsidRPr="00C00800" w:rsidRDefault="00645D8F" w:rsidP="00645D8F">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62,6</w:t>
            </w:r>
          </w:p>
        </w:tc>
        <w:tc>
          <w:tcPr>
            <w:tcW w:w="737" w:type="dxa"/>
            <w:shd w:val="clear" w:color="auto" w:fill="DCE7EB"/>
            <w:noWrap/>
            <w:vAlign w:val="bottom"/>
          </w:tcPr>
          <w:p w14:paraId="6CDBEBE1" w14:textId="72C275B3" w:rsidR="00645D8F" w:rsidRPr="00C00800" w:rsidRDefault="00645D8F" w:rsidP="00645D8F">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52</w:t>
            </w:r>
            <w:r w:rsidR="00FF4CB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6</w:t>
            </w:r>
          </w:p>
        </w:tc>
        <w:tc>
          <w:tcPr>
            <w:tcW w:w="737" w:type="dxa"/>
            <w:shd w:val="clear" w:color="auto" w:fill="DCE7EB"/>
            <w:vAlign w:val="bottom"/>
          </w:tcPr>
          <w:p w14:paraId="4BF51657" w14:textId="58B1A463" w:rsidR="00645D8F" w:rsidRPr="00C00800" w:rsidRDefault="00645D8F" w:rsidP="00645D8F">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34</w:t>
            </w:r>
            <w:r w:rsidR="00FF4CB0" w:rsidRPr="00C00800">
              <w:rPr>
                <w:rFonts w:ascii="Segoe UI Light" w:hAnsi="Segoe UI Light" w:cs="Segoe UI Light"/>
                <w:color w:val="000000"/>
                <w:sz w:val="16"/>
                <w:szCs w:val="16"/>
              </w:rPr>
              <w:t>,</w:t>
            </w:r>
            <w:r w:rsidRPr="00C00800">
              <w:rPr>
                <w:rFonts w:ascii="Segoe UI Light" w:hAnsi="Segoe UI Light" w:cs="Segoe UI Light"/>
                <w:color w:val="000000"/>
                <w:sz w:val="16"/>
                <w:szCs w:val="16"/>
              </w:rPr>
              <w:t>4</w:t>
            </w:r>
          </w:p>
        </w:tc>
        <w:tc>
          <w:tcPr>
            <w:tcW w:w="737" w:type="dxa"/>
            <w:shd w:val="clear" w:color="auto" w:fill="DCE7EB"/>
          </w:tcPr>
          <w:p w14:paraId="1466EE56" w14:textId="6A9B5C58" w:rsidR="00645D8F" w:rsidRPr="00C00800" w:rsidRDefault="00D95932" w:rsidP="00645D8F">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6,6</w:t>
            </w:r>
          </w:p>
        </w:tc>
        <w:tc>
          <w:tcPr>
            <w:tcW w:w="737" w:type="dxa"/>
            <w:shd w:val="clear" w:color="auto" w:fill="DCE7EB"/>
          </w:tcPr>
          <w:p w14:paraId="4BD20DD7" w14:textId="02670655" w:rsidR="00645D8F" w:rsidRPr="00C00800" w:rsidRDefault="00D95932" w:rsidP="00645D8F">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5,5</w:t>
            </w:r>
          </w:p>
        </w:tc>
        <w:tc>
          <w:tcPr>
            <w:tcW w:w="737" w:type="dxa"/>
            <w:shd w:val="clear" w:color="auto" w:fill="DCE7EB"/>
          </w:tcPr>
          <w:p w14:paraId="5469DE93" w14:textId="0A044D01" w:rsidR="00645D8F" w:rsidRPr="00C00800" w:rsidRDefault="00D95932" w:rsidP="00645D8F">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3,7</w:t>
            </w:r>
          </w:p>
        </w:tc>
        <w:tc>
          <w:tcPr>
            <w:tcW w:w="737" w:type="dxa"/>
            <w:shd w:val="clear" w:color="auto" w:fill="DCE7EB"/>
          </w:tcPr>
          <w:p w14:paraId="7C8C95B3" w14:textId="6D65E61E" w:rsidR="00645D8F" w:rsidRPr="00C00800" w:rsidRDefault="00645D8F" w:rsidP="00645D8F">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w:t>
            </w:r>
            <w:r w:rsidR="00F400D9" w:rsidRPr="00C00800">
              <w:rPr>
                <w:rFonts w:ascii="Segoe UI Light" w:hAnsi="Segoe UI Light" w:cs="Segoe UI Light"/>
                <w:color w:val="000000"/>
                <w:sz w:val="16"/>
                <w:szCs w:val="16"/>
              </w:rPr>
              <w:t>10,0</w:t>
            </w:r>
          </w:p>
        </w:tc>
        <w:tc>
          <w:tcPr>
            <w:tcW w:w="737" w:type="dxa"/>
            <w:shd w:val="clear" w:color="auto" w:fill="DCE7EB"/>
          </w:tcPr>
          <w:p w14:paraId="3857EE3C" w14:textId="28DB1615" w:rsidR="00645D8F" w:rsidRPr="00C00800" w:rsidRDefault="00645D8F" w:rsidP="00645D8F">
            <w:pPr>
              <w:tabs>
                <w:tab w:val="decimal" w:pos="315"/>
              </w:tabs>
              <w:spacing w:before="40" w:after="40"/>
              <w:rPr>
                <w:rFonts w:ascii="Segoe UI Light" w:hAnsi="Segoe UI Light" w:cs="Segoe UI Light"/>
                <w:color w:val="000000"/>
                <w:sz w:val="16"/>
                <w:szCs w:val="16"/>
              </w:rPr>
            </w:pPr>
            <w:r w:rsidRPr="00C00800">
              <w:rPr>
                <w:rFonts w:ascii="Segoe UI Light" w:hAnsi="Segoe UI Light" w:cs="Segoe UI Light"/>
                <w:color w:val="000000"/>
                <w:sz w:val="16"/>
                <w:szCs w:val="16"/>
              </w:rPr>
              <w:t>-</w:t>
            </w:r>
            <w:r w:rsidR="00F400D9" w:rsidRPr="00C00800">
              <w:rPr>
                <w:rFonts w:ascii="Segoe UI Light" w:hAnsi="Segoe UI Light" w:cs="Segoe UI Light"/>
                <w:color w:val="000000"/>
                <w:sz w:val="16"/>
                <w:szCs w:val="16"/>
              </w:rPr>
              <w:t>28,2</w:t>
            </w:r>
          </w:p>
        </w:tc>
      </w:tr>
      <w:tr w:rsidR="00C03C20" w:rsidRPr="00D829F0" w14:paraId="72BA44CB"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vAlign w:val="bottom"/>
            <w:hideMark/>
          </w:tcPr>
          <w:p w14:paraId="6B39A6D0" w14:textId="77777777" w:rsidR="00267AA4" w:rsidRPr="00205888" w:rsidRDefault="00267AA4">
            <w:pPr>
              <w:spacing w:before="40" w:after="40"/>
              <w:ind w:left="170"/>
              <w:rPr>
                <w:rFonts w:ascii="Segoe UI Light" w:eastAsia="Times New Roman" w:hAnsi="Segoe UI Light"/>
                <w:sz w:val="16"/>
                <w:szCs w:val="18"/>
                <w:lang w:eastAsia="lv-LV"/>
              </w:rPr>
            </w:pPr>
            <w:r w:rsidRPr="00205888">
              <w:rPr>
                <w:rFonts w:ascii="Segoe UI Light" w:eastAsia="Times New Roman" w:hAnsi="Segoe UI Light"/>
                <w:sz w:val="16"/>
                <w:szCs w:val="18"/>
                <w:lang w:eastAsia="lv-LV"/>
              </w:rPr>
              <w:t>Vispārējā vidējā izglītība</w:t>
            </w:r>
          </w:p>
        </w:tc>
        <w:tc>
          <w:tcPr>
            <w:tcW w:w="623" w:type="dxa"/>
            <w:shd w:val="clear" w:color="auto" w:fill="auto"/>
            <w:noWrap/>
            <w:hideMark/>
          </w:tcPr>
          <w:p w14:paraId="1DC1726D" w14:textId="4BC10C12"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w:t>
            </w:r>
            <w:r w:rsidR="00D878D9" w:rsidRPr="00205888">
              <w:rPr>
                <w:rFonts w:ascii="Segoe UI Light" w:hAnsi="Segoe UI Light" w:cs="Segoe UI Light"/>
                <w:color w:val="000000"/>
                <w:sz w:val="16"/>
                <w:szCs w:val="16"/>
              </w:rPr>
              <w:t>06,1</w:t>
            </w:r>
          </w:p>
        </w:tc>
        <w:tc>
          <w:tcPr>
            <w:tcW w:w="737" w:type="dxa"/>
            <w:shd w:val="clear" w:color="auto" w:fill="auto"/>
            <w:noWrap/>
            <w:hideMark/>
          </w:tcPr>
          <w:p w14:paraId="214F72A0" w14:textId="63154F5B"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20</w:t>
            </w:r>
            <w:r w:rsidR="000A6259" w:rsidRPr="00205888">
              <w:rPr>
                <w:rFonts w:ascii="Segoe UI Light" w:hAnsi="Segoe UI Light" w:cs="Segoe UI Light"/>
                <w:color w:val="000000"/>
                <w:sz w:val="16"/>
                <w:szCs w:val="16"/>
              </w:rPr>
              <w:t>3,4</w:t>
            </w:r>
          </w:p>
        </w:tc>
        <w:tc>
          <w:tcPr>
            <w:tcW w:w="737" w:type="dxa"/>
            <w:shd w:val="clear" w:color="auto" w:fill="auto"/>
            <w:hideMark/>
          </w:tcPr>
          <w:p w14:paraId="7FED3259" w14:textId="1DA865FC"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w:t>
            </w:r>
            <w:r w:rsidR="007D79FC" w:rsidRPr="00205888">
              <w:rPr>
                <w:rFonts w:ascii="Segoe UI Light" w:hAnsi="Segoe UI Light" w:cs="Segoe UI Light"/>
                <w:color w:val="000000"/>
                <w:sz w:val="16"/>
                <w:szCs w:val="16"/>
              </w:rPr>
              <w:t>13,1</w:t>
            </w:r>
          </w:p>
        </w:tc>
        <w:tc>
          <w:tcPr>
            <w:tcW w:w="737" w:type="dxa"/>
            <w:shd w:val="clear" w:color="auto" w:fill="auto"/>
            <w:hideMark/>
          </w:tcPr>
          <w:p w14:paraId="49B17273" w14:textId="5BD59514"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w:t>
            </w:r>
            <w:r w:rsidR="00E45F83" w:rsidRPr="00205888">
              <w:rPr>
                <w:rFonts w:ascii="Segoe UI Light" w:hAnsi="Segoe UI Light" w:cs="Segoe UI Light"/>
                <w:color w:val="000000"/>
                <w:sz w:val="16"/>
                <w:szCs w:val="16"/>
              </w:rPr>
              <w:t>1,7</w:t>
            </w:r>
          </w:p>
        </w:tc>
        <w:tc>
          <w:tcPr>
            <w:tcW w:w="737" w:type="dxa"/>
            <w:shd w:val="clear" w:color="auto" w:fill="auto"/>
            <w:hideMark/>
          </w:tcPr>
          <w:p w14:paraId="378071D5" w14:textId="3DE1394F"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21</w:t>
            </w:r>
            <w:r w:rsidR="007C6512" w:rsidRPr="00205888">
              <w:rPr>
                <w:rFonts w:ascii="Segoe UI Light" w:hAnsi="Segoe UI Light" w:cs="Segoe UI Light"/>
                <w:color w:val="000000"/>
                <w:sz w:val="16"/>
                <w:szCs w:val="16"/>
              </w:rPr>
              <w:t>,</w:t>
            </w:r>
            <w:r w:rsidR="00E45F83" w:rsidRPr="00205888">
              <w:rPr>
                <w:rFonts w:ascii="Segoe UI Light" w:hAnsi="Segoe UI Light" w:cs="Segoe UI Light"/>
                <w:color w:val="000000"/>
                <w:sz w:val="16"/>
                <w:szCs w:val="16"/>
              </w:rPr>
              <w:t>3</w:t>
            </w:r>
          </w:p>
        </w:tc>
        <w:tc>
          <w:tcPr>
            <w:tcW w:w="737" w:type="dxa"/>
            <w:shd w:val="clear" w:color="auto" w:fill="auto"/>
            <w:hideMark/>
          </w:tcPr>
          <w:p w14:paraId="559BB9DE" w14:textId="020466B9"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22</w:t>
            </w:r>
            <w:r w:rsidR="007C6512" w:rsidRPr="00205888">
              <w:rPr>
                <w:rFonts w:ascii="Segoe UI Light" w:hAnsi="Segoe UI Light" w:cs="Segoe UI Light"/>
                <w:color w:val="000000"/>
                <w:sz w:val="16"/>
                <w:szCs w:val="16"/>
              </w:rPr>
              <w:t>,</w:t>
            </w:r>
            <w:r w:rsidR="00E45F83" w:rsidRPr="00205888">
              <w:rPr>
                <w:rFonts w:ascii="Segoe UI Light" w:hAnsi="Segoe UI Light" w:cs="Segoe UI Light"/>
                <w:color w:val="000000"/>
                <w:sz w:val="16"/>
                <w:szCs w:val="16"/>
              </w:rPr>
              <w:t>8</w:t>
            </w:r>
          </w:p>
        </w:tc>
        <w:tc>
          <w:tcPr>
            <w:tcW w:w="737" w:type="dxa"/>
            <w:shd w:val="clear" w:color="auto" w:fill="auto"/>
            <w:hideMark/>
          </w:tcPr>
          <w:p w14:paraId="52364A0C" w14:textId="3F64E624"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w:t>
            </w:r>
            <w:r w:rsidR="00376616" w:rsidRPr="00205888">
              <w:rPr>
                <w:rFonts w:ascii="Segoe UI Light" w:hAnsi="Segoe UI Light" w:cs="Segoe UI Light"/>
                <w:color w:val="000000"/>
                <w:sz w:val="16"/>
                <w:szCs w:val="16"/>
              </w:rPr>
              <w:t>2</w:t>
            </w:r>
            <w:r w:rsidR="007C6512" w:rsidRPr="00205888">
              <w:rPr>
                <w:rFonts w:ascii="Segoe UI Light" w:hAnsi="Segoe UI Light" w:cs="Segoe UI Light"/>
                <w:color w:val="000000"/>
                <w:sz w:val="16"/>
                <w:szCs w:val="16"/>
              </w:rPr>
              <w:t>,</w:t>
            </w:r>
            <w:r w:rsidRPr="00205888">
              <w:rPr>
                <w:rFonts w:ascii="Segoe UI Light" w:hAnsi="Segoe UI Light" w:cs="Segoe UI Light"/>
                <w:color w:val="000000"/>
                <w:sz w:val="16"/>
                <w:szCs w:val="16"/>
              </w:rPr>
              <w:t>7</w:t>
            </w:r>
          </w:p>
        </w:tc>
        <w:tc>
          <w:tcPr>
            <w:tcW w:w="737" w:type="dxa"/>
            <w:shd w:val="clear" w:color="auto" w:fill="auto"/>
            <w:hideMark/>
          </w:tcPr>
          <w:p w14:paraId="07C38461" w14:textId="34A96950" w:rsidR="00267AA4" w:rsidRPr="00205888" w:rsidRDefault="00A2603E">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6,9</w:t>
            </w:r>
          </w:p>
        </w:tc>
      </w:tr>
      <w:tr w:rsidR="00C03C20" w:rsidRPr="00D829F0" w14:paraId="6A71A10F" w14:textId="77777777" w:rsidTr="00C00800">
        <w:trPr>
          <w:cantSplit/>
          <w:trHeight w:val="20"/>
          <w:jc w:val="center"/>
        </w:trPr>
        <w:tc>
          <w:tcPr>
            <w:tcW w:w="3373" w:type="dxa"/>
            <w:shd w:val="clear" w:color="auto" w:fill="DCE7EB"/>
            <w:vAlign w:val="bottom"/>
          </w:tcPr>
          <w:p w14:paraId="6EEE0B7E" w14:textId="77777777" w:rsidR="00267AA4" w:rsidRPr="00205888" w:rsidRDefault="00267AA4">
            <w:pPr>
              <w:spacing w:before="40" w:after="40"/>
              <w:rPr>
                <w:rFonts w:ascii="Segoe UI Light" w:eastAsia="Times New Roman" w:hAnsi="Segoe UI Light"/>
                <w:sz w:val="16"/>
                <w:szCs w:val="18"/>
                <w:lang w:eastAsia="lv-LV"/>
              </w:rPr>
            </w:pPr>
            <w:r w:rsidRPr="00205888">
              <w:rPr>
                <w:rFonts w:ascii="Segoe UI Light" w:eastAsia="Times New Roman" w:hAnsi="Segoe UI Light"/>
                <w:sz w:val="16"/>
                <w:szCs w:val="18"/>
                <w:lang w:eastAsia="lv-LV"/>
              </w:rPr>
              <w:t>Pamatizglītība vai zemāka</w:t>
            </w:r>
          </w:p>
        </w:tc>
        <w:tc>
          <w:tcPr>
            <w:tcW w:w="623" w:type="dxa"/>
            <w:shd w:val="clear" w:color="auto" w:fill="DCE7EB"/>
          </w:tcPr>
          <w:p w14:paraId="3D3BC268" w14:textId="13B1DC76"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7</w:t>
            </w:r>
            <w:r w:rsidR="000B27B8" w:rsidRPr="00205888">
              <w:rPr>
                <w:rFonts w:ascii="Segoe UI Light" w:hAnsi="Segoe UI Light" w:cs="Segoe UI Light"/>
                <w:color w:val="000000"/>
                <w:sz w:val="16"/>
                <w:szCs w:val="16"/>
              </w:rPr>
              <w:t>3,9</w:t>
            </w:r>
          </w:p>
        </w:tc>
        <w:tc>
          <w:tcPr>
            <w:tcW w:w="737" w:type="dxa"/>
            <w:shd w:val="clear" w:color="auto" w:fill="DCE7EB"/>
            <w:noWrap/>
          </w:tcPr>
          <w:p w14:paraId="389DDD55" w14:textId="125ECD88" w:rsidR="00267AA4" w:rsidRPr="00205888" w:rsidRDefault="000B27B8">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108,9</w:t>
            </w:r>
          </w:p>
        </w:tc>
        <w:tc>
          <w:tcPr>
            <w:tcW w:w="737" w:type="dxa"/>
            <w:shd w:val="clear" w:color="auto" w:fill="DCE7EB"/>
            <w:noWrap/>
          </w:tcPr>
          <w:p w14:paraId="1B40DFA5" w14:textId="18F6C323" w:rsidR="00267AA4" w:rsidRPr="00205888" w:rsidRDefault="00D24297">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108,1</w:t>
            </w:r>
          </w:p>
        </w:tc>
        <w:tc>
          <w:tcPr>
            <w:tcW w:w="737" w:type="dxa"/>
            <w:shd w:val="clear" w:color="auto" w:fill="DCE7EB"/>
          </w:tcPr>
          <w:p w14:paraId="22D087A6" w14:textId="26419320"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7</w:t>
            </w:r>
            <w:r w:rsidR="007C6512" w:rsidRPr="00205888">
              <w:rPr>
                <w:rFonts w:ascii="Segoe UI Light" w:hAnsi="Segoe UI Light" w:cs="Segoe UI Light"/>
                <w:color w:val="000000"/>
                <w:sz w:val="16"/>
                <w:szCs w:val="16"/>
              </w:rPr>
              <w:t>,</w:t>
            </w:r>
            <w:r w:rsidR="00CA0688" w:rsidRPr="00205888">
              <w:rPr>
                <w:rFonts w:ascii="Segoe UI Light" w:hAnsi="Segoe UI Light" w:cs="Segoe UI Light"/>
                <w:color w:val="000000"/>
                <w:sz w:val="16"/>
                <w:szCs w:val="16"/>
              </w:rPr>
              <w:t>8</w:t>
            </w:r>
          </w:p>
        </w:tc>
        <w:tc>
          <w:tcPr>
            <w:tcW w:w="737" w:type="dxa"/>
            <w:shd w:val="clear" w:color="auto" w:fill="DCE7EB"/>
          </w:tcPr>
          <w:p w14:paraId="34F0A274" w14:textId="4E39EF44"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1</w:t>
            </w:r>
            <w:r w:rsidR="00CA0688" w:rsidRPr="00205888">
              <w:rPr>
                <w:rFonts w:ascii="Segoe UI Light" w:hAnsi="Segoe UI Light" w:cs="Segoe UI Light"/>
                <w:color w:val="000000"/>
                <w:sz w:val="16"/>
                <w:szCs w:val="16"/>
              </w:rPr>
              <w:t>1,4</w:t>
            </w:r>
          </w:p>
        </w:tc>
        <w:tc>
          <w:tcPr>
            <w:tcW w:w="737" w:type="dxa"/>
            <w:shd w:val="clear" w:color="auto" w:fill="DCE7EB"/>
          </w:tcPr>
          <w:p w14:paraId="0E9509FF" w14:textId="5EB57D22"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11</w:t>
            </w:r>
            <w:r w:rsidR="007C6512" w:rsidRPr="00205888">
              <w:rPr>
                <w:rFonts w:ascii="Segoe UI Light" w:hAnsi="Segoe UI Light" w:cs="Segoe UI Light"/>
                <w:color w:val="000000"/>
                <w:sz w:val="16"/>
                <w:szCs w:val="16"/>
              </w:rPr>
              <w:t>,</w:t>
            </w:r>
            <w:r w:rsidR="00CA0688" w:rsidRPr="00205888">
              <w:rPr>
                <w:rFonts w:ascii="Segoe UI Light" w:hAnsi="Segoe UI Light" w:cs="Segoe UI Light"/>
                <w:color w:val="000000"/>
                <w:sz w:val="16"/>
                <w:szCs w:val="16"/>
              </w:rPr>
              <w:t>5</w:t>
            </w:r>
          </w:p>
        </w:tc>
        <w:tc>
          <w:tcPr>
            <w:tcW w:w="737" w:type="dxa"/>
            <w:shd w:val="clear" w:color="auto" w:fill="DCE7EB"/>
          </w:tcPr>
          <w:p w14:paraId="06AD248D" w14:textId="0E218676" w:rsidR="00267AA4" w:rsidRPr="00205888" w:rsidRDefault="00716CCA">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35,0</w:t>
            </w:r>
          </w:p>
        </w:tc>
        <w:tc>
          <w:tcPr>
            <w:tcW w:w="737" w:type="dxa"/>
            <w:shd w:val="clear" w:color="auto" w:fill="DCE7EB"/>
          </w:tcPr>
          <w:p w14:paraId="3B5FEF71" w14:textId="06BE6E1C" w:rsidR="00267AA4" w:rsidRPr="00205888" w:rsidRDefault="00267AA4">
            <w:pPr>
              <w:tabs>
                <w:tab w:val="decimal" w:pos="315"/>
              </w:tabs>
              <w:spacing w:before="40" w:after="40"/>
              <w:rPr>
                <w:rFonts w:ascii="Segoe UI Light" w:hAnsi="Segoe UI Light" w:cs="Segoe UI Light"/>
                <w:color w:val="000000"/>
                <w:sz w:val="16"/>
                <w:szCs w:val="16"/>
              </w:rPr>
            </w:pPr>
            <w:r w:rsidRPr="00205888">
              <w:rPr>
                <w:rFonts w:ascii="Segoe UI Light" w:hAnsi="Segoe UI Light" w:cs="Segoe UI Light"/>
                <w:color w:val="000000"/>
                <w:sz w:val="16"/>
                <w:szCs w:val="16"/>
              </w:rPr>
              <w:t>3</w:t>
            </w:r>
            <w:r w:rsidR="00716CCA" w:rsidRPr="00205888">
              <w:rPr>
                <w:rFonts w:ascii="Segoe UI Light" w:hAnsi="Segoe UI Light" w:cs="Segoe UI Light"/>
                <w:color w:val="000000"/>
                <w:sz w:val="16"/>
                <w:szCs w:val="16"/>
              </w:rPr>
              <w:t>4,2</w:t>
            </w:r>
          </w:p>
        </w:tc>
      </w:tr>
      <w:tr w:rsidR="00C03C20" w:rsidRPr="00D829F0" w14:paraId="786CA4C6" w14:textId="77777777" w:rsidTr="00C00800">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auto"/>
            <w:noWrap/>
            <w:vAlign w:val="bottom"/>
            <w:hideMark/>
          </w:tcPr>
          <w:p w14:paraId="243CA294" w14:textId="77777777" w:rsidR="00267AA4" w:rsidRPr="00DC7E0D" w:rsidRDefault="00267AA4">
            <w:pPr>
              <w:spacing w:before="40" w:after="40"/>
              <w:rPr>
                <w:rFonts w:ascii="Segoe UI Light" w:eastAsia="Times New Roman" w:hAnsi="Segoe UI Light"/>
                <w:b/>
                <w:sz w:val="16"/>
                <w:szCs w:val="18"/>
                <w:lang w:eastAsia="lv-LV"/>
              </w:rPr>
            </w:pPr>
            <w:r w:rsidRPr="00DC7E0D">
              <w:rPr>
                <w:rFonts w:ascii="Segoe UI Light" w:eastAsia="Times New Roman" w:hAnsi="Segoe UI Light"/>
                <w:b/>
                <w:sz w:val="16"/>
                <w:szCs w:val="18"/>
                <w:lang w:eastAsia="lv-LV"/>
              </w:rPr>
              <w:t>Kopā</w:t>
            </w:r>
          </w:p>
        </w:tc>
        <w:tc>
          <w:tcPr>
            <w:tcW w:w="623" w:type="dxa"/>
            <w:shd w:val="clear" w:color="auto" w:fill="auto"/>
            <w:noWrap/>
            <w:hideMark/>
          </w:tcPr>
          <w:p w14:paraId="4535D158" w14:textId="66B1E1C3" w:rsidR="00267AA4" w:rsidRPr="00DC7E0D" w:rsidRDefault="00267AA4">
            <w:pPr>
              <w:tabs>
                <w:tab w:val="decimal" w:pos="315"/>
              </w:tabs>
              <w:spacing w:before="40" w:after="40"/>
              <w:rPr>
                <w:rFonts w:ascii="Segoe UI Light" w:hAnsi="Segoe UI Light" w:cs="Segoe UI Light"/>
                <w:b/>
                <w:bCs/>
                <w:color w:val="000000"/>
                <w:sz w:val="16"/>
                <w:szCs w:val="16"/>
              </w:rPr>
            </w:pPr>
            <w:r w:rsidRPr="00DC7E0D">
              <w:rPr>
                <w:rFonts w:ascii="Segoe UI Light" w:hAnsi="Segoe UI Light" w:cs="Segoe UI Light"/>
                <w:b/>
                <w:bCs/>
                <w:color w:val="000000"/>
                <w:sz w:val="16"/>
                <w:szCs w:val="16"/>
              </w:rPr>
              <w:t>94</w:t>
            </w:r>
            <w:r w:rsidR="00DC7E0D" w:rsidRPr="00DC7E0D">
              <w:rPr>
                <w:rFonts w:ascii="Segoe UI Light" w:hAnsi="Segoe UI Light" w:cs="Segoe UI Light"/>
                <w:b/>
                <w:bCs/>
                <w:color w:val="000000"/>
                <w:sz w:val="16"/>
                <w:szCs w:val="16"/>
              </w:rPr>
              <w:t>8,9</w:t>
            </w:r>
          </w:p>
        </w:tc>
        <w:tc>
          <w:tcPr>
            <w:tcW w:w="737" w:type="dxa"/>
            <w:shd w:val="clear" w:color="auto" w:fill="auto"/>
            <w:noWrap/>
          </w:tcPr>
          <w:p w14:paraId="3CAD050B" w14:textId="3D6BC6D8" w:rsidR="00267AA4" w:rsidRPr="00DC7E0D" w:rsidRDefault="00267AA4">
            <w:pPr>
              <w:tabs>
                <w:tab w:val="decimal" w:pos="315"/>
              </w:tabs>
              <w:spacing w:before="40" w:after="40"/>
              <w:rPr>
                <w:rFonts w:ascii="Segoe UI Light" w:hAnsi="Segoe UI Light" w:cs="Segoe UI Light"/>
                <w:b/>
                <w:bCs/>
                <w:color w:val="000000"/>
                <w:sz w:val="16"/>
                <w:szCs w:val="16"/>
              </w:rPr>
            </w:pPr>
            <w:r w:rsidRPr="00DC7E0D">
              <w:rPr>
                <w:rFonts w:ascii="Segoe UI Light" w:hAnsi="Segoe UI Light" w:cs="Segoe UI Light"/>
                <w:b/>
                <w:bCs/>
                <w:color w:val="000000"/>
                <w:sz w:val="16"/>
                <w:szCs w:val="16"/>
              </w:rPr>
              <w:t>9</w:t>
            </w:r>
            <w:r w:rsidR="00DC7E0D" w:rsidRPr="00DC7E0D">
              <w:rPr>
                <w:rFonts w:ascii="Segoe UI Light" w:hAnsi="Segoe UI Light" w:cs="Segoe UI Light"/>
                <w:b/>
                <w:bCs/>
                <w:color w:val="000000"/>
                <w:sz w:val="16"/>
                <w:szCs w:val="16"/>
              </w:rPr>
              <w:t>53,9</w:t>
            </w:r>
          </w:p>
        </w:tc>
        <w:tc>
          <w:tcPr>
            <w:tcW w:w="737" w:type="dxa"/>
            <w:shd w:val="clear" w:color="auto" w:fill="auto"/>
            <w:noWrap/>
          </w:tcPr>
          <w:p w14:paraId="54A75C4C" w14:textId="32362DDB" w:rsidR="00267AA4" w:rsidRPr="00E90247" w:rsidRDefault="00267AA4">
            <w:pPr>
              <w:tabs>
                <w:tab w:val="decimal" w:pos="315"/>
              </w:tabs>
              <w:spacing w:before="40" w:after="40"/>
              <w:rPr>
                <w:rFonts w:ascii="Segoe UI Light" w:hAnsi="Segoe UI Light" w:cs="Segoe UI Light"/>
                <w:b/>
                <w:bCs/>
                <w:color w:val="000000"/>
                <w:sz w:val="16"/>
                <w:szCs w:val="16"/>
              </w:rPr>
            </w:pPr>
            <w:r w:rsidRPr="000C57DF">
              <w:rPr>
                <w:rFonts w:ascii="Segoe UI Light" w:hAnsi="Segoe UI Light" w:cs="Segoe UI Light"/>
                <w:b/>
                <w:bCs/>
                <w:color w:val="000000"/>
                <w:sz w:val="16"/>
                <w:szCs w:val="16"/>
              </w:rPr>
              <w:t>936</w:t>
            </w:r>
            <w:r w:rsidR="007C6512" w:rsidRPr="000C57DF">
              <w:rPr>
                <w:rFonts w:ascii="Segoe UI Light" w:hAnsi="Segoe UI Light" w:cs="Segoe UI Light"/>
                <w:b/>
                <w:bCs/>
                <w:color w:val="000000"/>
                <w:sz w:val="16"/>
                <w:szCs w:val="16"/>
              </w:rPr>
              <w:t>,</w:t>
            </w:r>
            <w:r w:rsidR="000C57DF" w:rsidRPr="000C57DF">
              <w:rPr>
                <w:rFonts w:ascii="Segoe UI Light" w:hAnsi="Segoe UI Light" w:cs="Segoe UI Light"/>
                <w:b/>
                <w:bCs/>
                <w:color w:val="000000"/>
                <w:sz w:val="16"/>
                <w:szCs w:val="16"/>
              </w:rPr>
              <w:t>1</w:t>
            </w:r>
          </w:p>
        </w:tc>
        <w:tc>
          <w:tcPr>
            <w:tcW w:w="737" w:type="dxa"/>
            <w:shd w:val="clear" w:color="auto" w:fill="auto"/>
          </w:tcPr>
          <w:p w14:paraId="338CBFA1" w14:textId="1D6554B3" w:rsidR="00267AA4" w:rsidRPr="00D24297" w:rsidRDefault="00267AA4">
            <w:pPr>
              <w:tabs>
                <w:tab w:val="decimal" w:pos="315"/>
              </w:tabs>
              <w:spacing w:before="40" w:after="40"/>
              <w:rPr>
                <w:rFonts w:ascii="Segoe UI Light" w:hAnsi="Segoe UI Light" w:cs="Segoe UI Light"/>
                <w:b/>
                <w:bCs/>
                <w:color w:val="000000"/>
                <w:sz w:val="16"/>
                <w:szCs w:val="16"/>
              </w:rPr>
            </w:pPr>
            <w:r w:rsidRPr="00D24297">
              <w:rPr>
                <w:rFonts w:ascii="Segoe UI Light" w:hAnsi="Segoe UI Light" w:cs="Segoe UI Light"/>
                <w:b/>
                <w:bCs/>
                <w:color w:val="000000"/>
                <w:sz w:val="16"/>
                <w:szCs w:val="16"/>
              </w:rPr>
              <w:t>100</w:t>
            </w:r>
            <w:r w:rsidR="007C6512" w:rsidRPr="00D24297">
              <w:rPr>
                <w:rFonts w:ascii="Segoe UI Light" w:hAnsi="Segoe UI Light" w:cs="Segoe UI Light"/>
                <w:b/>
                <w:bCs/>
                <w:color w:val="000000"/>
                <w:sz w:val="16"/>
                <w:szCs w:val="16"/>
              </w:rPr>
              <w:t>,</w:t>
            </w:r>
            <w:r w:rsidRPr="00D24297">
              <w:rPr>
                <w:rFonts w:ascii="Segoe UI Light" w:hAnsi="Segoe UI Light" w:cs="Segoe UI Light"/>
                <w:b/>
                <w:bCs/>
                <w:color w:val="000000"/>
                <w:sz w:val="16"/>
                <w:szCs w:val="16"/>
              </w:rPr>
              <w:t>0</w:t>
            </w:r>
          </w:p>
        </w:tc>
        <w:tc>
          <w:tcPr>
            <w:tcW w:w="737" w:type="dxa"/>
            <w:shd w:val="clear" w:color="auto" w:fill="auto"/>
          </w:tcPr>
          <w:p w14:paraId="39A04C2B" w14:textId="68936A45" w:rsidR="00267AA4" w:rsidRPr="00D24297" w:rsidRDefault="00267AA4">
            <w:pPr>
              <w:tabs>
                <w:tab w:val="decimal" w:pos="315"/>
              </w:tabs>
              <w:spacing w:before="40" w:after="40"/>
              <w:rPr>
                <w:rFonts w:ascii="Segoe UI Light" w:hAnsi="Segoe UI Light" w:cs="Segoe UI Light"/>
                <w:b/>
                <w:bCs/>
                <w:color w:val="000000"/>
                <w:sz w:val="16"/>
                <w:szCs w:val="16"/>
              </w:rPr>
            </w:pPr>
            <w:r w:rsidRPr="00D24297">
              <w:rPr>
                <w:rFonts w:ascii="Segoe UI Light" w:hAnsi="Segoe UI Light" w:cs="Segoe UI Light"/>
                <w:b/>
                <w:bCs/>
                <w:color w:val="000000"/>
                <w:sz w:val="16"/>
                <w:szCs w:val="16"/>
              </w:rPr>
              <w:t>100</w:t>
            </w:r>
            <w:r w:rsidR="007C6512" w:rsidRPr="00D24297">
              <w:rPr>
                <w:rFonts w:ascii="Segoe UI Light" w:hAnsi="Segoe UI Light" w:cs="Segoe UI Light"/>
                <w:b/>
                <w:bCs/>
                <w:color w:val="000000"/>
                <w:sz w:val="16"/>
                <w:szCs w:val="16"/>
              </w:rPr>
              <w:t>,</w:t>
            </w:r>
            <w:r w:rsidRPr="00D24297">
              <w:rPr>
                <w:rFonts w:ascii="Segoe UI Light" w:hAnsi="Segoe UI Light" w:cs="Segoe UI Light"/>
                <w:b/>
                <w:bCs/>
                <w:color w:val="000000"/>
                <w:sz w:val="16"/>
                <w:szCs w:val="16"/>
              </w:rPr>
              <w:t>0</w:t>
            </w:r>
          </w:p>
        </w:tc>
        <w:tc>
          <w:tcPr>
            <w:tcW w:w="737" w:type="dxa"/>
            <w:shd w:val="clear" w:color="auto" w:fill="auto"/>
          </w:tcPr>
          <w:p w14:paraId="5596EECD" w14:textId="6FA18790" w:rsidR="00267AA4" w:rsidRPr="00D24297" w:rsidRDefault="00267AA4">
            <w:pPr>
              <w:tabs>
                <w:tab w:val="decimal" w:pos="315"/>
              </w:tabs>
              <w:spacing w:before="40" w:after="40"/>
              <w:rPr>
                <w:rFonts w:ascii="Segoe UI Light" w:hAnsi="Segoe UI Light" w:cs="Segoe UI Light"/>
                <w:b/>
                <w:bCs/>
                <w:color w:val="000000"/>
                <w:sz w:val="16"/>
                <w:szCs w:val="16"/>
              </w:rPr>
            </w:pPr>
            <w:r w:rsidRPr="00D24297">
              <w:rPr>
                <w:rFonts w:ascii="Segoe UI Light" w:hAnsi="Segoe UI Light" w:cs="Segoe UI Light"/>
                <w:b/>
                <w:bCs/>
                <w:color w:val="000000"/>
                <w:sz w:val="16"/>
                <w:szCs w:val="16"/>
              </w:rPr>
              <w:t>100</w:t>
            </w:r>
            <w:r w:rsidR="007C6512" w:rsidRPr="00D24297">
              <w:rPr>
                <w:rFonts w:ascii="Segoe UI Light" w:hAnsi="Segoe UI Light" w:cs="Segoe UI Light"/>
                <w:b/>
                <w:bCs/>
                <w:color w:val="000000"/>
                <w:sz w:val="16"/>
                <w:szCs w:val="16"/>
              </w:rPr>
              <w:t>,</w:t>
            </w:r>
            <w:r w:rsidRPr="00D24297">
              <w:rPr>
                <w:rFonts w:ascii="Segoe UI Light" w:hAnsi="Segoe UI Light" w:cs="Segoe UI Light"/>
                <w:b/>
                <w:bCs/>
                <w:color w:val="000000"/>
                <w:sz w:val="16"/>
                <w:szCs w:val="16"/>
              </w:rPr>
              <w:t>0</w:t>
            </w:r>
          </w:p>
        </w:tc>
        <w:tc>
          <w:tcPr>
            <w:tcW w:w="737" w:type="dxa"/>
            <w:shd w:val="clear" w:color="auto" w:fill="auto"/>
          </w:tcPr>
          <w:p w14:paraId="1A541EDE" w14:textId="4334A9B0" w:rsidR="00267AA4" w:rsidRPr="00A23F5C" w:rsidRDefault="00A23F5C">
            <w:pPr>
              <w:tabs>
                <w:tab w:val="decimal" w:pos="315"/>
              </w:tabs>
              <w:spacing w:before="40" w:after="40"/>
              <w:rPr>
                <w:rFonts w:ascii="Segoe UI Light" w:hAnsi="Segoe UI Light" w:cs="Segoe UI Light"/>
                <w:b/>
                <w:bCs/>
                <w:color w:val="000000"/>
                <w:sz w:val="16"/>
                <w:szCs w:val="16"/>
              </w:rPr>
            </w:pPr>
            <w:r w:rsidRPr="00A23F5C">
              <w:rPr>
                <w:rFonts w:ascii="Segoe UI Light" w:hAnsi="Segoe UI Light" w:cs="Segoe UI Light"/>
                <w:b/>
                <w:bCs/>
                <w:color w:val="000000"/>
                <w:sz w:val="16"/>
                <w:szCs w:val="16"/>
              </w:rPr>
              <w:t>5,1</w:t>
            </w:r>
          </w:p>
        </w:tc>
        <w:tc>
          <w:tcPr>
            <w:tcW w:w="737" w:type="dxa"/>
            <w:shd w:val="clear" w:color="auto" w:fill="auto"/>
          </w:tcPr>
          <w:p w14:paraId="2830EFCF" w14:textId="1168D563" w:rsidR="00267AA4" w:rsidRPr="00A23F5C" w:rsidRDefault="00267AA4">
            <w:pPr>
              <w:tabs>
                <w:tab w:val="decimal" w:pos="315"/>
              </w:tabs>
              <w:spacing w:before="40" w:after="40"/>
              <w:rPr>
                <w:rFonts w:ascii="Segoe UI Light" w:hAnsi="Segoe UI Light" w:cs="Segoe UI Light"/>
                <w:b/>
                <w:bCs/>
                <w:color w:val="000000"/>
                <w:sz w:val="16"/>
                <w:szCs w:val="16"/>
              </w:rPr>
            </w:pPr>
            <w:r w:rsidRPr="00A23F5C">
              <w:rPr>
                <w:rFonts w:ascii="Segoe UI Light" w:hAnsi="Segoe UI Light" w:cs="Segoe UI Light"/>
                <w:b/>
                <w:bCs/>
                <w:color w:val="000000"/>
                <w:sz w:val="16"/>
                <w:szCs w:val="16"/>
              </w:rPr>
              <w:t>-</w:t>
            </w:r>
            <w:r w:rsidR="00A23F5C" w:rsidRPr="00A23F5C">
              <w:rPr>
                <w:rFonts w:ascii="Segoe UI Light" w:hAnsi="Segoe UI Light" w:cs="Segoe UI Light"/>
                <w:b/>
                <w:bCs/>
                <w:color w:val="000000"/>
                <w:sz w:val="16"/>
                <w:szCs w:val="16"/>
              </w:rPr>
              <w:t>12,7</w:t>
            </w:r>
          </w:p>
        </w:tc>
      </w:tr>
    </w:tbl>
    <w:p w14:paraId="7AFA3231" w14:textId="6BA2D6D2" w:rsidR="00267AA4" w:rsidRPr="00D829F0" w:rsidRDefault="00267AA4" w:rsidP="00267AA4">
      <w:pPr>
        <w:spacing w:before="120" w:after="120"/>
        <w:jc w:val="both"/>
        <w:rPr>
          <w:rFonts w:ascii="Source Sans Pro" w:hAnsi="Source Sans Pro" w:cs="Calibri Light"/>
          <w:sz w:val="16"/>
          <w:szCs w:val="14"/>
        </w:rPr>
      </w:pPr>
      <w:r w:rsidRPr="00D829F0">
        <w:rPr>
          <w:rFonts w:ascii="Source Sans Pro" w:hAnsi="Source Sans Pro" w:cs="Calibri Light"/>
          <w:sz w:val="16"/>
          <w:szCs w:val="14"/>
        </w:rPr>
        <w:t>Avots: 202</w:t>
      </w:r>
      <w:r w:rsidR="005E7847" w:rsidRPr="00D829F0">
        <w:rPr>
          <w:rFonts w:ascii="Source Sans Pro" w:hAnsi="Source Sans Pro" w:cs="Calibri Light"/>
          <w:sz w:val="16"/>
          <w:szCs w:val="14"/>
        </w:rPr>
        <w:t>5</w:t>
      </w:r>
      <w:r w:rsidRPr="00D829F0">
        <w:rPr>
          <w:rFonts w:ascii="Source Sans Pro" w:hAnsi="Source Sans Pro" w:cs="Calibri Light"/>
          <w:sz w:val="16"/>
          <w:szCs w:val="14"/>
        </w:rPr>
        <w:t>.</w:t>
      </w:r>
      <w:r w:rsidR="00B566DE" w:rsidRPr="00D829F0">
        <w:rPr>
          <w:rFonts w:ascii="Source Sans Pro" w:hAnsi="Source Sans Pro" w:cs="Calibri Light"/>
          <w:sz w:val="16"/>
          <w:szCs w:val="14"/>
        </w:rPr>
        <w:t> </w:t>
      </w:r>
      <w:r w:rsidRPr="00D829F0">
        <w:rPr>
          <w:rFonts w:ascii="Source Sans Pro" w:hAnsi="Source Sans Pro" w:cs="Calibri Light"/>
          <w:sz w:val="16"/>
          <w:szCs w:val="14"/>
        </w:rPr>
        <w:t>gadā – EM novērtējums, balstoties uz 202</w:t>
      </w:r>
      <w:r w:rsidR="005E7847" w:rsidRPr="00D829F0">
        <w:rPr>
          <w:rFonts w:ascii="Source Sans Pro" w:hAnsi="Source Sans Pro" w:cs="Calibri Light"/>
          <w:sz w:val="16"/>
          <w:szCs w:val="14"/>
        </w:rPr>
        <w:t>5</w:t>
      </w:r>
      <w:r w:rsidRPr="00D829F0">
        <w:rPr>
          <w:rFonts w:ascii="Source Sans Pro" w:hAnsi="Source Sans Pro" w:cs="Calibri Light"/>
          <w:sz w:val="16"/>
          <w:szCs w:val="14"/>
        </w:rPr>
        <w:t>.gada DSA datiem. EM prognozes 2030.</w:t>
      </w:r>
      <w:r w:rsidR="00997A11" w:rsidRPr="00D829F0">
        <w:rPr>
          <w:rFonts w:ascii="Source Sans Pro" w:hAnsi="Source Sans Pro" w:cs="Calibri Light"/>
          <w:sz w:val="16"/>
          <w:szCs w:val="14"/>
        </w:rPr>
        <w:t xml:space="preserve">gadam </w:t>
      </w:r>
      <w:r w:rsidRPr="00D829F0">
        <w:rPr>
          <w:rFonts w:ascii="Source Sans Pro" w:hAnsi="Source Sans Pro" w:cs="Calibri Light"/>
          <w:sz w:val="16"/>
          <w:szCs w:val="14"/>
        </w:rPr>
        <w:t>un 2040.gadam.</w:t>
      </w:r>
    </w:p>
    <w:p w14:paraId="58FB479A" w14:textId="77777777" w:rsidR="00997A11" w:rsidRPr="00D829F0" w:rsidRDefault="00997A11" w:rsidP="00267AA4">
      <w:pPr>
        <w:spacing w:after="120"/>
        <w:jc w:val="both"/>
        <w:rPr>
          <w:rFonts w:ascii="Source Sans Pro" w:hAnsi="Source Sans Pro"/>
          <w:color w:val="000000"/>
        </w:rPr>
      </w:pPr>
    </w:p>
    <w:p w14:paraId="7835B0B1" w14:textId="28B6B13A" w:rsidR="00997A11" w:rsidRPr="00D829F0" w:rsidRDefault="00997A11" w:rsidP="00997A11">
      <w:pPr>
        <w:spacing w:after="120"/>
        <w:jc w:val="both"/>
        <w:rPr>
          <w:rFonts w:ascii="Source Sans Pro" w:hAnsi="Source Sans Pro"/>
          <w:color w:val="000000"/>
        </w:rPr>
      </w:pPr>
      <w:r w:rsidRPr="00D829F0">
        <w:rPr>
          <w:rFonts w:ascii="Source Sans Pro" w:hAnsi="Source Sans Pro"/>
          <w:color w:val="000000"/>
        </w:rPr>
        <w:t>Kopumā audzēkņu skaits profesionālajā izglītībā joprojām ir būtiski mazāks nekā būtu nepieciešams, lai novērstu darbaspēka novecošanās tendenču negatīvo ietekmi uz vidējās kvalifikācijas darbaspēka piedāvājumu</w:t>
      </w:r>
      <w:r w:rsidR="00FF1914" w:rsidRPr="00D829F0">
        <w:rPr>
          <w:rFonts w:ascii="Source Sans Pro" w:hAnsi="Source Sans Pro"/>
          <w:color w:val="000000"/>
        </w:rPr>
        <w:t xml:space="preserve"> nākotnē</w:t>
      </w:r>
      <w:r w:rsidRPr="00D829F0">
        <w:rPr>
          <w:rFonts w:ascii="Source Sans Pro" w:hAnsi="Source Sans Pro"/>
          <w:color w:val="000000"/>
        </w:rPr>
        <w:t xml:space="preserve">. Lai nodrošinātu vidējās kvalifikācijas darbaspēka piedāvājuma atražošanu profesionālajā izglītībā būtu jāuzņem vismaz divreiz vairāk audzēkņu nekā tas ir pašlaik, kā arī jāmazina izglītojamo </w:t>
      </w:r>
      <w:r w:rsidR="00ED3C7A" w:rsidRPr="00D829F0">
        <w:rPr>
          <w:rFonts w:ascii="Source Sans Pro" w:hAnsi="Source Sans Pro"/>
          <w:color w:val="000000"/>
        </w:rPr>
        <w:t>skaits, kas priekšlaicīgi pārtrauc mācības</w:t>
      </w:r>
      <w:r w:rsidRPr="00D829F0">
        <w:rPr>
          <w:rFonts w:ascii="Source Sans Pro" w:hAnsi="Source Sans Pro"/>
          <w:color w:val="000000"/>
        </w:rPr>
        <w:t xml:space="preserve">. Tāpat būtiska loma vidējās kvalifikācijas darbaspēka piedāvājuma krituma mazināšanai ir pieaugušo kvalifikācijas celšanas un pārkvalifikācijas pasākumiem profesionālajā izglītībā. </w:t>
      </w:r>
      <w:r w:rsidRPr="000A73AA">
        <w:rPr>
          <w:rFonts w:ascii="Source Sans Pro" w:hAnsi="Source Sans Pro"/>
          <w:color w:val="000000"/>
        </w:rPr>
        <w:t xml:space="preserve">Joprojām aptuveni </w:t>
      </w:r>
      <w:r w:rsidR="000A73AA" w:rsidRPr="000A73AA">
        <w:rPr>
          <w:rFonts w:ascii="Source Sans Pro" w:hAnsi="Source Sans Pro"/>
          <w:color w:val="000000"/>
        </w:rPr>
        <w:t>489,6</w:t>
      </w:r>
      <w:r w:rsidRPr="000A73AA">
        <w:rPr>
          <w:rFonts w:ascii="Source Sans Pro" w:hAnsi="Source Sans Pro"/>
          <w:color w:val="000000"/>
        </w:rPr>
        <w:t> tūkst</w:t>
      </w:r>
      <w:r w:rsidRPr="00ED4B7E">
        <w:rPr>
          <w:rFonts w:ascii="Source Sans Pro" w:hAnsi="Source Sans Pro"/>
          <w:color w:val="000000"/>
        </w:rPr>
        <w:t xml:space="preserve">. </w:t>
      </w:r>
      <w:r w:rsidR="00ED4B7E" w:rsidRPr="00ED4B7E">
        <w:rPr>
          <w:rFonts w:ascii="Source Sans Pro" w:hAnsi="Source Sans Pro"/>
          <w:color w:val="000000"/>
        </w:rPr>
        <w:t xml:space="preserve">jeb </w:t>
      </w:r>
      <w:r w:rsidR="00D84731">
        <w:rPr>
          <w:rFonts w:ascii="Source Sans Pro" w:hAnsi="Source Sans Pro"/>
          <w:color w:val="000000"/>
        </w:rPr>
        <w:t>gandrīz</w:t>
      </w:r>
      <w:r w:rsidR="00ED4B7E" w:rsidRPr="00ED4B7E">
        <w:rPr>
          <w:rFonts w:ascii="Source Sans Pro" w:hAnsi="Source Sans Pro"/>
          <w:color w:val="000000"/>
        </w:rPr>
        <w:t xml:space="preserve"> 50%</w:t>
      </w:r>
      <w:r w:rsidRPr="00ED4B7E">
        <w:rPr>
          <w:rFonts w:ascii="Source Sans Pro" w:hAnsi="Source Sans Pro"/>
          <w:color w:val="000000"/>
        </w:rPr>
        <w:t xml:space="preserve"> no iedzīvotājiem vecumā no 25 līdz 64 gadiem ir nepietiekam</w:t>
      </w:r>
      <w:r w:rsidR="00327AFF" w:rsidRPr="00ED4B7E">
        <w:rPr>
          <w:rFonts w:ascii="Source Sans Pro" w:hAnsi="Source Sans Pro"/>
          <w:color w:val="000000"/>
        </w:rPr>
        <w:t>a</w:t>
      </w:r>
      <w:r w:rsidRPr="00ED4B7E">
        <w:rPr>
          <w:rFonts w:ascii="Source Sans Pro" w:hAnsi="Source Sans Pro"/>
          <w:color w:val="000000"/>
        </w:rPr>
        <w:t xml:space="preserve"> izglītība (vidēj</w:t>
      </w:r>
      <w:r w:rsidR="00327AFF" w:rsidRPr="00ED4B7E">
        <w:rPr>
          <w:rFonts w:ascii="Source Sans Pro" w:hAnsi="Source Sans Pro"/>
          <w:color w:val="000000"/>
        </w:rPr>
        <w:t>ā</w:t>
      </w:r>
      <w:r w:rsidRPr="00ED4B7E">
        <w:rPr>
          <w:rFonts w:ascii="Source Sans Pro" w:hAnsi="Source Sans Pro"/>
          <w:color w:val="000000"/>
        </w:rPr>
        <w:t xml:space="preserve"> vispārēj</w:t>
      </w:r>
      <w:r w:rsidR="00327AFF" w:rsidRPr="00ED4B7E">
        <w:rPr>
          <w:rFonts w:ascii="Source Sans Pro" w:hAnsi="Source Sans Pro"/>
          <w:color w:val="000000"/>
        </w:rPr>
        <w:t>ā</w:t>
      </w:r>
      <w:r w:rsidRPr="00ED4B7E">
        <w:rPr>
          <w:rFonts w:ascii="Source Sans Pro" w:hAnsi="Source Sans Pro"/>
          <w:color w:val="000000"/>
        </w:rPr>
        <w:t xml:space="preserve"> izglītīb</w:t>
      </w:r>
      <w:r w:rsidR="00327AFF" w:rsidRPr="00ED4B7E">
        <w:rPr>
          <w:rFonts w:ascii="Source Sans Pro" w:hAnsi="Source Sans Pro"/>
          <w:color w:val="000000"/>
        </w:rPr>
        <w:t>a</w:t>
      </w:r>
      <w:r w:rsidRPr="00ED4B7E">
        <w:rPr>
          <w:rFonts w:ascii="Source Sans Pro" w:hAnsi="Source Sans Pro"/>
          <w:color w:val="000000"/>
        </w:rPr>
        <w:t>, pamatizglītīb</w:t>
      </w:r>
      <w:r w:rsidR="00327AFF" w:rsidRPr="00ED4B7E">
        <w:rPr>
          <w:rFonts w:ascii="Source Sans Pro" w:hAnsi="Source Sans Pro"/>
          <w:color w:val="000000"/>
        </w:rPr>
        <w:t>a</w:t>
      </w:r>
      <w:r w:rsidRPr="00ED4B7E">
        <w:rPr>
          <w:rFonts w:ascii="Source Sans Pro" w:hAnsi="Source Sans Pro"/>
          <w:color w:val="000000"/>
        </w:rPr>
        <w:t xml:space="preserve"> vai zemāk</w:t>
      </w:r>
      <w:r w:rsidR="00327AFF" w:rsidRPr="00ED4B7E">
        <w:rPr>
          <w:rFonts w:ascii="Source Sans Pro" w:hAnsi="Source Sans Pro"/>
          <w:color w:val="000000"/>
        </w:rPr>
        <w:t>s</w:t>
      </w:r>
      <w:r w:rsidRPr="00ED4B7E">
        <w:rPr>
          <w:rFonts w:ascii="Source Sans Pro" w:hAnsi="Source Sans Pro"/>
          <w:color w:val="000000"/>
        </w:rPr>
        <w:t xml:space="preserve"> izglītības līmeni</w:t>
      </w:r>
      <w:r w:rsidR="00327AFF" w:rsidRPr="00ED4B7E">
        <w:rPr>
          <w:rFonts w:ascii="Source Sans Pro" w:hAnsi="Source Sans Pro"/>
          <w:color w:val="000000"/>
        </w:rPr>
        <w:t>s</w:t>
      </w:r>
      <w:r w:rsidRPr="00ED4B7E">
        <w:rPr>
          <w:rFonts w:ascii="Source Sans Pro" w:hAnsi="Source Sans Pro"/>
          <w:color w:val="000000"/>
        </w:rPr>
        <w:t>),</w:t>
      </w:r>
      <w:r w:rsidRPr="00D829F0">
        <w:rPr>
          <w:rFonts w:ascii="Source Sans Pro" w:hAnsi="Source Sans Pro"/>
          <w:color w:val="000000"/>
        </w:rPr>
        <w:t xml:space="preserve"> lai veiksmīgi integrētos darba tirgū, līdz ar to būtiski ir nodrošināt šiem cilvēkiem iespējas atgriezties izglītības sistēmā un paplašināt profesionālās prasmes/iegūt kvalifikāciju.</w:t>
      </w:r>
    </w:p>
    <w:p w14:paraId="3EC86D83" w14:textId="7FA20B04" w:rsidR="00997A11" w:rsidRPr="00D829F0" w:rsidRDefault="00997A11" w:rsidP="00997A11">
      <w:pPr>
        <w:spacing w:after="120"/>
        <w:jc w:val="both"/>
        <w:rPr>
          <w:rFonts w:ascii="Source Sans Pro" w:hAnsi="Source Sans Pro"/>
          <w:color w:val="000000"/>
          <w:spacing w:val="-4"/>
        </w:rPr>
      </w:pPr>
      <w:r w:rsidRPr="00D829F0">
        <w:rPr>
          <w:rFonts w:ascii="Source Sans Pro" w:hAnsi="Source Sans Pro"/>
          <w:b/>
          <w:color w:val="000000"/>
        </w:rPr>
        <w:t>Nākamajos gados var pieaugt zemas kvalifikācijas darbaspēka piedāvājums ar pamatizglītību un zemāku izglītības līmeni</w:t>
      </w:r>
      <w:r w:rsidRPr="00840684">
        <w:rPr>
          <w:rFonts w:ascii="Source Sans Pro" w:hAnsi="Source Sans Pro"/>
          <w:b/>
          <w:color w:val="000000"/>
        </w:rPr>
        <w:t xml:space="preserve">. </w:t>
      </w:r>
      <w:r w:rsidRPr="00840684">
        <w:rPr>
          <w:rFonts w:ascii="Source Sans Pro" w:hAnsi="Source Sans Pro"/>
          <w:color w:val="000000"/>
          <w:spacing w:val="-4"/>
        </w:rPr>
        <w:t>202</w:t>
      </w:r>
      <w:r w:rsidR="001D2A5B" w:rsidRPr="00840684">
        <w:rPr>
          <w:rFonts w:ascii="Source Sans Pro" w:hAnsi="Source Sans Pro"/>
          <w:color w:val="000000"/>
          <w:spacing w:val="-4"/>
        </w:rPr>
        <w:t>5</w:t>
      </w:r>
      <w:r w:rsidRPr="00840684">
        <w:rPr>
          <w:rFonts w:ascii="Source Sans Pro" w:hAnsi="Source Sans Pro"/>
          <w:color w:val="000000"/>
          <w:spacing w:val="-4"/>
        </w:rPr>
        <w:t>.</w:t>
      </w:r>
      <w:r w:rsidR="00B566DE" w:rsidRPr="00840684">
        <w:rPr>
          <w:rFonts w:ascii="Source Sans Pro" w:hAnsi="Source Sans Pro"/>
          <w:color w:val="000000"/>
          <w:spacing w:val="-4"/>
        </w:rPr>
        <w:t> </w:t>
      </w:r>
      <w:r w:rsidRPr="00840684">
        <w:rPr>
          <w:rFonts w:ascii="Source Sans Pro" w:hAnsi="Source Sans Pro"/>
          <w:color w:val="000000"/>
          <w:spacing w:val="-4"/>
        </w:rPr>
        <w:t xml:space="preserve">gadā </w:t>
      </w:r>
      <w:r w:rsidR="00A31455">
        <w:rPr>
          <w:rFonts w:ascii="Source Sans Pro" w:hAnsi="Source Sans Pro"/>
          <w:color w:val="000000"/>
          <w:spacing w:val="-4"/>
        </w:rPr>
        <w:t>10</w:t>
      </w:r>
      <w:r w:rsidR="00146DCA">
        <w:rPr>
          <w:rFonts w:ascii="Source Sans Pro" w:hAnsi="Source Sans Pro"/>
          <w:color w:val="000000"/>
          <w:spacing w:val="-4"/>
        </w:rPr>
        <w:t>,</w:t>
      </w:r>
      <w:r w:rsidR="00A31455">
        <w:rPr>
          <w:rFonts w:ascii="Source Sans Pro" w:hAnsi="Source Sans Pro"/>
          <w:color w:val="000000"/>
          <w:spacing w:val="-4"/>
        </w:rPr>
        <w:t>7</w:t>
      </w:r>
      <w:r w:rsidRPr="00840684">
        <w:rPr>
          <w:rFonts w:ascii="Source Sans Pro" w:hAnsi="Source Sans Pro"/>
          <w:color w:val="000000"/>
          <w:spacing w:val="-4"/>
        </w:rPr>
        <w:t>% no iedzīvotājiem vecumā no 20 līdz 64 gadiem iegūtais izglītības līmenis nebija augstāks par pamatizglītību</w:t>
      </w:r>
      <w:r w:rsidRPr="00BD2BF3">
        <w:rPr>
          <w:rFonts w:ascii="Source Sans Pro" w:hAnsi="Source Sans Pro"/>
          <w:color w:val="000000"/>
          <w:spacing w:val="-4"/>
        </w:rPr>
        <w:t xml:space="preserve">. Aptuveni </w:t>
      </w:r>
      <w:r w:rsidR="002A6848" w:rsidRPr="00BD2BF3">
        <w:rPr>
          <w:rFonts w:ascii="Source Sans Pro" w:hAnsi="Source Sans Pro"/>
          <w:color w:val="000000"/>
          <w:spacing w:val="-4"/>
        </w:rPr>
        <w:t>69</w:t>
      </w:r>
      <w:r w:rsidRPr="00BD2BF3">
        <w:rPr>
          <w:rFonts w:ascii="Source Sans Pro" w:hAnsi="Source Sans Pro"/>
          <w:color w:val="000000"/>
          <w:spacing w:val="-4"/>
        </w:rPr>
        <w:t xml:space="preserve">% jeb </w:t>
      </w:r>
      <w:r w:rsidR="00D049BF" w:rsidRPr="00BD2BF3">
        <w:rPr>
          <w:rFonts w:ascii="Source Sans Pro" w:hAnsi="Source Sans Pro"/>
          <w:color w:val="000000"/>
          <w:spacing w:val="-4"/>
        </w:rPr>
        <w:t>79,4</w:t>
      </w:r>
      <w:r w:rsidR="00221377">
        <w:rPr>
          <w:rFonts w:ascii="Source Sans Pro" w:hAnsi="Source Sans Pro"/>
          <w:color w:val="000000"/>
          <w:spacing w:val="-4"/>
        </w:rPr>
        <w:t> </w:t>
      </w:r>
      <w:r w:rsidRPr="00BD2BF3">
        <w:rPr>
          <w:rFonts w:ascii="Source Sans Pro" w:hAnsi="Source Sans Pro"/>
          <w:color w:val="000000"/>
          <w:spacing w:val="-4"/>
        </w:rPr>
        <w:t>tūkst. no tiem bija vecumā no 20 līdz 44 gadiem (aptuveni 14% no kopējā iedzīvotāju skaita attiecīgajā vecuma grupā), tādēļ būtiska daļa no atbilstošās iedzīvotāju grupas nākamajos gados tikai vel sasniegs augstākās ekonomiskās aktivitātes vecuma kohortas (augstākā iedzīvotāju ekonomiskā aktivitāte parasti novērojama vecumā no 30 līdz 54 gadiem), līdz</w:t>
      </w:r>
      <w:r w:rsidRPr="00D829F0">
        <w:rPr>
          <w:rFonts w:ascii="Source Sans Pro" w:hAnsi="Source Sans Pro"/>
          <w:color w:val="000000"/>
          <w:spacing w:val="-4"/>
        </w:rPr>
        <w:t xml:space="preserve"> ar to arī kopumā palielinot zemas kvalifikācijas darbaspēka piedāvājumu darba tirgū.</w:t>
      </w:r>
    </w:p>
    <w:p w14:paraId="2A1E1421" w14:textId="218BD3B1" w:rsidR="00997A11" w:rsidRPr="00D829F0" w:rsidRDefault="00997A11" w:rsidP="00997A11">
      <w:pPr>
        <w:spacing w:after="120"/>
        <w:jc w:val="both"/>
        <w:rPr>
          <w:rFonts w:ascii="Source Sans Pro" w:hAnsi="Source Sans Pro"/>
          <w:color w:val="000000"/>
          <w:spacing w:val="-4"/>
          <w:szCs w:val="20"/>
        </w:rPr>
      </w:pPr>
      <w:r w:rsidRPr="00D829F0">
        <w:rPr>
          <w:rFonts w:ascii="Source Sans Pro" w:hAnsi="Source Sans Pro"/>
          <w:color w:val="000000"/>
          <w:spacing w:val="-4"/>
          <w:szCs w:val="20"/>
        </w:rPr>
        <w:lastRenderedPageBreak/>
        <w:t>Būtiskākais darbaspēka piedāvājuma pieaugums ar pamatizglītību un zemāku izglītības līmeni varētu būt vērojams līdz 203</w:t>
      </w:r>
      <w:r w:rsidR="00F208DE" w:rsidRPr="00D829F0">
        <w:rPr>
          <w:rFonts w:ascii="Source Sans Pro" w:hAnsi="Source Sans Pro"/>
          <w:color w:val="000000"/>
          <w:spacing w:val="-4"/>
          <w:szCs w:val="20"/>
        </w:rPr>
        <w:t>4</w:t>
      </w:r>
      <w:r w:rsidRPr="00D829F0">
        <w:rPr>
          <w:rFonts w:ascii="Source Sans Pro" w:hAnsi="Source Sans Pro"/>
          <w:color w:val="000000"/>
          <w:spacing w:val="-4"/>
          <w:szCs w:val="20"/>
        </w:rPr>
        <w:t>.</w:t>
      </w:r>
      <w:r w:rsidR="00B566DE" w:rsidRPr="00D829F0">
        <w:rPr>
          <w:rFonts w:ascii="Source Sans Pro" w:hAnsi="Source Sans Pro"/>
          <w:color w:val="000000"/>
          <w:spacing w:val="-4"/>
          <w:szCs w:val="20"/>
        </w:rPr>
        <w:t> </w:t>
      </w:r>
      <w:r w:rsidRPr="00D829F0">
        <w:rPr>
          <w:rFonts w:ascii="Source Sans Pro" w:hAnsi="Source Sans Pro"/>
          <w:color w:val="000000"/>
          <w:spacing w:val="-4"/>
          <w:szCs w:val="20"/>
        </w:rPr>
        <w:t>gadam, savukārt sākot ar 203</w:t>
      </w:r>
      <w:r w:rsidR="004C77D3" w:rsidRPr="00D829F0">
        <w:rPr>
          <w:rFonts w:ascii="Source Sans Pro" w:hAnsi="Source Sans Pro"/>
          <w:color w:val="000000"/>
          <w:spacing w:val="-4"/>
          <w:szCs w:val="20"/>
        </w:rPr>
        <w:t>5</w:t>
      </w:r>
      <w:r w:rsidRPr="00D829F0">
        <w:rPr>
          <w:rFonts w:ascii="Source Sans Pro" w:hAnsi="Source Sans Pro"/>
          <w:color w:val="000000"/>
          <w:spacing w:val="-4"/>
          <w:szCs w:val="20"/>
        </w:rPr>
        <w:t>.</w:t>
      </w:r>
      <w:r w:rsidR="00B566DE" w:rsidRPr="00D829F0">
        <w:rPr>
          <w:rFonts w:ascii="Source Sans Pro" w:hAnsi="Source Sans Pro"/>
          <w:color w:val="000000"/>
          <w:spacing w:val="-4"/>
          <w:szCs w:val="20"/>
        </w:rPr>
        <w:t> </w:t>
      </w:r>
      <w:r w:rsidRPr="00D829F0">
        <w:rPr>
          <w:rFonts w:ascii="Source Sans Pro" w:hAnsi="Source Sans Pro"/>
          <w:color w:val="000000"/>
          <w:spacing w:val="-4"/>
          <w:szCs w:val="20"/>
        </w:rPr>
        <w:t>gadu tas varētu pakāpeniski samazināties. Kopumā līdz 2030.</w:t>
      </w:r>
      <w:r w:rsidR="00B566DE" w:rsidRPr="00D829F0">
        <w:rPr>
          <w:rFonts w:ascii="Source Sans Pro" w:hAnsi="Source Sans Pro"/>
          <w:color w:val="000000"/>
          <w:spacing w:val="-4"/>
          <w:szCs w:val="20"/>
        </w:rPr>
        <w:t> </w:t>
      </w:r>
      <w:r w:rsidRPr="00D829F0">
        <w:rPr>
          <w:rFonts w:ascii="Source Sans Pro" w:hAnsi="Source Sans Pro"/>
          <w:color w:val="000000"/>
          <w:spacing w:val="-4"/>
          <w:szCs w:val="20"/>
        </w:rPr>
        <w:t>gadam darbaspēka piedāvājums ar pamatizglītību un zemāku izglītības līmeni varētu pieaugt par</w:t>
      </w:r>
      <w:r w:rsidR="00F53EA2" w:rsidRPr="00D829F0">
        <w:rPr>
          <w:rFonts w:ascii="Source Sans Pro" w:hAnsi="Source Sans Pro"/>
          <w:color w:val="000000"/>
          <w:spacing w:val="-4"/>
          <w:szCs w:val="20"/>
        </w:rPr>
        <w:t xml:space="preserve"> gandrīz 35</w:t>
      </w:r>
      <w:r w:rsidRPr="00D829F0">
        <w:rPr>
          <w:rFonts w:ascii="Source Sans Pro" w:hAnsi="Source Sans Pro"/>
          <w:color w:val="000000"/>
          <w:spacing w:val="-4"/>
          <w:szCs w:val="20"/>
        </w:rPr>
        <w:t xml:space="preserve"> tūkstošiem.</w:t>
      </w:r>
    </w:p>
    <w:p w14:paraId="5EF71226" w14:textId="17427796" w:rsidR="00997A11" w:rsidRPr="00D829F0" w:rsidRDefault="00997A11" w:rsidP="00997A11">
      <w:pPr>
        <w:spacing w:after="120"/>
        <w:jc w:val="both"/>
        <w:rPr>
          <w:rFonts w:ascii="Source Sans Pro" w:hAnsi="Source Sans Pro"/>
          <w:color w:val="000000"/>
          <w:spacing w:val="-2"/>
          <w:szCs w:val="20"/>
        </w:rPr>
      </w:pPr>
      <w:r w:rsidRPr="00D829F0">
        <w:rPr>
          <w:rFonts w:ascii="Source Sans Pro" w:hAnsi="Source Sans Pro"/>
          <w:color w:val="000000"/>
          <w:spacing w:val="-4"/>
          <w:szCs w:val="20"/>
        </w:rPr>
        <w:t xml:space="preserve">Būtisku ietekmi uz zemas kvalifikācijas darbaspēka piedāvājuma pieaugumu vidējā termiņā atstāj salīdzinoši lielais pagājušā gadsimta 90-to gadu </w:t>
      </w:r>
      <w:r w:rsidRPr="00D829F0">
        <w:rPr>
          <w:rFonts w:ascii="Source Sans Pro" w:hAnsi="Source Sans Pro"/>
          <w:color w:val="000000"/>
          <w:spacing w:val="-2"/>
          <w:szCs w:val="20"/>
        </w:rPr>
        <w:t>otrā pusē</w:t>
      </w:r>
      <w:r w:rsidRPr="00D829F0">
        <w:rPr>
          <w:rFonts w:ascii="Source Sans Pro" w:hAnsi="Source Sans Pro"/>
          <w:color w:val="000000"/>
          <w:spacing w:val="-4"/>
          <w:szCs w:val="20"/>
        </w:rPr>
        <w:t xml:space="preserve"> priekšlaicīgi izglītības sistēmu pametušo jauniešu skaits. </w:t>
      </w:r>
      <w:r w:rsidRPr="00D829F0">
        <w:rPr>
          <w:rFonts w:ascii="Source Sans Pro" w:hAnsi="Source Sans Pro"/>
          <w:color w:val="000000"/>
          <w:spacing w:val="-2"/>
          <w:szCs w:val="20"/>
        </w:rPr>
        <w:t>Tāpat nozīmīga ietekme uz iedzīvotāju plūsmu ar pamatizglītību ir audzēkņu atbirumam vidējās izglītības posmā – lai gan mācības tiek uzsāktas, tomēr liela daļa tās nepabeidz.</w:t>
      </w:r>
    </w:p>
    <w:p w14:paraId="520B55F2" w14:textId="77777777" w:rsidR="00267AA4" w:rsidRPr="00D829F0" w:rsidRDefault="00267AA4" w:rsidP="00343F74">
      <w:pPr>
        <w:spacing w:after="120"/>
        <w:jc w:val="both"/>
        <w:rPr>
          <w:rFonts w:ascii="Source Sans Pro" w:hAnsi="Source Sans Pro"/>
          <w:color w:val="000000"/>
          <w:szCs w:val="20"/>
        </w:rPr>
      </w:pPr>
    </w:p>
    <w:p w14:paraId="7D1ADF92" w14:textId="77777777" w:rsidR="00267AA4" w:rsidRPr="00D829F0" w:rsidRDefault="00267AA4" w:rsidP="00343F74">
      <w:pPr>
        <w:spacing w:after="120"/>
        <w:jc w:val="both"/>
        <w:rPr>
          <w:rFonts w:ascii="Source Sans Pro" w:hAnsi="Source Sans Pro"/>
          <w:color w:val="000000"/>
          <w:szCs w:val="20"/>
        </w:rPr>
      </w:pPr>
    </w:p>
    <w:p w14:paraId="4EBDE35A" w14:textId="45703CFB" w:rsidR="00E54709" w:rsidRPr="0033714A" w:rsidRDefault="00E54709" w:rsidP="00080A71">
      <w:pPr>
        <w:pStyle w:val="Heading3"/>
      </w:pPr>
      <w:bookmarkStart w:id="65" w:name="_Toc116555934"/>
      <w:r w:rsidRPr="0033714A">
        <w:t>3.</w:t>
      </w:r>
      <w:r w:rsidR="005E42E4" w:rsidRPr="0033714A">
        <w:t>2</w:t>
      </w:r>
      <w:r w:rsidRPr="0033714A">
        <w:t>.3. Darbaspēka pie</w:t>
      </w:r>
      <w:r w:rsidR="00584E4C" w:rsidRPr="0033714A">
        <w:t>prasījuma</w:t>
      </w:r>
      <w:r w:rsidRPr="0033714A">
        <w:t xml:space="preserve"> un piedāvājuma atbilstība</w:t>
      </w:r>
      <w:bookmarkEnd w:id="65"/>
    </w:p>
    <w:p w14:paraId="43C44B50" w14:textId="77777777" w:rsidR="00C50082" w:rsidRDefault="00C50082" w:rsidP="00343F74">
      <w:pPr>
        <w:spacing w:after="120"/>
        <w:jc w:val="both"/>
        <w:rPr>
          <w:rFonts w:ascii="Source Sans Pro" w:hAnsi="Source Sans Pro"/>
        </w:rPr>
      </w:pPr>
    </w:p>
    <w:p w14:paraId="09977D12" w14:textId="77777777" w:rsidR="00C50082" w:rsidRPr="004B39FD" w:rsidRDefault="00C50082" w:rsidP="000D3075">
      <w:pPr>
        <w:pBdr>
          <w:top w:val="single" w:sz="2" w:space="6" w:color="DCE7EB"/>
          <w:left w:val="single" w:sz="24" w:space="10" w:color="006666"/>
          <w:bottom w:val="single" w:sz="2" w:space="6" w:color="DCE7EB"/>
          <w:right w:val="single" w:sz="2" w:space="10" w:color="DCE7EB"/>
        </w:pBdr>
        <w:shd w:val="clear" w:color="auto" w:fill="DCE7EB"/>
        <w:spacing w:after="120"/>
        <w:rPr>
          <w:rFonts w:ascii="Aptos Narrow" w:hAnsi="Aptos Narrow"/>
          <w:color w:val="006666"/>
          <w:sz w:val="24"/>
          <w:szCs w:val="24"/>
        </w:rPr>
      </w:pPr>
      <w:r w:rsidRPr="004B39FD">
        <w:rPr>
          <w:rFonts w:ascii="Aptos Narrow" w:hAnsi="Aptos Narrow" w:cs="Verdana"/>
          <w:b/>
          <w:color w:val="006666"/>
          <w:sz w:val="24"/>
          <w:szCs w:val="24"/>
        </w:rPr>
        <w:t>GALVENIE SECINĀJUMI</w:t>
      </w:r>
    </w:p>
    <w:p w14:paraId="3C3E2BBC" w14:textId="77777777" w:rsidR="00E80749" w:rsidRPr="00E80749" w:rsidRDefault="00C50082" w:rsidP="000D3075">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00E80749" w:rsidRPr="00E80749">
        <w:rPr>
          <w:rFonts w:ascii="Aptos Narrow" w:hAnsi="Aptos Narrow" w:cs="Verdana"/>
          <w:color w:val="262626"/>
          <w:sz w:val="22"/>
        </w:rPr>
        <w:t>Vidējā termiņā situācija darba tirgū uzlabosies, bet vienlaikus kļūs sarežģītāka, jo augošo darbaspēka pieprasījumu aizvien vairāk ierobežos demogrāfijas dēļ sarūkošais piedāvājums.</w:t>
      </w:r>
    </w:p>
    <w:p w14:paraId="38209E18" w14:textId="468B2C2A" w:rsidR="00E80749" w:rsidRPr="00E80749" w:rsidRDefault="00E80749" w:rsidP="00902F31">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cs="Verdana"/>
          <w:color w:val="262626"/>
          <w:sz w:val="22"/>
        </w:rPr>
      </w:pPr>
      <w:r w:rsidRPr="004B39FD">
        <w:rPr>
          <w:rFonts w:ascii="Aptos Narrow" w:hAnsi="Aptos Narrow"/>
          <w:b/>
          <w:color w:val="00859B"/>
          <w:sz w:val="22"/>
        </w:rPr>
        <w:t>▪</w:t>
      </w:r>
      <w:r>
        <w:rPr>
          <w:rFonts w:ascii="Aptos Narrow" w:hAnsi="Aptos Narrow" w:cs="Verdana"/>
          <w:b/>
          <w:color w:val="00859B"/>
          <w:sz w:val="22"/>
        </w:rPr>
        <w:tab/>
      </w:r>
      <w:r w:rsidRPr="00E80749">
        <w:rPr>
          <w:rFonts w:ascii="Aptos Narrow" w:hAnsi="Aptos Narrow" w:cs="Verdana"/>
          <w:color w:val="262626"/>
          <w:sz w:val="22"/>
        </w:rPr>
        <w:t>Augstākās izglītības segmentā pieprasījums un piedāvājums kopumā būs tuvu līdzsvaram, tomēr saglabāsies būtiskas iekšējās neatbilstības – iztrūkums pēc STEM speciālistiem un vienlaikus pārpalikums sociālo un humanitāro zinātņu jomās.</w:t>
      </w:r>
    </w:p>
    <w:p w14:paraId="56A08D62" w14:textId="2467E95D" w:rsidR="00C50082" w:rsidRPr="004B39FD" w:rsidRDefault="00E80749" w:rsidP="000D3075">
      <w:pPr>
        <w:pBdr>
          <w:top w:val="single" w:sz="2" w:space="6" w:color="DCE7EB"/>
          <w:left w:val="single" w:sz="24" w:space="10" w:color="006666"/>
          <w:bottom w:val="single" w:sz="2" w:space="6" w:color="DCE7EB"/>
          <w:right w:val="single" w:sz="2" w:space="10" w:color="DCE7EB"/>
        </w:pBdr>
        <w:shd w:val="clear" w:color="auto" w:fill="DCE7EB"/>
        <w:spacing w:after="100"/>
        <w:ind w:left="284" w:hanging="284"/>
        <w:jc w:val="both"/>
        <w:rPr>
          <w:rFonts w:ascii="Aptos Narrow" w:hAnsi="Aptos Narrow"/>
          <w:sz w:val="22"/>
        </w:rPr>
      </w:pPr>
      <w:r w:rsidRPr="004B39FD">
        <w:rPr>
          <w:rFonts w:ascii="Aptos Narrow" w:hAnsi="Aptos Narrow"/>
          <w:b/>
          <w:color w:val="00859B"/>
          <w:sz w:val="22"/>
        </w:rPr>
        <w:t>▪</w:t>
      </w:r>
      <w:r>
        <w:rPr>
          <w:rFonts w:ascii="Aptos Narrow" w:hAnsi="Aptos Narrow" w:cs="Verdana"/>
          <w:b/>
          <w:color w:val="00859B"/>
          <w:sz w:val="22"/>
        </w:rPr>
        <w:tab/>
      </w:r>
      <w:r w:rsidRPr="00E80749">
        <w:rPr>
          <w:rFonts w:ascii="Aptos Narrow" w:hAnsi="Aptos Narrow" w:cs="Verdana"/>
          <w:color w:val="262626"/>
          <w:sz w:val="22"/>
        </w:rPr>
        <w:t>Izteiktākais darbaspēka iztrūkums sagaidāms starp speciālistiem ar profesionālo vidējo izglītību, jo īpaši inženierzinātnēs, ražošanā un būvniecībā, savukārt būtisks pārpalikums – iedzīvotājiem ar vispārējo vidējo un pamatizglītību, kuru darbu arvien vairāk aizstās automatizācija.</w:t>
      </w:r>
    </w:p>
    <w:p w14:paraId="489F0C5A" w14:textId="77777777" w:rsidR="00C50082" w:rsidRDefault="00C50082" w:rsidP="00343F74">
      <w:pPr>
        <w:spacing w:after="120"/>
        <w:jc w:val="both"/>
        <w:rPr>
          <w:rFonts w:ascii="Source Sans Pro" w:hAnsi="Source Sans Pro"/>
        </w:rPr>
      </w:pPr>
    </w:p>
    <w:p w14:paraId="68669E9E" w14:textId="77777777" w:rsidR="0012245D" w:rsidRPr="00D829F0" w:rsidRDefault="0012245D" w:rsidP="00343F74">
      <w:pPr>
        <w:spacing w:after="120"/>
        <w:jc w:val="both"/>
        <w:rPr>
          <w:rFonts w:ascii="Source Sans Pro" w:hAnsi="Source Sans Pro"/>
        </w:rPr>
      </w:pPr>
      <w:r w:rsidRPr="00D829F0">
        <w:rPr>
          <w:rFonts w:ascii="Source Sans Pro" w:hAnsi="Source Sans Pro"/>
        </w:rPr>
        <w:t>Vidējā termiņā situācija darba tirgū uzlabosies, bet kļūs arī arvien sarežģītāka, ko no vienas puses noteiks pieaugošais darbaspēka pieprasījums (gan jaunu darbavietu, gan aizvietojošā pieprasījuma izteiksmē), kas nepieciešams, lai uzturētu ekonomikas izaugsmi, bet no otras puses – demogrāfijas tendenču ietekmē krītošais darbaspēka piedāvājums. Tādejādi darbaspēka nepietiekamība dažādās tautsaimniecības nozarēs nākamajos gados kļūs arvien izteiktāka. Tāpat darbaspēka iztrūkumu saasinās neatbilstības starp darba tirgū pieprasītām un piedāvātām prasmēm, kā arī reģionālās darba tirgus disproporcijas.</w:t>
      </w:r>
    </w:p>
    <w:p w14:paraId="43E0115A" w14:textId="0921E6F1" w:rsidR="0012245D" w:rsidRPr="00D829F0" w:rsidRDefault="0012245D" w:rsidP="00343F74">
      <w:pPr>
        <w:spacing w:after="120"/>
        <w:jc w:val="both"/>
        <w:rPr>
          <w:rFonts w:ascii="Source Sans Pro" w:hAnsi="Source Sans Pro"/>
        </w:rPr>
      </w:pPr>
      <w:r w:rsidRPr="00D829F0">
        <w:rPr>
          <w:rFonts w:ascii="Source Sans Pro" w:hAnsi="Source Sans Pro"/>
        </w:rPr>
        <w:t>Kopumā līdz 2030.</w:t>
      </w:r>
      <w:r w:rsidR="00221377">
        <w:rPr>
          <w:rFonts w:ascii="Source Sans Pro" w:hAnsi="Source Sans Pro"/>
        </w:rPr>
        <w:t> </w:t>
      </w:r>
      <w:r w:rsidRPr="00D829F0">
        <w:rPr>
          <w:rFonts w:ascii="Source Sans Pro" w:hAnsi="Source Sans Pro"/>
        </w:rPr>
        <w:t>gadam brīvās darbaspēka rezerves samazināsies līdz 5</w:t>
      </w:r>
      <w:r w:rsidR="007F372B" w:rsidRPr="00D829F0">
        <w:rPr>
          <w:rFonts w:ascii="Source Sans Pro" w:hAnsi="Source Sans Pro"/>
        </w:rPr>
        <w:t>3</w:t>
      </w:r>
      <w:r w:rsidR="00221377">
        <w:rPr>
          <w:rFonts w:ascii="Source Sans Pro" w:hAnsi="Source Sans Pro"/>
        </w:rPr>
        <w:t> </w:t>
      </w:r>
      <w:r w:rsidRPr="00D829F0">
        <w:rPr>
          <w:rFonts w:ascii="Source Sans Pro" w:hAnsi="Source Sans Pro"/>
        </w:rPr>
        <w:t>tūkst. (no pašreizējam 6</w:t>
      </w:r>
      <w:r w:rsidR="007F372B" w:rsidRPr="00D829F0">
        <w:rPr>
          <w:rFonts w:ascii="Source Sans Pro" w:hAnsi="Source Sans Pro"/>
        </w:rPr>
        <w:t>6</w:t>
      </w:r>
      <w:r w:rsidRPr="00D829F0">
        <w:rPr>
          <w:rFonts w:ascii="Source Sans Pro" w:hAnsi="Source Sans Pro"/>
        </w:rPr>
        <w:t> tūkst.), bet līdz 2040.</w:t>
      </w:r>
      <w:r w:rsidR="00221377">
        <w:rPr>
          <w:rFonts w:ascii="Source Sans Pro" w:hAnsi="Source Sans Pro"/>
        </w:rPr>
        <w:t> </w:t>
      </w:r>
      <w:r w:rsidRPr="00D829F0">
        <w:rPr>
          <w:rFonts w:ascii="Source Sans Pro" w:hAnsi="Source Sans Pro"/>
        </w:rPr>
        <w:t>gadam starpība varētu samazināties līdz 4</w:t>
      </w:r>
      <w:r w:rsidR="007F372B" w:rsidRPr="00D829F0">
        <w:rPr>
          <w:rFonts w:ascii="Source Sans Pro" w:hAnsi="Source Sans Pro"/>
        </w:rPr>
        <w:t>7</w:t>
      </w:r>
      <w:r w:rsidR="00221377">
        <w:rPr>
          <w:rFonts w:ascii="Source Sans Pro" w:hAnsi="Source Sans Pro"/>
        </w:rPr>
        <w:t> </w:t>
      </w:r>
      <w:r w:rsidRPr="00D829F0">
        <w:rPr>
          <w:rFonts w:ascii="Source Sans Pro" w:hAnsi="Source Sans Pro"/>
        </w:rPr>
        <w:t>tūkstošiem. Kopumā darba meklētāju skaits/ bezdarbs vidējā un ilgtermiņā būs tuvu dabiskam līmenim un to pamatā veidos frikcionālais un strukturālais bezdarbs.</w:t>
      </w:r>
    </w:p>
    <w:p w14:paraId="06069080" w14:textId="01BF5518" w:rsidR="0012245D" w:rsidRPr="00D829F0" w:rsidRDefault="0012245D" w:rsidP="00343F74">
      <w:pPr>
        <w:spacing w:after="120"/>
        <w:jc w:val="both"/>
        <w:rPr>
          <w:rFonts w:ascii="Source Sans Pro" w:hAnsi="Source Sans Pro"/>
        </w:rPr>
      </w:pPr>
      <w:r w:rsidRPr="00D829F0">
        <w:rPr>
          <w:rFonts w:ascii="Source Sans Pro" w:hAnsi="Source Sans Pro"/>
        </w:rPr>
        <w:t xml:space="preserve">Ekonomikas izaugsme turpmākajos gados būs pamatā balstīta uz produktivitātes pieaugumu. </w:t>
      </w:r>
      <w:r w:rsidR="00AB29F7" w:rsidRPr="00D829F0">
        <w:rPr>
          <w:rFonts w:ascii="Source Sans Pro" w:hAnsi="Source Sans Pro"/>
        </w:rPr>
        <w:t>Neskatoties uz augsto nenoteiktību ārējos tirgos un saspringto ģeopolitisko situāciju</w:t>
      </w:r>
      <w:r w:rsidRPr="00D829F0">
        <w:rPr>
          <w:rFonts w:ascii="Source Sans Pro" w:hAnsi="Source Sans Pro"/>
        </w:rPr>
        <w:t>, kopumā līdz 2030.</w:t>
      </w:r>
      <w:r w:rsidR="00B566DE" w:rsidRPr="00D829F0">
        <w:rPr>
          <w:rFonts w:ascii="Source Sans Pro" w:hAnsi="Source Sans Pro"/>
        </w:rPr>
        <w:t> </w:t>
      </w:r>
      <w:r w:rsidRPr="00D829F0">
        <w:rPr>
          <w:rFonts w:ascii="Source Sans Pro" w:hAnsi="Source Sans Pro"/>
        </w:rPr>
        <w:t>gadam sagaidāms darbaspēka pieprasījuma kāpums – nodarbināto skaits varētu palielināties par 2,</w:t>
      </w:r>
      <w:r w:rsidR="00AB29F7" w:rsidRPr="00D829F0">
        <w:rPr>
          <w:rFonts w:ascii="Source Sans Pro" w:hAnsi="Source Sans Pro"/>
        </w:rPr>
        <w:t>0</w:t>
      </w:r>
      <w:r w:rsidRPr="00D829F0">
        <w:rPr>
          <w:rFonts w:ascii="Source Sans Pro" w:hAnsi="Source Sans Pro"/>
        </w:rPr>
        <w:t xml:space="preserve">% jeb </w:t>
      </w:r>
      <w:r w:rsidR="00AB29F7" w:rsidRPr="00D829F0">
        <w:rPr>
          <w:rFonts w:ascii="Source Sans Pro" w:hAnsi="Source Sans Pro"/>
        </w:rPr>
        <w:t>17,5</w:t>
      </w:r>
      <w:r w:rsidRPr="00D829F0">
        <w:rPr>
          <w:rFonts w:ascii="Source Sans Pro" w:hAnsi="Source Sans Pro"/>
        </w:rPr>
        <w:t> tūkst., salīdzinot ar 202</w:t>
      </w:r>
      <w:r w:rsidR="00AB29F7" w:rsidRPr="00D829F0">
        <w:rPr>
          <w:rFonts w:ascii="Source Sans Pro" w:hAnsi="Source Sans Pro"/>
        </w:rPr>
        <w:t>5</w:t>
      </w:r>
      <w:r w:rsidRPr="00D829F0">
        <w:rPr>
          <w:rFonts w:ascii="Source Sans Pro" w:hAnsi="Source Sans Pro"/>
        </w:rPr>
        <w:t>.</w:t>
      </w:r>
      <w:r w:rsidR="00B566DE" w:rsidRPr="00D829F0">
        <w:rPr>
          <w:rFonts w:ascii="Source Sans Pro" w:hAnsi="Source Sans Pro"/>
        </w:rPr>
        <w:t> </w:t>
      </w:r>
      <w:r w:rsidRPr="00D829F0">
        <w:rPr>
          <w:rFonts w:ascii="Source Sans Pro" w:hAnsi="Source Sans Pro"/>
        </w:rPr>
        <w:t>gadu. Vienlaikus ilgtermiņā darbaspēka pieprasījums varētu pieaugt lēnāk, ņemot vērā arvien lielāku dažāda veida darbu automatizāciju un darbaspēka aizstāšanu ar tehnoloģijām. Tādejādi</w:t>
      </w:r>
      <w:r w:rsidRPr="00D829F0">
        <w:rPr>
          <w:rFonts w:ascii="Source Sans Pro" w:hAnsi="Source Sans Pro"/>
          <w:b/>
        </w:rPr>
        <w:t xml:space="preserve"> galvenās darba iespējas radīs aizvietojošais darbaspēka pieprasījums </w:t>
      </w:r>
      <w:r w:rsidRPr="00D829F0">
        <w:rPr>
          <w:rFonts w:ascii="Source Sans Pro" w:hAnsi="Source Sans Pro"/>
        </w:rPr>
        <w:t>– brīvo darbavietu pieaugums, kas atbrīvojās esošajiem nodarbinātajiem izejot no darba tirgus (pensionējoties, slimības vai citu iemeslu dēļ pametot darba tirgu).</w:t>
      </w:r>
    </w:p>
    <w:p w14:paraId="587FA914" w14:textId="77777777" w:rsidR="00A60353" w:rsidRDefault="00A60353">
      <w:pPr>
        <w:spacing w:after="0"/>
        <w:rPr>
          <w:rFonts w:ascii="Source Sans Pro" w:hAnsi="Source Sans Pro"/>
          <w:szCs w:val="26"/>
        </w:rPr>
      </w:pPr>
      <w:r>
        <w:rPr>
          <w:rFonts w:ascii="Source Sans Pro" w:hAnsi="Source Sans Pro"/>
          <w:szCs w:val="26"/>
        </w:rPr>
        <w:br w:type="page"/>
      </w:r>
    </w:p>
    <w:p w14:paraId="336CFC29" w14:textId="75084D07" w:rsidR="0016645F" w:rsidRPr="00D829F0" w:rsidRDefault="0016645F" w:rsidP="0012245D">
      <w:pPr>
        <w:spacing w:after="120"/>
        <w:jc w:val="right"/>
        <w:rPr>
          <w:rFonts w:ascii="Source Sans Pro" w:hAnsi="Source Sans Pro"/>
          <w:szCs w:val="26"/>
        </w:rPr>
      </w:pPr>
      <w:r w:rsidRPr="00D829F0">
        <w:rPr>
          <w:rFonts w:ascii="Source Sans Pro" w:hAnsi="Source Sans Pro"/>
          <w:szCs w:val="26"/>
        </w:rPr>
        <w:lastRenderedPageBreak/>
        <w:t>3.1</w:t>
      </w:r>
      <w:r w:rsidR="0064344A">
        <w:rPr>
          <w:rFonts w:ascii="Source Sans Pro" w:hAnsi="Source Sans Pro"/>
          <w:szCs w:val="26"/>
        </w:rPr>
        <w:t>4</w:t>
      </w:r>
      <w:r w:rsidRPr="00D829F0">
        <w:rPr>
          <w:rFonts w:ascii="Source Sans Pro" w:hAnsi="Source Sans Pro"/>
          <w:szCs w:val="26"/>
        </w:rPr>
        <w:t>. attēls</w:t>
      </w:r>
    </w:p>
    <w:p w14:paraId="77129273" w14:textId="4AF6CBE0" w:rsidR="0016645F" w:rsidRPr="008728F0" w:rsidRDefault="0016645F" w:rsidP="0012245D">
      <w:pPr>
        <w:spacing w:after="120"/>
        <w:jc w:val="center"/>
        <w:rPr>
          <w:rFonts w:ascii="Segoe UI Light" w:hAnsi="Segoe UI Light"/>
          <w:i/>
          <w:color w:val="000000"/>
          <w:sz w:val="16"/>
        </w:rPr>
      </w:pPr>
      <w:r w:rsidRPr="008728F0">
        <w:rPr>
          <w:rFonts w:ascii="Segoe UI Light" w:hAnsi="Segoe UI Light"/>
          <w:b/>
          <w:color w:val="000000"/>
          <w:sz w:val="18"/>
          <w:szCs w:val="26"/>
        </w:rPr>
        <w:t>Darbaspēka pieprasījuma un piedāvājuma atbilstība</w:t>
      </w:r>
      <w:r w:rsidRPr="008728F0">
        <w:rPr>
          <w:rFonts w:ascii="Segoe UI Light" w:hAnsi="Segoe UI Light"/>
          <w:b/>
          <w:color w:val="000000"/>
          <w:sz w:val="18"/>
          <w:szCs w:val="26"/>
        </w:rPr>
        <w:br/>
      </w:r>
      <w:r w:rsidR="0012245D" w:rsidRPr="008728F0">
        <w:rPr>
          <w:rFonts w:ascii="Segoe UI Light" w:hAnsi="Segoe UI Light"/>
          <w:i/>
          <w:color w:val="000000"/>
          <w:sz w:val="16"/>
        </w:rPr>
        <w:t>Darbaspēka pieprasījums un piedāvājums, tūkst.; bezdarba līmenis, procentos</w:t>
      </w:r>
    </w:p>
    <w:p w14:paraId="714E1B27" w14:textId="78C75918" w:rsidR="0012245D" w:rsidRPr="00D829F0" w:rsidRDefault="009A492C" w:rsidP="0012245D">
      <w:pPr>
        <w:jc w:val="both"/>
        <w:rPr>
          <w:rFonts w:ascii="Source Sans Pro" w:hAnsi="Source Sans Pro" w:cs="Calibri Light"/>
          <w:sz w:val="16"/>
          <w:szCs w:val="14"/>
        </w:rPr>
      </w:pPr>
      <w:r w:rsidRPr="008728F0">
        <w:rPr>
          <w:rFonts w:cs="Calibri Light"/>
          <w:noProof/>
          <w:sz w:val="16"/>
          <w:szCs w:val="14"/>
        </w:rPr>
        <mc:AlternateContent>
          <mc:Choice Requires="wpg">
            <w:drawing>
              <wp:anchor distT="0" distB="0" distL="114300" distR="114300" simplePos="0" relativeHeight="251658466" behindDoc="0" locked="0" layoutInCell="1" allowOverlap="1" wp14:anchorId="0967D595" wp14:editId="5B0BC81F">
                <wp:simplePos x="0" y="0"/>
                <wp:positionH relativeFrom="column">
                  <wp:posOffset>3908425</wp:posOffset>
                </wp:positionH>
                <wp:positionV relativeFrom="paragraph">
                  <wp:posOffset>219075</wp:posOffset>
                </wp:positionV>
                <wp:extent cx="1645921" cy="614477"/>
                <wp:effectExtent l="0" t="0" r="0" b="0"/>
                <wp:wrapNone/>
                <wp:docPr id="1074" name="Group 1074"/>
                <wp:cNvGraphicFramePr/>
                <a:graphic xmlns:a="http://schemas.openxmlformats.org/drawingml/2006/main">
                  <a:graphicData uri="http://schemas.microsoft.com/office/word/2010/wordprocessingGroup">
                    <wpg:wgp>
                      <wpg:cNvGrpSpPr/>
                      <wpg:grpSpPr>
                        <a:xfrm>
                          <a:off x="0" y="0"/>
                          <a:ext cx="1645921" cy="614477"/>
                          <a:chOff x="108428" y="0"/>
                          <a:chExt cx="2052161" cy="572301"/>
                        </a:xfrm>
                      </wpg:grpSpPr>
                      <wps:wsp>
                        <wps:cNvPr id="1075" name="TextBox 24"/>
                        <wps:cNvSpPr txBox="1"/>
                        <wps:spPr>
                          <a:xfrm>
                            <a:off x="335771" y="0"/>
                            <a:ext cx="1824818" cy="572301"/>
                          </a:xfrm>
                          <a:prstGeom prst="rect">
                            <a:avLst/>
                          </a:prstGeom>
                          <a:noFill/>
                        </wps:spPr>
                        <wps:txbx>
                          <w:txbxContent>
                            <w:p w14:paraId="735EB1F3" w14:textId="0C785177" w:rsidR="00B83D7D" w:rsidRDefault="00135291" w:rsidP="0012245D">
                              <w:pPr>
                                <w:overflowPunct w:val="0"/>
                                <w:spacing w:after="60"/>
                                <w:textAlignment w:val="baseline"/>
                                <w:rPr>
                                  <w:rFonts w:ascii="Segoe UI Light" w:hAnsi="Segoe UI Light" w:cs="Segoe UI Light"/>
                                  <w:color w:val="000000"/>
                                  <w:sz w:val="16"/>
                                  <w:szCs w:val="16"/>
                                </w:rPr>
                              </w:pPr>
                              <w:r>
                                <w:rPr>
                                  <w:rFonts w:ascii="Segoe UI Light" w:hAnsi="Segoe UI Light" w:cs="Segoe UI Light"/>
                                  <w:color w:val="000000"/>
                                  <w:sz w:val="16"/>
                                  <w:szCs w:val="16"/>
                                </w:rPr>
                                <w:t>Darbaspēka piedāvājums</w:t>
                              </w:r>
                            </w:p>
                            <w:p w14:paraId="0AF04FB7" w14:textId="5C7577EE" w:rsidR="00135291" w:rsidRDefault="00135291" w:rsidP="0012245D">
                              <w:pPr>
                                <w:overflowPunct w:val="0"/>
                                <w:spacing w:after="60"/>
                                <w:textAlignment w:val="baseline"/>
                                <w:rPr>
                                  <w:rFonts w:ascii="Segoe UI Light" w:hAnsi="Segoe UI Light" w:cs="Segoe UI Light"/>
                                  <w:color w:val="000000"/>
                                  <w:sz w:val="16"/>
                                  <w:szCs w:val="16"/>
                                </w:rPr>
                              </w:pPr>
                              <w:r>
                                <w:rPr>
                                  <w:rFonts w:ascii="Segoe UI Light" w:hAnsi="Segoe UI Light" w:cs="Segoe UI Light"/>
                                  <w:color w:val="000000"/>
                                  <w:sz w:val="16"/>
                                  <w:szCs w:val="16"/>
                                </w:rPr>
                                <w:t>Darbaspēka pieprasījums</w:t>
                              </w:r>
                            </w:p>
                            <w:p w14:paraId="4EEEED4E" w14:textId="2D1A739A" w:rsidR="00277E24" w:rsidRPr="0012245D" w:rsidRDefault="00277E24" w:rsidP="0012245D">
                              <w:pPr>
                                <w:overflowPunct w:val="0"/>
                                <w:spacing w:after="60"/>
                                <w:textAlignment w:val="baseline"/>
                                <w:rPr>
                                  <w:rFonts w:ascii="Segoe UI Light" w:hAnsi="Segoe UI Light" w:cs="Segoe UI Light"/>
                                  <w:color w:val="000000"/>
                                  <w:sz w:val="16"/>
                                  <w:szCs w:val="16"/>
                                </w:rPr>
                              </w:pPr>
                              <w:r>
                                <w:rPr>
                                  <w:rFonts w:ascii="Segoe UI Light" w:hAnsi="Segoe UI Light" w:cs="Segoe UI Light"/>
                                  <w:color w:val="000000"/>
                                  <w:sz w:val="16"/>
                                  <w:szCs w:val="16"/>
                                </w:rPr>
                                <w:t>Bezdarba līmenis</w:t>
                              </w:r>
                            </w:p>
                          </w:txbxContent>
                        </wps:txbx>
                        <wps:bodyPr wrap="square" rtlCol="0">
                          <a:noAutofit/>
                        </wps:bodyPr>
                      </wps:wsp>
                      <wps:wsp>
                        <wps:cNvPr id="1076" name="Rectangle 1076"/>
                        <wps:cNvSpPr/>
                        <wps:spPr>
                          <a:xfrm>
                            <a:off x="112344" y="104991"/>
                            <a:ext cx="179542" cy="33529"/>
                          </a:xfrm>
                          <a:prstGeom prst="rect">
                            <a:avLst/>
                          </a:prstGeom>
                          <a:solidFill>
                            <a:srgbClr val="319DA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77" name="Rectangle 1077"/>
                        <wps:cNvSpPr/>
                        <wps:spPr>
                          <a:xfrm>
                            <a:off x="108443" y="266257"/>
                            <a:ext cx="179542" cy="33529"/>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78" name="Rectangle 1078"/>
                        <wps:cNvSpPr/>
                        <wps:spPr>
                          <a:xfrm>
                            <a:off x="108428" y="401049"/>
                            <a:ext cx="179542" cy="83823"/>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967D595" id="Group 1074" o:spid="_x0000_s1250" style="position:absolute;left:0;text-align:left;margin-left:307.75pt;margin-top:17.25pt;width:129.6pt;height:48.4pt;z-index:251658466;mso-position-horizontal-relative:text;mso-position-vertical-relative:text;mso-width-relative:margin;mso-height-relative:margin" coordorigin="1084" coordsize="20521,5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3nRwMAAKIMAAAOAAAAZHJzL2Uyb0RvYy54bWzsV9tunDAQfa/Uf7B4bwADuyzKbpQmaV56&#10;iZL0A7zGXCSwqe295O87toHNJpsqSaVUqvLCwuA5M3PmMPYen2zbBq2ZVLXgcy88CjzEOBV5zcu5&#10;9/P2y6fUQ0oTnpNGcDb37pjyThYfPxxvuoxhUYkmZxIBCFfZppt7ldZd5vuKVqwl6kh0jMPLQsiW&#10;aHiUpZ9LsgH0tvFxEEz8jZB5JwVlSoH13L30Fha/KBjVP4pCMY2auQe5aXuV9ro0V39xTLJSkq6q&#10;aZ8GeUUWLak5BB2hzokmaCXrR1BtTaVQotBHVLS+KIqaMlsDVBMGD6q5lGLV2VrKbFN2I01A7QOe&#10;Xg1Lv68vZXfTXUlgYtOVwIV9MrVsC9maX8gSbS1ldyNlbKsRBWM4iZMZDj1E4d0kjOPp1HFKKyDe&#10;uIVBGmNQwc6XVhe9Nw4SHE5672SKoyA03v4Q29/LaNOBRtSOBvV3NNxUpGOWXZUBDVcS1blJd5p4&#10;iJMWxHoLVX4WW4Rjk5UJD+sMV0hvwQ6LB7sC4wHKoiiZTqG8Xe0jbymO0xBoMbwdqJxknVT6kokW&#10;mZu5J0HKVmFk/VVpR9KwxETm4kvdNMZu8nT5mDu9XW5tYRjjIdulyO+giA3Ifu6pXysimYekbs6E&#10;/Uoc3OlKi6K2kQyO8+nhoQuOj7dox2RoxzVQQHjZMARNmgzF9C3pG/REI8IQR3FsGxEG8WxmG0ey&#10;sRvTWRJj1wzoGZ4Z8FGFL+6FEk2dm3YYJpUsl2eNRGsC5Ebh7Pz0okffW9bw/S6SzFgeNFPpu4aZ&#10;dQ2/ZgW0FTSIrSrswGRjHEIp4zp0ryqSMxc+TILAzjyobfSwlVpAg1xA2iN2D2CG8WNsR1G/3rgy&#10;O29H5+BPiTnn0cNGFlyPzm3NhTwE0EBVfWS3fiDJUbOT6j1BI8JpJWDqUy2ts1n1phqeHtSwHZUm&#10;l+dpGAZpHFkN48kEJ/2gfRMNH1KAHSdGSPfV/i7j4j+WMexXbmfcG8Wp+aZeJOP+PBDDkSe2s/bw&#10;KE6jFEf91z4cRoY975nb4p44x5HnpuGydPOtWbXfRO5s6ZMTcg/pXeb/Qub2OAgHYbtj9Yd2c9K+&#10;/2y3g91fi8VvAAAA//8DAFBLAwQUAAYACAAAACEA1DeZwOEAAAAKAQAADwAAAGRycy9kb3ducmV2&#10;LnhtbEyPwUrDQBCG74LvsIzgzW5imrbEbEop6qkItoJ422anSWh2NmS3Sfr2jid7Gob5+Of78/Vk&#10;WzFg7xtHCuJZBAKpdKahSsHX4e1pBcIHTUa3jlDBFT2si/u7XGfGjfSJwz5UgkPIZ1pBHUKXSenL&#10;Gq32M9ch8e3keqsDr30lTa9HDretfI6ihbS6If5Q6w63NZbn/cUqeB/1uEni12F3Pm2vP4f043sX&#10;o1KPD9PmBUTAKfzD8KfP6lCw09FdyHjRKljEacqogmTOk4HVcr4EcWQyiROQRS5vKxS/AAAA//8D&#10;AFBLAQItABQABgAIAAAAIQC2gziS/gAAAOEBAAATAAAAAAAAAAAAAAAAAAAAAABbQ29udGVudF9U&#10;eXBlc10ueG1sUEsBAi0AFAAGAAgAAAAhADj9If/WAAAAlAEAAAsAAAAAAAAAAAAAAAAALwEAAF9y&#10;ZWxzLy5yZWxzUEsBAi0AFAAGAAgAAAAhAK66fedHAwAAogwAAA4AAAAAAAAAAAAAAAAALgIAAGRy&#10;cy9lMm9Eb2MueG1sUEsBAi0AFAAGAAgAAAAhANQ3mcDhAAAACgEAAA8AAAAAAAAAAAAAAAAAoQUA&#10;AGRycy9kb3ducmV2LnhtbFBLBQYAAAAABAAEAPMAAACvBgAAAAA=&#10;">
                <v:shape id="TextBox 24" o:spid="_x0000_s1251" type="#_x0000_t202" style="position:absolute;left:3357;width:18248;height:5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fOwgAAAN0AAAAPAAAAZHJzL2Rvd25yZXYueG1sRE9Na8JA&#10;EL0L/Q/LFLzpbovWNrpKqQieLMYq9DZkxySYnQ3Z1cR/7wqCt3m8z5ktOluJCzW+dKzhbahAEGfO&#10;lJxr+NutBp8gfEA2WDkmDVfysJi/9GaYGNfyli5pyEUMYZ+ghiKEOpHSZwVZ9ENXE0fu6BqLIcIm&#10;l6bBNobbSr4r9SEtlhwbCqzpp6DslJ6thv3m+H8Yqd98acd16zol2X5Jrfuv3fcURKAuPMUP99rE&#10;+Woyhvs38QQ5vwEAAP//AwBQSwECLQAUAAYACAAAACEA2+H2y+4AAACFAQAAEwAAAAAAAAAAAAAA&#10;AAAAAAAAW0NvbnRlbnRfVHlwZXNdLnhtbFBLAQItABQABgAIAAAAIQBa9CxbvwAAABUBAAALAAAA&#10;AAAAAAAAAAAAAB8BAABfcmVscy8ucmVsc1BLAQItABQABgAIAAAAIQD4WLfOwgAAAN0AAAAPAAAA&#10;AAAAAAAAAAAAAAcCAABkcnMvZG93bnJldi54bWxQSwUGAAAAAAMAAwC3AAAA9gIAAAAA&#10;" filled="f" stroked="f">
                  <v:textbox>
                    <w:txbxContent>
                      <w:p w14:paraId="735EB1F3" w14:textId="0C785177" w:rsidR="00B83D7D" w:rsidRDefault="00135291" w:rsidP="0012245D">
                        <w:pPr>
                          <w:overflowPunct w:val="0"/>
                          <w:spacing w:after="60"/>
                          <w:textAlignment w:val="baseline"/>
                          <w:rPr>
                            <w:rFonts w:ascii="Segoe UI Light" w:hAnsi="Segoe UI Light" w:cs="Segoe UI Light"/>
                            <w:color w:val="000000"/>
                            <w:sz w:val="16"/>
                            <w:szCs w:val="16"/>
                          </w:rPr>
                        </w:pPr>
                        <w:r>
                          <w:rPr>
                            <w:rFonts w:ascii="Segoe UI Light" w:hAnsi="Segoe UI Light" w:cs="Segoe UI Light"/>
                            <w:color w:val="000000"/>
                            <w:sz w:val="16"/>
                            <w:szCs w:val="16"/>
                          </w:rPr>
                          <w:t>Darbaspēka piedāvājums</w:t>
                        </w:r>
                      </w:p>
                      <w:p w14:paraId="0AF04FB7" w14:textId="5C7577EE" w:rsidR="00135291" w:rsidRDefault="00135291" w:rsidP="0012245D">
                        <w:pPr>
                          <w:overflowPunct w:val="0"/>
                          <w:spacing w:after="60"/>
                          <w:textAlignment w:val="baseline"/>
                          <w:rPr>
                            <w:rFonts w:ascii="Segoe UI Light" w:hAnsi="Segoe UI Light" w:cs="Segoe UI Light"/>
                            <w:color w:val="000000"/>
                            <w:sz w:val="16"/>
                            <w:szCs w:val="16"/>
                          </w:rPr>
                        </w:pPr>
                        <w:r>
                          <w:rPr>
                            <w:rFonts w:ascii="Segoe UI Light" w:hAnsi="Segoe UI Light" w:cs="Segoe UI Light"/>
                            <w:color w:val="000000"/>
                            <w:sz w:val="16"/>
                            <w:szCs w:val="16"/>
                          </w:rPr>
                          <w:t>Darbaspēka pieprasījums</w:t>
                        </w:r>
                      </w:p>
                      <w:p w14:paraId="4EEEED4E" w14:textId="2D1A739A" w:rsidR="00277E24" w:rsidRPr="0012245D" w:rsidRDefault="00277E24" w:rsidP="0012245D">
                        <w:pPr>
                          <w:overflowPunct w:val="0"/>
                          <w:spacing w:after="60"/>
                          <w:textAlignment w:val="baseline"/>
                          <w:rPr>
                            <w:rFonts w:ascii="Segoe UI Light" w:hAnsi="Segoe UI Light" w:cs="Segoe UI Light"/>
                            <w:color w:val="000000"/>
                            <w:sz w:val="16"/>
                            <w:szCs w:val="16"/>
                          </w:rPr>
                        </w:pPr>
                        <w:r>
                          <w:rPr>
                            <w:rFonts w:ascii="Segoe UI Light" w:hAnsi="Segoe UI Light" w:cs="Segoe UI Light"/>
                            <w:color w:val="000000"/>
                            <w:sz w:val="16"/>
                            <w:szCs w:val="16"/>
                          </w:rPr>
                          <w:t>Bezdarba līmenis</w:t>
                        </w:r>
                      </w:p>
                    </w:txbxContent>
                  </v:textbox>
                </v:shape>
                <v:rect id="Rectangle 1076" o:spid="_x0000_s1252" style="position:absolute;left:1123;top:1049;width:1795;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EqKxAAAAN0AAAAPAAAAZHJzL2Rvd25yZXYueG1sRI/disIw&#10;EIXvBd8hjOCdJlWopRpFxMVl7/x5gLEZ22IzKU1W6z79ZmHBuxnOmfOdWW1624gHdb52rCGZKhDE&#10;hTM1lxou549JBsIHZIONY9LwIg+b9XCwwty4Jx/pcQqliCHsc9RQhdDmUvqiIot+6lriqN1cZzHE&#10;tSul6fAZw20jZ0ql0mLNkVBhS7uKivvp20ZImnz9qOyQZJk6zxfX633f3PZaj0f9dgkiUB/e5v/r&#10;TxPrq0UKf9/EEeT6FwAA//8DAFBLAQItABQABgAIAAAAIQDb4fbL7gAAAIUBAAATAAAAAAAAAAAA&#10;AAAAAAAAAABbQ29udGVudF9UeXBlc10ueG1sUEsBAi0AFAAGAAgAAAAhAFr0LFu/AAAAFQEAAAsA&#10;AAAAAAAAAAAAAAAAHwEAAF9yZWxzLy5yZWxzUEsBAi0AFAAGAAgAAAAhAKWsSorEAAAA3QAAAA8A&#10;AAAAAAAAAAAAAAAABwIAAGRycy9kb3ducmV2LnhtbFBLBQYAAAAAAwADALcAAAD4AgAAAAA=&#10;" fillcolor="#319dae" stroked="f" strokeweight="2pt"/>
                <v:rect id="Rectangle 1077" o:spid="_x0000_s1253" style="position:absolute;left:1084;top:2662;width:1795;height: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5g4wAAAAN0AAAAPAAAAZHJzL2Rvd25yZXYueG1sRE/NagIx&#10;EL4LvkMYwZsmLeLK1ihFkO6hFNQ+wLAZN4vJZNlEXd/eFAre5uP7nfV28E7cqI9tYA1vcwWCuA6m&#10;5UbD72k/W4GICdmgC0waHhRhuxmP1liacOcD3Y6pETmEY4kabEpdKWWsLXmM89ARZ+4ceo8pw76R&#10;psd7DvdOviu1lB5bzg0WO9pZqi/Hq9fgFF6pOKx+zvar4WIRK/d9qbSeTobPDxCJhvQS/7srk+er&#10;ooC/b/IJcvMEAAD//wMAUEsBAi0AFAAGAAgAAAAhANvh9svuAAAAhQEAABMAAAAAAAAAAAAAAAAA&#10;AAAAAFtDb250ZW50X1R5cGVzXS54bWxQSwECLQAUAAYACAAAACEAWvQsW78AAAAVAQAACwAAAAAA&#10;AAAAAAAAAAAfAQAAX3JlbHMvLnJlbHNQSwECLQAUAAYACAAAACEAGeuYOMAAAADdAAAADwAAAAAA&#10;AAAAAAAAAAAHAgAAZHJzL2Rvd25yZXYueG1sUEsFBgAAAAADAAMAtwAAAPQCAAAAAA==&#10;" fillcolor="#c0504d [3205]" stroked="f" strokeweight="2pt"/>
                <v:rect id="Rectangle 1078" o:spid="_x0000_s1254" style="position:absolute;left:1084;top:4010;width:1795;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rx+xwAAAN0AAAAPAAAAZHJzL2Rvd25yZXYueG1sRI9Ba8JA&#10;EIXvBf/DMgVvdaMHK9FVpKB4ENpGRXobsmMSmp0N2dWk/vrOQfA2w3vz3jeLVe9qdaM2VJ4NjEcJ&#10;KOLc24oLA8fD5m0GKkRki7VnMvBHAVbLwcsCU+s7/qZbFgslIRxSNFDG2KRah7wkh2HkG2LRLr51&#10;GGVtC21b7CTc1XqSJFPtsGJpKLGhj5Ly3+zqDFzw/rWutnT/mZ4/t+Muq0/72caY4Wu/noOK1Men&#10;+XG9s4KfvAuufCMj6OU/AAAA//8DAFBLAQItABQABgAIAAAAIQDb4fbL7gAAAIUBAAATAAAAAAAA&#10;AAAAAAAAAAAAAABbQ29udGVudF9UeXBlc10ueG1sUEsBAi0AFAAGAAgAAAAhAFr0LFu/AAAAFQEA&#10;AAsAAAAAAAAAAAAAAAAAHwEAAF9yZWxzLy5yZWxzUEsBAi0AFAAGAAgAAAAhADaKvH7HAAAA3QAA&#10;AA8AAAAAAAAAAAAAAAAABwIAAGRycy9kb3ducmV2LnhtbFBLBQYAAAAAAwADALcAAAD7AgAAAAA=&#10;" fillcolor="#d8d8d8 [2732]" stroked="f" strokeweight="2pt"/>
              </v:group>
            </w:pict>
          </mc:Fallback>
        </mc:AlternateContent>
      </w:r>
      <w:r w:rsidRPr="008728F0">
        <w:rPr>
          <w:rFonts w:cs="Calibri Light"/>
          <w:noProof/>
          <w:sz w:val="16"/>
          <w:szCs w:val="14"/>
        </w:rPr>
        <mc:AlternateContent>
          <mc:Choice Requires="wps">
            <w:drawing>
              <wp:anchor distT="0" distB="0" distL="114300" distR="114300" simplePos="0" relativeHeight="251658240" behindDoc="0" locked="0" layoutInCell="1" allowOverlap="1" wp14:anchorId="5E26B06C" wp14:editId="3468FA01">
                <wp:simplePos x="0" y="0"/>
                <wp:positionH relativeFrom="column">
                  <wp:posOffset>3694430</wp:posOffset>
                </wp:positionH>
                <wp:positionV relativeFrom="paragraph">
                  <wp:posOffset>36195</wp:posOffset>
                </wp:positionV>
                <wp:extent cx="0" cy="1799590"/>
                <wp:effectExtent l="0" t="0" r="38100" b="29210"/>
                <wp:wrapNone/>
                <wp:docPr id="1079" name="Straight Connector 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9590"/>
                        </a:xfrm>
                        <a:prstGeom prst="line">
                          <a:avLst/>
                        </a:prstGeom>
                        <a:ln w="12700">
                          <a:solidFill>
                            <a:schemeClr val="tx1">
                              <a:lumMod val="50000"/>
                              <a:lumOff val="50000"/>
                              <a:alpha val="84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xmlns:w16cei="http://schemas.microsoft.com/office/word/2026/wordml/cei">
            <w:pict w14:anchorId="68C2DB0D">
              <v:line id="Straight Connector 1079" style="position:absolute;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gray [1629]" strokeweight="1pt" from="290.9pt,2.85pt" to="290.9pt,144.55pt" w14:anchorId="02622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ZU9gEAAGMEAAAOAAAAZHJzL2Uyb0RvYy54bWysVE1z2yAQvXem/4HRvZbsaZpYYzmHeNJL&#10;2maa9gdsEFhM+Roglvzvu4BM4ubUTHRgYNn3dt8DtLmelCQH5rwwuquWi6YiTFPTC73vqt+/bj9d&#10;VcQH0D1Io1lXHZmvrrcfP2xG27KVGYzsmSNIon072q4aQrBtXXs6MAV+YSzTuMmNUxBw6fZ172BE&#10;diXrVdN8qUfjeusMZd5jdJc3q23i55zR8INzzwKRXYW9hTS6ND7Gsd5uoN07sIOgcxvwhi4UCI1F&#10;C9UOApAnJ15RKUGd8YaHBTWqNpwLypIGVLNs/lHzMIBlSQua422xyb8fLf1+uNH3LrZOJ/1g7wz9&#10;49GUerS+LZtx4W1Om7hTMR17J1My8liMZFMgNAcpRpeX6/XFOplcQ3sCWufDV2YUiZOukkJHjdDC&#10;4c6HWBraU0oMS01GpFpdNk1K80aK/lZIGTfTPWE30pED4AmHaZly5JP6Zvocu2jwy+eMYbwNr8Ig&#10;7QA5evV5TsYmCndq6axs7G8HfsigHmexAGKknq3LbiXfwlGyLOQn40T06E/ushTINEAp02FZmDA7&#10;wjhKLcDZgvg6nlWfA+f8CGXpAfwPuCBSZaNDASuhjcsHcF49ep7F85x/ciDrjhY8mv547063Cm9y&#10;8mp+dfGpvFwn+PO/YfsXAAD//wMAUEsDBBQABgAIAAAAIQADu8+M3QAAAAkBAAAPAAAAZHJzL2Rv&#10;d25yZXYueG1sTI9RS8NAEITfBf/DsYIvYi9X0MaYS5GCIIhCan/ANbcmsXd7IXdp4793xYf6NsMs&#10;M9+W69k7ccQx9oE0qEUGAqkJtqdWw+7j+TYHEZMha1wg1PCNEdbV5UVpChtOVONxm1rBJRQLo6FL&#10;aSikjE2H3sRFGJA4+wyjN4nt2Eo7mhOXeyeXWXYvvemJFzoz4KbD5rCdvAanDuqrfrlRtc1Wb6+7&#10;zbuL46T19dX89Agi4ZzOx/CLz+hQMdM+TGSjcBrucsXoicUKBOd/fq9hmT8okFUp/39Q/QAAAP//&#10;AwBQSwECLQAUAAYACAAAACEAtoM4kv4AAADhAQAAEwAAAAAAAAAAAAAAAAAAAAAAW0NvbnRlbnRf&#10;VHlwZXNdLnhtbFBLAQItABQABgAIAAAAIQA4/SH/1gAAAJQBAAALAAAAAAAAAAAAAAAAAC8BAABf&#10;cmVscy8ucmVsc1BLAQItABQABgAIAAAAIQDDBZZU9gEAAGMEAAAOAAAAAAAAAAAAAAAAAC4CAABk&#10;cnMvZTJvRG9jLnhtbFBLAQItABQABgAIAAAAIQADu8+M3QAAAAkBAAAPAAAAAAAAAAAAAAAAAFAE&#10;AABkcnMvZG93bnJldi54bWxQSwUGAAAAAAQABADzAAAAWgUAAAAA&#10;">
                <v:stroke opacity="54998f" dashstyle="dash"/>
                <o:lock v:ext="edit" shapetype="f"/>
              </v:line>
            </w:pict>
          </mc:Fallback>
        </mc:AlternateContent>
      </w:r>
      <w:r w:rsidR="0012245D" w:rsidRPr="006325A5">
        <w:rPr>
          <w:rFonts w:ascii="Source Sans Pro" w:hAnsi="Source Sans Pro" w:cs="Calibri Light"/>
          <w:noProof/>
          <w:sz w:val="16"/>
          <w:szCs w:val="14"/>
          <w:shd w:val="clear" w:color="auto" w:fill="D9D9D9" w:themeFill="background1" w:themeFillShade="D9"/>
        </w:rPr>
        <w:drawing>
          <wp:inline distT="0" distB="0" distL="0" distR="0" wp14:anchorId="636B6142" wp14:editId="3ED906C5">
            <wp:extent cx="5760085" cy="2063115"/>
            <wp:effectExtent l="0" t="0" r="0" b="0"/>
            <wp:docPr id="1072" name="Chart 1072">
              <a:extLst xmlns:a="http://schemas.openxmlformats.org/drawingml/2006/main">
                <a:ext uri="{FF2B5EF4-FFF2-40B4-BE49-F238E27FC236}">
                  <a16:creationId xmlns:a16="http://schemas.microsoft.com/office/drawing/2014/main" id="{52256E83-73CC-2EE6-2664-DE813FB7A6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1068E14D" w14:textId="217632FF" w:rsidR="0016645F" w:rsidRPr="00D829F0" w:rsidRDefault="0016645F" w:rsidP="0012245D">
      <w:pPr>
        <w:spacing w:before="120" w:after="120"/>
        <w:jc w:val="both"/>
        <w:rPr>
          <w:rFonts w:ascii="Source Sans Pro" w:hAnsi="Source Sans Pro" w:cs="Calibri Light"/>
          <w:sz w:val="16"/>
          <w:szCs w:val="14"/>
        </w:rPr>
      </w:pPr>
      <w:r w:rsidRPr="00D829F0">
        <w:rPr>
          <w:rFonts w:ascii="Source Sans Pro" w:hAnsi="Source Sans Pro" w:cs="Calibri Light"/>
          <w:sz w:val="16"/>
          <w:szCs w:val="14"/>
        </w:rPr>
        <w:t>Avots: CSP dati līdz 202</w:t>
      </w:r>
      <w:r w:rsidR="008728F0" w:rsidRPr="00D829F0">
        <w:rPr>
          <w:rFonts w:ascii="Source Sans Pro" w:hAnsi="Source Sans Pro" w:cs="Calibri Light"/>
          <w:sz w:val="16"/>
          <w:szCs w:val="14"/>
        </w:rPr>
        <w:t>5</w:t>
      </w:r>
      <w:r w:rsidRPr="00D829F0">
        <w:rPr>
          <w:rFonts w:ascii="Source Sans Pro" w:hAnsi="Source Sans Pro" w:cs="Calibri Light"/>
          <w:sz w:val="16"/>
          <w:szCs w:val="14"/>
        </w:rPr>
        <w:t>.</w:t>
      </w:r>
      <w:r w:rsidR="00F36EC6">
        <w:rPr>
          <w:rFonts w:ascii="Source Sans Pro" w:hAnsi="Source Sans Pro" w:cs="Calibri Light"/>
          <w:sz w:val="16"/>
          <w:szCs w:val="14"/>
        </w:rPr>
        <w:t> </w:t>
      </w:r>
      <w:r w:rsidR="0080669C" w:rsidRPr="00D829F0">
        <w:rPr>
          <w:rFonts w:ascii="Source Sans Pro" w:hAnsi="Source Sans Pro" w:cs="Calibri Light"/>
          <w:sz w:val="16"/>
          <w:szCs w:val="14"/>
        </w:rPr>
        <w:t>gad</w:t>
      </w:r>
      <w:r w:rsidRPr="00D829F0">
        <w:rPr>
          <w:rFonts w:ascii="Source Sans Pro" w:hAnsi="Source Sans Pro" w:cs="Calibri Light"/>
          <w:sz w:val="16"/>
          <w:szCs w:val="14"/>
        </w:rPr>
        <w:t>am, EM prognozes sākot ar 202</w:t>
      </w:r>
      <w:r w:rsidR="008728F0" w:rsidRPr="00D829F0">
        <w:rPr>
          <w:rFonts w:ascii="Source Sans Pro" w:hAnsi="Source Sans Pro" w:cs="Calibri Light"/>
          <w:sz w:val="16"/>
          <w:szCs w:val="14"/>
        </w:rPr>
        <w:t>6</w:t>
      </w:r>
      <w:r w:rsidRPr="00D829F0">
        <w:rPr>
          <w:rFonts w:ascii="Source Sans Pro" w:hAnsi="Source Sans Pro" w:cs="Calibri Light"/>
          <w:sz w:val="16"/>
          <w:szCs w:val="14"/>
        </w:rPr>
        <w:t>.</w:t>
      </w:r>
      <w:r w:rsidR="00F36EC6">
        <w:rPr>
          <w:rFonts w:ascii="Source Sans Pro" w:hAnsi="Source Sans Pro" w:cs="Calibri Light"/>
          <w:sz w:val="16"/>
          <w:szCs w:val="14"/>
        </w:rPr>
        <w:t> </w:t>
      </w:r>
      <w:r w:rsidR="0080669C" w:rsidRPr="00D829F0">
        <w:rPr>
          <w:rFonts w:ascii="Source Sans Pro" w:hAnsi="Source Sans Pro" w:cs="Calibri Light"/>
          <w:sz w:val="16"/>
          <w:szCs w:val="14"/>
        </w:rPr>
        <w:t>gad</w:t>
      </w:r>
      <w:r w:rsidRPr="00D829F0">
        <w:rPr>
          <w:rFonts w:ascii="Source Sans Pro" w:hAnsi="Source Sans Pro" w:cs="Calibri Light"/>
          <w:sz w:val="16"/>
          <w:szCs w:val="14"/>
        </w:rPr>
        <w:t>u</w:t>
      </w:r>
      <w:r w:rsidR="0012245D" w:rsidRPr="00D829F0">
        <w:rPr>
          <w:rFonts w:ascii="Source Sans Pro" w:hAnsi="Source Sans Pro"/>
        </w:rPr>
        <w:t xml:space="preserve"> </w:t>
      </w:r>
    </w:p>
    <w:p w14:paraId="67A136FA" w14:textId="77777777" w:rsidR="0012245D" w:rsidRPr="00D829F0" w:rsidRDefault="0012245D" w:rsidP="00343F74">
      <w:pPr>
        <w:spacing w:after="120"/>
        <w:jc w:val="both"/>
        <w:rPr>
          <w:rFonts w:ascii="Source Sans Pro" w:hAnsi="Source Sans Pro"/>
        </w:rPr>
      </w:pPr>
    </w:p>
    <w:p w14:paraId="13DEB6DB" w14:textId="345AD656" w:rsidR="0012245D" w:rsidRPr="00D829F0" w:rsidRDefault="00E5488D" w:rsidP="00343F74">
      <w:pPr>
        <w:spacing w:after="120"/>
        <w:jc w:val="both"/>
        <w:rPr>
          <w:rFonts w:ascii="Source Sans Pro" w:hAnsi="Source Sans Pro"/>
        </w:rPr>
      </w:pPr>
      <w:r w:rsidRPr="00D829F0">
        <w:rPr>
          <w:rFonts w:ascii="Source Sans Pro" w:hAnsi="Source Sans Pro"/>
        </w:rPr>
        <w:t>Sagaidāms, ka, ekonomiskajai aktivitātei pakāpeniski nostiprinoties, bezdarbs turpmākajos gados samazināsies</w:t>
      </w:r>
      <w:r w:rsidR="0012245D" w:rsidRPr="00D829F0">
        <w:rPr>
          <w:rFonts w:ascii="Source Sans Pro" w:hAnsi="Source Sans Pro"/>
        </w:rPr>
        <w:t xml:space="preserve">, pietuvojoties savam dabiskam līmenim. </w:t>
      </w:r>
      <w:r w:rsidR="002658E6" w:rsidRPr="00D829F0">
        <w:rPr>
          <w:rFonts w:ascii="Source Sans Pro" w:hAnsi="Source Sans Pro"/>
        </w:rPr>
        <w:t>Bezdarba līmenis no 6,9% 2025.</w:t>
      </w:r>
      <w:r w:rsidR="00F36EC6">
        <w:rPr>
          <w:rFonts w:ascii="Source Sans Pro" w:hAnsi="Source Sans Pro"/>
        </w:rPr>
        <w:t> </w:t>
      </w:r>
      <w:r w:rsidR="002658E6" w:rsidRPr="00D829F0">
        <w:rPr>
          <w:rFonts w:ascii="Source Sans Pro" w:hAnsi="Source Sans Pro"/>
        </w:rPr>
        <w:t>gadā varētu samazināties līdz 5,6% 2030.</w:t>
      </w:r>
      <w:r w:rsidR="00F36EC6">
        <w:rPr>
          <w:rFonts w:ascii="Source Sans Pro" w:hAnsi="Source Sans Pro"/>
        </w:rPr>
        <w:t> </w:t>
      </w:r>
      <w:r w:rsidR="002658E6" w:rsidRPr="00D829F0">
        <w:rPr>
          <w:rFonts w:ascii="Source Sans Pro" w:hAnsi="Source Sans Pro"/>
        </w:rPr>
        <w:t>gadā, savukārt ilgtermiņā – līdz aptuveni 5,0% 2040.</w:t>
      </w:r>
      <w:r w:rsidR="00F36EC6">
        <w:rPr>
          <w:rFonts w:ascii="Source Sans Pro" w:hAnsi="Source Sans Pro"/>
        </w:rPr>
        <w:t> </w:t>
      </w:r>
      <w:r w:rsidR="002658E6" w:rsidRPr="00D829F0">
        <w:rPr>
          <w:rFonts w:ascii="Source Sans Pro" w:hAnsi="Source Sans Pro"/>
        </w:rPr>
        <w:t>gadā. Vienlaikus demogrāfisko tendenču negatīvo ietekmi uz darbaspēka piedāvājumu daļēji kompensēs iedzīvotāju ekonomiskās aktivitātes pieaugums un migrācijas plūsmu pakāpeniska izlīdzināšanās.</w:t>
      </w:r>
    </w:p>
    <w:p w14:paraId="23219498" w14:textId="77777777" w:rsidR="002658E6" w:rsidRPr="00D829F0" w:rsidRDefault="002658E6" w:rsidP="00343F74">
      <w:pPr>
        <w:spacing w:after="120"/>
        <w:jc w:val="both"/>
        <w:rPr>
          <w:rFonts w:ascii="Source Sans Pro" w:hAnsi="Source Sans Pro"/>
        </w:rPr>
      </w:pPr>
    </w:p>
    <w:p w14:paraId="78409409" w14:textId="16721839" w:rsidR="00745274" w:rsidRPr="00D829F0" w:rsidRDefault="00745274" w:rsidP="00745274">
      <w:pPr>
        <w:spacing w:after="120"/>
        <w:jc w:val="right"/>
        <w:rPr>
          <w:rFonts w:ascii="Source Sans Pro" w:hAnsi="Source Sans Pro"/>
          <w:szCs w:val="26"/>
        </w:rPr>
      </w:pPr>
      <w:r w:rsidRPr="00D829F0">
        <w:rPr>
          <w:rFonts w:ascii="Source Sans Pro" w:hAnsi="Source Sans Pro"/>
          <w:szCs w:val="26"/>
        </w:rPr>
        <w:t>3.12.</w:t>
      </w:r>
      <w:r w:rsidR="00F36EC6">
        <w:rPr>
          <w:rFonts w:ascii="Source Sans Pro" w:hAnsi="Source Sans Pro"/>
          <w:szCs w:val="26"/>
        </w:rPr>
        <w:t> </w:t>
      </w:r>
      <w:r w:rsidRPr="00D829F0">
        <w:rPr>
          <w:rFonts w:ascii="Source Sans Pro" w:hAnsi="Source Sans Pro"/>
          <w:szCs w:val="26"/>
        </w:rPr>
        <w:t>tabula</w:t>
      </w:r>
    </w:p>
    <w:p w14:paraId="607C07BE" w14:textId="77777777" w:rsidR="00745274" w:rsidRPr="004032C4" w:rsidRDefault="00745274" w:rsidP="00745274">
      <w:pPr>
        <w:spacing w:after="120"/>
        <w:jc w:val="center"/>
        <w:rPr>
          <w:rFonts w:ascii="Segoe UI Light" w:hAnsi="Segoe UI Light"/>
          <w:i/>
          <w:sz w:val="16"/>
          <w:szCs w:val="16"/>
        </w:rPr>
      </w:pPr>
      <w:r w:rsidRPr="004032C4">
        <w:rPr>
          <w:rFonts w:ascii="Segoe UI Light" w:hAnsi="Segoe UI Light"/>
          <w:b/>
          <w:sz w:val="18"/>
          <w:szCs w:val="16"/>
        </w:rPr>
        <w:t>Nodarbinātības un bezdarba galveno rādītāju prognozes</w:t>
      </w:r>
      <w:r w:rsidRPr="004032C4">
        <w:rPr>
          <w:rFonts w:ascii="Segoe UI Light" w:hAnsi="Segoe UI Light"/>
          <w:b/>
          <w:sz w:val="18"/>
          <w:szCs w:val="16"/>
        </w:rPr>
        <w:br/>
      </w:r>
      <w:r w:rsidRPr="004032C4">
        <w:rPr>
          <w:rFonts w:ascii="Segoe UI Light" w:hAnsi="Segoe UI Light"/>
          <w:i/>
          <w:sz w:val="16"/>
          <w:szCs w:val="16"/>
        </w:rPr>
        <w:t>15-74 gadu vecuma grupā</w:t>
      </w:r>
    </w:p>
    <w:tbl>
      <w:tblPr>
        <w:tblStyle w:val="GridTable5Dark-Accent3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6681"/>
        <w:gridCol w:w="786"/>
        <w:gridCol w:w="806"/>
        <w:gridCol w:w="788"/>
      </w:tblGrid>
      <w:tr w:rsidR="00745274" w:rsidRPr="00D829F0" w14:paraId="19EF2687" w14:textId="77777777" w:rsidTr="00C00800">
        <w:trPr>
          <w:cnfStyle w:val="100000000000" w:firstRow="1" w:lastRow="0" w:firstColumn="0" w:lastColumn="0" w:oddVBand="0" w:evenVBand="0" w:oddHBand="0" w:evenHBand="0" w:firstRowFirstColumn="0" w:firstRowLastColumn="0" w:lastRowFirstColumn="0" w:lastRowLastColumn="0"/>
          <w:trHeight w:val="454"/>
          <w:jc w:val="center"/>
        </w:trPr>
        <w:tc>
          <w:tcPr>
            <w:tcW w:w="3686" w:type="pct"/>
            <w:shd w:val="clear" w:color="auto" w:fill="006666"/>
            <w:noWrap/>
            <w:vAlign w:val="center"/>
          </w:tcPr>
          <w:p w14:paraId="1141E236" w14:textId="77777777" w:rsidR="00745274" w:rsidRPr="004032C4" w:rsidRDefault="00745274" w:rsidP="00C00800">
            <w:pPr>
              <w:spacing w:before="40" w:after="40"/>
              <w:jc w:val="center"/>
              <w:rPr>
                <w:rFonts w:ascii="Segoe UI Light" w:eastAsia="Arial Unicode MS" w:hAnsi="Segoe UI Light"/>
                <w:b w:val="0"/>
                <w:sz w:val="16"/>
                <w:szCs w:val="20"/>
              </w:rPr>
            </w:pPr>
          </w:p>
        </w:tc>
        <w:tc>
          <w:tcPr>
            <w:tcW w:w="434" w:type="pct"/>
            <w:shd w:val="clear" w:color="auto" w:fill="006666"/>
            <w:vAlign w:val="center"/>
            <w:hideMark/>
          </w:tcPr>
          <w:p w14:paraId="278FF175" w14:textId="4755972D"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202</w:t>
            </w:r>
            <w:r w:rsidR="0047724F">
              <w:rPr>
                <w:rFonts w:ascii="Segoe UI Light" w:hAnsi="Segoe UI Light"/>
                <w:sz w:val="16"/>
                <w:szCs w:val="20"/>
              </w:rPr>
              <w:t>5</w:t>
            </w:r>
          </w:p>
        </w:tc>
        <w:tc>
          <w:tcPr>
            <w:tcW w:w="444" w:type="pct"/>
            <w:shd w:val="clear" w:color="auto" w:fill="006666"/>
            <w:vAlign w:val="center"/>
            <w:hideMark/>
          </w:tcPr>
          <w:p w14:paraId="582EE60D" w14:textId="77777777"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2030</w:t>
            </w:r>
          </w:p>
        </w:tc>
        <w:tc>
          <w:tcPr>
            <w:tcW w:w="435" w:type="pct"/>
            <w:shd w:val="clear" w:color="auto" w:fill="006666"/>
            <w:vAlign w:val="center"/>
            <w:hideMark/>
          </w:tcPr>
          <w:p w14:paraId="1A3C64AE" w14:textId="77777777"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2040</w:t>
            </w:r>
          </w:p>
        </w:tc>
      </w:tr>
      <w:tr w:rsidR="00745274" w:rsidRPr="00D829F0" w14:paraId="7A0E353B" w14:textId="77777777" w:rsidTr="00C00800">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DCE7EB"/>
            <w:hideMark/>
          </w:tcPr>
          <w:p w14:paraId="06A5CF2E" w14:textId="77777777" w:rsidR="00745274" w:rsidRPr="004032C4" w:rsidRDefault="00745274" w:rsidP="00745274">
            <w:pPr>
              <w:spacing w:before="40" w:after="40"/>
              <w:rPr>
                <w:rFonts w:ascii="Segoe UI Light" w:hAnsi="Segoe UI Light"/>
                <w:sz w:val="16"/>
                <w:szCs w:val="20"/>
              </w:rPr>
            </w:pPr>
            <w:r w:rsidRPr="004032C4">
              <w:rPr>
                <w:rFonts w:ascii="Segoe UI Light" w:hAnsi="Segoe UI Light"/>
                <w:sz w:val="16"/>
                <w:szCs w:val="20"/>
              </w:rPr>
              <w:t>Iedzīvotāju skaits privātajās mājsaimniecībās, gada sākumā, tūkstošos</w:t>
            </w:r>
          </w:p>
        </w:tc>
        <w:tc>
          <w:tcPr>
            <w:tcW w:w="434" w:type="pct"/>
            <w:shd w:val="clear" w:color="auto" w:fill="DCE7EB"/>
            <w:hideMark/>
          </w:tcPr>
          <w:p w14:paraId="2209CBCA" w14:textId="7BA78A90"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13</w:t>
            </w:r>
            <w:r w:rsidR="00C05510">
              <w:rPr>
                <w:rFonts w:ascii="Segoe UI Light" w:hAnsi="Segoe UI Light"/>
                <w:sz w:val="16"/>
                <w:szCs w:val="20"/>
              </w:rPr>
              <w:t>69</w:t>
            </w:r>
            <w:r w:rsidRPr="004032C4">
              <w:rPr>
                <w:rFonts w:ascii="Segoe UI Light" w:hAnsi="Segoe UI Light"/>
                <w:sz w:val="16"/>
                <w:szCs w:val="20"/>
              </w:rPr>
              <w:t>,</w:t>
            </w:r>
            <w:r w:rsidR="00C05510">
              <w:rPr>
                <w:rFonts w:ascii="Segoe UI Light" w:hAnsi="Segoe UI Light"/>
                <w:sz w:val="16"/>
                <w:szCs w:val="20"/>
              </w:rPr>
              <w:t>0</w:t>
            </w:r>
          </w:p>
        </w:tc>
        <w:tc>
          <w:tcPr>
            <w:tcW w:w="444" w:type="pct"/>
            <w:shd w:val="clear" w:color="auto" w:fill="DCE7EB"/>
            <w:hideMark/>
          </w:tcPr>
          <w:p w14:paraId="6CDBC113" w14:textId="45FABA81" w:rsidR="00745274" w:rsidRPr="004032C4" w:rsidRDefault="00745274" w:rsidP="00745274">
            <w:pPr>
              <w:tabs>
                <w:tab w:val="decimal" w:pos="472"/>
              </w:tabs>
              <w:spacing w:before="40" w:after="40"/>
              <w:jc w:val="center"/>
              <w:rPr>
                <w:rFonts w:ascii="Segoe UI Light" w:hAnsi="Segoe UI Light"/>
                <w:sz w:val="16"/>
                <w:szCs w:val="20"/>
              </w:rPr>
            </w:pPr>
            <w:r w:rsidRPr="004032C4">
              <w:rPr>
                <w:rFonts w:ascii="Segoe UI Light" w:hAnsi="Segoe UI Light"/>
                <w:sz w:val="16"/>
                <w:szCs w:val="20"/>
              </w:rPr>
              <w:t>132</w:t>
            </w:r>
            <w:r w:rsidR="0052790D">
              <w:rPr>
                <w:rFonts w:ascii="Segoe UI Light" w:hAnsi="Segoe UI Light"/>
                <w:sz w:val="16"/>
                <w:szCs w:val="20"/>
              </w:rPr>
              <w:t>7</w:t>
            </w:r>
            <w:r w:rsidRPr="004032C4">
              <w:rPr>
                <w:rFonts w:ascii="Segoe UI Light" w:hAnsi="Segoe UI Light"/>
                <w:sz w:val="16"/>
                <w:szCs w:val="20"/>
              </w:rPr>
              <w:t>,</w:t>
            </w:r>
            <w:r w:rsidR="0052790D">
              <w:rPr>
                <w:rFonts w:ascii="Segoe UI Light" w:hAnsi="Segoe UI Light"/>
                <w:sz w:val="16"/>
                <w:szCs w:val="20"/>
              </w:rPr>
              <w:t>5</w:t>
            </w:r>
          </w:p>
        </w:tc>
        <w:tc>
          <w:tcPr>
            <w:tcW w:w="435" w:type="pct"/>
            <w:shd w:val="clear" w:color="auto" w:fill="DCE7EB"/>
            <w:hideMark/>
          </w:tcPr>
          <w:p w14:paraId="458AD4B0" w14:textId="5882DC86" w:rsidR="00745274" w:rsidRPr="004032C4" w:rsidRDefault="00745274" w:rsidP="00745274">
            <w:pPr>
              <w:tabs>
                <w:tab w:val="decimal" w:pos="452"/>
              </w:tabs>
              <w:spacing w:before="40" w:after="40"/>
              <w:jc w:val="center"/>
              <w:rPr>
                <w:rFonts w:ascii="Segoe UI Light" w:hAnsi="Segoe UI Light"/>
                <w:sz w:val="16"/>
                <w:szCs w:val="20"/>
              </w:rPr>
            </w:pPr>
            <w:r w:rsidRPr="004032C4">
              <w:rPr>
                <w:rFonts w:ascii="Segoe UI Light" w:hAnsi="Segoe UI Light"/>
                <w:sz w:val="16"/>
                <w:szCs w:val="20"/>
              </w:rPr>
              <w:t>12</w:t>
            </w:r>
            <w:r w:rsidR="00AF1EF7">
              <w:rPr>
                <w:rFonts w:ascii="Segoe UI Light" w:hAnsi="Segoe UI Light"/>
                <w:sz w:val="16"/>
                <w:szCs w:val="20"/>
              </w:rPr>
              <w:t>53</w:t>
            </w:r>
            <w:r w:rsidRPr="004032C4">
              <w:rPr>
                <w:rFonts w:ascii="Segoe UI Light" w:hAnsi="Segoe UI Light"/>
                <w:sz w:val="16"/>
                <w:szCs w:val="20"/>
              </w:rPr>
              <w:t>,0</w:t>
            </w:r>
          </w:p>
        </w:tc>
      </w:tr>
      <w:tr w:rsidR="00745274" w:rsidRPr="00D829F0" w14:paraId="18A17EE7" w14:textId="77777777" w:rsidTr="00C00800">
        <w:trPr>
          <w:trHeight w:val="20"/>
          <w:jc w:val="center"/>
        </w:trPr>
        <w:tc>
          <w:tcPr>
            <w:tcW w:w="3686" w:type="pct"/>
            <w:shd w:val="clear" w:color="auto" w:fill="auto"/>
            <w:hideMark/>
          </w:tcPr>
          <w:p w14:paraId="0E1D1BB6" w14:textId="77777777" w:rsidR="00745274" w:rsidRPr="004032C4" w:rsidRDefault="00745274" w:rsidP="00745274">
            <w:pPr>
              <w:spacing w:before="40" w:after="40"/>
              <w:rPr>
                <w:rFonts w:ascii="Segoe UI Light" w:hAnsi="Segoe UI Light"/>
                <w:sz w:val="16"/>
                <w:szCs w:val="20"/>
              </w:rPr>
            </w:pPr>
            <w:r w:rsidRPr="004032C4">
              <w:rPr>
                <w:rFonts w:ascii="Segoe UI Light" w:hAnsi="Segoe UI Light"/>
                <w:sz w:val="16"/>
                <w:szCs w:val="20"/>
              </w:rPr>
              <w:t>Nodarbināto iedzīvotāju skaits, tūkstošos</w:t>
            </w:r>
          </w:p>
        </w:tc>
        <w:tc>
          <w:tcPr>
            <w:tcW w:w="434" w:type="pct"/>
            <w:shd w:val="clear" w:color="auto" w:fill="auto"/>
            <w:hideMark/>
          </w:tcPr>
          <w:p w14:paraId="0DBCD196" w14:textId="2B78AA15"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88</w:t>
            </w:r>
            <w:r w:rsidR="00FB47D4">
              <w:rPr>
                <w:rFonts w:ascii="Segoe UI Light" w:hAnsi="Segoe UI Light"/>
                <w:sz w:val="16"/>
                <w:szCs w:val="20"/>
              </w:rPr>
              <w:t>3</w:t>
            </w:r>
            <w:r w:rsidRPr="004032C4">
              <w:rPr>
                <w:rFonts w:ascii="Segoe UI Light" w:hAnsi="Segoe UI Light"/>
                <w:sz w:val="16"/>
                <w:szCs w:val="20"/>
              </w:rPr>
              <w:t>,</w:t>
            </w:r>
            <w:r w:rsidR="00FB47D4">
              <w:rPr>
                <w:rFonts w:ascii="Segoe UI Light" w:hAnsi="Segoe UI Light"/>
                <w:sz w:val="16"/>
                <w:szCs w:val="20"/>
              </w:rPr>
              <w:t>1</w:t>
            </w:r>
          </w:p>
        </w:tc>
        <w:tc>
          <w:tcPr>
            <w:tcW w:w="444" w:type="pct"/>
            <w:shd w:val="clear" w:color="auto" w:fill="auto"/>
            <w:hideMark/>
          </w:tcPr>
          <w:p w14:paraId="1FC13160" w14:textId="187687D7" w:rsidR="00745274" w:rsidRPr="004032C4" w:rsidRDefault="00745274" w:rsidP="00745274">
            <w:pPr>
              <w:tabs>
                <w:tab w:val="decimal" w:pos="472"/>
              </w:tabs>
              <w:spacing w:before="40" w:after="40"/>
              <w:jc w:val="center"/>
              <w:rPr>
                <w:rFonts w:ascii="Segoe UI Light" w:hAnsi="Segoe UI Light"/>
                <w:sz w:val="16"/>
                <w:szCs w:val="20"/>
              </w:rPr>
            </w:pPr>
            <w:r w:rsidRPr="004032C4">
              <w:rPr>
                <w:rFonts w:ascii="Segoe UI Light" w:hAnsi="Segoe UI Light"/>
                <w:sz w:val="16"/>
                <w:szCs w:val="20"/>
              </w:rPr>
              <w:t>90</w:t>
            </w:r>
            <w:r w:rsidR="00EF0E19">
              <w:rPr>
                <w:rFonts w:ascii="Segoe UI Light" w:hAnsi="Segoe UI Light"/>
                <w:sz w:val="16"/>
                <w:szCs w:val="20"/>
              </w:rPr>
              <w:t>0</w:t>
            </w:r>
            <w:r w:rsidRPr="004032C4">
              <w:rPr>
                <w:rFonts w:ascii="Segoe UI Light" w:hAnsi="Segoe UI Light"/>
                <w:sz w:val="16"/>
                <w:szCs w:val="20"/>
              </w:rPr>
              <w:t>,</w:t>
            </w:r>
            <w:r w:rsidR="00EF0E19">
              <w:rPr>
                <w:rFonts w:ascii="Segoe UI Light" w:hAnsi="Segoe UI Light"/>
                <w:sz w:val="16"/>
                <w:szCs w:val="20"/>
              </w:rPr>
              <w:t>6</w:t>
            </w:r>
          </w:p>
        </w:tc>
        <w:tc>
          <w:tcPr>
            <w:tcW w:w="435" w:type="pct"/>
            <w:shd w:val="clear" w:color="auto" w:fill="auto"/>
            <w:hideMark/>
          </w:tcPr>
          <w:p w14:paraId="518FE719" w14:textId="4F504939" w:rsidR="00745274" w:rsidRPr="004032C4" w:rsidRDefault="00745274" w:rsidP="00745274">
            <w:pPr>
              <w:tabs>
                <w:tab w:val="decimal" w:pos="452"/>
              </w:tabs>
              <w:spacing w:before="40" w:after="40"/>
              <w:jc w:val="center"/>
              <w:rPr>
                <w:rFonts w:ascii="Segoe UI Light" w:hAnsi="Segoe UI Light"/>
                <w:sz w:val="16"/>
                <w:szCs w:val="20"/>
              </w:rPr>
            </w:pPr>
            <w:r w:rsidRPr="004032C4">
              <w:rPr>
                <w:rFonts w:ascii="Segoe UI Light" w:hAnsi="Segoe UI Light"/>
                <w:sz w:val="16"/>
                <w:szCs w:val="20"/>
              </w:rPr>
              <w:t>88</w:t>
            </w:r>
            <w:r w:rsidR="00312605">
              <w:rPr>
                <w:rFonts w:ascii="Segoe UI Light" w:hAnsi="Segoe UI Light"/>
                <w:sz w:val="16"/>
                <w:szCs w:val="20"/>
              </w:rPr>
              <w:t>8</w:t>
            </w:r>
            <w:r w:rsidRPr="004032C4">
              <w:rPr>
                <w:rFonts w:ascii="Segoe UI Light" w:hAnsi="Segoe UI Light"/>
                <w:sz w:val="16"/>
                <w:szCs w:val="20"/>
              </w:rPr>
              <w:t>,9</w:t>
            </w:r>
          </w:p>
        </w:tc>
      </w:tr>
      <w:tr w:rsidR="00745274" w:rsidRPr="00D829F0" w14:paraId="6B68E3C1" w14:textId="77777777" w:rsidTr="00C00800">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DCE7EB"/>
            <w:hideMark/>
          </w:tcPr>
          <w:p w14:paraId="068E2F13" w14:textId="1AF1650E" w:rsidR="00745274" w:rsidRPr="004032C4" w:rsidRDefault="00745274" w:rsidP="00745274">
            <w:pPr>
              <w:spacing w:before="40" w:after="40"/>
              <w:ind w:left="142"/>
              <w:rPr>
                <w:rFonts w:ascii="Segoe UI Light" w:hAnsi="Segoe UI Light"/>
                <w:sz w:val="16"/>
                <w:szCs w:val="20"/>
              </w:rPr>
            </w:pPr>
            <w:r w:rsidRPr="004032C4">
              <w:rPr>
                <w:rFonts w:ascii="Segoe UI Light" w:hAnsi="Segoe UI Light"/>
                <w:sz w:val="16"/>
                <w:szCs w:val="20"/>
              </w:rPr>
              <w:t>nodarbināto iedzīvotāju skaita izmaiņas, tūkstošos pret 202</w:t>
            </w:r>
            <w:r w:rsidR="00EF0B3C">
              <w:rPr>
                <w:rFonts w:ascii="Segoe UI Light" w:hAnsi="Segoe UI Light"/>
                <w:sz w:val="16"/>
                <w:szCs w:val="20"/>
              </w:rPr>
              <w:t>5</w:t>
            </w:r>
            <w:r w:rsidRPr="004032C4">
              <w:rPr>
                <w:rFonts w:ascii="Segoe UI Light" w:hAnsi="Segoe UI Light"/>
                <w:sz w:val="16"/>
                <w:szCs w:val="20"/>
              </w:rPr>
              <w:t>.</w:t>
            </w:r>
            <w:r w:rsidR="00B566DE" w:rsidRPr="004032C4">
              <w:rPr>
                <w:rFonts w:ascii="Segoe UI Light" w:hAnsi="Segoe UI Light"/>
                <w:sz w:val="16"/>
                <w:szCs w:val="20"/>
              </w:rPr>
              <w:t> </w:t>
            </w:r>
            <w:r w:rsidRPr="004032C4">
              <w:rPr>
                <w:rFonts w:ascii="Segoe UI Light" w:hAnsi="Segoe UI Light"/>
                <w:sz w:val="16"/>
                <w:szCs w:val="20"/>
              </w:rPr>
              <w:t>gadu</w:t>
            </w:r>
          </w:p>
        </w:tc>
        <w:tc>
          <w:tcPr>
            <w:tcW w:w="434" w:type="pct"/>
            <w:shd w:val="clear" w:color="auto" w:fill="DCE7EB"/>
            <w:hideMark/>
          </w:tcPr>
          <w:p w14:paraId="17B0A680" w14:textId="77777777"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w:t>
            </w:r>
          </w:p>
        </w:tc>
        <w:tc>
          <w:tcPr>
            <w:tcW w:w="444" w:type="pct"/>
            <w:shd w:val="clear" w:color="auto" w:fill="DCE7EB"/>
            <w:hideMark/>
          </w:tcPr>
          <w:p w14:paraId="6EF0319F" w14:textId="140355E9" w:rsidR="00745274" w:rsidRPr="004032C4" w:rsidRDefault="00F74141" w:rsidP="00745274">
            <w:pPr>
              <w:tabs>
                <w:tab w:val="decimal" w:pos="472"/>
              </w:tabs>
              <w:spacing w:before="40" w:after="40"/>
              <w:jc w:val="center"/>
              <w:rPr>
                <w:rFonts w:ascii="Segoe UI Light" w:hAnsi="Segoe UI Light"/>
                <w:sz w:val="16"/>
                <w:szCs w:val="20"/>
              </w:rPr>
            </w:pPr>
            <w:r>
              <w:rPr>
                <w:rFonts w:ascii="Segoe UI Light" w:hAnsi="Segoe UI Light"/>
                <w:sz w:val="16"/>
                <w:szCs w:val="20"/>
              </w:rPr>
              <w:t>17,5</w:t>
            </w:r>
          </w:p>
        </w:tc>
        <w:tc>
          <w:tcPr>
            <w:tcW w:w="435" w:type="pct"/>
            <w:shd w:val="clear" w:color="auto" w:fill="DCE7EB"/>
            <w:hideMark/>
          </w:tcPr>
          <w:p w14:paraId="0FAC98A6" w14:textId="77777777" w:rsidR="00745274" w:rsidRPr="004032C4" w:rsidRDefault="00745274" w:rsidP="00745274">
            <w:pPr>
              <w:tabs>
                <w:tab w:val="decimal" w:pos="452"/>
              </w:tabs>
              <w:spacing w:before="40" w:after="40"/>
              <w:jc w:val="center"/>
              <w:rPr>
                <w:rFonts w:ascii="Segoe UI Light" w:hAnsi="Segoe UI Light"/>
                <w:sz w:val="16"/>
                <w:szCs w:val="20"/>
              </w:rPr>
            </w:pPr>
            <w:r w:rsidRPr="004032C4">
              <w:rPr>
                <w:rFonts w:ascii="Segoe UI Light" w:hAnsi="Segoe UI Light"/>
                <w:sz w:val="16"/>
                <w:szCs w:val="20"/>
              </w:rPr>
              <w:t>5,8</w:t>
            </w:r>
          </w:p>
        </w:tc>
      </w:tr>
      <w:tr w:rsidR="00745274" w:rsidRPr="00D829F0" w14:paraId="1363BFA1" w14:textId="77777777" w:rsidTr="00C00800">
        <w:trPr>
          <w:trHeight w:val="20"/>
          <w:jc w:val="center"/>
        </w:trPr>
        <w:tc>
          <w:tcPr>
            <w:tcW w:w="3686" w:type="pct"/>
            <w:shd w:val="clear" w:color="auto" w:fill="auto"/>
            <w:hideMark/>
          </w:tcPr>
          <w:p w14:paraId="31F65FF2" w14:textId="5C65292A" w:rsidR="00745274" w:rsidRPr="004032C4" w:rsidRDefault="00745274" w:rsidP="00745274">
            <w:pPr>
              <w:spacing w:before="40" w:after="40"/>
              <w:ind w:left="142"/>
              <w:rPr>
                <w:rFonts w:ascii="Segoe UI Light" w:hAnsi="Segoe UI Light"/>
                <w:sz w:val="16"/>
                <w:szCs w:val="20"/>
              </w:rPr>
            </w:pPr>
            <w:r w:rsidRPr="004032C4">
              <w:rPr>
                <w:rFonts w:ascii="Segoe UI Light" w:hAnsi="Segoe UI Light"/>
                <w:sz w:val="16"/>
                <w:szCs w:val="20"/>
              </w:rPr>
              <w:t>nodarbināto iedzīvotāju skaita izmaiņas, procentos pret 202</w:t>
            </w:r>
            <w:r w:rsidR="00EF0B3C">
              <w:rPr>
                <w:rFonts w:ascii="Segoe UI Light" w:hAnsi="Segoe UI Light"/>
                <w:sz w:val="16"/>
                <w:szCs w:val="20"/>
              </w:rPr>
              <w:t>5</w:t>
            </w:r>
            <w:r w:rsidRPr="004032C4">
              <w:rPr>
                <w:rFonts w:ascii="Segoe UI Light" w:hAnsi="Segoe UI Light"/>
                <w:sz w:val="16"/>
                <w:szCs w:val="20"/>
              </w:rPr>
              <w:t>.</w:t>
            </w:r>
            <w:r w:rsidR="00B566DE" w:rsidRPr="004032C4">
              <w:rPr>
                <w:rFonts w:ascii="Segoe UI Light" w:hAnsi="Segoe UI Light"/>
                <w:sz w:val="16"/>
                <w:szCs w:val="20"/>
              </w:rPr>
              <w:t> </w:t>
            </w:r>
            <w:r w:rsidRPr="004032C4">
              <w:rPr>
                <w:rFonts w:ascii="Segoe UI Light" w:hAnsi="Segoe UI Light"/>
                <w:sz w:val="16"/>
                <w:szCs w:val="20"/>
              </w:rPr>
              <w:t>gadu</w:t>
            </w:r>
          </w:p>
        </w:tc>
        <w:tc>
          <w:tcPr>
            <w:tcW w:w="434" w:type="pct"/>
            <w:shd w:val="clear" w:color="auto" w:fill="auto"/>
            <w:hideMark/>
          </w:tcPr>
          <w:p w14:paraId="53CB9211" w14:textId="77777777"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w:t>
            </w:r>
          </w:p>
        </w:tc>
        <w:tc>
          <w:tcPr>
            <w:tcW w:w="444" w:type="pct"/>
            <w:shd w:val="clear" w:color="auto" w:fill="auto"/>
            <w:hideMark/>
          </w:tcPr>
          <w:p w14:paraId="43AF7722" w14:textId="6D5BEC0D" w:rsidR="00745274" w:rsidRPr="004032C4" w:rsidRDefault="00745274" w:rsidP="00745274">
            <w:pPr>
              <w:tabs>
                <w:tab w:val="decimal" w:pos="472"/>
              </w:tabs>
              <w:spacing w:before="40" w:after="40"/>
              <w:jc w:val="center"/>
              <w:rPr>
                <w:rFonts w:ascii="Segoe UI Light" w:hAnsi="Segoe UI Light"/>
                <w:sz w:val="16"/>
                <w:szCs w:val="20"/>
              </w:rPr>
            </w:pPr>
            <w:r w:rsidRPr="004032C4">
              <w:rPr>
                <w:rFonts w:ascii="Segoe UI Light" w:hAnsi="Segoe UI Light"/>
                <w:sz w:val="16"/>
                <w:szCs w:val="20"/>
              </w:rPr>
              <w:t>2,</w:t>
            </w:r>
            <w:r w:rsidR="00F74141">
              <w:rPr>
                <w:rFonts w:ascii="Segoe UI Light" w:hAnsi="Segoe UI Light"/>
                <w:sz w:val="16"/>
                <w:szCs w:val="20"/>
              </w:rPr>
              <w:t>0</w:t>
            </w:r>
          </w:p>
        </w:tc>
        <w:tc>
          <w:tcPr>
            <w:tcW w:w="435" w:type="pct"/>
            <w:shd w:val="clear" w:color="auto" w:fill="auto"/>
            <w:hideMark/>
          </w:tcPr>
          <w:p w14:paraId="3D7A2ED7" w14:textId="77777777" w:rsidR="00745274" w:rsidRPr="004032C4" w:rsidRDefault="00745274" w:rsidP="00745274">
            <w:pPr>
              <w:tabs>
                <w:tab w:val="decimal" w:pos="452"/>
              </w:tabs>
              <w:spacing w:before="40" w:after="40"/>
              <w:jc w:val="center"/>
              <w:rPr>
                <w:rFonts w:ascii="Segoe UI Light" w:hAnsi="Segoe UI Light"/>
                <w:sz w:val="16"/>
                <w:szCs w:val="20"/>
              </w:rPr>
            </w:pPr>
            <w:r w:rsidRPr="004032C4">
              <w:rPr>
                <w:rFonts w:ascii="Segoe UI Light" w:hAnsi="Segoe UI Light"/>
                <w:sz w:val="16"/>
                <w:szCs w:val="20"/>
              </w:rPr>
              <w:t>0,7</w:t>
            </w:r>
          </w:p>
        </w:tc>
      </w:tr>
      <w:tr w:rsidR="00745274" w:rsidRPr="00D829F0" w14:paraId="68439935" w14:textId="77777777" w:rsidTr="00C00800">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DCE7EB"/>
            <w:hideMark/>
          </w:tcPr>
          <w:p w14:paraId="74BB4EF0" w14:textId="77777777" w:rsidR="00745274" w:rsidRPr="004032C4" w:rsidRDefault="00745274" w:rsidP="00745274">
            <w:pPr>
              <w:spacing w:before="40" w:after="40"/>
              <w:rPr>
                <w:rFonts w:ascii="Segoe UI Light" w:hAnsi="Segoe UI Light"/>
                <w:sz w:val="16"/>
                <w:szCs w:val="20"/>
              </w:rPr>
            </w:pPr>
            <w:r w:rsidRPr="004032C4">
              <w:rPr>
                <w:rFonts w:ascii="Segoe UI Light" w:hAnsi="Segoe UI Light"/>
                <w:sz w:val="16"/>
                <w:szCs w:val="20"/>
              </w:rPr>
              <w:t>Ekonomiski aktīvo iedzīvotāju skaits, tūkstošos</w:t>
            </w:r>
          </w:p>
        </w:tc>
        <w:tc>
          <w:tcPr>
            <w:tcW w:w="434" w:type="pct"/>
            <w:shd w:val="clear" w:color="auto" w:fill="DCE7EB"/>
            <w:hideMark/>
          </w:tcPr>
          <w:p w14:paraId="50D04A04" w14:textId="43F98910"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94</w:t>
            </w:r>
            <w:r w:rsidR="00C0258F">
              <w:rPr>
                <w:rFonts w:ascii="Segoe UI Light" w:hAnsi="Segoe UI Light"/>
                <w:sz w:val="16"/>
                <w:szCs w:val="20"/>
              </w:rPr>
              <w:t>8</w:t>
            </w:r>
            <w:r w:rsidRPr="004032C4">
              <w:rPr>
                <w:rFonts w:ascii="Segoe UI Light" w:hAnsi="Segoe UI Light"/>
                <w:sz w:val="16"/>
                <w:szCs w:val="20"/>
              </w:rPr>
              <w:t>,</w:t>
            </w:r>
            <w:r w:rsidR="00C0258F">
              <w:rPr>
                <w:rFonts w:ascii="Segoe UI Light" w:hAnsi="Segoe UI Light"/>
                <w:sz w:val="16"/>
                <w:szCs w:val="20"/>
              </w:rPr>
              <w:t>9</w:t>
            </w:r>
          </w:p>
        </w:tc>
        <w:tc>
          <w:tcPr>
            <w:tcW w:w="444" w:type="pct"/>
            <w:shd w:val="clear" w:color="auto" w:fill="DCE7EB"/>
            <w:hideMark/>
          </w:tcPr>
          <w:p w14:paraId="61B46CF8" w14:textId="12D28FAA" w:rsidR="00745274" w:rsidRPr="004032C4" w:rsidRDefault="00745274" w:rsidP="00745274">
            <w:pPr>
              <w:tabs>
                <w:tab w:val="decimal" w:pos="472"/>
              </w:tabs>
              <w:spacing w:before="40" w:after="40"/>
              <w:jc w:val="center"/>
              <w:rPr>
                <w:rFonts w:ascii="Segoe UI Light" w:hAnsi="Segoe UI Light"/>
                <w:sz w:val="16"/>
                <w:szCs w:val="20"/>
              </w:rPr>
            </w:pPr>
            <w:r w:rsidRPr="004032C4">
              <w:rPr>
                <w:rFonts w:ascii="Segoe UI Light" w:hAnsi="Segoe UI Light"/>
                <w:sz w:val="16"/>
                <w:szCs w:val="20"/>
              </w:rPr>
              <w:t>9</w:t>
            </w:r>
            <w:r w:rsidR="00C0258F">
              <w:rPr>
                <w:rFonts w:ascii="Segoe UI Light" w:hAnsi="Segoe UI Light"/>
                <w:sz w:val="16"/>
                <w:szCs w:val="20"/>
              </w:rPr>
              <w:t>53</w:t>
            </w:r>
            <w:r w:rsidRPr="004032C4">
              <w:rPr>
                <w:rFonts w:ascii="Segoe UI Light" w:hAnsi="Segoe UI Light"/>
                <w:sz w:val="16"/>
                <w:szCs w:val="20"/>
              </w:rPr>
              <w:t>,</w:t>
            </w:r>
            <w:r w:rsidR="00C0258F">
              <w:rPr>
                <w:rFonts w:ascii="Segoe UI Light" w:hAnsi="Segoe UI Light"/>
                <w:sz w:val="16"/>
                <w:szCs w:val="20"/>
              </w:rPr>
              <w:t>9</w:t>
            </w:r>
          </w:p>
        </w:tc>
        <w:tc>
          <w:tcPr>
            <w:tcW w:w="435" w:type="pct"/>
            <w:shd w:val="clear" w:color="auto" w:fill="DCE7EB"/>
            <w:hideMark/>
          </w:tcPr>
          <w:p w14:paraId="61C5470D" w14:textId="4EF00A0A" w:rsidR="00745274" w:rsidRPr="004032C4" w:rsidRDefault="00745274" w:rsidP="00745274">
            <w:pPr>
              <w:tabs>
                <w:tab w:val="decimal" w:pos="452"/>
              </w:tabs>
              <w:spacing w:before="40" w:after="40"/>
              <w:jc w:val="center"/>
              <w:rPr>
                <w:rFonts w:ascii="Segoe UI Light" w:hAnsi="Segoe UI Light"/>
                <w:sz w:val="16"/>
                <w:szCs w:val="20"/>
              </w:rPr>
            </w:pPr>
            <w:r w:rsidRPr="004032C4">
              <w:rPr>
                <w:rFonts w:ascii="Segoe UI Light" w:hAnsi="Segoe UI Light"/>
                <w:sz w:val="16"/>
                <w:szCs w:val="20"/>
              </w:rPr>
              <w:t>936,</w:t>
            </w:r>
            <w:r w:rsidR="00A50A32">
              <w:rPr>
                <w:rFonts w:ascii="Segoe UI Light" w:hAnsi="Segoe UI Light"/>
                <w:sz w:val="16"/>
                <w:szCs w:val="20"/>
              </w:rPr>
              <w:t>1</w:t>
            </w:r>
          </w:p>
        </w:tc>
      </w:tr>
      <w:tr w:rsidR="00745274" w:rsidRPr="00D829F0" w14:paraId="53EC8500" w14:textId="77777777" w:rsidTr="00C00800">
        <w:trPr>
          <w:trHeight w:val="20"/>
          <w:jc w:val="center"/>
        </w:trPr>
        <w:tc>
          <w:tcPr>
            <w:tcW w:w="3686" w:type="pct"/>
            <w:shd w:val="clear" w:color="auto" w:fill="auto"/>
            <w:hideMark/>
          </w:tcPr>
          <w:p w14:paraId="04597E25" w14:textId="77777777" w:rsidR="00745274" w:rsidRPr="004032C4" w:rsidRDefault="00745274" w:rsidP="00745274">
            <w:pPr>
              <w:spacing w:before="40" w:after="40"/>
              <w:rPr>
                <w:rFonts w:ascii="Segoe UI Light" w:hAnsi="Segoe UI Light"/>
                <w:sz w:val="16"/>
                <w:szCs w:val="20"/>
              </w:rPr>
            </w:pPr>
            <w:r w:rsidRPr="004032C4">
              <w:rPr>
                <w:rFonts w:ascii="Segoe UI Light" w:hAnsi="Segoe UI Light"/>
                <w:sz w:val="16"/>
                <w:szCs w:val="20"/>
              </w:rPr>
              <w:t>Darba meklētāju skaits, tūkstošos</w:t>
            </w:r>
          </w:p>
        </w:tc>
        <w:tc>
          <w:tcPr>
            <w:tcW w:w="434" w:type="pct"/>
            <w:shd w:val="clear" w:color="auto" w:fill="auto"/>
            <w:hideMark/>
          </w:tcPr>
          <w:p w14:paraId="7848F687" w14:textId="0F32B842"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6</w:t>
            </w:r>
            <w:r w:rsidR="00807D27">
              <w:rPr>
                <w:rFonts w:ascii="Segoe UI Light" w:hAnsi="Segoe UI Light"/>
                <w:sz w:val="16"/>
                <w:szCs w:val="20"/>
              </w:rPr>
              <w:t>5</w:t>
            </w:r>
            <w:r w:rsidRPr="004032C4">
              <w:rPr>
                <w:rFonts w:ascii="Segoe UI Light" w:hAnsi="Segoe UI Light"/>
                <w:sz w:val="16"/>
                <w:szCs w:val="20"/>
              </w:rPr>
              <w:t>,</w:t>
            </w:r>
            <w:r w:rsidR="00807D27">
              <w:rPr>
                <w:rFonts w:ascii="Segoe UI Light" w:hAnsi="Segoe UI Light"/>
                <w:sz w:val="16"/>
                <w:szCs w:val="20"/>
              </w:rPr>
              <w:t>8</w:t>
            </w:r>
          </w:p>
        </w:tc>
        <w:tc>
          <w:tcPr>
            <w:tcW w:w="444" w:type="pct"/>
            <w:shd w:val="clear" w:color="auto" w:fill="auto"/>
            <w:hideMark/>
          </w:tcPr>
          <w:p w14:paraId="222695E0" w14:textId="77E5AA19" w:rsidR="00745274" w:rsidRPr="004032C4" w:rsidRDefault="00745274" w:rsidP="00745274">
            <w:pPr>
              <w:tabs>
                <w:tab w:val="decimal" w:pos="472"/>
              </w:tabs>
              <w:spacing w:before="40" w:after="40"/>
              <w:jc w:val="center"/>
              <w:rPr>
                <w:rFonts w:ascii="Segoe UI Light" w:hAnsi="Segoe UI Light"/>
                <w:sz w:val="16"/>
                <w:szCs w:val="20"/>
              </w:rPr>
            </w:pPr>
            <w:r w:rsidRPr="004032C4">
              <w:rPr>
                <w:rFonts w:ascii="Segoe UI Light" w:hAnsi="Segoe UI Light"/>
                <w:sz w:val="16"/>
                <w:szCs w:val="20"/>
              </w:rPr>
              <w:t>5</w:t>
            </w:r>
            <w:r w:rsidR="00807D27">
              <w:rPr>
                <w:rFonts w:ascii="Segoe UI Light" w:hAnsi="Segoe UI Light"/>
                <w:sz w:val="16"/>
                <w:szCs w:val="20"/>
              </w:rPr>
              <w:t>3</w:t>
            </w:r>
            <w:r w:rsidRPr="004032C4">
              <w:rPr>
                <w:rFonts w:ascii="Segoe UI Light" w:hAnsi="Segoe UI Light"/>
                <w:sz w:val="16"/>
                <w:szCs w:val="20"/>
              </w:rPr>
              <w:t>,3</w:t>
            </w:r>
          </w:p>
        </w:tc>
        <w:tc>
          <w:tcPr>
            <w:tcW w:w="435" w:type="pct"/>
            <w:shd w:val="clear" w:color="auto" w:fill="auto"/>
            <w:hideMark/>
          </w:tcPr>
          <w:p w14:paraId="3D507D87" w14:textId="0D6F0200" w:rsidR="00745274" w:rsidRPr="004032C4" w:rsidRDefault="00745274" w:rsidP="00745274">
            <w:pPr>
              <w:tabs>
                <w:tab w:val="decimal" w:pos="452"/>
              </w:tabs>
              <w:spacing w:before="40" w:after="40"/>
              <w:jc w:val="center"/>
              <w:rPr>
                <w:rFonts w:ascii="Segoe UI Light" w:hAnsi="Segoe UI Light"/>
                <w:sz w:val="16"/>
                <w:szCs w:val="20"/>
              </w:rPr>
            </w:pPr>
            <w:r w:rsidRPr="004032C4">
              <w:rPr>
                <w:rFonts w:ascii="Segoe UI Light" w:hAnsi="Segoe UI Light"/>
                <w:sz w:val="16"/>
                <w:szCs w:val="20"/>
              </w:rPr>
              <w:t>4</w:t>
            </w:r>
            <w:r w:rsidR="00A50A32">
              <w:rPr>
                <w:rFonts w:ascii="Segoe UI Light" w:hAnsi="Segoe UI Light"/>
                <w:sz w:val="16"/>
                <w:szCs w:val="20"/>
              </w:rPr>
              <w:t>7</w:t>
            </w:r>
            <w:r w:rsidRPr="004032C4">
              <w:rPr>
                <w:rFonts w:ascii="Segoe UI Light" w:hAnsi="Segoe UI Light"/>
                <w:sz w:val="16"/>
                <w:szCs w:val="20"/>
              </w:rPr>
              <w:t>,</w:t>
            </w:r>
            <w:r w:rsidR="00A50A32">
              <w:rPr>
                <w:rFonts w:ascii="Segoe UI Light" w:hAnsi="Segoe UI Light"/>
                <w:sz w:val="16"/>
                <w:szCs w:val="20"/>
              </w:rPr>
              <w:t>2</w:t>
            </w:r>
          </w:p>
        </w:tc>
      </w:tr>
      <w:tr w:rsidR="00745274" w:rsidRPr="00D829F0" w14:paraId="0B4D4B59" w14:textId="77777777" w:rsidTr="00C00800">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DCE7EB"/>
            <w:hideMark/>
          </w:tcPr>
          <w:p w14:paraId="33B72C7D" w14:textId="77777777" w:rsidR="00745274" w:rsidRPr="004032C4" w:rsidRDefault="00745274" w:rsidP="00745274">
            <w:pPr>
              <w:spacing w:before="40" w:after="40"/>
              <w:rPr>
                <w:rFonts w:ascii="Segoe UI Light" w:hAnsi="Segoe UI Light"/>
                <w:sz w:val="16"/>
                <w:szCs w:val="20"/>
              </w:rPr>
            </w:pPr>
            <w:r w:rsidRPr="004032C4">
              <w:rPr>
                <w:rFonts w:ascii="Segoe UI Light" w:hAnsi="Segoe UI Light"/>
                <w:sz w:val="16"/>
                <w:szCs w:val="20"/>
              </w:rPr>
              <w:t>Nodarbinātības līmenis, nodarbināto skaits pret kopējo iedzīvotāju skaitu</w:t>
            </w:r>
          </w:p>
        </w:tc>
        <w:tc>
          <w:tcPr>
            <w:tcW w:w="434" w:type="pct"/>
            <w:shd w:val="clear" w:color="auto" w:fill="DCE7EB"/>
            <w:hideMark/>
          </w:tcPr>
          <w:p w14:paraId="153288EF" w14:textId="4143D691"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64,</w:t>
            </w:r>
            <w:r w:rsidR="00B5585A">
              <w:rPr>
                <w:rFonts w:ascii="Segoe UI Light" w:hAnsi="Segoe UI Light"/>
                <w:sz w:val="16"/>
                <w:szCs w:val="20"/>
              </w:rPr>
              <w:t>5</w:t>
            </w:r>
          </w:p>
        </w:tc>
        <w:tc>
          <w:tcPr>
            <w:tcW w:w="444" w:type="pct"/>
            <w:shd w:val="clear" w:color="auto" w:fill="DCE7EB"/>
            <w:hideMark/>
          </w:tcPr>
          <w:p w14:paraId="4EBC0447" w14:textId="5F46C119" w:rsidR="00745274" w:rsidRPr="004032C4" w:rsidRDefault="00745274" w:rsidP="00745274">
            <w:pPr>
              <w:tabs>
                <w:tab w:val="decimal" w:pos="472"/>
              </w:tabs>
              <w:spacing w:before="40" w:after="40"/>
              <w:jc w:val="center"/>
              <w:rPr>
                <w:rFonts w:ascii="Segoe UI Light" w:hAnsi="Segoe UI Light"/>
                <w:sz w:val="16"/>
                <w:szCs w:val="20"/>
              </w:rPr>
            </w:pPr>
            <w:r w:rsidRPr="004032C4">
              <w:rPr>
                <w:rFonts w:ascii="Segoe UI Light" w:hAnsi="Segoe UI Light"/>
                <w:sz w:val="16"/>
                <w:szCs w:val="20"/>
              </w:rPr>
              <w:t>6</w:t>
            </w:r>
            <w:r w:rsidR="00B5585A">
              <w:rPr>
                <w:rFonts w:ascii="Segoe UI Light" w:hAnsi="Segoe UI Light"/>
                <w:sz w:val="16"/>
                <w:szCs w:val="20"/>
              </w:rPr>
              <w:t>7</w:t>
            </w:r>
            <w:r w:rsidRPr="004032C4">
              <w:rPr>
                <w:rFonts w:ascii="Segoe UI Light" w:hAnsi="Segoe UI Light"/>
                <w:sz w:val="16"/>
                <w:szCs w:val="20"/>
              </w:rPr>
              <w:t>,</w:t>
            </w:r>
            <w:r w:rsidR="00B5585A">
              <w:rPr>
                <w:rFonts w:ascii="Segoe UI Light" w:hAnsi="Segoe UI Light"/>
                <w:sz w:val="16"/>
                <w:szCs w:val="20"/>
              </w:rPr>
              <w:t>8</w:t>
            </w:r>
          </w:p>
        </w:tc>
        <w:tc>
          <w:tcPr>
            <w:tcW w:w="435" w:type="pct"/>
            <w:shd w:val="clear" w:color="auto" w:fill="DCE7EB"/>
            <w:hideMark/>
          </w:tcPr>
          <w:p w14:paraId="1DFCEE43" w14:textId="4E7E1858" w:rsidR="00745274" w:rsidRPr="004032C4" w:rsidRDefault="00745274" w:rsidP="00745274">
            <w:pPr>
              <w:tabs>
                <w:tab w:val="decimal" w:pos="452"/>
              </w:tabs>
              <w:spacing w:before="40" w:after="40"/>
              <w:jc w:val="center"/>
              <w:rPr>
                <w:rFonts w:ascii="Segoe UI Light" w:hAnsi="Segoe UI Light"/>
                <w:sz w:val="16"/>
                <w:szCs w:val="20"/>
              </w:rPr>
            </w:pPr>
            <w:r w:rsidRPr="004032C4">
              <w:rPr>
                <w:rFonts w:ascii="Segoe UI Light" w:hAnsi="Segoe UI Light"/>
                <w:sz w:val="16"/>
                <w:szCs w:val="20"/>
              </w:rPr>
              <w:t>70,</w:t>
            </w:r>
            <w:r w:rsidR="0053380E">
              <w:rPr>
                <w:rFonts w:ascii="Segoe UI Light" w:hAnsi="Segoe UI Light"/>
                <w:sz w:val="16"/>
                <w:szCs w:val="20"/>
              </w:rPr>
              <w:t>9</w:t>
            </w:r>
          </w:p>
        </w:tc>
      </w:tr>
      <w:tr w:rsidR="00745274" w:rsidRPr="00D829F0" w14:paraId="1C5E7A31" w14:textId="77777777" w:rsidTr="00C00800">
        <w:trPr>
          <w:trHeight w:val="20"/>
          <w:jc w:val="center"/>
        </w:trPr>
        <w:tc>
          <w:tcPr>
            <w:tcW w:w="3686" w:type="pct"/>
            <w:shd w:val="clear" w:color="auto" w:fill="auto"/>
            <w:hideMark/>
          </w:tcPr>
          <w:p w14:paraId="2F5041FE" w14:textId="77777777" w:rsidR="00745274" w:rsidRPr="004032C4" w:rsidRDefault="00745274" w:rsidP="00745274">
            <w:pPr>
              <w:spacing w:before="40" w:after="40"/>
              <w:rPr>
                <w:rFonts w:ascii="Segoe UI Light" w:hAnsi="Segoe UI Light"/>
                <w:sz w:val="16"/>
                <w:szCs w:val="20"/>
              </w:rPr>
            </w:pPr>
            <w:r w:rsidRPr="004032C4">
              <w:rPr>
                <w:rFonts w:ascii="Segoe UI Light" w:hAnsi="Segoe UI Light"/>
                <w:sz w:val="16"/>
                <w:szCs w:val="20"/>
              </w:rPr>
              <w:t>Līdzdalības līmenis, ekonomiski aktīvo iedzīvotāju skaits pret kopējo iedzīvotāju skaitu</w:t>
            </w:r>
          </w:p>
        </w:tc>
        <w:tc>
          <w:tcPr>
            <w:tcW w:w="434" w:type="pct"/>
            <w:shd w:val="clear" w:color="auto" w:fill="auto"/>
            <w:hideMark/>
          </w:tcPr>
          <w:p w14:paraId="35006AA4" w14:textId="29B20730"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6</w:t>
            </w:r>
            <w:r w:rsidR="00895B98">
              <w:rPr>
                <w:rFonts w:ascii="Segoe UI Light" w:hAnsi="Segoe UI Light"/>
                <w:sz w:val="16"/>
                <w:szCs w:val="20"/>
              </w:rPr>
              <w:t>9</w:t>
            </w:r>
            <w:r w:rsidRPr="004032C4">
              <w:rPr>
                <w:rFonts w:ascii="Segoe UI Light" w:hAnsi="Segoe UI Light"/>
                <w:sz w:val="16"/>
                <w:szCs w:val="20"/>
              </w:rPr>
              <w:t>,</w:t>
            </w:r>
            <w:r w:rsidR="00895B98">
              <w:rPr>
                <w:rFonts w:ascii="Segoe UI Light" w:hAnsi="Segoe UI Light"/>
                <w:sz w:val="16"/>
                <w:szCs w:val="20"/>
              </w:rPr>
              <w:t>3</w:t>
            </w:r>
          </w:p>
        </w:tc>
        <w:tc>
          <w:tcPr>
            <w:tcW w:w="444" w:type="pct"/>
            <w:shd w:val="clear" w:color="auto" w:fill="auto"/>
            <w:hideMark/>
          </w:tcPr>
          <w:p w14:paraId="6C07E659" w14:textId="486D6F8F" w:rsidR="00745274" w:rsidRPr="004032C4" w:rsidRDefault="00745274" w:rsidP="00745274">
            <w:pPr>
              <w:tabs>
                <w:tab w:val="decimal" w:pos="472"/>
              </w:tabs>
              <w:spacing w:before="40" w:after="40"/>
              <w:jc w:val="center"/>
              <w:rPr>
                <w:rFonts w:ascii="Segoe UI Light" w:hAnsi="Segoe UI Light"/>
                <w:sz w:val="16"/>
                <w:szCs w:val="20"/>
              </w:rPr>
            </w:pPr>
            <w:r w:rsidRPr="004032C4">
              <w:rPr>
                <w:rFonts w:ascii="Segoe UI Light" w:hAnsi="Segoe UI Light"/>
                <w:sz w:val="16"/>
                <w:szCs w:val="20"/>
              </w:rPr>
              <w:t>7</w:t>
            </w:r>
            <w:r w:rsidR="00AF1EF7">
              <w:rPr>
                <w:rFonts w:ascii="Segoe UI Light" w:hAnsi="Segoe UI Light"/>
                <w:sz w:val="16"/>
                <w:szCs w:val="20"/>
              </w:rPr>
              <w:t>1</w:t>
            </w:r>
            <w:r w:rsidRPr="004032C4">
              <w:rPr>
                <w:rFonts w:ascii="Segoe UI Light" w:hAnsi="Segoe UI Light"/>
                <w:sz w:val="16"/>
                <w:szCs w:val="20"/>
              </w:rPr>
              <w:t>,</w:t>
            </w:r>
            <w:r w:rsidR="00AF1EF7">
              <w:rPr>
                <w:rFonts w:ascii="Segoe UI Light" w:hAnsi="Segoe UI Light"/>
                <w:sz w:val="16"/>
                <w:szCs w:val="20"/>
              </w:rPr>
              <w:t>9</w:t>
            </w:r>
          </w:p>
        </w:tc>
        <w:tc>
          <w:tcPr>
            <w:tcW w:w="435" w:type="pct"/>
            <w:shd w:val="clear" w:color="auto" w:fill="auto"/>
            <w:hideMark/>
          </w:tcPr>
          <w:p w14:paraId="061CDD32" w14:textId="3FC267FA" w:rsidR="00745274" w:rsidRPr="004032C4" w:rsidRDefault="00745274" w:rsidP="00745274">
            <w:pPr>
              <w:tabs>
                <w:tab w:val="decimal" w:pos="452"/>
              </w:tabs>
              <w:spacing w:before="40" w:after="40"/>
              <w:jc w:val="center"/>
              <w:rPr>
                <w:rFonts w:ascii="Segoe UI Light" w:hAnsi="Segoe UI Light"/>
                <w:sz w:val="16"/>
                <w:szCs w:val="20"/>
              </w:rPr>
            </w:pPr>
            <w:r w:rsidRPr="004032C4">
              <w:rPr>
                <w:rFonts w:ascii="Segoe UI Light" w:hAnsi="Segoe UI Light"/>
                <w:sz w:val="16"/>
                <w:szCs w:val="20"/>
              </w:rPr>
              <w:t>74,</w:t>
            </w:r>
            <w:r w:rsidR="003931D2">
              <w:rPr>
                <w:rFonts w:ascii="Segoe UI Light" w:hAnsi="Segoe UI Light"/>
                <w:sz w:val="16"/>
                <w:szCs w:val="20"/>
              </w:rPr>
              <w:t>7</w:t>
            </w:r>
          </w:p>
        </w:tc>
      </w:tr>
      <w:tr w:rsidR="00745274" w:rsidRPr="00D829F0" w14:paraId="3E3FA728" w14:textId="77777777" w:rsidTr="00C00800">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DCE7EB"/>
            <w:hideMark/>
          </w:tcPr>
          <w:p w14:paraId="6F827806" w14:textId="77777777" w:rsidR="00745274" w:rsidRPr="004032C4" w:rsidRDefault="00745274" w:rsidP="00745274">
            <w:pPr>
              <w:spacing w:before="40" w:after="40"/>
              <w:rPr>
                <w:rFonts w:ascii="Segoe UI Light" w:hAnsi="Segoe UI Light"/>
                <w:sz w:val="16"/>
                <w:szCs w:val="20"/>
              </w:rPr>
            </w:pPr>
            <w:r w:rsidRPr="004032C4">
              <w:rPr>
                <w:rFonts w:ascii="Segoe UI Light" w:hAnsi="Segoe UI Light"/>
                <w:sz w:val="16"/>
                <w:szCs w:val="20"/>
              </w:rPr>
              <w:t>Bezdarba līmenis, bezdarbnieku (darba meklētāju) īpatsvars ekonomiski aktīvo iedzīvotāju skaitā</w:t>
            </w:r>
          </w:p>
        </w:tc>
        <w:tc>
          <w:tcPr>
            <w:tcW w:w="434" w:type="pct"/>
            <w:shd w:val="clear" w:color="auto" w:fill="DCE7EB"/>
            <w:hideMark/>
          </w:tcPr>
          <w:p w14:paraId="7B43704B" w14:textId="08ABB62D" w:rsidR="00745274" w:rsidRPr="004032C4" w:rsidRDefault="00745274" w:rsidP="00745274">
            <w:pPr>
              <w:spacing w:before="40" w:after="40"/>
              <w:jc w:val="center"/>
              <w:rPr>
                <w:rFonts w:ascii="Segoe UI Light" w:hAnsi="Segoe UI Light"/>
                <w:sz w:val="16"/>
                <w:szCs w:val="20"/>
              </w:rPr>
            </w:pPr>
            <w:r w:rsidRPr="004032C4">
              <w:rPr>
                <w:rFonts w:ascii="Segoe UI Light" w:hAnsi="Segoe UI Light"/>
                <w:sz w:val="16"/>
                <w:szCs w:val="20"/>
              </w:rPr>
              <w:t>6,</w:t>
            </w:r>
            <w:r w:rsidR="00AF1EF7">
              <w:rPr>
                <w:rFonts w:ascii="Segoe UI Light" w:hAnsi="Segoe UI Light"/>
                <w:sz w:val="16"/>
                <w:szCs w:val="20"/>
              </w:rPr>
              <w:t>9</w:t>
            </w:r>
          </w:p>
        </w:tc>
        <w:tc>
          <w:tcPr>
            <w:tcW w:w="444" w:type="pct"/>
            <w:shd w:val="clear" w:color="auto" w:fill="DCE7EB"/>
            <w:hideMark/>
          </w:tcPr>
          <w:p w14:paraId="6537DFA9" w14:textId="33F2CF27" w:rsidR="00745274" w:rsidRPr="004032C4" w:rsidRDefault="00745274" w:rsidP="00745274">
            <w:pPr>
              <w:tabs>
                <w:tab w:val="decimal" w:pos="472"/>
              </w:tabs>
              <w:spacing w:before="40" w:after="40"/>
              <w:jc w:val="center"/>
              <w:rPr>
                <w:rFonts w:ascii="Segoe UI Light" w:hAnsi="Segoe UI Light"/>
                <w:sz w:val="16"/>
                <w:szCs w:val="20"/>
              </w:rPr>
            </w:pPr>
            <w:r w:rsidRPr="004032C4">
              <w:rPr>
                <w:rFonts w:ascii="Segoe UI Light" w:hAnsi="Segoe UI Light"/>
                <w:sz w:val="16"/>
                <w:szCs w:val="20"/>
              </w:rPr>
              <w:t>5,</w:t>
            </w:r>
            <w:r w:rsidR="00AF1EF7">
              <w:rPr>
                <w:rFonts w:ascii="Segoe UI Light" w:hAnsi="Segoe UI Light"/>
                <w:sz w:val="16"/>
                <w:szCs w:val="20"/>
              </w:rPr>
              <w:t>6</w:t>
            </w:r>
          </w:p>
        </w:tc>
        <w:tc>
          <w:tcPr>
            <w:tcW w:w="435" w:type="pct"/>
            <w:shd w:val="clear" w:color="auto" w:fill="DCE7EB"/>
            <w:hideMark/>
          </w:tcPr>
          <w:p w14:paraId="2B8C3E52" w14:textId="77777777" w:rsidR="00745274" w:rsidRPr="004032C4" w:rsidRDefault="00745274" w:rsidP="00745274">
            <w:pPr>
              <w:tabs>
                <w:tab w:val="decimal" w:pos="452"/>
              </w:tabs>
              <w:spacing w:before="40" w:after="40"/>
              <w:jc w:val="center"/>
              <w:rPr>
                <w:rFonts w:ascii="Segoe UI Light" w:hAnsi="Segoe UI Light"/>
                <w:sz w:val="16"/>
                <w:szCs w:val="20"/>
              </w:rPr>
            </w:pPr>
            <w:r w:rsidRPr="004032C4">
              <w:rPr>
                <w:rFonts w:ascii="Segoe UI Light" w:hAnsi="Segoe UI Light"/>
                <w:sz w:val="16"/>
                <w:szCs w:val="20"/>
              </w:rPr>
              <w:t>5,0</w:t>
            </w:r>
          </w:p>
        </w:tc>
      </w:tr>
    </w:tbl>
    <w:p w14:paraId="2AFC7B6E" w14:textId="1B051775" w:rsidR="00745274" w:rsidRPr="00D829F0" w:rsidRDefault="00745274" w:rsidP="00745274">
      <w:pPr>
        <w:spacing w:before="120" w:after="120"/>
        <w:jc w:val="both"/>
        <w:rPr>
          <w:rFonts w:ascii="Source Sans Pro" w:hAnsi="Source Sans Pro" w:cs="Calibri Light"/>
          <w:sz w:val="16"/>
          <w:szCs w:val="14"/>
        </w:rPr>
      </w:pPr>
      <w:r w:rsidRPr="00D829F0">
        <w:rPr>
          <w:rFonts w:ascii="Source Sans Pro" w:hAnsi="Source Sans Pro" w:cs="Calibri Light"/>
          <w:sz w:val="16"/>
          <w:szCs w:val="14"/>
        </w:rPr>
        <w:t>Avots: CSP dati 202</w:t>
      </w:r>
      <w:r w:rsidR="004032C4" w:rsidRPr="00D829F0">
        <w:rPr>
          <w:rFonts w:ascii="Source Sans Pro" w:hAnsi="Source Sans Pro" w:cs="Calibri Light"/>
          <w:sz w:val="16"/>
          <w:szCs w:val="14"/>
        </w:rPr>
        <w:t>5</w:t>
      </w:r>
      <w:r w:rsidRPr="00D829F0">
        <w:rPr>
          <w:rFonts w:ascii="Source Sans Pro" w:hAnsi="Source Sans Pro" w:cs="Calibri Light"/>
          <w:sz w:val="16"/>
          <w:szCs w:val="14"/>
        </w:rPr>
        <w:t>.</w:t>
      </w:r>
      <w:r w:rsidR="00B566DE" w:rsidRPr="00D829F0">
        <w:rPr>
          <w:rFonts w:ascii="Source Sans Pro" w:hAnsi="Source Sans Pro" w:cs="Calibri Light"/>
          <w:sz w:val="16"/>
          <w:szCs w:val="14"/>
        </w:rPr>
        <w:t> </w:t>
      </w:r>
      <w:r w:rsidRPr="00D829F0">
        <w:rPr>
          <w:rFonts w:ascii="Source Sans Pro" w:hAnsi="Source Sans Pro" w:cs="Calibri Light"/>
          <w:sz w:val="16"/>
          <w:szCs w:val="14"/>
        </w:rPr>
        <w:t>gadam, EM prognozes 2030. un 2040.</w:t>
      </w:r>
      <w:r w:rsidR="00B566DE" w:rsidRPr="00D829F0">
        <w:rPr>
          <w:rFonts w:ascii="Source Sans Pro" w:hAnsi="Source Sans Pro" w:cs="Calibri Light"/>
          <w:sz w:val="16"/>
          <w:szCs w:val="14"/>
        </w:rPr>
        <w:t> </w:t>
      </w:r>
      <w:r w:rsidRPr="00D829F0">
        <w:rPr>
          <w:rFonts w:ascii="Source Sans Pro" w:hAnsi="Source Sans Pro" w:cs="Calibri Light"/>
          <w:sz w:val="16"/>
          <w:szCs w:val="14"/>
        </w:rPr>
        <w:t>gadam</w:t>
      </w:r>
    </w:p>
    <w:p w14:paraId="0A690550" w14:textId="77777777" w:rsidR="00745274" w:rsidRPr="00D829F0" w:rsidRDefault="00745274" w:rsidP="00745274">
      <w:pPr>
        <w:spacing w:after="120"/>
        <w:rPr>
          <w:rFonts w:ascii="Source Sans Pro" w:hAnsi="Source Sans Pro"/>
          <w:b/>
          <w:szCs w:val="20"/>
        </w:rPr>
      </w:pPr>
    </w:p>
    <w:p w14:paraId="1E2036F0" w14:textId="77777777" w:rsidR="00A60353" w:rsidRDefault="00A60353">
      <w:pPr>
        <w:spacing w:after="0"/>
        <w:rPr>
          <w:rFonts w:ascii="Source Sans Pro" w:hAnsi="Source Sans Pro"/>
          <w:b/>
          <w:szCs w:val="20"/>
        </w:rPr>
      </w:pPr>
      <w:r>
        <w:rPr>
          <w:rFonts w:ascii="Source Sans Pro" w:hAnsi="Source Sans Pro"/>
          <w:b/>
          <w:szCs w:val="20"/>
        </w:rPr>
        <w:br w:type="page"/>
      </w:r>
    </w:p>
    <w:p w14:paraId="2CF92173" w14:textId="08E31353" w:rsidR="00745274" w:rsidRPr="00D829F0" w:rsidRDefault="00745274" w:rsidP="00745274">
      <w:pPr>
        <w:spacing w:after="120"/>
        <w:rPr>
          <w:rFonts w:ascii="Source Sans Pro" w:hAnsi="Source Sans Pro"/>
          <w:b/>
          <w:szCs w:val="20"/>
        </w:rPr>
      </w:pPr>
      <w:r w:rsidRPr="00D829F0">
        <w:rPr>
          <w:rFonts w:ascii="Source Sans Pro" w:hAnsi="Source Sans Pro"/>
          <w:b/>
          <w:szCs w:val="20"/>
        </w:rPr>
        <w:lastRenderedPageBreak/>
        <w:t>Atbilstība pa izglītības tematiskajām grupām</w:t>
      </w:r>
    </w:p>
    <w:p w14:paraId="6C850E91" w14:textId="4A9F126E" w:rsidR="00745274" w:rsidRPr="00D829F0" w:rsidRDefault="00745274" w:rsidP="00745274">
      <w:pPr>
        <w:spacing w:after="120"/>
        <w:jc w:val="both"/>
        <w:rPr>
          <w:rFonts w:ascii="Source Sans Pro" w:hAnsi="Source Sans Pro"/>
          <w:szCs w:val="20"/>
        </w:rPr>
      </w:pPr>
      <w:r w:rsidRPr="00D829F0">
        <w:rPr>
          <w:rFonts w:ascii="Source Sans Pro" w:hAnsi="Source Sans Pro"/>
          <w:szCs w:val="20"/>
        </w:rPr>
        <w:t>Līdz 2040.</w:t>
      </w:r>
      <w:r w:rsidR="00B566DE" w:rsidRPr="00D829F0">
        <w:rPr>
          <w:rFonts w:ascii="Source Sans Pro" w:hAnsi="Source Sans Pro"/>
          <w:szCs w:val="20"/>
        </w:rPr>
        <w:t> </w:t>
      </w:r>
      <w:r w:rsidRPr="00D829F0">
        <w:rPr>
          <w:rFonts w:ascii="Source Sans Pro" w:hAnsi="Source Sans Pro"/>
          <w:szCs w:val="20"/>
        </w:rPr>
        <w:t>gadam darbaspēka pieprasījums turpinās pārkārtoties par labu pieprasījumam pēc speciālistiem ar augstāko izglītību. Līdzīgas tendences būs vērojamas arī piedāvājuma pusē. Vienlaikus darbaspēka pieprasījuma un piedāvājuma attiecība nebūs vienlīdz vienāda visos izglītības segmentos.</w:t>
      </w:r>
    </w:p>
    <w:p w14:paraId="478CD00E" w14:textId="5896830E" w:rsidR="00745274" w:rsidRPr="00D829F0" w:rsidRDefault="00745274" w:rsidP="00745274">
      <w:pPr>
        <w:spacing w:after="120"/>
        <w:jc w:val="right"/>
        <w:rPr>
          <w:rFonts w:ascii="Source Sans Pro" w:hAnsi="Source Sans Pro"/>
          <w:szCs w:val="26"/>
        </w:rPr>
      </w:pPr>
      <w:r w:rsidRPr="00D829F0">
        <w:rPr>
          <w:rFonts w:ascii="Source Sans Pro" w:hAnsi="Source Sans Pro"/>
          <w:szCs w:val="26"/>
        </w:rPr>
        <w:t>3.1</w:t>
      </w:r>
      <w:r w:rsidR="001A78A0">
        <w:rPr>
          <w:rFonts w:ascii="Source Sans Pro" w:hAnsi="Source Sans Pro"/>
          <w:szCs w:val="26"/>
        </w:rPr>
        <w:t>5</w:t>
      </w:r>
      <w:r w:rsidRPr="00D829F0">
        <w:rPr>
          <w:rFonts w:ascii="Source Sans Pro" w:hAnsi="Source Sans Pro"/>
          <w:szCs w:val="26"/>
        </w:rPr>
        <w:t>.</w:t>
      </w:r>
      <w:r w:rsidR="00F36EC6">
        <w:rPr>
          <w:rFonts w:ascii="Source Sans Pro" w:hAnsi="Source Sans Pro"/>
          <w:szCs w:val="26"/>
        </w:rPr>
        <w:t> </w:t>
      </w:r>
      <w:r w:rsidRPr="00D829F0">
        <w:rPr>
          <w:rFonts w:ascii="Source Sans Pro" w:hAnsi="Source Sans Pro"/>
          <w:szCs w:val="26"/>
        </w:rPr>
        <w:t>attēls</w:t>
      </w:r>
    </w:p>
    <w:p w14:paraId="00167AD6" w14:textId="77777777" w:rsidR="00745274" w:rsidRPr="008E7E11" w:rsidRDefault="00745274" w:rsidP="00745274">
      <w:pPr>
        <w:spacing w:after="0"/>
        <w:jc w:val="center"/>
        <w:rPr>
          <w:rFonts w:ascii="Segoe UI Light" w:hAnsi="Segoe UI Light"/>
          <w:b/>
          <w:sz w:val="18"/>
          <w:szCs w:val="26"/>
        </w:rPr>
      </w:pPr>
      <w:r w:rsidRPr="008E7E11">
        <w:rPr>
          <w:rFonts w:ascii="Segoe UI Light" w:hAnsi="Segoe UI Light"/>
          <w:b/>
          <w:sz w:val="18"/>
          <w:szCs w:val="26"/>
        </w:rPr>
        <w:t>Prognozējamais darbaspēka pārpalikums/iztrūkums un absolventu skaits pa izglītības posmiem un jomām</w:t>
      </w:r>
    </w:p>
    <w:p w14:paraId="79731DBC" w14:textId="22DF7190" w:rsidR="00745274" w:rsidRPr="008E7E11" w:rsidRDefault="00745274" w:rsidP="00745274">
      <w:pPr>
        <w:spacing w:after="120"/>
        <w:jc w:val="center"/>
        <w:rPr>
          <w:rFonts w:ascii="Segoe UI Light" w:hAnsi="Segoe UI Light"/>
          <w:i/>
          <w:sz w:val="16"/>
          <w:szCs w:val="26"/>
        </w:rPr>
      </w:pPr>
      <w:r w:rsidRPr="008E7E11">
        <w:rPr>
          <w:rFonts w:ascii="Segoe UI Light" w:hAnsi="Segoe UI Light"/>
          <w:i/>
          <w:sz w:val="16"/>
          <w:szCs w:val="26"/>
        </w:rPr>
        <w:t>piedāvājuma un pieprasījuma starpība 2030.</w:t>
      </w:r>
      <w:r w:rsidR="00F36EC6">
        <w:rPr>
          <w:rFonts w:ascii="Segoe UI Light" w:hAnsi="Segoe UI Light"/>
          <w:i/>
          <w:sz w:val="16"/>
          <w:szCs w:val="26"/>
        </w:rPr>
        <w:t> </w:t>
      </w:r>
      <w:r w:rsidRPr="008E7E11">
        <w:rPr>
          <w:rFonts w:ascii="Segoe UI Light" w:hAnsi="Segoe UI Light"/>
          <w:i/>
          <w:sz w:val="16"/>
          <w:szCs w:val="26"/>
        </w:rPr>
        <w:t>gadā, absolventu skaits 202</w:t>
      </w:r>
      <w:r w:rsidR="008E7E11" w:rsidRPr="008E7E11">
        <w:rPr>
          <w:rFonts w:ascii="Segoe UI Light" w:hAnsi="Segoe UI Light"/>
          <w:i/>
          <w:sz w:val="16"/>
          <w:szCs w:val="26"/>
        </w:rPr>
        <w:t>5</w:t>
      </w:r>
      <w:r w:rsidRPr="008E7E11">
        <w:rPr>
          <w:rFonts w:ascii="Segoe UI Light" w:hAnsi="Segoe UI Light"/>
          <w:i/>
          <w:sz w:val="16"/>
          <w:szCs w:val="26"/>
        </w:rPr>
        <w:t>.</w:t>
      </w:r>
      <w:r w:rsidR="00F36EC6">
        <w:rPr>
          <w:rFonts w:ascii="Segoe UI Light" w:hAnsi="Segoe UI Light"/>
          <w:i/>
          <w:sz w:val="16"/>
          <w:szCs w:val="26"/>
        </w:rPr>
        <w:t> </w:t>
      </w:r>
      <w:r w:rsidRPr="008E7E11">
        <w:rPr>
          <w:rFonts w:ascii="Segoe UI Light" w:hAnsi="Segoe UI Light"/>
          <w:i/>
          <w:sz w:val="16"/>
          <w:szCs w:val="26"/>
        </w:rPr>
        <w:t>gadā</w:t>
      </w:r>
    </w:p>
    <w:p w14:paraId="2B29B1FA" w14:textId="3BB02C2C" w:rsidR="008A4967" w:rsidRPr="00D829F0" w:rsidRDefault="00F01887" w:rsidP="00745274">
      <w:pPr>
        <w:jc w:val="center"/>
        <w:rPr>
          <w:rFonts w:ascii="Source Sans Pro" w:hAnsi="Source Sans Pro"/>
          <w:szCs w:val="20"/>
        </w:rPr>
      </w:pPr>
      <w:r w:rsidRPr="00D829F0">
        <w:rPr>
          <w:rFonts w:ascii="Source Sans Pro" w:hAnsi="Source Sans Pro"/>
        </w:rPr>
        <w:t xml:space="preserve"> </w:t>
      </w:r>
      <w:r w:rsidR="008A4967" w:rsidRPr="00D829F0">
        <w:rPr>
          <w:rFonts w:ascii="Source Sans Pro" w:hAnsi="Source Sans Pro"/>
          <w:noProof/>
          <w:szCs w:val="20"/>
        </w:rPr>
        <w:drawing>
          <wp:inline distT="0" distB="0" distL="0" distR="0" wp14:anchorId="53539CF0" wp14:editId="1E2ED971">
            <wp:extent cx="5760085" cy="2261870"/>
            <wp:effectExtent l="0" t="0" r="0" b="5080"/>
            <wp:docPr id="797398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98836" name=""/>
                    <pic:cNvPicPr/>
                  </pic:nvPicPr>
                  <pic:blipFill>
                    <a:blip r:embed="rId143"/>
                    <a:stretch>
                      <a:fillRect/>
                    </a:stretch>
                  </pic:blipFill>
                  <pic:spPr>
                    <a:xfrm>
                      <a:off x="0" y="0"/>
                      <a:ext cx="5760085" cy="2261870"/>
                    </a:xfrm>
                    <a:prstGeom prst="rect">
                      <a:avLst/>
                    </a:prstGeom>
                  </pic:spPr>
                </pic:pic>
              </a:graphicData>
            </a:graphic>
          </wp:inline>
        </w:drawing>
      </w:r>
    </w:p>
    <w:p w14:paraId="03B5B9AC" w14:textId="709B5C83" w:rsidR="00745274" w:rsidRPr="00D829F0" w:rsidRDefault="00745274" w:rsidP="00745274">
      <w:pPr>
        <w:spacing w:after="0"/>
        <w:rPr>
          <w:rFonts w:ascii="Source Sans Pro" w:hAnsi="Source Sans Pro" w:cs="Calibri Light"/>
          <w:sz w:val="16"/>
          <w:szCs w:val="14"/>
        </w:rPr>
      </w:pPr>
      <w:r w:rsidRPr="00D829F0">
        <w:rPr>
          <w:rFonts w:ascii="Source Sans Pro" w:hAnsi="Source Sans Pro" w:cs="Calibri Light"/>
          <w:sz w:val="16"/>
          <w:szCs w:val="14"/>
        </w:rPr>
        <w:t>* EM novērtējums, no 202</w:t>
      </w:r>
      <w:r w:rsidR="00B07772" w:rsidRPr="00D829F0">
        <w:rPr>
          <w:rFonts w:ascii="Source Sans Pro" w:hAnsi="Source Sans Pro" w:cs="Calibri Light"/>
          <w:sz w:val="16"/>
          <w:szCs w:val="14"/>
        </w:rPr>
        <w:t>5</w:t>
      </w:r>
      <w:r w:rsidRPr="00D829F0">
        <w:rPr>
          <w:rFonts w:ascii="Source Sans Pro" w:hAnsi="Source Sans Pro" w:cs="Calibri Light"/>
          <w:sz w:val="16"/>
          <w:szCs w:val="14"/>
        </w:rPr>
        <w:t>.</w:t>
      </w:r>
      <w:r w:rsidR="000F4966" w:rsidRPr="00D829F0">
        <w:rPr>
          <w:rFonts w:ascii="Source Sans Pro" w:hAnsi="Source Sans Pro" w:cs="Calibri Light"/>
          <w:sz w:val="16"/>
          <w:szCs w:val="14"/>
        </w:rPr>
        <w:t> </w:t>
      </w:r>
      <w:r w:rsidRPr="00D829F0">
        <w:rPr>
          <w:rFonts w:ascii="Source Sans Pro" w:hAnsi="Source Sans Pro" w:cs="Calibri Light"/>
          <w:sz w:val="16"/>
          <w:szCs w:val="14"/>
        </w:rPr>
        <w:t>gadā beiguš</w:t>
      </w:r>
      <w:r w:rsidR="00B07772" w:rsidRPr="00D829F0">
        <w:rPr>
          <w:rFonts w:ascii="Source Sans Pro" w:hAnsi="Source Sans Pro" w:cs="Calibri Light"/>
          <w:sz w:val="16"/>
          <w:szCs w:val="14"/>
        </w:rPr>
        <w:t>o</w:t>
      </w:r>
      <w:r w:rsidRPr="00D829F0">
        <w:rPr>
          <w:rFonts w:ascii="Source Sans Pro" w:hAnsi="Source Sans Pro" w:cs="Calibri Light"/>
          <w:sz w:val="16"/>
          <w:szCs w:val="14"/>
        </w:rPr>
        <w:t xml:space="preserve"> skaita.</w:t>
      </w:r>
      <w:r w:rsidRPr="00D829F0">
        <w:rPr>
          <w:rFonts w:ascii="Source Sans Pro" w:hAnsi="Source Sans Pro" w:cs="Calibri Light"/>
          <w:sz w:val="16"/>
          <w:szCs w:val="14"/>
        </w:rPr>
        <w:br/>
        <w:t>Avots: CSP dati 202</w:t>
      </w:r>
      <w:r w:rsidR="008270E2" w:rsidRPr="00D829F0">
        <w:rPr>
          <w:rFonts w:ascii="Source Sans Pro" w:hAnsi="Source Sans Pro" w:cs="Calibri Light"/>
          <w:sz w:val="16"/>
          <w:szCs w:val="14"/>
        </w:rPr>
        <w:t>5</w:t>
      </w:r>
      <w:r w:rsidRPr="00D829F0">
        <w:rPr>
          <w:rFonts w:ascii="Source Sans Pro" w:hAnsi="Source Sans Pro" w:cs="Calibri Light"/>
          <w:sz w:val="16"/>
          <w:szCs w:val="14"/>
        </w:rPr>
        <w:t>.</w:t>
      </w:r>
      <w:r w:rsidR="000F4966" w:rsidRPr="00D829F0">
        <w:rPr>
          <w:rFonts w:ascii="Source Sans Pro" w:hAnsi="Source Sans Pro" w:cs="Calibri Light"/>
          <w:sz w:val="16"/>
          <w:szCs w:val="14"/>
        </w:rPr>
        <w:t xml:space="preserve"> </w:t>
      </w:r>
      <w:r w:rsidRPr="00D829F0">
        <w:rPr>
          <w:rFonts w:ascii="Source Sans Pro" w:hAnsi="Source Sans Pro" w:cs="Calibri Light"/>
          <w:sz w:val="16"/>
          <w:szCs w:val="14"/>
        </w:rPr>
        <w:t>gadam, EM prognozes 2030.</w:t>
      </w:r>
      <w:r w:rsidR="000F4966" w:rsidRPr="00D829F0">
        <w:rPr>
          <w:rFonts w:ascii="Source Sans Pro" w:hAnsi="Source Sans Pro" w:cs="Calibri Light"/>
          <w:sz w:val="16"/>
          <w:szCs w:val="14"/>
        </w:rPr>
        <w:t> </w:t>
      </w:r>
      <w:r w:rsidRPr="00D829F0">
        <w:rPr>
          <w:rFonts w:ascii="Source Sans Pro" w:hAnsi="Source Sans Pro" w:cs="Calibri Light"/>
          <w:sz w:val="16"/>
          <w:szCs w:val="14"/>
        </w:rPr>
        <w:t>gadam</w:t>
      </w:r>
      <w:r w:rsidR="000F4966" w:rsidRPr="00D829F0">
        <w:rPr>
          <w:rFonts w:ascii="Source Sans Pro" w:hAnsi="Source Sans Pro" w:cs="Calibri Light"/>
          <w:sz w:val="16"/>
          <w:szCs w:val="14"/>
        </w:rPr>
        <w:t xml:space="preserve">. </w:t>
      </w:r>
    </w:p>
    <w:p w14:paraId="29DE6F01" w14:textId="46267788" w:rsidR="00745274" w:rsidRPr="00D829F0" w:rsidRDefault="00745274" w:rsidP="00343F74">
      <w:pPr>
        <w:spacing w:after="120"/>
        <w:jc w:val="both"/>
        <w:rPr>
          <w:rFonts w:ascii="Source Sans Pro" w:hAnsi="Source Sans Pro"/>
        </w:rPr>
      </w:pPr>
    </w:p>
    <w:p w14:paraId="2FBF516B" w14:textId="4F5AC110" w:rsidR="000F4966" w:rsidRPr="00D829F0" w:rsidRDefault="000F4966" w:rsidP="000F4966">
      <w:pPr>
        <w:spacing w:after="120"/>
        <w:jc w:val="both"/>
        <w:rPr>
          <w:rFonts w:ascii="Source Sans Pro" w:hAnsi="Source Sans Pro"/>
        </w:rPr>
      </w:pPr>
      <w:r w:rsidRPr="00D829F0">
        <w:rPr>
          <w:rFonts w:ascii="Source Sans Pro" w:hAnsi="Source Sans Pro"/>
        </w:rPr>
        <w:t>Kopumā gan vidējā, gan ilgtermiņā augstākās kvalifikācijas darbaspēka pieprasījums un piedāvājums būs tuvu līdzsvaram, kas nozīmē, ka manevra iespējas attiecībā uz augstākās kvalifikācijas darbaspēka piesaisti būs ierobežotas. Būtiskākā darbaspēka nepietiekamība augstākās kvalifikācijas darbaspēka segmentā var veidoties pēc speciālistiem ar STEM izglītību (līdz 2030.</w:t>
      </w:r>
      <w:r w:rsidR="00B566DE" w:rsidRPr="00D829F0">
        <w:rPr>
          <w:rFonts w:ascii="Source Sans Pro" w:hAnsi="Source Sans Pro"/>
        </w:rPr>
        <w:t> </w:t>
      </w:r>
      <w:r w:rsidRPr="00D829F0">
        <w:rPr>
          <w:rFonts w:ascii="Source Sans Pro" w:hAnsi="Source Sans Pro"/>
        </w:rPr>
        <w:t>gadam iztrūkums pēc augstākās kvalifikācijas speciālistiem S</w:t>
      </w:r>
      <w:r w:rsidR="00B60CF9" w:rsidRPr="00D829F0">
        <w:rPr>
          <w:rFonts w:ascii="Source Sans Pro" w:hAnsi="Source Sans Pro"/>
        </w:rPr>
        <w:t xml:space="preserve">TEM </w:t>
      </w:r>
      <w:r w:rsidRPr="00D829F0">
        <w:rPr>
          <w:rFonts w:ascii="Source Sans Pro" w:hAnsi="Source Sans Pro"/>
        </w:rPr>
        <w:t>virzienos var pieaugt līdz ~</w:t>
      </w:r>
      <w:r w:rsidR="001607EC" w:rsidRPr="00D829F0">
        <w:rPr>
          <w:rFonts w:ascii="Source Sans Pro" w:hAnsi="Source Sans Pro"/>
        </w:rPr>
        <w:t>7,7</w:t>
      </w:r>
      <w:r w:rsidRPr="00D829F0">
        <w:rPr>
          <w:rFonts w:ascii="Source Sans Pro" w:hAnsi="Source Sans Pro"/>
        </w:rPr>
        <w:t xml:space="preserve"> tūkst.), savukārt darbaspēka pārpalikums sagaidāms starp speciālistiem ar sociālās un humanitārās zinātnēs iegūtu izglītību - līdz 2030.</w:t>
      </w:r>
      <w:r w:rsidR="00F36EC6">
        <w:rPr>
          <w:rFonts w:ascii="Source Sans Pro" w:hAnsi="Source Sans Pro"/>
        </w:rPr>
        <w:t> </w:t>
      </w:r>
      <w:r w:rsidRPr="00D829F0">
        <w:rPr>
          <w:rFonts w:ascii="Source Sans Pro" w:hAnsi="Source Sans Pro"/>
        </w:rPr>
        <w:t>gadam darbaspēka pārpalikums ar augstāko izglītību sociālo, komerczinību un humanitāro zinātņu tematiskajās jomās var sasniegt ~</w:t>
      </w:r>
      <w:r w:rsidR="001607EC" w:rsidRPr="00D829F0">
        <w:rPr>
          <w:rFonts w:ascii="Source Sans Pro" w:hAnsi="Source Sans Pro"/>
        </w:rPr>
        <w:t>9,1</w:t>
      </w:r>
      <w:r w:rsidR="00F36EC6">
        <w:rPr>
          <w:rFonts w:ascii="Source Sans Pro" w:hAnsi="Source Sans Pro"/>
        </w:rPr>
        <w:t> </w:t>
      </w:r>
      <w:r w:rsidRPr="00D829F0">
        <w:rPr>
          <w:rFonts w:ascii="Source Sans Pro" w:hAnsi="Source Sans Pro"/>
        </w:rPr>
        <w:t>tūkst.</w:t>
      </w:r>
    </w:p>
    <w:p w14:paraId="24AFABBC" w14:textId="712D5E9F" w:rsidR="00FB40E9" w:rsidRPr="00D829F0" w:rsidRDefault="00FB40E9" w:rsidP="00FB40E9">
      <w:pPr>
        <w:spacing w:after="120"/>
        <w:jc w:val="both"/>
        <w:rPr>
          <w:rFonts w:ascii="Source Sans Pro" w:hAnsi="Source Sans Pro"/>
        </w:rPr>
      </w:pPr>
      <w:r w:rsidRPr="00D829F0">
        <w:rPr>
          <w:rFonts w:ascii="Source Sans Pro" w:hAnsi="Source Sans Pro"/>
        </w:rPr>
        <w:t>Salīdzinot ar 2024.</w:t>
      </w:r>
      <w:r w:rsidR="00F36EC6">
        <w:rPr>
          <w:rFonts w:ascii="Source Sans Pro" w:hAnsi="Source Sans Pro"/>
        </w:rPr>
        <w:t> </w:t>
      </w:r>
      <w:r w:rsidRPr="00D829F0">
        <w:rPr>
          <w:rFonts w:ascii="Source Sans Pro" w:hAnsi="Source Sans Pro"/>
        </w:rPr>
        <w:t>gada EM vidēja un ilgtermiņa darba tirgus prognozēm, prognozējamais darbaspēka iztrūkums pēc speciālistiem ar STEM augstāko izglītību ir samazinājies. Ja 2024.</w:t>
      </w:r>
      <w:r w:rsidR="00F36EC6">
        <w:rPr>
          <w:rFonts w:ascii="Source Sans Pro" w:hAnsi="Source Sans Pro"/>
        </w:rPr>
        <w:t> </w:t>
      </w:r>
      <w:r w:rsidRPr="00D829F0">
        <w:rPr>
          <w:rFonts w:ascii="Source Sans Pro" w:hAnsi="Source Sans Pro"/>
        </w:rPr>
        <w:t>gada prognozēs līdz 2030.</w:t>
      </w:r>
      <w:r w:rsidR="00F36EC6">
        <w:rPr>
          <w:rFonts w:ascii="Source Sans Pro" w:hAnsi="Source Sans Pro"/>
        </w:rPr>
        <w:t> </w:t>
      </w:r>
      <w:r w:rsidRPr="00D829F0">
        <w:rPr>
          <w:rFonts w:ascii="Source Sans Pro" w:hAnsi="Source Sans Pro"/>
        </w:rPr>
        <w:t>gadam tika paredzēts aptuveni 10</w:t>
      </w:r>
      <w:r w:rsidR="00F36EC6">
        <w:rPr>
          <w:rFonts w:ascii="Source Sans Pro" w:hAnsi="Source Sans Pro"/>
        </w:rPr>
        <w:t> </w:t>
      </w:r>
      <w:r w:rsidRPr="00D829F0">
        <w:rPr>
          <w:rFonts w:ascii="Source Sans Pro" w:hAnsi="Source Sans Pro"/>
        </w:rPr>
        <w:t>tūkst. speciālistu iztrūkums STEM virzienos, tad aktualizētajās prognozēs šis iztrūkums 2030.</w:t>
      </w:r>
      <w:r w:rsidR="00F36EC6">
        <w:rPr>
          <w:rFonts w:ascii="Source Sans Pro" w:hAnsi="Source Sans Pro"/>
        </w:rPr>
        <w:t> </w:t>
      </w:r>
      <w:r w:rsidRPr="00D829F0">
        <w:rPr>
          <w:rFonts w:ascii="Source Sans Pro" w:hAnsi="Source Sans Pro"/>
        </w:rPr>
        <w:t>gadā tiek lēsts aptuveni 8</w:t>
      </w:r>
      <w:r w:rsidR="00F36EC6">
        <w:rPr>
          <w:rFonts w:ascii="Source Sans Pro" w:hAnsi="Source Sans Pro"/>
        </w:rPr>
        <w:t> </w:t>
      </w:r>
      <w:r w:rsidRPr="00D829F0">
        <w:rPr>
          <w:rFonts w:ascii="Source Sans Pro" w:hAnsi="Source Sans Pro"/>
        </w:rPr>
        <w:t>tūkst. speciālistu apmērā. Izmaiņas galvenokārt skaidrojamas ar aktualizēto darba tirgus bāzes situāciju un darbaspēka pieprasījuma struktūras korekcijām, vienlaikus saglabājoties augstam pieprasījumam pēc speciālistiem dabaszinātņu, matemātikas, informācijas tehnoloģiju, inženierzinātņu, ražošanas un būvniecības jomās. Līdz ar to STEM virzienos darbaspēka nepietiekamības riski joprojām saglabājas būtiski, īpaši ņemot vērā šo prasmju nozīmi produktivitātes kāpumam, digitalizācijai un ekonomikas strukturālajai transformācijai.</w:t>
      </w:r>
    </w:p>
    <w:p w14:paraId="684455A6" w14:textId="5F5E44F6" w:rsidR="000F4966" w:rsidRPr="00D829F0" w:rsidRDefault="00FB40E9" w:rsidP="00FB40E9">
      <w:pPr>
        <w:spacing w:after="120"/>
        <w:jc w:val="both"/>
        <w:rPr>
          <w:rFonts w:ascii="Source Sans Pro" w:hAnsi="Source Sans Pro"/>
        </w:rPr>
      </w:pPr>
      <w:r w:rsidRPr="00D829F0">
        <w:rPr>
          <w:rFonts w:ascii="Source Sans Pro" w:hAnsi="Source Sans Pro"/>
        </w:rPr>
        <w:t>Līdzīgas korekcijas vērojamas arī prognozēs par darbaspēku ar augstāko izglītību sociālajās, komerczinību, humanitāro zinātņu un mākslas tematiskajās jomās. Salīdzinot ar 2024.</w:t>
      </w:r>
      <w:r w:rsidR="00F36EC6">
        <w:rPr>
          <w:rFonts w:ascii="Source Sans Pro" w:hAnsi="Source Sans Pro"/>
        </w:rPr>
        <w:t> </w:t>
      </w:r>
      <w:r w:rsidRPr="00D829F0">
        <w:rPr>
          <w:rFonts w:ascii="Source Sans Pro" w:hAnsi="Source Sans Pro"/>
        </w:rPr>
        <w:t>gada prognozēm, prognozētais darbaspēka pārpalikums šajās jomās līdz 2030.</w:t>
      </w:r>
      <w:r w:rsidR="00F36EC6">
        <w:rPr>
          <w:rFonts w:ascii="Source Sans Pro" w:hAnsi="Source Sans Pro"/>
        </w:rPr>
        <w:t> </w:t>
      </w:r>
      <w:r w:rsidRPr="00D829F0">
        <w:rPr>
          <w:rFonts w:ascii="Source Sans Pro" w:hAnsi="Source Sans Pro"/>
        </w:rPr>
        <w:t>gadam ir samazinājies – no aptuveni 12,5</w:t>
      </w:r>
      <w:r w:rsidR="00B74156">
        <w:rPr>
          <w:rFonts w:ascii="Source Sans Pro" w:hAnsi="Source Sans Pro"/>
        </w:rPr>
        <w:t> </w:t>
      </w:r>
      <w:r w:rsidRPr="00D829F0">
        <w:rPr>
          <w:rFonts w:ascii="Source Sans Pro" w:hAnsi="Source Sans Pro"/>
        </w:rPr>
        <w:t>tūkst. līdz aptuveni 9</w:t>
      </w:r>
      <w:r w:rsidR="00B74156">
        <w:rPr>
          <w:rFonts w:ascii="Source Sans Pro" w:hAnsi="Source Sans Pro"/>
        </w:rPr>
        <w:t> </w:t>
      </w:r>
      <w:r w:rsidRPr="00D829F0">
        <w:rPr>
          <w:rFonts w:ascii="Source Sans Pro" w:hAnsi="Source Sans Pro"/>
        </w:rPr>
        <w:t>tūkst. speciālistu. Tas nozīmē, ka augstākās izglītības segmentā kopējā pieprasījuma un piedāvājuma attiecība ir kļuvusi līdzsvarotāka, tomēr saglabājas būtiskas iekšējās neatbilstības starp izglītības tematiskajām jomām – STEM virzienos sagaidāms darbaspēka iztrūkums, savukārt sociālo, komerczinību, humanitāro zinātņu un mākslas jomās joprojām iespējams darbaspēka pārpalikums.</w:t>
      </w:r>
    </w:p>
    <w:p w14:paraId="2096C1F5" w14:textId="49207C5B" w:rsidR="000F4966" w:rsidRPr="00D829F0" w:rsidRDefault="000D00B2" w:rsidP="000F4966">
      <w:pPr>
        <w:spacing w:after="120"/>
        <w:jc w:val="both"/>
        <w:rPr>
          <w:rFonts w:ascii="Source Sans Pro" w:hAnsi="Source Sans Pro"/>
        </w:rPr>
      </w:pPr>
      <w:r w:rsidRPr="00D829F0">
        <w:rPr>
          <w:rFonts w:ascii="Source Sans Pro" w:hAnsi="Source Sans Pro"/>
        </w:rPr>
        <w:t>Izteiktāka darbaspēka nepietiekamība būs vērojama pēc speciālistiem ar profesionālo vidējo izglītību. Līdz 2030.</w:t>
      </w:r>
      <w:r w:rsidR="00160DE3" w:rsidRPr="00D829F0">
        <w:rPr>
          <w:rFonts w:ascii="Source Sans Pro" w:hAnsi="Source Sans Pro"/>
        </w:rPr>
        <w:t> </w:t>
      </w:r>
      <w:r w:rsidRPr="00D829F0">
        <w:rPr>
          <w:rFonts w:ascii="Source Sans Pro" w:hAnsi="Source Sans Pro"/>
        </w:rPr>
        <w:t xml:space="preserve">gadam plaisa starp darbaspēka pieprasījumu un piedāvājumu ar profesionālo vidējo izglītību varētu palielināties līdz aptuveni 34 tūkst. speciālistu. Salīdzinot ar 2024. gada prognozēm, prognozējamais darbaspēka iztrūkums šajā izglītības segmentā ir samazinājies — iepriekš līdz 2030. gadam tika prognozēts aptuveni 45,7 tūkst. speciālistu iztrūkums. Izmaiņas galvenokārt skaidrojamas ar aktualizēto darba tirgus </w:t>
      </w:r>
      <w:r w:rsidRPr="00D829F0">
        <w:rPr>
          <w:rFonts w:ascii="Source Sans Pro" w:hAnsi="Source Sans Pro"/>
        </w:rPr>
        <w:lastRenderedPageBreak/>
        <w:t>bāzes situāciju, kā arī pieprasījuma un piedāvājuma prognožu korekcijām. Vienlaikus, neraugoties uz iztrūkuma prognozes samazinājumu, profesionālās vidējās izglītības segmentā darbaspēka nepietiekamības riski joprojām saglabājas būtiski.</w:t>
      </w:r>
    </w:p>
    <w:p w14:paraId="529BA91F" w14:textId="4F05466F" w:rsidR="000F4966" w:rsidRPr="00D829F0" w:rsidRDefault="00E86617" w:rsidP="000F4966">
      <w:pPr>
        <w:spacing w:after="120"/>
        <w:jc w:val="both"/>
        <w:rPr>
          <w:rFonts w:ascii="Source Sans Pro" w:hAnsi="Source Sans Pro"/>
        </w:rPr>
      </w:pPr>
      <w:r w:rsidRPr="00D829F0">
        <w:rPr>
          <w:rFonts w:ascii="Source Sans Pro" w:hAnsi="Source Sans Pro"/>
        </w:rPr>
        <w:t>Saglabājoties darbaspēka nepietiekamībai ar profesionālo vidējo izglītību, arī nākotnē daļā vidējās kvalifikācijas darbavietu var nākties piesaistīt darbiniekus ar vidējo vispārējo izglītību vai pamatizglītību, bet atsevišķos gadījumos arī ar augstāko izglītību. Tas var mazināt darba vietu atbilstību nepieciešamajām prasmēm un kopumā samazināt katras individuālās darbavietas pienesumu pievienotās vērtības ķēdē. Tādēļ profesionālās izglītības pievilcības, kvalitātes un sasaistes ar darba tirgus vajadzībām stiprināšana arī turpmāk būs viens no būtiskākajiem priekšnoteikumiem strukturālo neatbilstību mazināšanai.</w:t>
      </w:r>
      <w:r w:rsidR="000F4966" w:rsidRPr="00D829F0">
        <w:rPr>
          <w:rFonts w:ascii="Source Sans Pro" w:hAnsi="Source Sans Pro"/>
        </w:rPr>
        <w:t xml:space="preserve"> </w:t>
      </w:r>
    </w:p>
    <w:p w14:paraId="38B3F14A" w14:textId="1C3AA7C9" w:rsidR="000F4966" w:rsidRPr="00D829F0" w:rsidRDefault="00347297" w:rsidP="000F4966">
      <w:pPr>
        <w:spacing w:after="120"/>
        <w:jc w:val="both"/>
        <w:rPr>
          <w:rFonts w:ascii="Source Sans Pro" w:hAnsi="Source Sans Pro"/>
        </w:rPr>
      </w:pPr>
      <w:r w:rsidRPr="00D829F0">
        <w:rPr>
          <w:rFonts w:ascii="Source Sans Pro" w:hAnsi="Source Sans Pro"/>
        </w:rPr>
        <w:t>Vienlaikus būtisks darbaspēka pārpalikums sagaidāms iedzīvotājiem ar vispārējo vidējo izglītību un pamatizglītību vai zemāku izglītības līmeni. Līdz 2030.</w:t>
      </w:r>
      <w:r w:rsidR="00B74156">
        <w:rPr>
          <w:rFonts w:ascii="Source Sans Pro" w:hAnsi="Source Sans Pro"/>
        </w:rPr>
        <w:t> </w:t>
      </w:r>
      <w:r w:rsidRPr="00D829F0">
        <w:rPr>
          <w:rFonts w:ascii="Source Sans Pro" w:hAnsi="Source Sans Pro"/>
        </w:rPr>
        <w:t>gadam šādas kvalifikācijas darbaspēka pārpalikums varētu sasniegt aptuveni 79</w:t>
      </w:r>
      <w:r w:rsidR="00B74156">
        <w:rPr>
          <w:rFonts w:ascii="Source Sans Pro" w:hAnsi="Source Sans Pro"/>
        </w:rPr>
        <w:t> </w:t>
      </w:r>
      <w:r w:rsidRPr="00D829F0">
        <w:rPr>
          <w:rFonts w:ascii="Source Sans Pro" w:hAnsi="Source Sans Pro"/>
        </w:rPr>
        <w:t>tūkst. cilvēku, tai skaitā aptuveni 27</w:t>
      </w:r>
      <w:r w:rsidR="00B74156">
        <w:rPr>
          <w:rFonts w:ascii="Source Sans Pro" w:hAnsi="Source Sans Pro"/>
        </w:rPr>
        <w:t> </w:t>
      </w:r>
      <w:r w:rsidRPr="00D829F0">
        <w:rPr>
          <w:rFonts w:ascii="Source Sans Pro" w:hAnsi="Source Sans Pro"/>
        </w:rPr>
        <w:t>tūkst. ar vispārējo vidējo izglītību un vairāk nekā 52</w:t>
      </w:r>
      <w:r w:rsidR="00B74156">
        <w:rPr>
          <w:rFonts w:ascii="Source Sans Pro" w:hAnsi="Source Sans Pro"/>
        </w:rPr>
        <w:t> </w:t>
      </w:r>
      <w:r w:rsidRPr="00D829F0">
        <w:rPr>
          <w:rFonts w:ascii="Source Sans Pro" w:hAnsi="Source Sans Pro"/>
        </w:rPr>
        <w:t>tūkst. ar pamatizglītību vai zemāku izglītības līmeni. Darbaspēka pārpalikumu šajās grupās lielā mērā noteiks pieprasījuma samazināšanās pēc zemākas kvalifikācijas darbaspēka, jo vienkāršas profesijas un manuāli, atkārtojami darbi arvien vairāk tiks aizstāti ar tehnoloģiskiem risinājumiem un darba procesu automatizāciju.</w:t>
      </w:r>
    </w:p>
    <w:p w14:paraId="6A3C745B" w14:textId="22E04D59" w:rsidR="000F4966" w:rsidRPr="00D829F0" w:rsidRDefault="00347297" w:rsidP="000F4966">
      <w:pPr>
        <w:spacing w:after="120"/>
        <w:jc w:val="both"/>
        <w:rPr>
          <w:rFonts w:ascii="Source Sans Pro" w:hAnsi="Source Sans Pro"/>
        </w:rPr>
      </w:pPr>
      <w:r w:rsidRPr="00D829F0">
        <w:rPr>
          <w:rFonts w:ascii="Source Sans Pro" w:hAnsi="Source Sans Pro"/>
        </w:rPr>
        <w:t>Salīdzinot ar 2024.</w:t>
      </w:r>
      <w:r w:rsidR="00B74156">
        <w:rPr>
          <w:rFonts w:ascii="Source Sans Pro" w:hAnsi="Source Sans Pro"/>
        </w:rPr>
        <w:t> </w:t>
      </w:r>
      <w:r w:rsidRPr="00D829F0">
        <w:rPr>
          <w:rFonts w:ascii="Source Sans Pro" w:hAnsi="Source Sans Pro"/>
        </w:rPr>
        <w:t>gada prognozēm, prognozējamais darbaspēka pārpalikums ar vispārējo vidējo izglītību un pamatizglītību vai zemāku izglītības līmeni ir samazinājies</w:t>
      </w:r>
      <w:r w:rsidR="001342FC" w:rsidRPr="00D829F0">
        <w:rPr>
          <w:rFonts w:ascii="Source Sans Pro" w:hAnsi="Source Sans Pro"/>
        </w:rPr>
        <w:t xml:space="preserve"> – </w:t>
      </w:r>
      <w:r w:rsidRPr="00D829F0">
        <w:rPr>
          <w:rFonts w:ascii="Source Sans Pro" w:hAnsi="Source Sans Pro"/>
        </w:rPr>
        <w:t>iepriekš līdz 2030.</w:t>
      </w:r>
      <w:r w:rsidR="00B74156">
        <w:rPr>
          <w:rFonts w:ascii="Source Sans Pro" w:hAnsi="Source Sans Pro"/>
        </w:rPr>
        <w:t> </w:t>
      </w:r>
      <w:r w:rsidRPr="00D829F0">
        <w:rPr>
          <w:rFonts w:ascii="Source Sans Pro" w:hAnsi="Source Sans Pro"/>
        </w:rPr>
        <w:t>gadam tas tika prognozēts gandrīz 90</w:t>
      </w:r>
      <w:r w:rsidR="00B74156">
        <w:rPr>
          <w:rFonts w:ascii="Source Sans Pro" w:hAnsi="Source Sans Pro"/>
        </w:rPr>
        <w:t> </w:t>
      </w:r>
      <w:r w:rsidRPr="00D829F0">
        <w:rPr>
          <w:rFonts w:ascii="Source Sans Pro" w:hAnsi="Source Sans Pro"/>
        </w:rPr>
        <w:t>tūkst. apmērā. Šo samazinājumu ietekmējušas gan piedāvājuma puses korekcijas, gan pieprasījuma faktori. Saglabājoties kvalificēta darbaspēka nepietiekamībai, daļa darbaspēka pieprasījuma arī turpmāk var tikt kompensēta ar darbinieku piesaisti ar vidējo vispārējo izglītību, pamatizglītību vai zemāku izglītības līmeni. Tomēr bez papildu prasmju pilnveides un profesionālās kvalifikācijas iegūšanas šai darbaspēka daļai var saglabāties paaugstināti riski pilnvērtīgi iekļauties darba tirgū.</w:t>
      </w:r>
      <w:r w:rsidR="000F4966" w:rsidRPr="00D829F0">
        <w:rPr>
          <w:rFonts w:ascii="Source Sans Pro" w:hAnsi="Source Sans Pro"/>
        </w:rPr>
        <w:t xml:space="preserve"> </w:t>
      </w:r>
    </w:p>
    <w:p w14:paraId="1052A589" w14:textId="15AF89C2" w:rsidR="0016645F" w:rsidRPr="00D829F0" w:rsidRDefault="0016645F" w:rsidP="003126E7">
      <w:pPr>
        <w:spacing w:after="120"/>
        <w:jc w:val="right"/>
        <w:rPr>
          <w:rFonts w:ascii="Source Sans Pro" w:hAnsi="Source Sans Pro"/>
          <w:szCs w:val="26"/>
        </w:rPr>
      </w:pPr>
      <w:bookmarkStart w:id="66" w:name="_Hlk40692966"/>
      <w:r w:rsidRPr="00D829F0">
        <w:rPr>
          <w:rFonts w:ascii="Source Sans Pro" w:hAnsi="Source Sans Pro"/>
          <w:szCs w:val="26"/>
        </w:rPr>
        <w:t>3.1</w:t>
      </w:r>
      <w:r w:rsidR="001A78A0">
        <w:rPr>
          <w:rFonts w:ascii="Source Sans Pro" w:hAnsi="Source Sans Pro"/>
          <w:szCs w:val="26"/>
        </w:rPr>
        <w:t>6</w:t>
      </w:r>
      <w:r w:rsidRPr="00D829F0">
        <w:rPr>
          <w:rFonts w:ascii="Source Sans Pro" w:hAnsi="Source Sans Pro"/>
          <w:szCs w:val="26"/>
        </w:rPr>
        <w:t>.</w:t>
      </w:r>
      <w:r w:rsidR="00B74156">
        <w:rPr>
          <w:rFonts w:ascii="Source Sans Pro" w:hAnsi="Source Sans Pro"/>
          <w:szCs w:val="26"/>
        </w:rPr>
        <w:t> </w:t>
      </w:r>
      <w:r w:rsidRPr="00D829F0">
        <w:rPr>
          <w:rFonts w:ascii="Source Sans Pro" w:hAnsi="Source Sans Pro"/>
          <w:szCs w:val="26"/>
        </w:rPr>
        <w:t>attēls</w:t>
      </w:r>
    </w:p>
    <w:bookmarkEnd w:id="66"/>
    <w:p w14:paraId="4DA5261A" w14:textId="7E3C8785" w:rsidR="0016645F" w:rsidRPr="005349A2" w:rsidRDefault="0016645F" w:rsidP="003126E7">
      <w:pPr>
        <w:spacing w:after="120"/>
        <w:jc w:val="center"/>
        <w:rPr>
          <w:rFonts w:ascii="Segoe UI Light" w:hAnsi="Segoe UI Light"/>
          <w:i/>
          <w:sz w:val="16"/>
          <w:szCs w:val="26"/>
        </w:rPr>
      </w:pPr>
      <w:r w:rsidRPr="005349A2">
        <w:rPr>
          <w:rFonts w:ascii="Segoe UI Light" w:hAnsi="Segoe UI Light"/>
          <w:b/>
          <w:sz w:val="18"/>
          <w:szCs w:val="26"/>
        </w:rPr>
        <w:t>Darbaspēka pietiekamība pa izglītības līmeņiem</w:t>
      </w:r>
      <w:r w:rsidRPr="005349A2">
        <w:rPr>
          <w:rFonts w:ascii="Segoe UI Light" w:hAnsi="Segoe UI Light"/>
          <w:b/>
          <w:sz w:val="18"/>
          <w:szCs w:val="26"/>
        </w:rPr>
        <w:br/>
      </w:r>
      <w:r w:rsidRPr="005349A2">
        <w:rPr>
          <w:rFonts w:ascii="Segoe UI Light" w:hAnsi="Segoe UI Light"/>
          <w:i/>
          <w:sz w:val="16"/>
          <w:szCs w:val="26"/>
        </w:rPr>
        <w:t>piedāvājuma un pieprasījuma attiecība 2030.</w:t>
      </w:r>
      <w:r w:rsidR="00B74156">
        <w:rPr>
          <w:rFonts w:ascii="Segoe UI Light" w:hAnsi="Segoe UI Light"/>
          <w:i/>
          <w:sz w:val="16"/>
          <w:szCs w:val="26"/>
        </w:rPr>
        <w:t> </w:t>
      </w:r>
      <w:r w:rsidR="0080669C" w:rsidRPr="005349A2">
        <w:rPr>
          <w:rFonts w:ascii="Segoe UI Light" w:hAnsi="Segoe UI Light"/>
          <w:i/>
          <w:sz w:val="16"/>
          <w:szCs w:val="26"/>
        </w:rPr>
        <w:t>gad</w:t>
      </w:r>
      <w:r w:rsidRPr="005349A2">
        <w:rPr>
          <w:rFonts w:ascii="Segoe UI Light" w:hAnsi="Segoe UI Light"/>
          <w:i/>
          <w:sz w:val="16"/>
          <w:szCs w:val="26"/>
        </w:rPr>
        <w:t>ā, procentos pieprasījums pret piedāvājumu</w:t>
      </w:r>
    </w:p>
    <w:p w14:paraId="6A7576F9" w14:textId="77777777" w:rsidR="00024B8C" w:rsidRPr="00D829F0" w:rsidRDefault="00024B8C" w:rsidP="003126E7">
      <w:pPr>
        <w:spacing w:after="120"/>
        <w:jc w:val="center"/>
        <w:rPr>
          <w:rFonts w:ascii="Source Sans Pro" w:hAnsi="Source Sans Pro"/>
          <w:sz w:val="18"/>
          <w:szCs w:val="26"/>
        </w:rPr>
      </w:pPr>
      <w:r w:rsidRPr="00D829F0">
        <w:rPr>
          <w:rFonts w:ascii="Source Sans Pro" w:hAnsi="Source Sans Pro"/>
          <w:noProof/>
          <w:sz w:val="18"/>
          <w:szCs w:val="26"/>
          <w:lang w:eastAsia="lv-LV"/>
        </w:rPr>
        <w:drawing>
          <wp:inline distT="0" distB="0" distL="0" distR="0" wp14:anchorId="0952C16C" wp14:editId="7D858DB8">
            <wp:extent cx="4319905" cy="1872000"/>
            <wp:effectExtent l="0" t="0" r="444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37620DEB" w14:textId="77777777" w:rsidR="00024B8C" w:rsidRPr="008A0E0D" w:rsidRDefault="00024B8C" w:rsidP="003126E7">
      <w:pPr>
        <w:tabs>
          <w:tab w:val="center" w:pos="2268"/>
          <w:tab w:val="center" w:pos="6804"/>
        </w:tabs>
        <w:spacing w:after="120"/>
        <w:rPr>
          <w:rFonts w:ascii="Segoe UI Light" w:hAnsi="Segoe UI Light"/>
          <w:i/>
          <w:sz w:val="16"/>
          <w:szCs w:val="26"/>
        </w:rPr>
      </w:pPr>
      <w:r w:rsidRPr="008A0E0D">
        <w:rPr>
          <w:rFonts w:ascii="Segoe UI Light" w:hAnsi="Segoe UI Light"/>
          <w:sz w:val="16"/>
          <w:szCs w:val="26"/>
        </w:rPr>
        <w:tab/>
        <w:t>Augstākā izglītība</w:t>
      </w:r>
      <w:r w:rsidRPr="008A0E0D">
        <w:rPr>
          <w:rFonts w:ascii="Segoe UI Light" w:hAnsi="Segoe UI Light"/>
          <w:sz w:val="16"/>
          <w:szCs w:val="26"/>
        </w:rPr>
        <w:tab/>
        <w:t>Profesionālā vidējā izglītība</w:t>
      </w:r>
      <w:r w:rsidRPr="008A0E0D">
        <w:rPr>
          <w:rFonts w:ascii="Segoe UI Light" w:hAnsi="Segoe UI Light"/>
          <w:sz w:val="16"/>
          <w:szCs w:val="26"/>
        </w:rPr>
        <w:br/>
      </w:r>
      <w:r w:rsidRPr="008A0E0D">
        <w:rPr>
          <w:rFonts w:ascii="Segoe UI Light" w:hAnsi="Segoe UI Light"/>
          <w:i/>
          <w:sz w:val="16"/>
          <w:szCs w:val="26"/>
        </w:rPr>
        <w:tab/>
        <w:t>tūkst.</w:t>
      </w:r>
      <w:r w:rsidRPr="008A0E0D">
        <w:rPr>
          <w:rFonts w:ascii="Segoe UI Light" w:hAnsi="Segoe UI Light"/>
          <w:i/>
          <w:sz w:val="16"/>
          <w:szCs w:val="26"/>
        </w:rPr>
        <w:tab/>
        <w:t>tūkst.</w:t>
      </w:r>
    </w:p>
    <w:p w14:paraId="47BCB395" w14:textId="77777777" w:rsidR="00024B8C" w:rsidRPr="008A0E0D" w:rsidRDefault="00024B8C" w:rsidP="003126E7">
      <w:pPr>
        <w:spacing w:after="120"/>
        <w:jc w:val="center"/>
        <w:rPr>
          <w:rFonts w:ascii="Segoe UI Light" w:hAnsi="Segoe UI Light"/>
          <w:sz w:val="18"/>
          <w:szCs w:val="26"/>
        </w:rPr>
      </w:pPr>
      <w:r w:rsidRPr="008A0E0D">
        <w:rPr>
          <w:rFonts w:ascii="Segoe UI Light" w:hAnsi="Segoe UI Light"/>
          <w:bCs/>
          <w:iCs/>
          <w:noProof/>
          <w:sz w:val="18"/>
          <w:szCs w:val="26"/>
          <w:lang w:eastAsia="lv-LV"/>
        </w:rPr>
        <w:drawing>
          <wp:inline distT="0" distB="0" distL="0" distR="0" wp14:anchorId="29B3E341" wp14:editId="63EDE863">
            <wp:extent cx="2808000" cy="18000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r w:rsidRPr="008A0E0D">
        <w:rPr>
          <w:rFonts w:ascii="Segoe UI Light" w:hAnsi="Segoe UI Light"/>
          <w:sz w:val="18"/>
          <w:szCs w:val="26"/>
        </w:rPr>
        <w:t xml:space="preserve">    </w:t>
      </w:r>
      <w:r w:rsidRPr="008A0E0D">
        <w:rPr>
          <w:rFonts w:ascii="Segoe UI Light" w:hAnsi="Segoe UI Light"/>
          <w:bCs/>
          <w:iCs/>
          <w:noProof/>
          <w:sz w:val="18"/>
          <w:szCs w:val="26"/>
          <w:lang w:eastAsia="lv-LV"/>
        </w:rPr>
        <w:drawing>
          <wp:inline distT="0" distB="0" distL="0" distR="0" wp14:anchorId="33556F0F" wp14:editId="0F897903">
            <wp:extent cx="2808000" cy="1800000"/>
            <wp:effectExtent l="0" t="0" r="0" b="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60EB23C4" w14:textId="77777777" w:rsidR="005F3312" w:rsidRDefault="005F3312">
      <w:pPr>
        <w:spacing w:after="0"/>
        <w:rPr>
          <w:rFonts w:ascii="Segoe UI Light" w:hAnsi="Segoe UI Light"/>
          <w:sz w:val="16"/>
          <w:szCs w:val="26"/>
        </w:rPr>
      </w:pPr>
      <w:r>
        <w:rPr>
          <w:rFonts w:ascii="Segoe UI Light" w:hAnsi="Segoe UI Light"/>
          <w:sz w:val="16"/>
          <w:szCs w:val="26"/>
        </w:rPr>
        <w:br w:type="page"/>
      </w:r>
    </w:p>
    <w:p w14:paraId="2D423259" w14:textId="77777777" w:rsidR="00024B8C" w:rsidRPr="008A0E0D" w:rsidRDefault="00024B8C" w:rsidP="003126E7">
      <w:pPr>
        <w:tabs>
          <w:tab w:val="center" w:pos="2268"/>
          <w:tab w:val="center" w:pos="6804"/>
        </w:tabs>
        <w:spacing w:after="120"/>
        <w:rPr>
          <w:rFonts w:ascii="Segoe UI Light" w:hAnsi="Segoe UI Light"/>
          <w:i/>
          <w:sz w:val="16"/>
          <w:szCs w:val="26"/>
        </w:rPr>
      </w:pPr>
      <w:r w:rsidRPr="008A0E0D">
        <w:rPr>
          <w:rFonts w:ascii="Segoe UI Light" w:hAnsi="Segoe UI Light"/>
          <w:sz w:val="16"/>
          <w:szCs w:val="26"/>
        </w:rPr>
        <w:lastRenderedPageBreak/>
        <w:tab/>
        <w:t>Vispārējā vidējā izglītība</w:t>
      </w:r>
      <w:r w:rsidRPr="008A0E0D">
        <w:rPr>
          <w:rFonts w:ascii="Segoe UI Light" w:hAnsi="Segoe UI Light"/>
          <w:sz w:val="16"/>
          <w:szCs w:val="26"/>
        </w:rPr>
        <w:tab/>
        <w:t>Pamatizglītība</w:t>
      </w:r>
      <w:r w:rsidRPr="008A0E0D">
        <w:rPr>
          <w:rFonts w:ascii="Segoe UI Light" w:hAnsi="Segoe UI Light"/>
          <w:sz w:val="16"/>
          <w:szCs w:val="26"/>
        </w:rPr>
        <w:br/>
      </w:r>
      <w:r w:rsidRPr="008A0E0D">
        <w:rPr>
          <w:rFonts w:ascii="Segoe UI Light" w:hAnsi="Segoe UI Light"/>
          <w:i/>
          <w:sz w:val="16"/>
          <w:szCs w:val="26"/>
        </w:rPr>
        <w:tab/>
        <w:t>tūkst.</w:t>
      </w:r>
      <w:r w:rsidRPr="008A0E0D">
        <w:rPr>
          <w:rFonts w:ascii="Segoe UI Light" w:hAnsi="Segoe UI Light"/>
          <w:i/>
          <w:sz w:val="16"/>
          <w:szCs w:val="26"/>
        </w:rPr>
        <w:tab/>
        <w:t>tūkst.</w:t>
      </w:r>
    </w:p>
    <w:p w14:paraId="5F92444A" w14:textId="77777777" w:rsidR="00024B8C" w:rsidRPr="008A0E0D" w:rsidRDefault="00024B8C" w:rsidP="003126E7">
      <w:pPr>
        <w:spacing w:after="120"/>
        <w:jc w:val="center"/>
        <w:rPr>
          <w:rFonts w:ascii="Segoe UI Light" w:hAnsi="Segoe UI Light"/>
          <w:sz w:val="18"/>
          <w:szCs w:val="26"/>
        </w:rPr>
      </w:pPr>
      <w:r w:rsidRPr="008A0E0D">
        <w:rPr>
          <w:rFonts w:ascii="Segoe UI Light" w:hAnsi="Segoe UI Light"/>
          <w:bCs/>
          <w:iCs/>
          <w:noProof/>
          <w:sz w:val="18"/>
          <w:szCs w:val="26"/>
          <w:lang w:eastAsia="lv-LV"/>
        </w:rPr>
        <w:drawing>
          <wp:inline distT="0" distB="0" distL="0" distR="0" wp14:anchorId="5EE9A935" wp14:editId="5150E6D9">
            <wp:extent cx="2808000" cy="1800000"/>
            <wp:effectExtent l="0" t="0" r="0" b="0"/>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r w:rsidRPr="008A0E0D">
        <w:rPr>
          <w:rFonts w:ascii="Segoe UI Light" w:hAnsi="Segoe UI Light"/>
          <w:sz w:val="18"/>
          <w:szCs w:val="26"/>
        </w:rPr>
        <w:t xml:space="preserve">    </w:t>
      </w:r>
      <w:r w:rsidRPr="008A0E0D">
        <w:rPr>
          <w:rFonts w:ascii="Segoe UI Light" w:hAnsi="Segoe UI Light"/>
          <w:bCs/>
          <w:iCs/>
          <w:noProof/>
          <w:sz w:val="18"/>
          <w:szCs w:val="26"/>
          <w:lang w:eastAsia="lv-LV"/>
        </w:rPr>
        <w:drawing>
          <wp:inline distT="0" distB="0" distL="0" distR="0" wp14:anchorId="2AEBA17D" wp14:editId="2364A144">
            <wp:extent cx="2808000" cy="1800000"/>
            <wp:effectExtent l="0" t="0" r="0" b="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38DE4258" w14:textId="0428D215" w:rsidR="0016645F" w:rsidRPr="00D829F0" w:rsidRDefault="0016645F" w:rsidP="003126E7">
      <w:pPr>
        <w:spacing w:after="120"/>
        <w:jc w:val="right"/>
        <w:rPr>
          <w:rFonts w:ascii="Source Sans Pro" w:hAnsi="Source Sans Pro"/>
          <w:szCs w:val="26"/>
        </w:rPr>
      </w:pPr>
      <w:r w:rsidRPr="00D829F0">
        <w:rPr>
          <w:rFonts w:ascii="Source Sans Pro" w:hAnsi="Source Sans Pro"/>
          <w:szCs w:val="26"/>
        </w:rPr>
        <w:t>3.1</w:t>
      </w:r>
      <w:r w:rsidR="001A78A0">
        <w:rPr>
          <w:rFonts w:ascii="Source Sans Pro" w:hAnsi="Source Sans Pro"/>
          <w:szCs w:val="26"/>
        </w:rPr>
        <w:t>7</w:t>
      </w:r>
      <w:r w:rsidRPr="00D829F0">
        <w:rPr>
          <w:rFonts w:ascii="Source Sans Pro" w:hAnsi="Source Sans Pro"/>
          <w:szCs w:val="26"/>
        </w:rPr>
        <w:t>.</w:t>
      </w:r>
      <w:r w:rsidR="00B74156">
        <w:rPr>
          <w:rFonts w:ascii="Source Sans Pro" w:hAnsi="Source Sans Pro"/>
          <w:szCs w:val="26"/>
        </w:rPr>
        <w:t> </w:t>
      </w:r>
      <w:r w:rsidRPr="00D829F0">
        <w:rPr>
          <w:rFonts w:ascii="Source Sans Pro" w:hAnsi="Source Sans Pro"/>
          <w:szCs w:val="26"/>
        </w:rPr>
        <w:t>attēls</w:t>
      </w:r>
    </w:p>
    <w:p w14:paraId="41A40B60" w14:textId="1BC7DFCF" w:rsidR="0016645F" w:rsidRPr="002315F7" w:rsidRDefault="0016645F" w:rsidP="003126E7">
      <w:pPr>
        <w:spacing w:after="120"/>
        <w:jc w:val="center"/>
        <w:rPr>
          <w:rFonts w:ascii="Segoe UI Light" w:hAnsi="Segoe UI Light"/>
          <w:i/>
          <w:sz w:val="16"/>
        </w:rPr>
      </w:pPr>
      <w:r w:rsidRPr="002315F7">
        <w:rPr>
          <w:rFonts w:ascii="Segoe UI Light" w:hAnsi="Segoe UI Light"/>
          <w:b/>
          <w:sz w:val="18"/>
          <w:szCs w:val="26"/>
        </w:rPr>
        <w:t xml:space="preserve">Darbaspēka piedāvājuma un pieprasījuma prognozes </w:t>
      </w:r>
      <w:r w:rsidRPr="002315F7">
        <w:rPr>
          <w:rFonts w:ascii="Segoe UI Light" w:hAnsi="Segoe UI Light"/>
          <w:b/>
          <w:sz w:val="18"/>
          <w:szCs w:val="26"/>
          <w:u w:val="single"/>
        </w:rPr>
        <w:t xml:space="preserve">ar augstāko </w:t>
      </w:r>
      <w:r w:rsidRPr="002315F7">
        <w:rPr>
          <w:rFonts w:ascii="Segoe UI Light" w:hAnsi="Segoe UI Light"/>
          <w:b/>
          <w:color w:val="000000"/>
          <w:sz w:val="18"/>
          <w:szCs w:val="26"/>
          <w:u w:val="single"/>
        </w:rPr>
        <w:t>izglītību</w:t>
      </w:r>
      <w:r w:rsidRPr="002315F7">
        <w:rPr>
          <w:rFonts w:ascii="Segoe UI Light" w:hAnsi="Segoe UI Light"/>
          <w:b/>
          <w:color w:val="000000"/>
          <w:sz w:val="18"/>
          <w:szCs w:val="26"/>
        </w:rPr>
        <w:t xml:space="preserve"> sadalījumā pa izglītības tematiskajām grupām</w:t>
      </w:r>
      <w:r w:rsidRPr="002315F7">
        <w:rPr>
          <w:rFonts w:ascii="Segoe UI Light" w:hAnsi="Segoe UI Light"/>
          <w:b/>
          <w:color w:val="000000"/>
          <w:sz w:val="18"/>
          <w:szCs w:val="26"/>
        </w:rPr>
        <w:br/>
      </w:r>
      <w:r w:rsidRPr="002315F7">
        <w:rPr>
          <w:rFonts w:ascii="Segoe UI Light" w:hAnsi="Segoe UI Light"/>
          <w:i/>
          <w:color w:val="000000"/>
          <w:sz w:val="16"/>
        </w:rPr>
        <w:t>procentos, pieprasījums pret piedāvājumu 2030.</w:t>
      </w:r>
      <w:r w:rsidR="0080669C" w:rsidRPr="002315F7">
        <w:rPr>
          <w:rFonts w:ascii="Segoe UI Light" w:hAnsi="Segoe UI Light"/>
          <w:i/>
          <w:color w:val="000000"/>
          <w:sz w:val="16"/>
        </w:rPr>
        <w:t>gad</w:t>
      </w:r>
      <w:r w:rsidRPr="002315F7">
        <w:rPr>
          <w:rFonts w:ascii="Segoe UI Light" w:hAnsi="Segoe UI Light"/>
          <w:i/>
          <w:color w:val="000000"/>
          <w:sz w:val="16"/>
        </w:rPr>
        <w:t>ā</w:t>
      </w:r>
    </w:p>
    <w:p w14:paraId="3D60BF53" w14:textId="77777777" w:rsidR="00024B8C" w:rsidRPr="002315F7" w:rsidRDefault="00024B8C" w:rsidP="00024B8C">
      <w:pPr>
        <w:rPr>
          <w:rFonts w:ascii="Segoe UI Light" w:hAnsi="Segoe UI Light"/>
          <w:sz w:val="18"/>
        </w:rPr>
      </w:pPr>
      <w:r w:rsidRPr="002315F7">
        <w:rPr>
          <w:rFonts w:ascii="Segoe UI Light" w:hAnsi="Segoe UI Light"/>
          <w:bCs/>
          <w:iCs/>
          <w:noProof/>
          <w:sz w:val="18"/>
          <w:szCs w:val="26"/>
          <w:lang w:eastAsia="lv-LV"/>
        </w:rPr>
        <w:drawing>
          <wp:inline distT="0" distB="0" distL="0" distR="0" wp14:anchorId="25CC24CD" wp14:editId="758DF2CF">
            <wp:extent cx="5760085" cy="1733703"/>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24B8C" w:rsidRPr="00D829F0" w14:paraId="610FA960" w14:textId="77777777">
        <w:trPr>
          <w:cantSplit/>
          <w:trHeight w:val="2041"/>
        </w:trPr>
        <w:tc>
          <w:tcPr>
            <w:tcW w:w="9071" w:type="dxa"/>
            <w:textDirection w:val="btLr"/>
          </w:tcPr>
          <w:p w14:paraId="4398AB91" w14:textId="77777777" w:rsidR="00024B8C" w:rsidRPr="002315F7" w:rsidRDefault="00024B8C">
            <w:pPr>
              <w:spacing w:before="840"/>
              <w:ind w:left="113" w:right="113"/>
              <w:jc w:val="right"/>
              <w:rPr>
                <w:rFonts w:ascii="Segoe UI Light" w:hAnsi="Segoe UI Light"/>
                <w:sz w:val="16"/>
              </w:rPr>
            </w:pPr>
            <w:r w:rsidRPr="002315F7">
              <w:rPr>
                <w:rFonts w:ascii="Segoe UI Light" w:hAnsi="Segoe UI Light"/>
                <w:sz w:val="16"/>
                <w:szCs w:val="26"/>
              </w:rPr>
              <w:t>Izglītība</w:t>
            </w:r>
          </w:p>
          <w:p w14:paraId="52FAC067" w14:textId="77777777" w:rsidR="00024B8C" w:rsidRPr="002315F7" w:rsidRDefault="00024B8C">
            <w:pPr>
              <w:spacing w:before="720"/>
              <w:ind w:left="113" w:right="113"/>
              <w:jc w:val="right"/>
              <w:rPr>
                <w:rFonts w:ascii="Segoe UI Light" w:hAnsi="Segoe UI Light"/>
                <w:sz w:val="16"/>
              </w:rPr>
            </w:pPr>
            <w:r w:rsidRPr="002315F7">
              <w:rPr>
                <w:rFonts w:ascii="Segoe UI Light" w:hAnsi="Segoe UI Light"/>
                <w:sz w:val="16"/>
                <w:szCs w:val="26"/>
              </w:rPr>
              <w:t xml:space="preserve">Humanitārās </w:t>
            </w:r>
            <w:r w:rsidRPr="002315F7">
              <w:rPr>
                <w:rFonts w:ascii="Segoe UI Light" w:hAnsi="Segoe UI Light"/>
                <w:sz w:val="16"/>
                <w:szCs w:val="26"/>
              </w:rPr>
              <w:br/>
              <w:t>zinātnes un māksla</w:t>
            </w:r>
          </w:p>
          <w:p w14:paraId="78B40A61" w14:textId="77777777" w:rsidR="00024B8C" w:rsidRPr="002315F7" w:rsidRDefault="00024B8C">
            <w:pPr>
              <w:spacing w:before="600"/>
              <w:ind w:left="113" w:right="113"/>
              <w:jc w:val="right"/>
              <w:rPr>
                <w:rFonts w:ascii="Segoe UI Light" w:hAnsi="Segoe UI Light"/>
                <w:sz w:val="16"/>
              </w:rPr>
            </w:pPr>
            <w:r w:rsidRPr="002315F7">
              <w:rPr>
                <w:rFonts w:ascii="Segoe UI Light" w:hAnsi="Segoe UI Light"/>
                <w:sz w:val="16"/>
                <w:szCs w:val="26"/>
              </w:rPr>
              <w:t>Sociālās zinātnes, komerczinības un tiesības</w:t>
            </w:r>
          </w:p>
          <w:p w14:paraId="2DFF18B6" w14:textId="77777777" w:rsidR="00024B8C" w:rsidRPr="002315F7" w:rsidRDefault="00024B8C">
            <w:pPr>
              <w:spacing w:before="480"/>
              <w:ind w:left="113" w:right="113"/>
              <w:jc w:val="right"/>
              <w:rPr>
                <w:rFonts w:ascii="Segoe UI Light" w:hAnsi="Segoe UI Light"/>
                <w:sz w:val="16"/>
                <w:szCs w:val="26"/>
              </w:rPr>
            </w:pPr>
            <w:r w:rsidRPr="002315F7">
              <w:rPr>
                <w:rFonts w:ascii="Segoe UI Light" w:hAnsi="Segoe UI Light"/>
                <w:sz w:val="16"/>
                <w:szCs w:val="26"/>
              </w:rPr>
              <w:t>Dabas zinātnes, matemātika un informācijas tehnoloģijas</w:t>
            </w:r>
          </w:p>
          <w:p w14:paraId="2E63C021" w14:textId="77777777" w:rsidR="00024B8C" w:rsidRPr="002315F7" w:rsidRDefault="00024B8C">
            <w:pPr>
              <w:spacing w:before="600"/>
              <w:ind w:left="113" w:right="113"/>
              <w:jc w:val="right"/>
              <w:rPr>
                <w:rFonts w:ascii="Segoe UI Light" w:hAnsi="Segoe UI Light"/>
                <w:sz w:val="16"/>
                <w:szCs w:val="26"/>
              </w:rPr>
            </w:pPr>
            <w:r w:rsidRPr="002315F7">
              <w:rPr>
                <w:rFonts w:ascii="Segoe UI Light" w:hAnsi="Segoe UI Light"/>
                <w:sz w:val="16"/>
                <w:szCs w:val="26"/>
              </w:rPr>
              <w:t>Inženierzinātnes, ražošana un būvniecība</w:t>
            </w:r>
          </w:p>
          <w:p w14:paraId="43CE8CCD" w14:textId="77777777" w:rsidR="00024B8C" w:rsidRPr="002315F7" w:rsidRDefault="00024B8C">
            <w:pPr>
              <w:spacing w:before="720"/>
              <w:ind w:left="113" w:right="113"/>
              <w:jc w:val="right"/>
              <w:rPr>
                <w:rFonts w:ascii="Segoe UI Light" w:hAnsi="Segoe UI Light"/>
                <w:sz w:val="16"/>
              </w:rPr>
            </w:pPr>
            <w:r w:rsidRPr="002315F7">
              <w:rPr>
                <w:rFonts w:ascii="Segoe UI Light" w:hAnsi="Segoe UI Light"/>
                <w:sz w:val="16"/>
                <w:szCs w:val="26"/>
              </w:rPr>
              <w:t>Lauksaimniecība</w:t>
            </w:r>
          </w:p>
          <w:p w14:paraId="65FC7401" w14:textId="77777777" w:rsidR="00024B8C" w:rsidRPr="002315F7" w:rsidRDefault="00024B8C">
            <w:pPr>
              <w:spacing w:before="720"/>
              <w:ind w:left="113" w:right="113"/>
              <w:jc w:val="right"/>
              <w:rPr>
                <w:rFonts w:ascii="Segoe UI Light" w:hAnsi="Segoe UI Light"/>
                <w:sz w:val="16"/>
              </w:rPr>
            </w:pPr>
            <w:r w:rsidRPr="002315F7">
              <w:rPr>
                <w:rFonts w:ascii="Segoe UI Light" w:hAnsi="Segoe UI Light"/>
                <w:sz w:val="16"/>
                <w:szCs w:val="26"/>
              </w:rPr>
              <w:t>Veselības aprūpe un sociālā labklājība</w:t>
            </w:r>
          </w:p>
          <w:p w14:paraId="20FB3AE8" w14:textId="77777777" w:rsidR="00024B8C" w:rsidRPr="002315F7" w:rsidRDefault="00024B8C">
            <w:pPr>
              <w:spacing w:before="720"/>
              <w:ind w:left="113" w:right="113"/>
              <w:jc w:val="right"/>
              <w:rPr>
                <w:rFonts w:ascii="Segoe UI Light" w:hAnsi="Segoe UI Light"/>
                <w:sz w:val="16"/>
              </w:rPr>
            </w:pPr>
            <w:r w:rsidRPr="002315F7">
              <w:rPr>
                <w:rFonts w:ascii="Segoe UI Light" w:hAnsi="Segoe UI Light"/>
                <w:sz w:val="16"/>
                <w:szCs w:val="26"/>
              </w:rPr>
              <w:t>Pakalpojumi</w:t>
            </w:r>
          </w:p>
        </w:tc>
      </w:tr>
    </w:tbl>
    <w:p w14:paraId="30E1B293" w14:textId="77777777" w:rsidR="00024B8C" w:rsidRPr="00D829F0" w:rsidRDefault="00024B8C" w:rsidP="000816FF">
      <w:pPr>
        <w:spacing w:after="120"/>
        <w:rPr>
          <w:rFonts w:ascii="Source Sans Pro" w:hAnsi="Source Sans Pro"/>
        </w:rPr>
      </w:pPr>
    </w:p>
    <w:p w14:paraId="5D8C7E0D"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Izglītība</w:t>
      </w:r>
    </w:p>
    <w:p w14:paraId="71CCB1F4"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54D3D9CC" w14:textId="77777777" w:rsidR="00024B8C" w:rsidRPr="00D829F0" w:rsidRDefault="00024B8C" w:rsidP="000816FF">
      <w:pPr>
        <w:spacing w:after="120"/>
        <w:ind w:right="-285"/>
        <w:rPr>
          <w:rFonts w:ascii="Source Sans Pro" w:hAnsi="Source Sans Pro"/>
          <w:color w:val="000000"/>
          <w:sz w:val="16"/>
        </w:rPr>
      </w:pPr>
      <w:r w:rsidRPr="00D829F0">
        <w:rPr>
          <w:rFonts w:ascii="Source Sans Pro" w:hAnsi="Source Sans Pro"/>
          <w:bCs/>
          <w:noProof/>
          <w:color w:val="000000"/>
          <w:sz w:val="16"/>
          <w:lang w:eastAsia="lv-LV"/>
        </w:rPr>
        <w:drawing>
          <wp:inline distT="0" distB="0" distL="0" distR="0" wp14:anchorId="2F7B337F" wp14:editId="02C93F14">
            <wp:extent cx="1440000" cy="1440000"/>
            <wp:effectExtent l="0" t="0" r="8255" b="825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r w:rsidRPr="00D829F0">
        <w:rPr>
          <w:rFonts w:ascii="Source Sans Pro" w:hAnsi="Source Sans Pro"/>
          <w:color w:val="000000"/>
          <w:sz w:val="16"/>
        </w:rPr>
        <w:t xml:space="preserve">   </w:t>
      </w:r>
      <w:r w:rsidRPr="00D829F0">
        <w:rPr>
          <w:rFonts w:ascii="Source Sans Pro" w:hAnsi="Source Sans Pro"/>
          <w:noProof/>
          <w:sz w:val="18"/>
          <w:szCs w:val="26"/>
          <w:lang w:eastAsia="lv-LV"/>
        </w:rPr>
        <w:drawing>
          <wp:inline distT="0" distB="0" distL="0" distR="0" wp14:anchorId="79F3D779" wp14:editId="26FB7150">
            <wp:extent cx="2808000" cy="1440000"/>
            <wp:effectExtent l="0" t="0" r="0" b="825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r w:rsidRPr="00D829F0">
        <w:rPr>
          <w:rFonts w:ascii="Source Sans Pro" w:hAnsi="Source Sans Pro"/>
          <w:color w:val="000000"/>
          <w:sz w:val="16"/>
        </w:rPr>
        <w:t xml:space="preserve">   </w:t>
      </w:r>
      <w:r w:rsidRPr="00D829F0">
        <w:rPr>
          <w:rFonts w:ascii="Source Sans Pro" w:hAnsi="Source Sans Pro"/>
          <w:bCs/>
          <w:noProof/>
          <w:color w:val="000000"/>
          <w:sz w:val="16"/>
          <w:lang w:eastAsia="lv-LV"/>
        </w:rPr>
        <w:drawing>
          <wp:inline distT="0" distB="0" distL="0" distR="0" wp14:anchorId="4266AD9C" wp14:editId="7AB464DA">
            <wp:extent cx="1440000" cy="1440000"/>
            <wp:effectExtent l="0" t="0" r="8255" b="825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7D3818B3" w14:textId="77777777" w:rsidR="000816FF" w:rsidRPr="00D829F0" w:rsidRDefault="000816FF" w:rsidP="000816FF">
      <w:pPr>
        <w:spacing w:after="120"/>
        <w:jc w:val="center"/>
        <w:rPr>
          <w:rFonts w:ascii="Source Sans Pro" w:hAnsi="Source Sans Pro"/>
          <w:b/>
          <w:color w:val="000000"/>
          <w:sz w:val="18"/>
          <w:szCs w:val="20"/>
        </w:rPr>
      </w:pPr>
    </w:p>
    <w:p w14:paraId="3148906D" w14:textId="77777777" w:rsidR="005F3312" w:rsidRDefault="005F3312">
      <w:pPr>
        <w:spacing w:after="0"/>
        <w:rPr>
          <w:rFonts w:ascii="Source Sans Pro" w:hAnsi="Source Sans Pro"/>
          <w:b/>
          <w:color w:val="000000"/>
          <w:sz w:val="18"/>
          <w:szCs w:val="20"/>
        </w:rPr>
      </w:pPr>
      <w:r>
        <w:rPr>
          <w:rFonts w:ascii="Source Sans Pro" w:hAnsi="Source Sans Pro"/>
          <w:b/>
          <w:color w:val="000000"/>
          <w:sz w:val="18"/>
          <w:szCs w:val="20"/>
        </w:rPr>
        <w:br w:type="page"/>
      </w:r>
    </w:p>
    <w:p w14:paraId="5E574033"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lastRenderedPageBreak/>
        <w:t>Humanitārās zinātnes un māksla</w:t>
      </w:r>
    </w:p>
    <w:p w14:paraId="5446BD3E"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38D6CFC3" w14:textId="77777777" w:rsidR="00024B8C" w:rsidRPr="00D829F0" w:rsidRDefault="00024B8C" w:rsidP="00024B8C">
      <w:pPr>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59EC0964" wp14:editId="1EC1904B">
            <wp:extent cx="1440000" cy="1440000"/>
            <wp:effectExtent l="0" t="0" r="8255" b="8255"/>
            <wp:docPr id="239" name="Chart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2D222D4F" wp14:editId="1DBAD143">
            <wp:extent cx="2808000" cy="1440000"/>
            <wp:effectExtent l="0" t="0" r="0" b="8255"/>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color w:val="000000"/>
          <w:sz w:val="16"/>
          <w:lang w:eastAsia="lv-LV"/>
        </w:rPr>
        <w:drawing>
          <wp:inline distT="0" distB="0" distL="0" distR="0" wp14:anchorId="570EF56E" wp14:editId="6B0A06D1">
            <wp:extent cx="1440000" cy="1440000"/>
            <wp:effectExtent l="0" t="0" r="8255" b="8255"/>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66357CCC" w14:textId="77777777" w:rsidR="005F3312" w:rsidRDefault="005F3312" w:rsidP="005F3312">
      <w:pPr>
        <w:spacing w:after="120"/>
        <w:rPr>
          <w:rFonts w:ascii="Source Sans Pro" w:hAnsi="Source Sans Pro"/>
          <w:szCs w:val="26"/>
        </w:rPr>
      </w:pPr>
    </w:p>
    <w:p w14:paraId="500AABEB" w14:textId="77777777" w:rsidR="005F3312" w:rsidRPr="00D829F0" w:rsidRDefault="005F3312" w:rsidP="005F3312">
      <w:pPr>
        <w:spacing w:after="120"/>
        <w:rPr>
          <w:rFonts w:ascii="Source Sans Pro" w:hAnsi="Source Sans Pro"/>
          <w:szCs w:val="26"/>
        </w:rPr>
      </w:pPr>
    </w:p>
    <w:p w14:paraId="4C00ECE8"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Sociālās zinātnes, komerczinības un tiesības</w:t>
      </w:r>
    </w:p>
    <w:p w14:paraId="5A8D4E6E"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7A06BD1B" w14:textId="12A5E5C6"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023E6F0F" wp14:editId="24C7C447">
            <wp:extent cx="1440000" cy="1440000"/>
            <wp:effectExtent l="0" t="0" r="8255" b="8255"/>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545CDCF1" wp14:editId="30605302">
            <wp:extent cx="2808000" cy="1440000"/>
            <wp:effectExtent l="0" t="0" r="0" b="8255"/>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r w:rsidRPr="00D829F0">
        <w:rPr>
          <w:rFonts w:ascii="Source Sans Pro" w:hAnsi="Source Sans Pro"/>
          <w:color w:val="000000"/>
          <w:sz w:val="16"/>
          <w:szCs w:val="16"/>
        </w:rPr>
        <w:t xml:space="preserve">   </w:t>
      </w:r>
      <w:r w:rsidR="00F8544D" w:rsidRPr="00D829F0">
        <w:rPr>
          <w:rFonts w:ascii="Source Sans Pro" w:hAnsi="Source Sans Pro"/>
          <w:noProof/>
          <w:color w:val="000000"/>
          <w:sz w:val="16"/>
          <w:lang w:eastAsia="lv-LV"/>
        </w:rPr>
        <w:drawing>
          <wp:inline distT="0" distB="0" distL="0" distR="0" wp14:anchorId="0E1D4BDD" wp14:editId="7FF4BD2B">
            <wp:extent cx="1440000" cy="1440000"/>
            <wp:effectExtent l="0" t="0" r="8255" b="8255"/>
            <wp:docPr id="1798948669" name="Chart 17989486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06BBB013" w14:textId="77777777" w:rsidR="000816FF" w:rsidRPr="00D829F0" w:rsidRDefault="000816FF" w:rsidP="000816FF">
      <w:pPr>
        <w:spacing w:after="120"/>
        <w:rPr>
          <w:rFonts w:ascii="Source Sans Pro" w:hAnsi="Source Sans Pro"/>
          <w:szCs w:val="26"/>
        </w:rPr>
      </w:pPr>
    </w:p>
    <w:p w14:paraId="69D60EA0" w14:textId="77777777" w:rsidR="005F3312" w:rsidRPr="00D829F0" w:rsidRDefault="005F3312" w:rsidP="000816FF">
      <w:pPr>
        <w:spacing w:after="120"/>
        <w:rPr>
          <w:rFonts w:ascii="Source Sans Pro" w:hAnsi="Source Sans Pro"/>
          <w:szCs w:val="26"/>
        </w:rPr>
      </w:pPr>
    </w:p>
    <w:p w14:paraId="426456A6"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Dabas zinātnes, matemātika un informācijas tehnoloģijas</w:t>
      </w:r>
    </w:p>
    <w:p w14:paraId="1E5CFD64"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7071AC0F" w14:textId="3013AA49"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3ED7C88E" wp14:editId="61A8D387">
            <wp:extent cx="1440000" cy="1440000"/>
            <wp:effectExtent l="0" t="0" r="8255" b="8255"/>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63D69F47" wp14:editId="019C0B01">
            <wp:extent cx="2808000" cy="1440000"/>
            <wp:effectExtent l="0" t="0" r="0" b="8255"/>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r w:rsidRPr="00D829F0">
        <w:rPr>
          <w:rFonts w:ascii="Source Sans Pro" w:hAnsi="Source Sans Pro"/>
          <w:color w:val="000000"/>
          <w:sz w:val="16"/>
          <w:szCs w:val="16"/>
        </w:rPr>
        <w:t xml:space="preserve">   </w:t>
      </w:r>
      <w:r w:rsidR="001B5A2E" w:rsidRPr="00D829F0">
        <w:rPr>
          <w:rFonts w:ascii="Source Sans Pro" w:hAnsi="Source Sans Pro"/>
          <w:noProof/>
          <w:color w:val="000000"/>
          <w:sz w:val="16"/>
          <w:lang w:eastAsia="lv-LV"/>
        </w:rPr>
        <w:drawing>
          <wp:inline distT="0" distB="0" distL="0" distR="0" wp14:anchorId="416E8F45" wp14:editId="69FF3DDA">
            <wp:extent cx="1440000" cy="1440000"/>
            <wp:effectExtent l="0" t="0" r="8255" b="8255"/>
            <wp:docPr id="2065062445" name="Chart 20650624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53E2A745" w14:textId="77777777" w:rsidR="00024B8C" w:rsidRPr="00D829F0" w:rsidRDefault="00024B8C" w:rsidP="000816FF">
      <w:pPr>
        <w:spacing w:after="120"/>
        <w:ind w:right="-285"/>
        <w:rPr>
          <w:rFonts w:ascii="Source Sans Pro" w:hAnsi="Source Sans Pro"/>
          <w:color w:val="000000"/>
          <w:sz w:val="16"/>
        </w:rPr>
      </w:pPr>
    </w:p>
    <w:p w14:paraId="193558BB" w14:textId="77777777" w:rsidR="005F3312" w:rsidRDefault="005F3312">
      <w:pPr>
        <w:spacing w:after="0"/>
        <w:rPr>
          <w:rFonts w:ascii="Source Sans Pro" w:hAnsi="Source Sans Pro"/>
          <w:b/>
          <w:color w:val="000000"/>
          <w:sz w:val="18"/>
          <w:szCs w:val="20"/>
        </w:rPr>
      </w:pPr>
      <w:r>
        <w:rPr>
          <w:rFonts w:ascii="Source Sans Pro" w:hAnsi="Source Sans Pro"/>
          <w:b/>
          <w:color w:val="000000"/>
          <w:sz w:val="18"/>
          <w:szCs w:val="20"/>
        </w:rPr>
        <w:br w:type="page"/>
      </w:r>
    </w:p>
    <w:p w14:paraId="3937EA98"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lastRenderedPageBreak/>
        <w:t>Inženierzinātnes, ražošana un būvniecība</w:t>
      </w:r>
    </w:p>
    <w:p w14:paraId="312F8B9B"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080B909B" w14:textId="5CFB7AA0"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3FBD5FF2" wp14:editId="70C0F538">
            <wp:extent cx="1440000" cy="1440000"/>
            <wp:effectExtent l="0" t="0" r="8255" b="8255"/>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02AEB774" wp14:editId="569B68AF">
            <wp:extent cx="2808000" cy="1440000"/>
            <wp:effectExtent l="0" t="0" r="0" b="8255"/>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r w:rsidRPr="00D829F0">
        <w:rPr>
          <w:rFonts w:ascii="Source Sans Pro" w:hAnsi="Source Sans Pro"/>
          <w:color w:val="000000"/>
          <w:sz w:val="16"/>
          <w:szCs w:val="16"/>
        </w:rPr>
        <w:t xml:space="preserve">   </w:t>
      </w:r>
      <w:r w:rsidR="00FF2E76" w:rsidRPr="00D829F0">
        <w:rPr>
          <w:rFonts w:ascii="Source Sans Pro" w:hAnsi="Source Sans Pro"/>
          <w:noProof/>
          <w:color w:val="000000"/>
          <w:sz w:val="16"/>
          <w:lang w:eastAsia="lv-LV"/>
        </w:rPr>
        <w:drawing>
          <wp:inline distT="0" distB="0" distL="0" distR="0" wp14:anchorId="35B991D6" wp14:editId="6E8EA0EF">
            <wp:extent cx="1440000" cy="1440000"/>
            <wp:effectExtent l="0" t="0" r="8255" b="8255"/>
            <wp:docPr id="1447507074" name="Chart 14475070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35C156F4" w14:textId="77777777" w:rsidR="005F3312" w:rsidRDefault="005F3312" w:rsidP="005F3312">
      <w:pPr>
        <w:spacing w:after="120"/>
        <w:jc w:val="center"/>
        <w:rPr>
          <w:rFonts w:ascii="Source Sans Pro" w:hAnsi="Source Sans Pro"/>
          <w:b/>
          <w:bCs/>
          <w:color w:val="000000"/>
          <w:sz w:val="18"/>
          <w:szCs w:val="20"/>
        </w:rPr>
      </w:pPr>
    </w:p>
    <w:p w14:paraId="0664AB34" w14:textId="77777777" w:rsidR="005F3312" w:rsidRPr="00D829F0" w:rsidRDefault="005F3312" w:rsidP="005F3312">
      <w:pPr>
        <w:spacing w:after="120"/>
        <w:jc w:val="center"/>
        <w:rPr>
          <w:rFonts w:ascii="Source Sans Pro" w:hAnsi="Source Sans Pro"/>
          <w:b/>
          <w:bCs/>
          <w:color w:val="000000"/>
          <w:sz w:val="18"/>
          <w:szCs w:val="20"/>
        </w:rPr>
      </w:pPr>
    </w:p>
    <w:p w14:paraId="298C2473"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Lauksaimniecība</w:t>
      </w:r>
    </w:p>
    <w:p w14:paraId="005F202E"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5C62345D" w14:textId="3438E929"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268F6E69" wp14:editId="358C640C">
            <wp:extent cx="1440000" cy="1440000"/>
            <wp:effectExtent l="0" t="0" r="8255" b="8255"/>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6E0205AD" wp14:editId="1FA888BD">
            <wp:extent cx="2808000" cy="1440000"/>
            <wp:effectExtent l="0" t="0" r="0" b="8255"/>
            <wp:docPr id="337" name="Chart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r w:rsidRPr="00D829F0">
        <w:rPr>
          <w:rFonts w:ascii="Source Sans Pro" w:hAnsi="Source Sans Pro"/>
          <w:color w:val="000000"/>
          <w:sz w:val="16"/>
          <w:szCs w:val="16"/>
        </w:rPr>
        <w:t xml:space="preserve">   </w:t>
      </w:r>
      <w:r w:rsidR="00F4257D" w:rsidRPr="00D829F0">
        <w:rPr>
          <w:rFonts w:ascii="Source Sans Pro" w:hAnsi="Source Sans Pro"/>
          <w:noProof/>
          <w:color w:val="000000"/>
          <w:sz w:val="16"/>
          <w:lang w:eastAsia="lv-LV"/>
        </w:rPr>
        <w:drawing>
          <wp:inline distT="0" distB="0" distL="0" distR="0" wp14:anchorId="09877D25" wp14:editId="361569F5">
            <wp:extent cx="1440000" cy="1440000"/>
            <wp:effectExtent l="0" t="0" r="8255" b="8255"/>
            <wp:docPr id="530370473" name="Chart 530370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7010B295" w14:textId="77777777" w:rsidR="000816FF" w:rsidRPr="00D829F0" w:rsidRDefault="000816FF" w:rsidP="000816FF">
      <w:pPr>
        <w:spacing w:after="120"/>
        <w:jc w:val="center"/>
        <w:rPr>
          <w:rFonts w:ascii="Source Sans Pro" w:hAnsi="Source Sans Pro"/>
          <w:b/>
          <w:color w:val="000000"/>
          <w:sz w:val="18"/>
          <w:szCs w:val="20"/>
        </w:rPr>
      </w:pPr>
    </w:p>
    <w:p w14:paraId="67451F6F" w14:textId="77777777" w:rsidR="005F3312" w:rsidRPr="00D829F0" w:rsidRDefault="005F3312" w:rsidP="000816FF">
      <w:pPr>
        <w:spacing w:after="120"/>
        <w:jc w:val="center"/>
        <w:rPr>
          <w:rFonts w:ascii="Source Sans Pro" w:hAnsi="Source Sans Pro"/>
          <w:b/>
          <w:bCs/>
          <w:color w:val="000000"/>
          <w:sz w:val="18"/>
          <w:szCs w:val="20"/>
        </w:rPr>
      </w:pPr>
    </w:p>
    <w:p w14:paraId="46371086"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Veselības aprūpe un sociālā labklājība</w:t>
      </w:r>
    </w:p>
    <w:p w14:paraId="4981C15E"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11E40114" w14:textId="00BBD41C"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044128B8" wp14:editId="65E70031">
            <wp:extent cx="1440000" cy="1440000"/>
            <wp:effectExtent l="0" t="0" r="8255" b="8255"/>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3A95CB11" wp14:editId="6902B311">
            <wp:extent cx="2808000" cy="1440000"/>
            <wp:effectExtent l="0" t="0" r="0" b="8255"/>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r w:rsidRPr="00D829F0">
        <w:rPr>
          <w:rFonts w:ascii="Source Sans Pro" w:hAnsi="Source Sans Pro"/>
          <w:color w:val="000000"/>
          <w:sz w:val="16"/>
          <w:szCs w:val="16"/>
        </w:rPr>
        <w:t xml:space="preserve">   </w:t>
      </w:r>
      <w:r w:rsidR="00F4257D" w:rsidRPr="00D829F0">
        <w:rPr>
          <w:rFonts w:ascii="Source Sans Pro" w:hAnsi="Source Sans Pro"/>
          <w:noProof/>
          <w:color w:val="000000"/>
          <w:sz w:val="16"/>
          <w:lang w:eastAsia="lv-LV"/>
        </w:rPr>
        <w:drawing>
          <wp:inline distT="0" distB="0" distL="0" distR="0" wp14:anchorId="75DBE28B" wp14:editId="22D3E56E">
            <wp:extent cx="1440000" cy="1440000"/>
            <wp:effectExtent l="0" t="0" r="8255" b="8255"/>
            <wp:docPr id="1357273595" name="Chart 13572735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535FFB09" w14:textId="77777777" w:rsidR="000816FF" w:rsidRPr="00D829F0" w:rsidRDefault="000816FF" w:rsidP="000816FF">
      <w:pPr>
        <w:spacing w:after="120"/>
        <w:jc w:val="center"/>
        <w:rPr>
          <w:rFonts w:ascii="Source Sans Pro" w:hAnsi="Source Sans Pro"/>
          <w:b/>
          <w:color w:val="000000"/>
          <w:sz w:val="18"/>
          <w:szCs w:val="20"/>
        </w:rPr>
      </w:pPr>
    </w:p>
    <w:p w14:paraId="14145787" w14:textId="77777777" w:rsidR="005F3312" w:rsidRDefault="005F3312">
      <w:pPr>
        <w:spacing w:after="0"/>
        <w:rPr>
          <w:rFonts w:ascii="Source Sans Pro" w:hAnsi="Source Sans Pro"/>
          <w:b/>
          <w:color w:val="000000"/>
          <w:sz w:val="18"/>
          <w:szCs w:val="20"/>
        </w:rPr>
      </w:pPr>
      <w:r>
        <w:rPr>
          <w:rFonts w:ascii="Source Sans Pro" w:hAnsi="Source Sans Pro"/>
          <w:b/>
          <w:color w:val="000000"/>
          <w:sz w:val="18"/>
          <w:szCs w:val="20"/>
        </w:rPr>
        <w:br w:type="page"/>
      </w:r>
    </w:p>
    <w:p w14:paraId="6380C3E7"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lastRenderedPageBreak/>
        <w:t>Pakalpojumi</w:t>
      </w:r>
    </w:p>
    <w:p w14:paraId="5DE85473"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34FCB052" w14:textId="45680C12"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56CA6F71" wp14:editId="7AFAC905">
            <wp:extent cx="1440000" cy="1440000"/>
            <wp:effectExtent l="0" t="0" r="8255" b="8255"/>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4D8BA95C" wp14:editId="29703700">
            <wp:extent cx="2808000" cy="1440000"/>
            <wp:effectExtent l="0" t="0" r="0" b="8255"/>
            <wp:docPr id="339" name="Chart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r w:rsidRPr="00D829F0">
        <w:rPr>
          <w:rFonts w:ascii="Source Sans Pro" w:hAnsi="Source Sans Pro"/>
          <w:color w:val="000000"/>
          <w:sz w:val="16"/>
          <w:szCs w:val="16"/>
        </w:rPr>
        <w:t xml:space="preserve">   </w:t>
      </w:r>
      <w:r w:rsidR="00611E98" w:rsidRPr="00D829F0">
        <w:rPr>
          <w:rFonts w:ascii="Source Sans Pro" w:hAnsi="Source Sans Pro"/>
          <w:noProof/>
          <w:color w:val="000000"/>
          <w:sz w:val="16"/>
          <w:lang w:eastAsia="lv-LV"/>
        </w:rPr>
        <w:drawing>
          <wp:inline distT="0" distB="0" distL="0" distR="0" wp14:anchorId="24747B36" wp14:editId="01FEB0DE">
            <wp:extent cx="1440000" cy="1440000"/>
            <wp:effectExtent l="0" t="0" r="8255" b="8255"/>
            <wp:docPr id="2080513533" name="Chart 20805135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5D050CE2" w14:textId="378018C9" w:rsidR="00024B8C" w:rsidRPr="00D829F0" w:rsidRDefault="00024B8C" w:rsidP="00024B8C">
      <w:pPr>
        <w:spacing w:after="120"/>
        <w:jc w:val="both"/>
        <w:rPr>
          <w:rFonts w:ascii="Source Sans Pro" w:hAnsi="Source Sans Pro" w:cs="Calibri Light"/>
          <w:sz w:val="16"/>
          <w:szCs w:val="14"/>
        </w:rPr>
      </w:pPr>
      <w:r w:rsidRPr="00D829F0">
        <w:rPr>
          <w:rFonts w:ascii="Source Sans Pro" w:hAnsi="Source Sans Pro" w:cs="Calibri Light"/>
          <w:sz w:val="16"/>
          <w:szCs w:val="14"/>
        </w:rPr>
        <w:t>Avots: CSP dati 202</w:t>
      </w:r>
      <w:r w:rsidR="00611E98" w:rsidRPr="00D829F0">
        <w:rPr>
          <w:rFonts w:ascii="Source Sans Pro" w:hAnsi="Source Sans Pro" w:cs="Calibri Light"/>
          <w:sz w:val="16"/>
          <w:szCs w:val="14"/>
        </w:rPr>
        <w:t>5</w:t>
      </w:r>
      <w:r w:rsidRPr="00D829F0">
        <w:rPr>
          <w:rFonts w:ascii="Source Sans Pro" w:hAnsi="Source Sans Pro" w:cs="Calibri Light"/>
          <w:sz w:val="16"/>
          <w:szCs w:val="14"/>
        </w:rPr>
        <w:t>. gadam, EM prognozes sākot ar 202</w:t>
      </w:r>
      <w:r w:rsidR="00611E98" w:rsidRPr="00D829F0">
        <w:rPr>
          <w:rFonts w:ascii="Source Sans Pro" w:hAnsi="Source Sans Pro" w:cs="Calibri Light"/>
          <w:sz w:val="16"/>
          <w:szCs w:val="14"/>
        </w:rPr>
        <w:t>6</w:t>
      </w:r>
      <w:r w:rsidRPr="00D829F0">
        <w:rPr>
          <w:rFonts w:ascii="Source Sans Pro" w:hAnsi="Source Sans Pro" w:cs="Calibri Light"/>
          <w:sz w:val="16"/>
          <w:szCs w:val="14"/>
        </w:rPr>
        <w:t>. gadu</w:t>
      </w:r>
    </w:p>
    <w:p w14:paraId="121B43E8" w14:textId="74C29D23" w:rsidR="0016645F" w:rsidRPr="00D829F0" w:rsidRDefault="0016645F" w:rsidP="000816FF">
      <w:pPr>
        <w:spacing w:after="120"/>
        <w:jc w:val="both"/>
        <w:rPr>
          <w:rFonts w:ascii="Source Sans Pro" w:hAnsi="Source Sans Pro"/>
          <w:szCs w:val="26"/>
        </w:rPr>
      </w:pPr>
    </w:p>
    <w:p w14:paraId="6AFFEC8E" w14:textId="4F0231F7" w:rsidR="00024B8C" w:rsidRPr="00D829F0" w:rsidRDefault="003A29EB" w:rsidP="000816FF">
      <w:pPr>
        <w:spacing w:after="120"/>
        <w:jc w:val="both"/>
        <w:rPr>
          <w:rFonts w:ascii="Source Sans Pro" w:hAnsi="Source Sans Pro"/>
        </w:rPr>
      </w:pPr>
      <w:r w:rsidRPr="00D829F0">
        <w:rPr>
          <w:rFonts w:ascii="Source Sans Pro" w:hAnsi="Source Sans Pro"/>
        </w:rPr>
        <w:t xml:space="preserve">Saglabājoties esošajai augstākās izglītības piedāvājuma struktūrai, būtiskākais darbaspēka iztrūkums </w:t>
      </w:r>
      <w:r w:rsidRPr="00D829F0">
        <w:rPr>
          <w:rFonts w:ascii="Source Sans Pro" w:hAnsi="Source Sans Pro"/>
          <w:b/>
        </w:rPr>
        <w:t>augstākās izglītības grupā</w:t>
      </w:r>
      <w:r w:rsidRPr="00D829F0">
        <w:rPr>
          <w:rFonts w:ascii="Source Sans Pro" w:hAnsi="Source Sans Pro"/>
        </w:rPr>
        <w:t xml:space="preserve"> sagaidāms pēc speciālistiem ar izglītību inženierzinātņu, dabaszinātņu un IKT jeb STEM jomās. Atbilstošās kvalifikācijas speciālistu iztrūkums līdz 2030.</w:t>
      </w:r>
      <w:r w:rsidR="009F1092">
        <w:rPr>
          <w:rFonts w:ascii="Source Sans Pro" w:hAnsi="Source Sans Pro"/>
        </w:rPr>
        <w:t> </w:t>
      </w:r>
      <w:r w:rsidRPr="00D829F0">
        <w:rPr>
          <w:rFonts w:ascii="Source Sans Pro" w:hAnsi="Source Sans Pro"/>
        </w:rPr>
        <w:t>gadam varētu sasniegt aptuveni 8</w:t>
      </w:r>
      <w:r w:rsidR="009F1092">
        <w:rPr>
          <w:rFonts w:ascii="Source Sans Pro" w:hAnsi="Source Sans Pro"/>
        </w:rPr>
        <w:t> </w:t>
      </w:r>
      <w:r w:rsidRPr="00D829F0">
        <w:rPr>
          <w:rFonts w:ascii="Source Sans Pro" w:hAnsi="Source Sans Pro"/>
        </w:rPr>
        <w:t>tūkst. speciālistu, tai skaitā dabaszinātņu, matemātikas un informācijas tehnoloģiju tematiskajā grupā iztrūkums varētu būt gandrīz 4</w:t>
      </w:r>
      <w:r w:rsidR="009F1092">
        <w:rPr>
          <w:rFonts w:ascii="Source Sans Pro" w:hAnsi="Source Sans Pro"/>
        </w:rPr>
        <w:t> </w:t>
      </w:r>
      <w:r w:rsidRPr="00D829F0">
        <w:rPr>
          <w:rFonts w:ascii="Source Sans Pro" w:hAnsi="Source Sans Pro"/>
        </w:rPr>
        <w:t>tūkst., bet inženierzinātņu, ražošanas un būvniecības tematiskajā grupā – nepilni 4 tūkst. speciālistu. Ilgtermiņā šajās tematiskajās grupās iztrūkums varētu turpināt pieaugt, īpaši dabaszinātņu, matemātikas un informācijas tehnoloģiju jomā.</w:t>
      </w:r>
    </w:p>
    <w:p w14:paraId="7722EFEE" w14:textId="14FD87EB" w:rsidR="00024B8C" w:rsidRPr="00D829F0" w:rsidRDefault="004E69F9" w:rsidP="000816FF">
      <w:pPr>
        <w:spacing w:after="120"/>
        <w:jc w:val="both"/>
        <w:rPr>
          <w:rFonts w:ascii="Source Sans Pro" w:hAnsi="Source Sans Pro"/>
        </w:rPr>
      </w:pPr>
      <w:r w:rsidRPr="00D829F0">
        <w:rPr>
          <w:rFonts w:ascii="Source Sans Pro" w:hAnsi="Source Sans Pro"/>
        </w:rPr>
        <w:t>Joprojām tiek sagatavoti mazāk speciālistu ar izglītību STEM virzienos nekā darba tirgū turpmākajos gados būs nepieciešams. Vienlaikus, salīdzinot ar 2024.</w:t>
      </w:r>
      <w:r w:rsidR="009F1092">
        <w:rPr>
          <w:rFonts w:ascii="Source Sans Pro" w:hAnsi="Source Sans Pro"/>
        </w:rPr>
        <w:t> </w:t>
      </w:r>
      <w:r w:rsidRPr="00D829F0">
        <w:rPr>
          <w:rFonts w:ascii="Source Sans Pro" w:hAnsi="Source Sans Pro"/>
        </w:rPr>
        <w:t>gada EM vidēja un ilgtermiņa darba tirgus prognozēm, prognozējamais darbaspēka iztrūkums pēc speciālistiem ar STEM izglītību ir samazinājies. 2024.</w:t>
      </w:r>
      <w:r w:rsidR="009F1092">
        <w:rPr>
          <w:rFonts w:ascii="Source Sans Pro" w:hAnsi="Source Sans Pro"/>
        </w:rPr>
        <w:t> </w:t>
      </w:r>
      <w:r w:rsidRPr="00D829F0">
        <w:rPr>
          <w:rFonts w:ascii="Source Sans Pro" w:hAnsi="Source Sans Pro"/>
        </w:rPr>
        <w:t>gada prognozēs uz 2030.</w:t>
      </w:r>
      <w:r w:rsidR="009F1092">
        <w:rPr>
          <w:rFonts w:ascii="Source Sans Pro" w:hAnsi="Source Sans Pro"/>
        </w:rPr>
        <w:t> </w:t>
      </w:r>
      <w:r w:rsidRPr="00D829F0">
        <w:rPr>
          <w:rFonts w:ascii="Source Sans Pro" w:hAnsi="Source Sans Pro"/>
        </w:rPr>
        <w:t>gadu tika prognozēts aptuveni 10 tūkst. speciālistu iztrūkums STEM virzienos, savukārt aktualizētajās prognozēs tas ir aptuveni 8</w:t>
      </w:r>
      <w:r w:rsidR="009F1092">
        <w:rPr>
          <w:rFonts w:ascii="Source Sans Pro" w:hAnsi="Source Sans Pro"/>
        </w:rPr>
        <w:t> </w:t>
      </w:r>
      <w:r w:rsidRPr="00D829F0">
        <w:rPr>
          <w:rFonts w:ascii="Source Sans Pro" w:hAnsi="Source Sans Pro"/>
        </w:rPr>
        <w:t>tūkst. speciālistu. Izmaiņas galvenokārt saistītas ar aktualizēto darbaspēka pieprasījuma un piedāvājuma bāzes situāciju, tomēr kopumā darbaspēka nepietiekamības riski STEM virzienos joprojām saglabājas būtiski.</w:t>
      </w:r>
    </w:p>
    <w:p w14:paraId="125B707B" w14:textId="7D1908D0" w:rsidR="00024B8C" w:rsidRPr="00D829F0" w:rsidRDefault="004E69F9" w:rsidP="000816FF">
      <w:pPr>
        <w:spacing w:after="120"/>
        <w:jc w:val="both"/>
        <w:rPr>
          <w:rFonts w:ascii="Source Sans Pro" w:hAnsi="Source Sans Pro"/>
        </w:rPr>
      </w:pPr>
      <w:r w:rsidRPr="00D829F0">
        <w:rPr>
          <w:rFonts w:ascii="Source Sans Pro" w:hAnsi="Source Sans Pro"/>
        </w:rPr>
        <w:t>Lauksaimniecības tematiskajā grupā, līdzīgi kā 2024.</w:t>
      </w:r>
      <w:r w:rsidR="009F1092">
        <w:rPr>
          <w:rFonts w:ascii="Source Sans Pro" w:hAnsi="Source Sans Pro"/>
        </w:rPr>
        <w:t> </w:t>
      </w:r>
      <w:r w:rsidRPr="00D829F0">
        <w:rPr>
          <w:rFonts w:ascii="Source Sans Pro" w:hAnsi="Source Sans Pro"/>
        </w:rPr>
        <w:t>gada prognozēs, arī pašreizējās prognozēs darbaspēka pieprasījums un piedāvājums vidējā termiņā būs tuvu līdzsvaram. Tomēr ilgtermiņā var veidoties neliels atbilstošās kvalifikācijas speciālistu iztrūkums. Tas saistīts gan ar darbaspēka novecošanos, gan ar nepieciešamību pēc augstākas kvalifikācijas speciālistiem nozares modernizācijai, tehnoloģiju ieviešanai un produktivitātes kāpināšanai.</w:t>
      </w:r>
    </w:p>
    <w:p w14:paraId="3590BE2D" w14:textId="77777777" w:rsidR="004E69F9" w:rsidRPr="00D829F0" w:rsidRDefault="004E69F9" w:rsidP="000816FF">
      <w:pPr>
        <w:spacing w:after="120"/>
        <w:jc w:val="both"/>
        <w:rPr>
          <w:rFonts w:ascii="Source Sans Pro" w:hAnsi="Source Sans Pro"/>
        </w:rPr>
      </w:pPr>
      <w:r w:rsidRPr="00D829F0">
        <w:rPr>
          <w:rFonts w:ascii="Source Sans Pro" w:hAnsi="Source Sans Pro"/>
        </w:rPr>
        <w:t>Vienlaikus veselības aprūpes un sociālās labklājības tematiskajā grupā situācija turpinās būt sabalansēta. Kopumā vidējā termiņā darbaspēka pieprasījums un piedāvājums šajā tematiskajā grupā būs līdzsvarā. Tomēr ilgtermiņā pieprasījums var nedaudz pārsniegt piedāvājumu, ņemot vērā sabiedrības novecošanos un pieaugošo pieprasījumu pēc veselības un sociālās aprūpes pakalpojumiem.</w:t>
      </w:r>
    </w:p>
    <w:p w14:paraId="0EE0CC78" w14:textId="13E117E9" w:rsidR="00024B8C" w:rsidRPr="00D829F0" w:rsidRDefault="00094EC1" w:rsidP="000816FF">
      <w:pPr>
        <w:spacing w:after="120"/>
        <w:jc w:val="both"/>
        <w:rPr>
          <w:rFonts w:ascii="Source Sans Pro" w:hAnsi="Source Sans Pro"/>
        </w:rPr>
      </w:pPr>
      <w:r w:rsidRPr="00D829F0">
        <w:rPr>
          <w:rFonts w:ascii="Source Sans Pro" w:hAnsi="Source Sans Pro"/>
        </w:rPr>
        <w:t>Relatīvajā izteiksmē lielākais darbaspēka pārpalikums ar augstāko izglītību prognozējams humanitāro zinātņu un mākslas, pakalpojumu, izglītības, kā arī sociālo zinātņu, komerczinību un tiesību tematiskajās grupās. Šajās tematiskajās grupās 2030.</w:t>
      </w:r>
      <w:r w:rsidR="009F1092">
        <w:rPr>
          <w:rFonts w:ascii="Source Sans Pro" w:hAnsi="Source Sans Pro"/>
        </w:rPr>
        <w:t> </w:t>
      </w:r>
      <w:r w:rsidRPr="00D829F0">
        <w:rPr>
          <w:rFonts w:ascii="Source Sans Pro" w:hAnsi="Source Sans Pro"/>
        </w:rPr>
        <w:t>gadā darbaspēka piedāvājums pārsniegs pieprasījumu, lai gan ilgtermiņā situācija pa jomām atšķirsies. Humanitāro zinātņu un mākslas, sociālo zinātņu, komerczinību un tiesību, kā arī pakalpojumu tematiskajās grupās pārpalikums saglabāsies arī ilgtermiņā, savukārt izglītības tematiskajā grupā pēc 2030. gada piedāvājuma un pieprasījuma starpība pakāpeniski samazināsies.</w:t>
      </w:r>
    </w:p>
    <w:p w14:paraId="6110C61F" w14:textId="0777EDEF" w:rsidR="00024B8C" w:rsidRPr="00D829F0" w:rsidRDefault="00B011D0" w:rsidP="000816FF">
      <w:pPr>
        <w:spacing w:after="120"/>
        <w:jc w:val="both"/>
        <w:rPr>
          <w:rFonts w:ascii="Source Sans Pro" w:hAnsi="Source Sans Pro"/>
        </w:rPr>
      </w:pPr>
      <w:r w:rsidRPr="00D829F0">
        <w:rPr>
          <w:rFonts w:ascii="Source Sans Pro" w:hAnsi="Source Sans Pro"/>
        </w:rPr>
        <w:t>Absolūtā izteiksmē lielākais darbaspēka pārpalikums joprojām sagaidāms ar izglītību sociālajās zinātnēs, komerczinībās un tiesībās. Līdz 2030.</w:t>
      </w:r>
      <w:r w:rsidR="009F1092">
        <w:rPr>
          <w:rFonts w:ascii="Source Sans Pro" w:hAnsi="Source Sans Pro"/>
        </w:rPr>
        <w:t> </w:t>
      </w:r>
      <w:r w:rsidRPr="00D829F0">
        <w:rPr>
          <w:rFonts w:ascii="Source Sans Pro" w:hAnsi="Source Sans Pro"/>
        </w:rPr>
        <w:t>gadam darbaspēka pārpalikums šajā tematiskajā grupā varētu sasniegt aptuveni 7,5</w:t>
      </w:r>
      <w:r w:rsidR="009F1092">
        <w:rPr>
          <w:rFonts w:ascii="Source Sans Pro" w:hAnsi="Source Sans Pro"/>
        </w:rPr>
        <w:t> </w:t>
      </w:r>
      <w:r w:rsidRPr="00D829F0">
        <w:rPr>
          <w:rFonts w:ascii="Source Sans Pro" w:hAnsi="Source Sans Pro"/>
        </w:rPr>
        <w:t>tūkst. speciālistu. Salīdzinot ar 2024.</w:t>
      </w:r>
      <w:r w:rsidR="009F1092">
        <w:rPr>
          <w:rFonts w:ascii="Source Sans Pro" w:hAnsi="Source Sans Pro"/>
        </w:rPr>
        <w:t> </w:t>
      </w:r>
      <w:r w:rsidRPr="00D829F0">
        <w:rPr>
          <w:rFonts w:ascii="Source Sans Pro" w:hAnsi="Source Sans Pro"/>
        </w:rPr>
        <w:t xml:space="preserve">gada prognozēm, prognozētais pārpalikums ir samazinājies, tomēr tas joprojām saglabājas būtisks. </w:t>
      </w:r>
      <w:r w:rsidR="009F1092">
        <w:rPr>
          <w:rFonts w:ascii="Source Sans Pro" w:hAnsi="Source Sans Pro"/>
        </w:rPr>
        <w:t>I</w:t>
      </w:r>
      <w:r w:rsidRPr="00D829F0">
        <w:rPr>
          <w:rFonts w:ascii="Source Sans Pro" w:hAnsi="Source Sans Pro"/>
        </w:rPr>
        <w:t>zmaiņas izglītības piedāvājumā darba tirgū atspoguļojas ar laika nobīdi, tādēļ plaisa starp atbilstošās kvalifikācijas speciālistu piedāvājumu un pieprasījumu šajā tematiskajā grupā saglabāsies arī nākamajos gados.</w:t>
      </w:r>
    </w:p>
    <w:p w14:paraId="19940A0F" w14:textId="77777777" w:rsidR="005F3312" w:rsidRDefault="005F3312">
      <w:pPr>
        <w:spacing w:after="0"/>
        <w:rPr>
          <w:rFonts w:ascii="Source Sans Pro" w:hAnsi="Source Sans Pro"/>
        </w:rPr>
      </w:pPr>
      <w:r>
        <w:rPr>
          <w:rFonts w:ascii="Source Sans Pro" w:hAnsi="Source Sans Pro"/>
        </w:rPr>
        <w:br w:type="page"/>
      </w:r>
    </w:p>
    <w:p w14:paraId="6E8949B5" w14:textId="0D9FEDC5" w:rsidR="00024B8C" w:rsidRPr="00D829F0" w:rsidRDefault="00C4184F" w:rsidP="00F149B5">
      <w:pPr>
        <w:spacing w:after="120"/>
        <w:jc w:val="both"/>
        <w:rPr>
          <w:rFonts w:ascii="Source Sans Pro" w:hAnsi="Source Sans Pro"/>
        </w:rPr>
      </w:pPr>
      <w:r w:rsidRPr="00D829F0">
        <w:rPr>
          <w:rFonts w:ascii="Source Sans Pro" w:hAnsi="Source Sans Pro"/>
        </w:rPr>
        <w:lastRenderedPageBreak/>
        <w:t>Vidējā termiņā darbaspēka pārpalikums saglabāsies tematiskajā grupā “Izglītība”. Kopumā darbaspēka pieprasījums pēc izglītības speciālistiem turpmākajos gados varētu pakāpeniski samazināties, kas saistīts gan ar skolu tīkla optimizāciju, gan arī kopējo izglītojamo skaita samazināšanos. Vienlaikus jāatzīmē, ka arī atbilstošās kvalifikācijas darbaspēka piedāvājums samazināsies – jauno darba tirgū ienākošo speciālistu skaits būs mazāks nekā to speciālistu skaits, kuri pametīs darba tirgu pensionēšanās vai citu iemeslu dēļ.</w:t>
      </w:r>
      <w:r w:rsidR="00024B8C" w:rsidRPr="00D829F0">
        <w:rPr>
          <w:rFonts w:ascii="Source Sans Pro" w:hAnsi="Source Sans Pro"/>
        </w:rPr>
        <w:t xml:space="preserve"> 202</w:t>
      </w:r>
      <w:r w:rsidRPr="00D829F0">
        <w:rPr>
          <w:rFonts w:ascii="Source Sans Pro" w:hAnsi="Source Sans Pro"/>
        </w:rPr>
        <w:t>5</w:t>
      </w:r>
      <w:r w:rsidR="00024B8C" w:rsidRPr="00D829F0">
        <w:rPr>
          <w:rFonts w:ascii="Source Sans Pro" w:hAnsi="Source Sans Pro"/>
        </w:rPr>
        <w:t>.</w:t>
      </w:r>
      <w:r w:rsidR="009F1092">
        <w:rPr>
          <w:rFonts w:ascii="Source Sans Pro" w:hAnsi="Source Sans Pro"/>
        </w:rPr>
        <w:t> </w:t>
      </w:r>
      <w:r w:rsidR="00024B8C" w:rsidRPr="00D829F0">
        <w:rPr>
          <w:rFonts w:ascii="Source Sans Pro" w:hAnsi="Source Sans Pro"/>
        </w:rPr>
        <w:t xml:space="preserve">gadā </w:t>
      </w:r>
      <w:r w:rsidR="00F020EC" w:rsidRPr="00D829F0">
        <w:rPr>
          <w:rFonts w:ascii="Source Sans Pro" w:hAnsi="Source Sans Pro"/>
        </w:rPr>
        <w:t>gandrīz</w:t>
      </w:r>
      <w:r w:rsidR="00024B8C" w:rsidRPr="00D829F0">
        <w:rPr>
          <w:rFonts w:ascii="Source Sans Pro" w:hAnsi="Source Sans Pro"/>
        </w:rPr>
        <w:t xml:space="preserve"> puse </w:t>
      </w:r>
      <w:r w:rsidR="00F020EC" w:rsidRPr="00D829F0">
        <w:rPr>
          <w:rFonts w:ascii="Source Sans Pro" w:hAnsi="Source Sans Pro"/>
        </w:rPr>
        <w:t xml:space="preserve">(47%) </w:t>
      </w:r>
      <w:r w:rsidR="00024B8C" w:rsidRPr="00D829F0">
        <w:rPr>
          <w:rFonts w:ascii="Source Sans Pro" w:hAnsi="Source Sans Pro"/>
        </w:rPr>
        <w:t>no kopējā darbaspēka piedāvājuma ar augstāko izglītību tematiskajā grupa „Izglītība” bija vecumā virs 50 gadiem, tādejādi nākamo 10-15 gadu laikā vairums no tiem pametīs darba tirgu.</w:t>
      </w:r>
      <w:r w:rsidR="00702616" w:rsidRPr="00D829F0">
        <w:rPr>
          <w:rFonts w:ascii="Source Sans Pro" w:hAnsi="Source Sans Pro"/>
        </w:rPr>
        <w:t xml:space="preserve"> </w:t>
      </w:r>
      <w:r w:rsidR="00D95BC6" w:rsidRPr="00D829F0">
        <w:rPr>
          <w:rFonts w:ascii="Source Sans Pro" w:hAnsi="Source Sans Pro"/>
        </w:rPr>
        <w:t>Līdz 2030.</w:t>
      </w:r>
      <w:r w:rsidR="009F1092">
        <w:rPr>
          <w:rFonts w:ascii="Source Sans Pro" w:hAnsi="Source Sans Pro"/>
        </w:rPr>
        <w:t> </w:t>
      </w:r>
      <w:r w:rsidR="00D95BC6" w:rsidRPr="00D829F0">
        <w:rPr>
          <w:rFonts w:ascii="Source Sans Pro" w:hAnsi="Source Sans Pro"/>
        </w:rPr>
        <w:t>gadam darbaspēka piedāvājums izglītības tematiskajā grupā varētu pārsniegt pieprasījumu par aptuveni 2</w:t>
      </w:r>
      <w:r w:rsidR="009F1092">
        <w:rPr>
          <w:rFonts w:ascii="Source Sans Pro" w:hAnsi="Source Sans Pro"/>
        </w:rPr>
        <w:t> </w:t>
      </w:r>
      <w:r w:rsidR="00D95BC6" w:rsidRPr="00D829F0">
        <w:rPr>
          <w:rFonts w:ascii="Source Sans Pro" w:hAnsi="Source Sans Pro"/>
        </w:rPr>
        <w:t>tūkst. speciālistu. Savukārt ilgtermiņā, darbaspēka piedāvājumam turpinot samazināties, situācija varētu mainīties, un 2040.</w:t>
      </w:r>
      <w:r w:rsidR="009F1092">
        <w:rPr>
          <w:rFonts w:ascii="Source Sans Pro" w:hAnsi="Source Sans Pro"/>
        </w:rPr>
        <w:t> </w:t>
      </w:r>
      <w:r w:rsidR="00D95BC6" w:rsidRPr="00D829F0">
        <w:rPr>
          <w:rFonts w:ascii="Source Sans Pro" w:hAnsi="Source Sans Pro"/>
        </w:rPr>
        <w:t>gadā var veidoties neliels atbilstošās kvalifikācijas speciālistu iztrūkums – aptuveni 1</w:t>
      </w:r>
      <w:r w:rsidR="009F1092">
        <w:rPr>
          <w:rFonts w:ascii="Source Sans Pro" w:hAnsi="Source Sans Pro"/>
        </w:rPr>
        <w:t> </w:t>
      </w:r>
      <w:r w:rsidR="00D95BC6" w:rsidRPr="00D829F0">
        <w:rPr>
          <w:rFonts w:ascii="Source Sans Pro" w:hAnsi="Source Sans Pro"/>
        </w:rPr>
        <w:t xml:space="preserve">tūkst. speciālistu apmērā. </w:t>
      </w:r>
      <w:r w:rsidR="009F1092">
        <w:rPr>
          <w:rFonts w:ascii="Source Sans Pro" w:hAnsi="Source Sans Pro"/>
        </w:rPr>
        <w:t>S</w:t>
      </w:r>
      <w:r w:rsidR="00D95BC6" w:rsidRPr="00D829F0">
        <w:rPr>
          <w:rFonts w:ascii="Source Sans Pro" w:hAnsi="Source Sans Pro"/>
        </w:rPr>
        <w:t>alīdzinājumā ar 2024.</w:t>
      </w:r>
      <w:r w:rsidR="009F1092">
        <w:rPr>
          <w:rFonts w:ascii="Source Sans Pro" w:hAnsi="Source Sans Pro"/>
        </w:rPr>
        <w:t> </w:t>
      </w:r>
      <w:r w:rsidR="00D95BC6" w:rsidRPr="00D829F0">
        <w:rPr>
          <w:rFonts w:ascii="Source Sans Pro" w:hAnsi="Source Sans Pro"/>
        </w:rPr>
        <w:t>gada prognozēm prognozētais darbaspēka pārpalikums izglītības tematiskajā grupā ir samazinājies, ko noteikušas gan darbaspēka piedāvājuma, gan pieprasījuma prognožu korekcijas.</w:t>
      </w:r>
    </w:p>
    <w:p w14:paraId="10B06915" w14:textId="7FC2E6B7" w:rsidR="00690182" w:rsidRPr="00D829F0" w:rsidRDefault="00690182" w:rsidP="00F149B5">
      <w:pPr>
        <w:spacing w:after="120"/>
        <w:jc w:val="both"/>
        <w:rPr>
          <w:rFonts w:ascii="Source Sans Pro" w:hAnsi="Source Sans Pro"/>
        </w:rPr>
      </w:pPr>
      <w:r w:rsidRPr="00D829F0">
        <w:rPr>
          <w:rFonts w:ascii="Source Sans Pro" w:hAnsi="Source Sans Pro"/>
        </w:rPr>
        <w:t>Kopumā augstākās izglītības segmentā darbaspēka pieprasījums un piedāvājums vidējā termiņā būs tuvu līdzsvaram, tomēr šis līdzsvars slēpj būtiskas neatbilstības pa izglītības tematiskajām grupām. STEM virzienos saglabāsies darbaspēka iztrūkuma riski, savukārt sociālo zinātņu, komerczinību un tiesību, humanitāro zinātņu un mākslas, pakalpojumu un izglītības tematiskajās grupās būs vērojams darbaspēka pārpalikums.</w:t>
      </w:r>
    </w:p>
    <w:p w14:paraId="1FA4E117" w14:textId="58340CC1" w:rsidR="0016645F" w:rsidRPr="00D829F0" w:rsidRDefault="0016645F" w:rsidP="00024B8C">
      <w:pPr>
        <w:spacing w:after="120"/>
        <w:jc w:val="right"/>
        <w:rPr>
          <w:rFonts w:ascii="Source Sans Pro" w:hAnsi="Source Sans Pro"/>
          <w:szCs w:val="26"/>
        </w:rPr>
      </w:pPr>
      <w:r w:rsidRPr="00D829F0">
        <w:rPr>
          <w:rFonts w:ascii="Source Sans Pro" w:hAnsi="Source Sans Pro"/>
          <w:szCs w:val="26"/>
        </w:rPr>
        <w:t>3.1</w:t>
      </w:r>
      <w:r w:rsidR="002C39ED">
        <w:rPr>
          <w:rFonts w:ascii="Source Sans Pro" w:hAnsi="Source Sans Pro"/>
          <w:szCs w:val="26"/>
        </w:rPr>
        <w:t>8</w:t>
      </w:r>
      <w:r w:rsidRPr="00D829F0">
        <w:rPr>
          <w:rFonts w:ascii="Source Sans Pro" w:hAnsi="Source Sans Pro"/>
          <w:szCs w:val="26"/>
        </w:rPr>
        <w:t>.</w:t>
      </w:r>
      <w:r w:rsidR="009F1092">
        <w:t> </w:t>
      </w:r>
      <w:r w:rsidRPr="00D829F0">
        <w:rPr>
          <w:rFonts w:ascii="Source Sans Pro" w:hAnsi="Source Sans Pro"/>
          <w:szCs w:val="26"/>
        </w:rPr>
        <w:t>attēls</w:t>
      </w:r>
    </w:p>
    <w:p w14:paraId="135BF7AA" w14:textId="4ED031EC" w:rsidR="0016645F" w:rsidRPr="00A468B3" w:rsidRDefault="0016645F" w:rsidP="000816FF">
      <w:pPr>
        <w:spacing w:after="120"/>
        <w:jc w:val="center"/>
        <w:rPr>
          <w:rFonts w:ascii="Segoe UI Light" w:hAnsi="Segoe UI Light"/>
          <w:i/>
          <w:sz w:val="16"/>
        </w:rPr>
      </w:pPr>
      <w:r w:rsidRPr="00A468B3">
        <w:rPr>
          <w:rFonts w:ascii="Segoe UI Light" w:hAnsi="Segoe UI Light"/>
          <w:b/>
          <w:sz w:val="18"/>
          <w:szCs w:val="26"/>
        </w:rPr>
        <w:t xml:space="preserve">Darbaspēka piedāvājuma un pieprasījuma prognozes </w:t>
      </w:r>
      <w:r w:rsidRPr="00A468B3">
        <w:rPr>
          <w:rFonts w:ascii="Segoe UI Light" w:hAnsi="Segoe UI Light"/>
          <w:b/>
          <w:sz w:val="18"/>
          <w:szCs w:val="26"/>
          <w:u w:val="single"/>
        </w:rPr>
        <w:t xml:space="preserve">ar vidējo </w:t>
      </w:r>
      <w:r w:rsidRPr="00A468B3">
        <w:rPr>
          <w:rFonts w:ascii="Segoe UI Light" w:hAnsi="Segoe UI Light"/>
          <w:b/>
          <w:color w:val="000000"/>
          <w:sz w:val="18"/>
          <w:szCs w:val="26"/>
          <w:u w:val="single"/>
        </w:rPr>
        <w:t>izglītību</w:t>
      </w:r>
      <w:r w:rsidRPr="00A468B3">
        <w:rPr>
          <w:rFonts w:ascii="Segoe UI Light" w:hAnsi="Segoe UI Light"/>
          <w:b/>
          <w:color w:val="000000"/>
          <w:sz w:val="18"/>
          <w:szCs w:val="26"/>
        </w:rPr>
        <w:t xml:space="preserve"> sadalījumā pa izglītības tematiskajām grupām</w:t>
      </w:r>
      <w:r w:rsidRPr="00A468B3">
        <w:rPr>
          <w:rFonts w:ascii="Segoe UI Light" w:hAnsi="Segoe UI Light"/>
          <w:b/>
          <w:color w:val="000000"/>
          <w:sz w:val="18"/>
          <w:szCs w:val="26"/>
        </w:rPr>
        <w:br/>
      </w:r>
      <w:r w:rsidRPr="00A468B3">
        <w:rPr>
          <w:rFonts w:ascii="Segoe UI Light" w:hAnsi="Segoe UI Light"/>
          <w:i/>
          <w:color w:val="000000"/>
          <w:sz w:val="16"/>
        </w:rPr>
        <w:t>procentos, pieprasījums pret piedāvājumu 2030.</w:t>
      </w:r>
      <w:r w:rsidR="0080669C" w:rsidRPr="00A468B3">
        <w:rPr>
          <w:rFonts w:ascii="Segoe UI Light" w:hAnsi="Segoe UI Light"/>
          <w:i/>
          <w:color w:val="000000"/>
          <w:sz w:val="16"/>
        </w:rPr>
        <w:t>gad</w:t>
      </w:r>
      <w:r w:rsidRPr="00A468B3">
        <w:rPr>
          <w:rFonts w:ascii="Segoe UI Light" w:hAnsi="Segoe UI Light"/>
          <w:i/>
          <w:color w:val="000000"/>
          <w:sz w:val="16"/>
        </w:rPr>
        <w:t>ā</w:t>
      </w:r>
    </w:p>
    <w:p w14:paraId="3880F23B" w14:textId="77777777" w:rsidR="00024B8C" w:rsidRPr="00A468B3" w:rsidRDefault="00024B8C" w:rsidP="000816FF">
      <w:pPr>
        <w:spacing w:after="120"/>
        <w:rPr>
          <w:rFonts w:ascii="Segoe UI Light" w:hAnsi="Segoe UI Light"/>
          <w:sz w:val="18"/>
          <w:szCs w:val="18"/>
        </w:rPr>
      </w:pPr>
      <w:r w:rsidRPr="00A468B3">
        <w:rPr>
          <w:rFonts w:ascii="Segoe UI Light" w:hAnsi="Segoe UI Light"/>
          <w:bCs/>
          <w:iCs/>
          <w:noProof/>
          <w:sz w:val="18"/>
          <w:szCs w:val="26"/>
          <w:lang w:eastAsia="lv-LV"/>
        </w:rPr>
        <w:drawing>
          <wp:inline distT="0" distB="0" distL="0" distR="0" wp14:anchorId="56F98A54" wp14:editId="3149E59F">
            <wp:extent cx="5760085" cy="1382573"/>
            <wp:effectExtent l="0" t="0" r="0" b="8255"/>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24B8C" w:rsidRPr="00D829F0" w14:paraId="1D4EF4CB" w14:textId="77777777">
        <w:trPr>
          <w:cantSplit/>
          <w:trHeight w:val="1928"/>
        </w:trPr>
        <w:tc>
          <w:tcPr>
            <w:tcW w:w="9071" w:type="dxa"/>
            <w:textDirection w:val="btLr"/>
          </w:tcPr>
          <w:p w14:paraId="45D98312" w14:textId="77777777" w:rsidR="00024B8C" w:rsidRPr="00A468B3" w:rsidRDefault="00024B8C" w:rsidP="000816FF">
            <w:pPr>
              <w:spacing w:before="720" w:after="120"/>
              <w:ind w:left="113" w:right="113"/>
              <w:jc w:val="right"/>
              <w:rPr>
                <w:rFonts w:ascii="Segoe UI Light" w:hAnsi="Segoe UI Light"/>
                <w:sz w:val="16"/>
                <w:szCs w:val="16"/>
              </w:rPr>
            </w:pPr>
            <w:r w:rsidRPr="00A468B3">
              <w:rPr>
                <w:rFonts w:ascii="Segoe UI Light" w:hAnsi="Segoe UI Light"/>
                <w:sz w:val="16"/>
                <w:szCs w:val="16"/>
              </w:rPr>
              <w:t xml:space="preserve">Humanitārās </w:t>
            </w:r>
            <w:r w:rsidRPr="00A468B3">
              <w:rPr>
                <w:rFonts w:ascii="Segoe UI Light" w:hAnsi="Segoe UI Light"/>
                <w:sz w:val="16"/>
                <w:szCs w:val="16"/>
              </w:rPr>
              <w:br/>
              <w:t>zinātnes un māksla</w:t>
            </w:r>
          </w:p>
          <w:p w14:paraId="448627E0" w14:textId="77777777" w:rsidR="00024B8C" w:rsidRPr="00A468B3" w:rsidRDefault="00024B8C" w:rsidP="000816FF">
            <w:pPr>
              <w:spacing w:before="600" w:after="120"/>
              <w:ind w:left="113" w:right="113"/>
              <w:jc w:val="right"/>
              <w:rPr>
                <w:rFonts w:ascii="Segoe UI Light" w:hAnsi="Segoe UI Light"/>
                <w:sz w:val="16"/>
                <w:szCs w:val="16"/>
              </w:rPr>
            </w:pPr>
            <w:r w:rsidRPr="00A468B3">
              <w:rPr>
                <w:rFonts w:ascii="Segoe UI Light" w:hAnsi="Segoe UI Light"/>
                <w:sz w:val="16"/>
                <w:szCs w:val="16"/>
              </w:rPr>
              <w:t>Sociālās zinātnes, komerczinības un tiesības</w:t>
            </w:r>
          </w:p>
          <w:p w14:paraId="69B48A26" w14:textId="77777777" w:rsidR="00024B8C" w:rsidRPr="00A468B3" w:rsidRDefault="00024B8C" w:rsidP="000816FF">
            <w:pPr>
              <w:spacing w:before="540" w:after="120"/>
              <w:ind w:left="113" w:right="113"/>
              <w:jc w:val="right"/>
              <w:rPr>
                <w:rFonts w:ascii="Segoe UI Light" w:hAnsi="Segoe UI Light"/>
                <w:sz w:val="16"/>
                <w:szCs w:val="16"/>
              </w:rPr>
            </w:pPr>
            <w:r w:rsidRPr="00A468B3">
              <w:rPr>
                <w:rFonts w:ascii="Segoe UI Light" w:hAnsi="Segoe UI Light"/>
                <w:sz w:val="16"/>
                <w:szCs w:val="16"/>
              </w:rPr>
              <w:t>Dabas zinātnes, matemātika un informācijas tehnoloģijas</w:t>
            </w:r>
          </w:p>
          <w:p w14:paraId="4E24C279" w14:textId="77777777" w:rsidR="00024B8C" w:rsidRPr="00A468B3" w:rsidRDefault="00024B8C" w:rsidP="000816FF">
            <w:pPr>
              <w:spacing w:before="480" w:after="120"/>
              <w:ind w:left="113" w:right="113"/>
              <w:jc w:val="right"/>
              <w:rPr>
                <w:rFonts w:ascii="Segoe UI Light" w:hAnsi="Segoe UI Light"/>
                <w:sz w:val="16"/>
                <w:szCs w:val="16"/>
              </w:rPr>
            </w:pPr>
            <w:r w:rsidRPr="00A468B3">
              <w:rPr>
                <w:rFonts w:ascii="Segoe UI Light" w:hAnsi="Segoe UI Light"/>
                <w:sz w:val="16"/>
                <w:szCs w:val="16"/>
              </w:rPr>
              <w:t>Inženierzinātnes, ražošana un būvniecība</w:t>
            </w:r>
          </w:p>
          <w:p w14:paraId="734580A8" w14:textId="77777777" w:rsidR="00024B8C" w:rsidRPr="00A468B3" w:rsidRDefault="00024B8C" w:rsidP="000816FF">
            <w:pPr>
              <w:spacing w:before="720" w:after="120"/>
              <w:ind w:left="113" w:right="113"/>
              <w:jc w:val="right"/>
              <w:rPr>
                <w:rFonts w:ascii="Segoe UI Light" w:hAnsi="Segoe UI Light"/>
                <w:sz w:val="16"/>
                <w:szCs w:val="16"/>
              </w:rPr>
            </w:pPr>
            <w:r w:rsidRPr="00A468B3">
              <w:rPr>
                <w:rFonts w:ascii="Segoe UI Light" w:hAnsi="Segoe UI Light"/>
                <w:sz w:val="16"/>
                <w:szCs w:val="16"/>
              </w:rPr>
              <w:t>Lauksaimniecība</w:t>
            </w:r>
          </w:p>
          <w:p w14:paraId="4C65B207" w14:textId="77777777" w:rsidR="00024B8C" w:rsidRPr="00A468B3" w:rsidRDefault="00024B8C" w:rsidP="000816FF">
            <w:pPr>
              <w:spacing w:before="720" w:after="120"/>
              <w:ind w:left="113" w:right="113"/>
              <w:jc w:val="right"/>
              <w:rPr>
                <w:rFonts w:ascii="Segoe UI Light" w:hAnsi="Segoe UI Light"/>
                <w:sz w:val="16"/>
                <w:szCs w:val="16"/>
              </w:rPr>
            </w:pPr>
            <w:r w:rsidRPr="00A468B3">
              <w:rPr>
                <w:rFonts w:ascii="Segoe UI Light" w:hAnsi="Segoe UI Light"/>
                <w:sz w:val="16"/>
                <w:szCs w:val="16"/>
              </w:rPr>
              <w:t>Veselības aprūpe un sociālā labklājība</w:t>
            </w:r>
          </w:p>
          <w:p w14:paraId="746BA044" w14:textId="77777777" w:rsidR="00024B8C" w:rsidRPr="00A468B3" w:rsidRDefault="00024B8C" w:rsidP="000816FF">
            <w:pPr>
              <w:spacing w:before="720" w:after="120"/>
              <w:ind w:left="113" w:right="113"/>
              <w:jc w:val="right"/>
              <w:rPr>
                <w:rFonts w:ascii="Segoe UI Light" w:hAnsi="Segoe UI Light"/>
                <w:sz w:val="16"/>
                <w:szCs w:val="16"/>
              </w:rPr>
            </w:pPr>
            <w:r w:rsidRPr="00A468B3">
              <w:rPr>
                <w:rFonts w:ascii="Segoe UI Light" w:hAnsi="Segoe UI Light"/>
                <w:sz w:val="16"/>
                <w:szCs w:val="16"/>
              </w:rPr>
              <w:t>Pakalpojumi</w:t>
            </w:r>
          </w:p>
          <w:p w14:paraId="5FF035DB" w14:textId="77777777" w:rsidR="00024B8C" w:rsidRPr="00A468B3" w:rsidRDefault="00024B8C" w:rsidP="000816FF">
            <w:pPr>
              <w:spacing w:before="660" w:after="120"/>
              <w:ind w:left="113" w:right="113"/>
              <w:jc w:val="right"/>
              <w:rPr>
                <w:rFonts w:ascii="Segoe UI Light" w:hAnsi="Segoe UI Light"/>
                <w:sz w:val="16"/>
                <w:szCs w:val="16"/>
              </w:rPr>
            </w:pPr>
            <w:r w:rsidRPr="00A468B3">
              <w:rPr>
                <w:rFonts w:ascii="Segoe UI Light" w:hAnsi="Segoe UI Light"/>
                <w:sz w:val="16"/>
                <w:szCs w:val="16"/>
              </w:rPr>
              <w:t>Vispārējās izglītības un citur neklasificētās tematiskās grupas</w:t>
            </w:r>
          </w:p>
        </w:tc>
      </w:tr>
    </w:tbl>
    <w:p w14:paraId="7911C83D" w14:textId="77777777" w:rsidR="00024B8C" w:rsidRPr="00D829F0" w:rsidRDefault="00024B8C" w:rsidP="000816FF">
      <w:pPr>
        <w:spacing w:after="120"/>
        <w:jc w:val="right"/>
        <w:rPr>
          <w:rFonts w:ascii="Source Sans Pro" w:hAnsi="Source Sans Pro"/>
          <w:szCs w:val="26"/>
        </w:rPr>
      </w:pPr>
    </w:p>
    <w:p w14:paraId="03B5B606" w14:textId="77777777" w:rsidR="000816FF" w:rsidRPr="00D829F0" w:rsidRDefault="000816FF" w:rsidP="000816FF">
      <w:pPr>
        <w:spacing w:after="120"/>
        <w:jc w:val="right"/>
        <w:rPr>
          <w:rFonts w:ascii="Source Sans Pro" w:hAnsi="Source Sans Pro"/>
          <w:szCs w:val="26"/>
        </w:rPr>
      </w:pPr>
    </w:p>
    <w:p w14:paraId="3A3BCAB7"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Humanitārās zinātnes un māksla</w:t>
      </w:r>
    </w:p>
    <w:p w14:paraId="22DCA061"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0501712C" w14:textId="77777777"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38343749" wp14:editId="5A9839C1">
            <wp:extent cx="1440000" cy="1440000"/>
            <wp:effectExtent l="0" t="0" r="8255" b="8255"/>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329FBD39" wp14:editId="2023C7C1">
            <wp:extent cx="2808000" cy="1440000"/>
            <wp:effectExtent l="0" t="0" r="0" b="825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color w:val="000000"/>
          <w:sz w:val="16"/>
          <w:lang w:eastAsia="lv-LV"/>
        </w:rPr>
        <w:drawing>
          <wp:inline distT="0" distB="0" distL="0" distR="0" wp14:anchorId="4D99FDB7" wp14:editId="5A1EC739">
            <wp:extent cx="1440000" cy="1440000"/>
            <wp:effectExtent l="0" t="0" r="8255" b="8255"/>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235F66D9" w14:textId="77777777" w:rsidR="00024B8C" w:rsidRPr="00D829F0" w:rsidRDefault="00024B8C" w:rsidP="000816FF">
      <w:pPr>
        <w:spacing w:after="120"/>
        <w:rPr>
          <w:rFonts w:ascii="Source Sans Pro" w:hAnsi="Source Sans Pro"/>
          <w:color w:val="000000"/>
          <w:sz w:val="18"/>
          <w:szCs w:val="20"/>
        </w:rPr>
      </w:pPr>
    </w:p>
    <w:p w14:paraId="4D388C53" w14:textId="77777777" w:rsidR="000816FF" w:rsidRPr="00D829F0" w:rsidRDefault="000816FF" w:rsidP="000816FF">
      <w:pPr>
        <w:spacing w:after="120"/>
        <w:rPr>
          <w:rFonts w:ascii="Source Sans Pro" w:hAnsi="Source Sans Pro"/>
          <w:color w:val="000000"/>
          <w:sz w:val="18"/>
          <w:szCs w:val="20"/>
        </w:rPr>
      </w:pPr>
    </w:p>
    <w:p w14:paraId="1DF95FB6"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lastRenderedPageBreak/>
        <w:t>Sociālās zinātnes, komerczinības un tiesības</w:t>
      </w:r>
    </w:p>
    <w:p w14:paraId="02D98A89"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6EA44CD5" w14:textId="77777777"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543F496B" wp14:editId="2090FA64">
            <wp:extent cx="1440000" cy="1440000"/>
            <wp:effectExtent l="0" t="0" r="8255" b="8255"/>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129F701D" wp14:editId="16715EC5">
            <wp:extent cx="2808000" cy="1440000"/>
            <wp:effectExtent l="0" t="0" r="0" b="8255"/>
            <wp:docPr id="340" name="Chart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color w:val="000000"/>
          <w:sz w:val="16"/>
          <w:lang w:eastAsia="lv-LV"/>
        </w:rPr>
        <w:drawing>
          <wp:inline distT="0" distB="0" distL="0" distR="0" wp14:anchorId="5D332D45" wp14:editId="74E2865F">
            <wp:extent cx="1440000" cy="1440000"/>
            <wp:effectExtent l="0" t="0" r="8255" b="8255"/>
            <wp:docPr id="341" name="Chart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73540315" w14:textId="77777777" w:rsidR="005F3312" w:rsidRPr="00D829F0" w:rsidRDefault="005F3312" w:rsidP="005F3312">
      <w:pPr>
        <w:spacing w:after="120"/>
        <w:rPr>
          <w:rFonts w:ascii="Source Sans Pro" w:hAnsi="Source Sans Pro"/>
          <w:szCs w:val="26"/>
        </w:rPr>
      </w:pPr>
    </w:p>
    <w:p w14:paraId="79073975" w14:textId="77777777" w:rsidR="005F3312" w:rsidRPr="00D829F0" w:rsidRDefault="005F3312" w:rsidP="005F3312">
      <w:pPr>
        <w:spacing w:after="120"/>
        <w:rPr>
          <w:rFonts w:ascii="Source Sans Pro" w:hAnsi="Source Sans Pro"/>
          <w:szCs w:val="26"/>
        </w:rPr>
      </w:pPr>
    </w:p>
    <w:p w14:paraId="685321B8"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Dabas zinātnes, matemātika un informācijas tehnoloģijas</w:t>
      </w:r>
    </w:p>
    <w:p w14:paraId="584186C1"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64DB7E11" w14:textId="77777777"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6CA4B522" wp14:editId="079AD98A">
            <wp:extent cx="1440000" cy="1440000"/>
            <wp:effectExtent l="0" t="0" r="8255" b="8255"/>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0D5B4669" wp14:editId="68F2A7A9">
            <wp:extent cx="2808000" cy="1440000"/>
            <wp:effectExtent l="0" t="0" r="0" b="8255"/>
            <wp:docPr id="342" name="Chart 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color w:val="000000"/>
          <w:sz w:val="16"/>
          <w:lang w:eastAsia="lv-LV"/>
        </w:rPr>
        <w:drawing>
          <wp:inline distT="0" distB="0" distL="0" distR="0" wp14:anchorId="4584975B" wp14:editId="06E76C2D">
            <wp:extent cx="1440000" cy="1440000"/>
            <wp:effectExtent l="0" t="0" r="8255" b="8255"/>
            <wp:docPr id="343" name="Chart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538037DA" w14:textId="77777777" w:rsidR="00024B8C" w:rsidRPr="00D829F0" w:rsidRDefault="00024B8C" w:rsidP="005F3312">
      <w:pPr>
        <w:spacing w:after="120"/>
        <w:rPr>
          <w:rFonts w:ascii="Source Sans Pro" w:hAnsi="Source Sans Pro"/>
          <w:szCs w:val="26"/>
        </w:rPr>
      </w:pPr>
    </w:p>
    <w:p w14:paraId="0BA0B46E" w14:textId="77777777" w:rsidR="000816FF" w:rsidRPr="00D829F0" w:rsidRDefault="000816FF" w:rsidP="005F3312">
      <w:pPr>
        <w:spacing w:after="120"/>
        <w:rPr>
          <w:rFonts w:ascii="Source Sans Pro" w:hAnsi="Source Sans Pro"/>
          <w:szCs w:val="26"/>
        </w:rPr>
      </w:pPr>
    </w:p>
    <w:p w14:paraId="78EB92B0"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Inženierzinātnes, ražošana un būvniecība</w:t>
      </w:r>
    </w:p>
    <w:p w14:paraId="00676ABE"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1A76B7CB" w14:textId="77777777"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0619352F" wp14:editId="772DBB29">
            <wp:extent cx="1440000" cy="1440000"/>
            <wp:effectExtent l="0" t="0" r="8255" b="825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4F0925EE" wp14:editId="33322AE9">
            <wp:extent cx="2808000" cy="1440000"/>
            <wp:effectExtent l="0" t="0" r="0" b="8255"/>
            <wp:docPr id="344" name="Chart 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color w:val="000000"/>
          <w:sz w:val="16"/>
          <w:lang w:eastAsia="lv-LV"/>
        </w:rPr>
        <w:drawing>
          <wp:inline distT="0" distB="0" distL="0" distR="0" wp14:anchorId="1A958837" wp14:editId="003B8845">
            <wp:extent cx="1440000" cy="1440000"/>
            <wp:effectExtent l="0" t="0" r="8255" b="8255"/>
            <wp:docPr id="345" name="Chart 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59AC596A" w14:textId="77777777" w:rsidR="000816FF" w:rsidRPr="00D829F0" w:rsidRDefault="000816FF" w:rsidP="000816FF">
      <w:pPr>
        <w:spacing w:after="120"/>
        <w:ind w:right="-285"/>
        <w:rPr>
          <w:rFonts w:ascii="Source Sans Pro" w:hAnsi="Source Sans Pro"/>
          <w:color w:val="000000"/>
          <w:sz w:val="16"/>
        </w:rPr>
      </w:pPr>
    </w:p>
    <w:p w14:paraId="5775A623" w14:textId="77777777" w:rsidR="00024B8C" w:rsidRPr="00D829F0" w:rsidRDefault="00024B8C" w:rsidP="000816FF">
      <w:pPr>
        <w:spacing w:after="120"/>
        <w:rPr>
          <w:rFonts w:ascii="Source Sans Pro" w:hAnsi="Source Sans Pro"/>
          <w:szCs w:val="26"/>
        </w:rPr>
      </w:pPr>
    </w:p>
    <w:p w14:paraId="5DFCB3D9" w14:textId="77777777" w:rsidR="005F3312" w:rsidRDefault="005F3312">
      <w:pPr>
        <w:spacing w:after="0"/>
        <w:rPr>
          <w:rFonts w:ascii="Source Sans Pro" w:hAnsi="Source Sans Pro"/>
          <w:b/>
          <w:color w:val="000000"/>
          <w:sz w:val="18"/>
          <w:szCs w:val="20"/>
        </w:rPr>
      </w:pPr>
      <w:r>
        <w:rPr>
          <w:rFonts w:ascii="Source Sans Pro" w:hAnsi="Source Sans Pro"/>
          <w:b/>
          <w:color w:val="000000"/>
          <w:sz w:val="18"/>
          <w:szCs w:val="20"/>
        </w:rPr>
        <w:br w:type="page"/>
      </w:r>
    </w:p>
    <w:p w14:paraId="5773682F"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lastRenderedPageBreak/>
        <w:t>Lauksaimniecība</w:t>
      </w:r>
    </w:p>
    <w:p w14:paraId="0170AC78"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5A951F74" w14:textId="77777777"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4A66AE24" wp14:editId="675A41B4">
            <wp:extent cx="1440000" cy="1440000"/>
            <wp:effectExtent l="0" t="0" r="8255" b="825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31DCA440" wp14:editId="50F2AE40">
            <wp:extent cx="2808000" cy="1440000"/>
            <wp:effectExtent l="0" t="0" r="0" b="8255"/>
            <wp:docPr id="346" name="Chart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color w:val="000000"/>
          <w:sz w:val="16"/>
          <w:lang w:eastAsia="lv-LV"/>
        </w:rPr>
        <w:drawing>
          <wp:inline distT="0" distB="0" distL="0" distR="0" wp14:anchorId="2C7C69FB" wp14:editId="0C977CF9">
            <wp:extent cx="1440000" cy="1440000"/>
            <wp:effectExtent l="0" t="0" r="8255" b="8255"/>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25E49742" w14:textId="77777777" w:rsidR="00024B8C" w:rsidRPr="00D829F0" w:rsidRDefault="00024B8C" w:rsidP="005F3312">
      <w:pPr>
        <w:spacing w:after="120"/>
        <w:rPr>
          <w:rFonts w:ascii="Source Sans Pro" w:hAnsi="Source Sans Pro"/>
          <w:szCs w:val="26"/>
        </w:rPr>
      </w:pPr>
    </w:p>
    <w:p w14:paraId="5891373D" w14:textId="77777777" w:rsidR="005F3312" w:rsidRPr="00D829F0" w:rsidRDefault="005F3312" w:rsidP="005F3312">
      <w:pPr>
        <w:spacing w:after="120"/>
        <w:rPr>
          <w:rFonts w:ascii="Source Sans Pro" w:hAnsi="Source Sans Pro"/>
          <w:szCs w:val="26"/>
        </w:rPr>
      </w:pPr>
    </w:p>
    <w:p w14:paraId="18639979"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Veselības aprūpe un sociālā labklājība</w:t>
      </w:r>
    </w:p>
    <w:p w14:paraId="40037945"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2027. gadā</w:t>
      </w:r>
    </w:p>
    <w:p w14:paraId="60501C63" w14:textId="77777777"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14BF8C34" wp14:editId="7886D304">
            <wp:extent cx="1440000" cy="1440000"/>
            <wp:effectExtent l="0" t="0" r="8255" b="8255"/>
            <wp:docPr id="256" name="Chart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27E73875" wp14:editId="1832F746">
            <wp:extent cx="2808000" cy="1440000"/>
            <wp:effectExtent l="0" t="0" r="0" b="8255"/>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color w:val="000000"/>
          <w:sz w:val="16"/>
          <w:lang w:eastAsia="lv-LV"/>
        </w:rPr>
        <w:drawing>
          <wp:inline distT="0" distB="0" distL="0" distR="0" wp14:anchorId="446543C0" wp14:editId="126CF1D9">
            <wp:extent cx="1440000" cy="1440000"/>
            <wp:effectExtent l="0" t="0" r="8255" b="8255"/>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7C5DF760" w14:textId="77777777" w:rsidR="00024B8C" w:rsidRPr="00D829F0" w:rsidRDefault="00024B8C" w:rsidP="005F3312">
      <w:pPr>
        <w:spacing w:after="120"/>
        <w:rPr>
          <w:rFonts w:ascii="Source Sans Pro" w:hAnsi="Source Sans Pro"/>
          <w:szCs w:val="26"/>
        </w:rPr>
      </w:pPr>
    </w:p>
    <w:p w14:paraId="454B5713" w14:textId="77777777" w:rsidR="000816FF" w:rsidRPr="00D829F0" w:rsidRDefault="000816FF" w:rsidP="005F3312">
      <w:pPr>
        <w:spacing w:after="120"/>
        <w:rPr>
          <w:rFonts w:ascii="Source Sans Pro" w:hAnsi="Source Sans Pro"/>
          <w:szCs w:val="26"/>
        </w:rPr>
      </w:pPr>
    </w:p>
    <w:p w14:paraId="3BE80FEB"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t>Pakalpojumi</w:t>
      </w:r>
    </w:p>
    <w:p w14:paraId="50B76F87"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283E80FC" w14:textId="77777777"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198FD3A2" wp14:editId="59AC2080">
            <wp:extent cx="1440000" cy="1440000"/>
            <wp:effectExtent l="0" t="0" r="8255" b="8255"/>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259F3F6D" wp14:editId="6BCA89B7">
            <wp:extent cx="2808000" cy="1440000"/>
            <wp:effectExtent l="0" t="0" r="0" b="8255"/>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color w:val="000000"/>
          <w:sz w:val="16"/>
          <w:lang w:eastAsia="lv-LV"/>
        </w:rPr>
        <w:drawing>
          <wp:inline distT="0" distB="0" distL="0" distR="0" wp14:anchorId="640F7D72" wp14:editId="3B67A68B">
            <wp:extent cx="1440000" cy="1440000"/>
            <wp:effectExtent l="0" t="0" r="8255" b="8255"/>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00E70F74" w14:textId="77777777" w:rsidR="00024B8C" w:rsidRPr="00D829F0" w:rsidRDefault="00024B8C" w:rsidP="000816FF">
      <w:pPr>
        <w:spacing w:after="120"/>
        <w:ind w:right="-285"/>
        <w:rPr>
          <w:rFonts w:ascii="Source Sans Pro" w:hAnsi="Source Sans Pro"/>
          <w:color w:val="000000"/>
          <w:sz w:val="16"/>
        </w:rPr>
      </w:pPr>
    </w:p>
    <w:p w14:paraId="32FC1718" w14:textId="77777777" w:rsidR="000816FF" w:rsidRPr="00D829F0" w:rsidRDefault="000816FF" w:rsidP="000816FF">
      <w:pPr>
        <w:spacing w:after="120"/>
        <w:ind w:right="-285"/>
        <w:rPr>
          <w:rFonts w:ascii="Source Sans Pro" w:hAnsi="Source Sans Pro"/>
          <w:color w:val="000000"/>
          <w:sz w:val="16"/>
        </w:rPr>
      </w:pPr>
    </w:p>
    <w:p w14:paraId="7F267D9E" w14:textId="77777777" w:rsidR="005F3312" w:rsidRDefault="005F3312">
      <w:pPr>
        <w:spacing w:after="0"/>
        <w:rPr>
          <w:rFonts w:ascii="Source Sans Pro" w:hAnsi="Source Sans Pro"/>
          <w:b/>
          <w:color w:val="000000"/>
          <w:sz w:val="18"/>
          <w:szCs w:val="20"/>
        </w:rPr>
      </w:pPr>
      <w:r>
        <w:rPr>
          <w:rFonts w:ascii="Source Sans Pro" w:hAnsi="Source Sans Pro"/>
          <w:b/>
          <w:color w:val="000000"/>
          <w:sz w:val="18"/>
          <w:szCs w:val="20"/>
        </w:rPr>
        <w:br w:type="page"/>
      </w:r>
    </w:p>
    <w:p w14:paraId="3B4888B1" w14:textId="77777777" w:rsidR="00024B8C" w:rsidRPr="00D829F0" w:rsidRDefault="00024B8C" w:rsidP="000816FF">
      <w:pPr>
        <w:spacing w:after="120"/>
        <w:jc w:val="center"/>
        <w:rPr>
          <w:rFonts w:ascii="Source Sans Pro" w:hAnsi="Source Sans Pro"/>
          <w:b/>
          <w:color w:val="000000"/>
          <w:sz w:val="18"/>
          <w:szCs w:val="20"/>
        </w:rPr>
      </w:pPr>
      <w:r w:rsidRPr="00D829F0">
        <w:rPr>
          <w:rFonts w:ascii="Source Sans Pro" w:hAnsi="Source Sans Pro"/>
          <w:b/>
          <w:color w:val="000000"/>
          <w:sz w:val="18"/>
          <w:szCs w:val="20"/>
        </w:rPr>
        <w:lastRenderedPageBreak/>
        <w:t>Vispārējās izglītības un citur neklasificētās tematiskās grupas</w:t>
      </w:r>
    </w:p>
    <w:p w14:paraId="68B0C6F1" w14:textId="77777777" w:rsidR="00024B8C" w:rsidRPr="00D829F0" w:rsidRDefault="00024B8C" w:rsidP="000816FF">
      <w:pPr>
        <w:tabs>
          <w:tab w:val="center" w:pos="1134"/>
          <w:tab w:val="center" w:pos="4536"/>
          <w:tab w:val="center" w:pos="7938"/>
        </w:tabs>
        <w:spacing w:after="120"/>
        <w:rPr>
          <w:rFonts w:ascii="Source Sans Pro" w:hAnsi="Source Sans Pro"/>
          <w:color w:val="000000"/>
          <w:sz w:val="16"/>
        </w:rPr>
      </w:pPr>
      <w:r w:rsidRPr="00D829F0">
        <w:rPr>
          <w:rFonts w:ascii="Source Sans Pro" w:hAnsi="Source Sans Pro"/>
          <w:color w:val="000000"/>
          <w:sz w:val="16"/>
        </w:rPr>
        <w:tab/>
        <w:t>Piedāvājuma struktūra</w:t>
      </w:r>
      <w:r w:rsidRPr="00D829F0">
        <w:rPr>
          <w:rFonts w:ascii="Source Sans Pro" w:hAnsi="Source Sans Pro"/>
          <w:color w:val="000000"/>
          <w:sz w:val="16"/>
        </w:rPr>
        <w:tab/>
        <w:t>Piedāvājuma un pieprasījuma dinamika</w:t>
      </w:r>
      <w:r w:rsidRPr="00D829F0">
        <w:rPr>
          <w:rFonts w:ascii="Source Sans Pro" w:hAnsi="Source Sans Pro"/>
          <w:color w:val="000000"/>
          <w:sz w:val="16"/>
        </w:rPr>
        <w:tab/>
        <w:t>Neatbilstība</w:t>
      </w:r>
      <w:r w:rsidRPr="00D829F0">
        <w:rPr>
          <w:rFonts w:ascii="Source Sans Pro" w:hAnsi="Source Sans Pro"/>
          <w:color w:val="000000"/>
          <w:sz w:val="16"/>
        </w:rPr>
        <w:br/>
      </w:r>
      <w:r w:rsidRPr="00D829F0">
        <w:rPr>
          <w:rFonts w:ascii="Source Sans Pro" w:hAnsi="Source Sans Pro"/>
          <w:color w:val="000000"/>
          <w:sz w:val="16"/>
        </w:rPr>
        <w:tab/>
        <w:t>procentos, 2030. gadā</w:t>
      </w:r>
      <w:r w:rsidRPr="00D829F0">
        <w:rPr>
          <w:rFonts w:ascii="Source Sans Pro" w:hAnsi="Source Sans Pro"/>
          <w:color w:val="000000"/>
          <w:sz w:val="16"/>
        </w:rPr>
        <w:tab/>
        <w:t>tūkstošos</w:t>
      </w:r>
      <w:r w:rsidRPr="00D829F0">
        <w:rPr>
          <w:rFonts w:ascii="Source Sans Pro" w:hAnsi="Source Sans Pro"/>
          <w:color w:val="000000"/>
          <w:sz w:val="16"/>
        </w:rPr>
        <w:tab/>
        <w:t xml:space="preserve">pieprasījums pret piedāvājumu, </w:t>
      </w:r>
      <w:r w:rsidRPr="00D829F0">
        <w:rPr>
          <w:rFonts w:ascii="Source Sans Pro" w:hAnsi="Source Sans Pro"/>
          <w:color w:val="000000"/>
          <w:sz w:val="16"/>
        </w:rPr>
        <w:br/>
      </w:r>
      <w:r w:rsidRPr="00D829F0">
        <w:rPr>
          <w:rFonts w:ascii="Source Sans Pro" w:hAnsi="Source Sans Pro"/>
          <w:color w:val="000000"/>
          <w:sz w:val="16"/>
        </w:rPr>
        <w:tab/>
      </w:r>
      <w:r w:rsidRPr="00D829F0">
        <w:rPr>
          <w:rFonts w:ascii="Source Sans Pro" w:hAnsi="Source Sans Pro"/>
          <w:color w:val="000000"/>
          <w:sz w:val="16"/>
        </w:rPr>
        <w:tab/>
      </w:r>
      <w:r w:rsidRPr="00D829F0">
        <w:rPr>
          <w:rFonts w:ascii="Source Sans Pro" w:hAnsi="Source Sans Pro"/>
          <w:color w:val="000000"/>
          <w:sz w:val="16"/>
        </w:rPr>
        <w:tab/>
        <w:t>procentos, 2030. gadā</w:t>
      </w:r>
    </w:p>
    <w:p w14:paraId="60CCEC48" w14:textId="77777777" w:rsidR="00024B8C" w:rsidRPr="00D829F0" w:rsidRDefault="00024B8C" w:rsidP="000816FF">
      <w:pPr>
        <w:spacing w:after="120"/>
        <w:ind w:right="-285"/>
        <w:rPr>
          <w:rFonts w:ascii="Source Sans Pro" w:hAnsi="Source Sans Pro"/>
          <w:color w:val="000000"/>
          <w:sz w:val="16"/>
          <w:szCs w:val="16"/>
        </w:rPr>
      </w:pPr>
      <w:r w:rsidRPr="00D829F0">
        <w:rPr>
          <w:rFonts w:ascii="Source Sans Pro" w:hAnsi="Source Sans Pro"/>
          <w:noProof/>
          <w:color w:val="000000"/>
          <w:sz w:val="16"/>
          <w:lang w:eastAsia="lv-LV"/>
        </w:rPr>
        <w:drawing>
          <wp:inline distT="0" distB="0" distL="0" distR="0" wp14:anchorId="2DA55074" wp14:editId="2AA2031F">
            <wp:extent cx="1440000" cy="1440000"/>
            <wp:effectExtent l="0" t="0" r="8255" b="8255"/>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sz w:val="18"/>
          <w:szCs w:val="26"/>
          <w:lang w:eastAsia="lv-LV"/>
        </w:rPr>
        <w:drawing>
          <wp:inline distT="0" distB="0" distL="0" distR="0" wp14:anchorId="019592D9" wp14:editId="27634373">
            <wp:extent cx="2808000" cy="1440000"/>
            <wp:effectExtent l="0" t="0" r="0" b="8255"/>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r w:rsidRPr="00D829F0">
        <w:rPr>
          <w:rFonts w:ascii="Source Sans Pro" w:hAnsi="Source Sans Pro"/>
          <w:color w:val="000000"/>
          <w:sz w:val="16"/>
          <w:szCs w:val="16"/>
        </w:rPr>
        <w:t xml:space="preserve">   </w:t>
      </w:r>
      <w:r w:rsidRPr="00D829F0">
        <w:rPr>
          <w:rFonts w:ascii="Source Sans Pro" w:hAnsi="Source Sans Pro"/>
          <w:noProof/>
          <w:color w:val="000000"/>
          <w:sz w:val="16"/>
          <w:lang w:eastAsia="lv-LV"/>
        </w:rPr>
        <w:drawing>
          <wp:inline distT="0" distB="0" distL="0" distR="0" wp14:anchorId="48663583" wp14:editId="245E8B9D">
            <wp:extent cx="1440000" cy="1440000"/>
            <wp:effectExtent l="0" t="0" r="8255" b="8255"/>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3091731A" w14:textId="135F2930" w:rsidR="00024B8C" w:rsidRPr="00D829F0" w:rsidRDefault="00024B8C" w:rsidP="00024B8C">
      <w:pPr>
        <w:spacing w:before="120" w:after="120"/>
        <w:jc w:val="both"/>
        <w:rPr>
          <w:rFonts w:ascii="Source Sans Pro" w:hAnsi="Source Sans Pro" w:cs="Calibri Light"/>
          <w:sz w:val="16"/>
          <w:szCs w:val="14"/>
        </w:rPr>
      </w:pPr>
      <w:r w:rsidRPr="00D829F0">
        <w:rPr>
          <w:rFonts w:ascii="Source Sans Pro" w:hAnsi="Source Sans Pro" w:cs="Calibri Light"/>
          <w:sz w:val="16"/>
          <w:szCs w:val="14"/>
        </w:rPr>
        <w:t>Avots: CSP dati līdz 202</w:t>
      </w:r>
      <w:r w:rsidR="00C51157" w:rsidRPr="00D829F0">
        <w:rPr>
          <w:rFonts w:ascii="Source Sans Pro" w:hAnsi="Source Sans Pro" w:cs="Calibri Light"/>
          <w:sz w:val="16"/>
          <w:szCs w:val="14"/>
        </w:rPr>
        <w:t>5</w:t>
      </w:r>
      <w:r w:rsidRPr="00D829F0">
        <w:rPr>
          <w:rFonts w:ascii="Source Sans Pro" w:hAnsi="Source Sans Pro" w:cs="Calibri Light"/>
          <w:sz w:val="16"/>
          <w:szCs w:val="14"/>
        </w:rPr>
        <w:t>. gadam, EM prognozes sākot ar 202</w:t>
      </w:r>
      <w:r w:rsidR="00C51157" w:rsidRPr="00D829F0">
        <w:rPr>
          <w:rFonts w:ascii="Source Sans Pro" w:hAnsi="Source Sans Pro" w:cs="Calibri Light"/>
          <w:sz w:val="16"/>
          <w:szCs w:val="14"/>
        </w:rPr>
        <w:t>6</w:t>
      </w:r>
      <w:r w:rsidRPr="00D829F0">
        <w:rPr>
          <w:rFonts w:ascii="Source Sans Pro" w:hAnsi="Source Sans Pro" w:cs="Calibri Light"/>
          <w:sz w:val="16"/>
          <w:szCs w:val="14"/>
        </w:rPr>
        <w:t>. gadu</w:t>
      </w:r>
    </w:p>
    <w:p w14:paraId="050619F1" w14:textId="77777777" w:rsidR="00024B8C" w:rsidRPr="00D829F0" w:rsidRDefault="00024B8C" w:rsidP="000816FF">
      <w:pPr>
        <w:spacing w:after="120"/>
        <w:jc w:val="both"/>
        <w:rPr>
          <w:rFonts w:ascii="Source Sans Pro" w:hAnsi="Source Sans Pro"/>
        </w:rPr>
      </w:pPr>
    </w:p>
    <w:p w14:paraId="44921CEF" w14:textId="7B693A4D" w:rsidR="00D23A6A" w:rsidRPr="00D829F0" w:rsidRDefault="002C52A8" w:rsidP="000816FF">
      <w:pPr>
        <w:spacing w:after="120"/>
        <w:jc w:val="both"/>
        <w:rPr>
          <w:rFonts w:ascii="Source Sans Pro" w:hAnsi="Source Sans Pro"/>
        </w:rPr>
      </w:pPr>
      <w:r w:rsidRPr="00D829F0">
        <w:rPr>
          <w:rFonts w:ascii="Source Sans Pro" w:hAnsi="Source Sans Pro"/>
        </w:rPr>
        <w:t xml:space="preserve">Nepietiekams darbaspēka piedāvājums </w:t>
      </w:r>
      <w:r w:rsidRPr="00D829F0">
        <w:rPr>
          <w:rFonts w:ascii="Source Sans Pro" w:hAnsi="Source Sans Pro"/>
          <w:b/>
        </w:rPr>
        <w:t>ar profesionālo izglītību</w:t>
      </w:r>
      <w:r w:rsidRPr="00D829F0">
        <w:rPr>
          <w:rFonts w:ascii="Source Sans Pro" w:hAnsi="Source Sans Pro"/>
        </w:rPr>
        <w:t xml:space="preserve"> sagaidāms gandrīz visās izglītības tematiskajās grupās. Būtiskākais iztrūkums joprojām sagaidāms inženierzinātņu, ražošanas un būvniecības tematiskajā grupā – galvenokārt tādās jomās kā būvniecība un civilā celtniecība, mehānika un metālapstrāde, mašīnzinības, enerģētika, kā arī kokapstrādes tehnoloģijas un izstrādājumu izgatavošana. Inženierzinātņu, ražošanas un būvniecības vidējās kvalifikācijas speciālistu iztrūkums līdz 2030.</w:t>
      </w:r>
      <w:r w:rsidR="00D7223F">
        <w:rPr>
          <w:rFonts w:ascii="Source Sans Pro" w:hAnsi="Source Sans Pro"/>
        </w:rPr>
        <w:t> </w:t>
      </w:r>
      <w:r w:rsidRPr="00D829F0">
        <w:rPr>
          <w:rFonts w:ascii="Source Sans Pro" w:hAnsi="Source Sans Pro"/>
        </w:rPr>
        <w:t>gadam varētu pieaugt līdz aptuveni 24</w:t>
      </w:r>
      <w:r w:rsidR="00D7223F">
        <w:rPr>
          <w:rFonts w:ascii="Source Sans Pro" w:hAnsi="Source Sans Pro"/>
        </w:rPr>
        <w:t> </w:t>
      </w:r>
      <w:r w:rsidRPr="00D829F0">
        <w:rPr>
          <w:rFonts w:ascii="Source Sans Pro" w:hAnsi="Source Sans Pro"/>
        </w:rPr>
        <w:t>tūkst. speciālistu. Salīdzinot ar 2024.</w:t>
      </w:r>
      <w:r w:rsidR="00D7223F">
        <w:rPr>
          <w:rFonts w:ascii="Source Sans Pro" w:hAnsi="Source Sans Pro"/>
        </w:rPr>
        <w:t> </w:t>
      </w:r>
      <w:r w:rsidRPr="00D829F0">
        <w:rPr>
          <w:rFonts w:ascii="Source Sans Pro" w:hAnsi="Source Sans Pro"/>
        </w:rPr>
        <w:t>gada prognozēm, relatīvajā izteiksmē speciālistu iztrūkums šajā tematiskajā grupā ir nedaudz samazinājies, tomēr pieprasījums 2030.</w:t>
      </w:r>
      <w:r w:rsidR="00D7223F">
        <w:rPr>
          <w:rFonts w:ascii="Source Sans Pro" w:hAnsi="Source Sans Pro"/>
        </w:rPr>
        <w:t> </w:t>
      </w:r>
      <w:r w:rsidRPr="00D829F0">
        <w:rPr>
          <w:rFonts w:ascii="Source Sans Pro" w:hAnsi="Source Sans Pro"/>
        </w:rPr>
        <w:t>gadā joprojām par aptuveni ceturtdaļu pārsniegs piedāvājumu, un ilgtermiņā iztrūkums turpinās palielināties.</w:t>
      </w:r>
      <w:r w:rsidR="00205A14" w:rsidRPr="00D829F0">
        <w:rPr>
          <w:rFonts w:ascii="Source Sans Pro" w:hAnsi="Source Sans Pro"/>
        </w:rPr>
        <w:t xml:space="preserve"> </w:t>
      </w:r>
      <w:r w:rsidR="00D23A6A" w:rsidRPr="00D829F0">
        <w:rPr>
          <w:rFonts w:ascii="Source Sans Pro" w:hAnsi="Source Sans Pro"/>
        </w:rPr>
        <w:t>Jāatzīmē, ka inženierzinātņu, ražošanas un būvniecības programmas profesionālajā izglītībā joprojām ir pieprasītākās. 2025./2026.</w:t>
      </w:r>
      <w:r w:rsidR="00D7223F">
        <w:t> </w:t>
      </w:r>
      <w:r w:rsidR="00D23A6A" w:rsidRPr="00D829F0">
        <w:rPr>
          <w:rFonts w:ascii="Source Sans Pro" w:hAnsi="Source Sans Pro"/>
        </w:rPr>
        <w:t>mācību gadā tajās mācības uzsāka 4,1</w:t>
      </w:r>
      <w:r w:rsidR="00D7223F">
        <w:rPr>
          <w:rFonts w:ascii="Source Sans Pro" w:hAnsi="Source Sans Pro"/>
        </w:rPr>
        <w:t> </w:t>
      </w:r>
      <w:r w:rsidR="00D23A6A" w:rsidRPr="00D829F0">
        <w:rPr>
          <w:rFonts w:ascii="Source Sans Pro" w:hAnsi="Source Sans Pro"/>
        </w:rPr>
        <w:t>tūkst. audzēkņu jeb 39,6% no kopējā uzņemto audzēkņu skaita. Pēdējo desmit gadu laikā uzņemto audzēkņu īpatsvars šajā tematiskajā grupā ir palielinājies, tomēr tas joprojām nav pietiekams, lai vidējā un ilgtermiņā pilnībā kompensētu prognozējamo darbaspēka iztrūkumu. Starp inženierzinātņu, ražošanas un būvniecības programmām visvairāk audzēkņu tiek uzņemti mašīnzinību, būvniecības un civilās celtniecības, kā arī mehānikas un metālapstrādes programmās.</w:t>
      </w:r>
    </w:p>
    <w:p w14:paraId="027BBE22" w14:textId="292578C0" w:rsidR="00024B8C" w:rsidRPr="00D829F0" w:rsidRDefault="00D23A6A" w:rsidP="000816FF">
      <w:pPr>
        <w:spacing w:after="120"/>
        <w:jc w:val="both"/>
        <w:rPr>
          <w:rFonts w:ascii="Source Sans Pro" w:hAnsi="Source Sans Pro"/>
          <w:szCs w:val="20"/>
        </w:rPr>
      </w:pPr>
      <w:r w:rsidRPr="00D829F0">
        <w:rPr>
          <w:rFonts w:ascii="Source Sans Pro" w:hAnsi="Source Sans Pro"/>
          <w:szCs w:val="20"/>
        </w:rPr>
        <w:t>Līdzīgi kā inženierzinātņu, ražošanas un būvniecības tematiskajā grupā, darbaspēka iztrūkums vidējā termiņā veidosies arī veselības aprūpes un sociālās labklājības, lauksaimniecības, sociālo zinātņu, komerczinību un tiesību, dabaszinātņu, matemātikas un informācijas tehnoloģiju, kā arī pakalpojumu tematiskajās grupās. Dabaszinātņu, matemātikas un informācijas tehnoloģiju programmās pēdējo desmit gadu laikā uzņemto audzēkņu īpatsvars ir pieaudzis, tomēr prognozes rāda, ka pieprasījums pēc šādas kvalifikācijas speciālistiem vidējā termiņā turpinās pārsniegt piedāvājumu.</w:t>
      </w:r>
      <w:r w:rsidR="00024B8C" w:rsidRPr="00D829F0">
        <w:rPr>
          <w:rFonts w:ascii="Source Sans Pro" w:hAnsi="Source Sans Pro"/>
          <w:szCs w:val="20"/>
        </w:rPr>
        <w:t xml:space="preserve"> </w:t>
      </w:r>
    </w:p>
    <w:p w14:paraId="6039C22A" w14:textId="68BC23BB" w:rsidR="00024B8C" w:rsidRPr="00D829F0" w:rsidRDefault="00205A14" w:rsidP="000816FF">
      <w:pPr>
        <w:spacing w:after="120"/>
        <w:jc w:val="both"/>
        <w:rPr>
          <w:rFonts w:ascii="Source Sans Pro" w:hAnsi="Source Sans Pro"/>
          <w:szCs w:val="20"/>
        </w:rPr>
      </w:pPr>
      <w:r w:rsidRPr="00D829F0">
        <w:rPr>
          <w:rFonts w:ascii="Source Sans Pro" w:hAnsi="Source Sans Pro"/>
          <w:szCs w:val="20"/>
        </w:rPr>
        <w:t>Vienlaikus veselības aprūpes un sociālās labklājības tematiskajā grupā iztrūkumu ietekmēs gan darbaspēka novecošanās, gan tas, ka daļa medicīnas un aprūpes programmu vairs netiek īstenotas profesionālās vidējās izglītības līmenī un ir pārstrukturētas uz augstākas izglītības līmeni, līdz ar to jauni atbilstošās kvalifikācijas speciālisti darba tirgū ienāk mazākā apjomā. Savukārt lauksaimniecības tematiskajā grupā starpība starp pieprasījumu un piedāvājumu pakāpeniski palielināsies darbaspēka novecošanās dēļ, kā arī ņemot vērā salīdzinoši nelielo atbilstošās kvalifikācijas speciālistu piedāvājumu darba tirgū.</w:t>
      </w:r>
    </w:p>
    <w:p w14:paraId="689806DE" w14:textId="77777777" w:rsidR="005F3312" w:rsidRDefault="005F3312">
      <w:pPr>
        <w:spacing w:after="0"/>
        <w:rPr>
          <w:rFonts w:ascii="Source Sans Pro" w:hAnsi="Source Sans Pro"/>
          <w:szCs w:val="26"/>
        </w:rPr>
      </w:pPr>
      <w:r>
        <w:rPr>
          <w:rFonts w:ascii="Source Sans Pro" w:hAnsi="Source Sans Pro"/>
          <w:szCs w:val="26"/>
        </w:rPr>
        <w:br w:type="page"/>
      </w:r>
    </w:p>
    <w:p w14:paraId="72A4CBED" w14:textId="6FBFA090" w:rsidR="00024B8C" w:rsidRPr="00D829F0" w:rsidRDefault="00024B8C" w:rsidP="00024B8C">
      <w:pPr>
        <w:spacing w:after="120"/>
        <w:jc w:val="right"/>
        <w:rPr>
          <w:rFonts w:ascii="Source Sans Pro" w:hAnsi="Source Sans Pro"/>
          <w:szCs w:val="26"/>
        </w:rPr>
      </w:pPr>
      <w:r w:rsidRPr="00D829F0">
        <w:rPr>
          <w:rFonts w:ascii="Source Sans Pro" w:hAnsi="Source Sans Pro"/>
          <w:szCs w:val="26"/>
        </w:rPr>
        <w:lastRenderedPageBreak/>
        <w:t>3.13.</w:t>
      </w:r>
      <w:r w:rsidR="00D7223F">
        <w:rPr>
          <w:rFonts w:ascii="Source Sans Pro" w:hAnsi="Source Sans Pro"/>
          <w:szCs w:val="26"/>
        </w:rPr>
        <w:t> </w:t>
      </w:r>
      <w:r w:rsidRPr="00D829F0">
        <w:rPr>
          <w:rFonts w:ascii="Source Sans Pro" w:hAnsi="Source Sans Pro"/>
          <w:szCs w:val="26"/>
        </w:rPr>
        <w:t>tabula</w:t>
      </w:r>
    </w:p>
    <w:p w14:paraId="373046BF" w14:textId="77777777" w:rsidR="00024B8C" w:rsidRPr="00241D18" w:rsidRDefault="00024B8C" w:rsidP="00024B8C">
      <w:pPr>
        <w:spacing w:after="120"/>
        <w:jc w:val="center"/>
        <w:rPr>
          <w:rFonts w:ascii="Segoe UI Light" w:hAnsi="Segoe UI Light"/>
          <w:i/>
          <w:sz w:val="16"/>
        </w:rPr>
      </w:pPr>
      <w:r w:rsidRPr="00241D18">
        <w:rPr>
          <w:rFonts w:ascii="Segoe UI Light" w:hAnsi="Segoe UI Light"/>
          <w:b/>
          <w:sz w:val="18"/>
          <w:szCs w:val="26"/>
        </w:rPr>
        <w:t>Darbaspēka pieprasījuma un piedāvājuma prognozes pa izglītības tematiskām grupām</w:t>
      </w:r>
      <w:r w:rsidRPr="00241D18">
        <w:rPr>
          <w:rFonts w:ascii="Segoe UI Light" w:hAnsi="Segoe UI Light"/>
          <w:b/>
          <w:sz w:val="18"/>
          <w:szCs w:val="26"/>
        </w:rPr>
        <w:br/>
      </w:r>
      <w:r w:rsidRPr="00241D18">
        <w:rPr>
          <w:rFonts w:ascii="Segoe UI Light" w:hAnsi="Segoe UI Light"/>
          <w:i/>
          <w:sz w:val="16"/>
        </w:rPr>
        <w:t>Saglabājoties pašreizējai darbaspēka sagatavošanas struktūrai</w:t>
      </w:r>
    </w:p>
    <w:tbl>
      <w:tblPr>
        <w:tblStyle w:val="GridTable5Dark-Accent31"/>
        <w:tblW w:w="5083"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259"/>
        <w:gridCol w:w="991"/>
        <w:gridCol w:w="991"/>
        <w:gridCol w:w="995"/>
        <w:gridCol w:w="991"/>
        <w:gridCol w:w="991"/>
        <w:gridCol w:w="993"/>
      </w:tblGrid>
      <w:tr w:rsidR="0078478C" w:rsidRPr="00D829F0" w14:paraId="16223EBE" w14:textId="77777777" w:rsidTr="008273F5">
        <w:trPr>
          <w:cnfStyle w:val="100000000000" w:firstRow="1" w:lastRow="0" w:firstColumn="0" w:lastColumn="0" w:oddVBand="0" w:evenVBand="0" w:oddHBand="0" w:evenHBand="0" w:firstRowFirstColumn="0" w:firstRowLastColumn="0" w:lastRowFirstColumn="0" w:lastRowLastColumn="0"/>
          <w:cantSplit/>
          <w:trHeight w:val="20"/>
        </w:trPr>
        <w:tc>
          <w:tcPr>
            <w:tcW w:w="1769" w:type="pct"/>
            <w:shd w:val="clear" w:color="auto" w:fill="006666"/>
            <w:hideMark/>
          </w:tcPr>
          <w:p w14:paraId="5216ECC5" w14:textId="77777777" w:rsidR="00024B8C" w:rsidRPr="00241D18" w:rsidRDefault="00024B8C">
            <w:pPr>
              <w:spacing w:before="40" w:after="40"/>
              <w:jc w:val="center"/>
              <w:rPr>
                <w:rFonts w:ascii="Segoe UI Light" w:eastAsia="Times New Roman" w:hAnsi="Segoe UI Light"/>
                <w:b w:val="0"/>
                <w:sz w:val="16"/>
                <w:szCs w:val="16"/>
              </w:rPr>
            </w:pPr>
          </w:p>
        </w:tc>
        <w:tc>
          <w:tcPr>
            <w:tcW w:w="1616" w:type="pct"/>
            <w:gridSpan w:val="3"/>
            <w:shd w:val="clear" w:color="auto" w:fill="006666"/>
          </w:tcPr>
          <w:p w14:paraId="5486242C" w14:textId="77777777" w:rsidR="00024B8C" w:rsidRPr="00241D18" w:rsidRDefault="00024B8C">
            <w:pPr>
              <w:spacing w:before="40" w:after="40"/>
              <w:jc w:val="center"/>
              <w:rPr>
                <w:rFonts w:ascii="Segoe UI Light" w:eastAsia="Times New Roman" w:hAnsi="Segoe UI Light"/>
                <w:sz w:val="16"/>
                <w:szCs w:val="16"/>
              </w:rPr>
            </w:pPr>
            <w:r w:rsidRPr="00241D18">
              <w:rPr>
                <w:rFonts w:ascii="Segoe UI Light" w:eastAsia="Times New Roman" w:hAnsi="Segoe UI Light"/>
                <w:sz w:val="16"/>
                <w:szCs w:val="16"/>
              </w:rPr>
              <w:t>2030</w:t>
            </w:r>
          </w:p>
        </w:tc>
        <w:tc>
          <w:tcPr>
            <w:tcW w:w="1615" w:type="pct"/>
            <w:gridSpan w:val="3"/>
            <w:shd w:val="clear" w:color="auto" w:fill="006666"/>
          </w:tcPr>
          <w:p w14:paraId="39268753" w14:textId="77777777" w:rsidR="00024B8C" w:rsidRPr="00241D18" w:rsidRDefault="00024B8C">
            <w:pPr>
              <w:spacing w:before="40" w:after="40"/>
              <w:jc w:val="center"/>
              <w:rPr>
                <w:rFonts w:ascii="Segoe UI Light" w:eastAsia="Times New Roman" w:hAnsi="Segoe UI Light"/>
                <w:sz w:val="16"/>
                <w:szCs w:val="16"/>
              </w:rPr>
            </w:pPr>
            <w:r w:rsidRPr="00241D18">
              <w:rPr>
                <w:rFonts w:ascii="Segoe UI Light" w:eastAsia="Times New Roman" w:hAnsi="Segoe UI Light"/>
                <w:sz w:val="16"/>
                <w:szCs w:val="16"/>
              </w:rPr>
              <w:t>2040</w:t>
            </w:r>
          </w:p>
        </w:tc>
      </w:tr>
      <w:tr w:rsidR="00C03C20" w:rsidRPr="00D829F0" w14:paraId="6280C594"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006666"/>
            <w:hideMark/>
          </w:tcPr>
          <w:p w14:paraId="3ACDAC5B" w14:textId="77777777" w:rsidR="00024B8C" w:rsidRPr="00241D18" w:rsidRDefault="00024B8C">
            <w:pPr>
              <w:spacing w:before="40" w:after="40"/>
              <w:jc w:val="center"/>
              <w:rPr>
                <w:rFonts w:ascii="Segoe UI Light" w:eastAsia="Times New Roman" w:hAnsi="Segoe UI Light"/>
                <w:color w:val="FFFFFF" w:themeColor="background1"/>
                <w:sz w:val="16"/>
                <w:szCs w:val="16"/>
              </w:rPr>
            </w:pPr>
          </w:p>
        </w:tc>
        <w:tc>
          <w:tcPr>
            <w:tcW w:w="538" w:type="pct"/>
            <w:shd w:val="clear" w:color="auto" w:fill="006666"/>
          </w:tcPr>
          <w:p w14:paraId="7F59F4C6" w14:textId="77777777" w:rsidR="00024B8C" w:rsidRPr="00241D18"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241D18">
              <w:rPr>
                <w:rFonts w:ascii="Segoe UI Light" w:eastAsia="Times New Roman" w:hAnsi="Segoe UI Light"/>
                <w:b/>
                <w:color w:val="FFFFFF" w:themeColor="background1"/>
                <w:sz w:val="16"/>
                <w:szCs w:val="16"/>
              </w:rPr>
              <w:t>pieprasījums</w:t>
            </w:r>
            <w:r w:rsidRPr="00241D18">
              <w:rPr>
                <w:rFonts w:ascii="Segoe UI Light" w:eastAsia="Times New Roman" w:hAnsi="Segoe UI Light"/>
                <w:b/>
                <w:color w:val="FFFFFF" w:themeColor="background1"/>
                <w:sz w:val="16"/>
                <w:szCs w:val="16"/>
              </w:rPr>
              <w:br/>
            </w:r>
            <w:r w:rsidRPr="00241D18">
              <w:rPr>
                <w:rFonts w:ascii="Segoe UI Light" w:eastAsia="Times New Roman" w:hAnsi="Segoe UI Light"/>
                <w:color w:val="FFFFFF" w:themeColor="background1"/>
                <w:sz w:val="16"/>
                <w:szCs w:val="16"/>
              </w:rPr>
              <w:t>tūkst.</w:t>
            </w:r>
          </w:p>
        </w:tc>
        <w:tc>
          <w:tcPr>
            <w:tcW w:w="538" w:type="pct"/>
            <w:shd w:val="clear" w:color="auto" w:fill="006666"/>
          </w:tcPr>
          <w:p w14:paraId="39104857" w14:textId="77777777" w:rsidR="00024B8C" w:rsidRPr="00241D18"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241D18">
              <w:rPr>
                <w:rFonts w:ascii="Segoe UI Light" w:eastAsia="Times New Roman" w:hAnsi="Segoe UI Light"/>
                <w:b/>
                <w:color w:val="FFFFFF" w:themeColor="background1"/>
                <w:sz w:val="16"/>
                <w:szCs w:val="16"/>
              </w:rPr>
              <w:t xml:space="preserve">piedāvājums </w:t>
            </w:r>
            <w:r w:rsidRPr="00241D18">
              <w:rPr>
                <w:rFonts w:ascii="Segoe UI Light" w:eastAsia="Times New Roman" w:hAnsi="Segoe UI Light"/>
                <w:b/>
                <w:color w:val="FFFFFF" w:themeColor="background1"/>
                <w:sz w:val="16"/>
                <w:szCs w:val="16"/>
              </w:rPr>
              <w:br/>
            </w:r>
            <w:r w:rsidRPr="00241D18">
              <w:rPr>
                <w:rFonts w:ascii="Segoe UI Light" w:eastAsia="Times New Roman" w:hAnsi="Segoe UI Light"/>
                <w:color w:val="FFFFFF" w:themeColor="background1"/>
                <w:sz w:val="16"/>
                <w:szCs w:val="16"/>
              </w:rPr>
              <w:t>tūkst.</w:t>
            </w:r>
          </w:p>
        </w:tc>
        <w:tc>
          <w:tcPr>
            <w:tcW w:w="540" w:type="pct"/>
            <w:shd w:val="clear" w:color="auto" w:fill="006666"/>
          </w:tcPr>
          <w:p w14:paraId="40B4078C" w14:textId="77777777" w:rsidR="00024B8C" w:rsidRPr="00241D18"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241D18">
              <w:rPr>
                <w:rFonts w:ascii="Segoe UI Light" w:eastAsia="Times New Roman" w:hAnsi="Segoe UI Light"/>
                <w:b/>
                <w:color w:val="FFFFFF" w:themeColor="background1"/>
                <w:sz w:val="16"/>
                <w:szCs w:val="16"/>
              </w:rPr>
              <w:t xml:space="preserve">atbilstība </w:t>
            </w:r>
            <w:r w:rsidRPr="00241D18">
              <w:rPr>
                <w:rFonts w:ascii="Segoe UI Light" w:eastAsia="Times New Roman" w:hAnsi="Segoe UI Light"/>
                <w:b/>
                <w:color w:val="FFFFFF" w:themeColor="background1"/>
                <w:sz w:val="16"/>
                <w:szCs w:val="16"/>
              </w:rPr>
              <w:br/>
            </w:r>
            <w:r w:rsidRPr="00241D18">
              <w:rPr>
                <w:rFonts w:ascii="Segoe UI Light" w:eastAsia="Times New Roman" w:hAnsi="Segoe UI Light"/>
                <w:color w:val="FFFFFF" w:themeColor="background1"/>
                <w:sz w:val="16"/>
                <w:szCs w:val="16"/>
              </w:rPr>
              <w:t>procentos</w:t>
            </w:r>
          </w:p>
        </w:tc>
        <w:tc>
          <w:tcPr>
            <w:tcW w:w="538" w:type="pct"/>
            <w:shd w:val="clear" w:color="auto" w:fill="006666"/>
          </w:tcPr>
          <w:p w14:paraId="55926CCF" w14:textId="77777777" w:rsidR="00024B8C" w:rsidRPr="00241D18"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241D18">
              <w:rPr>
                <w:rFonts w:ascii="Segoe UI Light" w:eastAsia="Times New Roman" w:hAnsi="Segoe UI Light"/>
                <w:b/>
                <w:color w:val="FFFFFF" w:themeColor="background1"/>
                <w:sz w:val="16"/>
                <w:szCs w:val="16"/>
              </w:rPr>
              <w:t xml:space="preserve">pieprasījums </w:t>
            </w:r>
            <w:r w:rsidRPr="00241D18">
              <w:rPr>
                <w:rFonts w:ascii="Segoe UI Light" w:eastAsia="Times New Roman" w:hAnsi="Segoe UI Light"/>
                <w:b/>
                <w:color w:val="FFFFFF" w:themeColor="background1"/>
                <w:sz w:val="16"/>
                <w:szCs w:val="16"/>
              </w:rPr>
              <w:br/>
            </w:r>
            <w:r w:rsidRPr="00241D18">
              <w:rPr>
                <w:rFonts w:ascii="Segoe UI Light" w:eastAsia="Times New Roman" w:hAnsi="Segoe UI Light"/>
                <w:color w:val="FFFFFF" w:themeColor="background1"/>
                <w:sz w:val="16"/>
                <w:szCs w:val="16"/>
              </w:rPr>
              <w:t>tūkst.</w:t>
            </w:r>
          </w:p>
        </w:tc>
        <w:tc>
          <w:tcPr>
            <w:tcW w:w="538" w:type="pct"/>
            <w:shd w:val="clear" w:color="auto" w:fill="006666"/>
          </w:tcPr>
          <w:p w14:paraId="6D653111" w14:textId="77777777" w:rsidR="00024B8C" w:rsidRPr="00241D18"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241D18">
              <w:rPr>
                <w:rFonts w:ascii="Segoe UI Light" w:eastAsia="Times New Roman" w:hAnsi="Segoe UI Light"/>
                <w:b/>
                <w:color w:val="FFFFFF" w:themeColor="background1"/>
                <w:sz w:val="16"/>
                <w:szCs w:val="16"/>
              </w:rPr>
              <w:t xml:space="preserve">piedāvājums </w:t>
            </w:r>
            <w:r w:rsidRPr="00241D18">
              <w:rPr>
                <w:rFonts w:ascii="Segoe UI Light" w:eastAsia="Times New Roman" w:hAnsi="Segoe UI Light"/>
                <w:b/>
                <w:color w:val="FFFFFF" w:themeColor="background1"/>
                <w:sz w:val="16"/>
                <w:szCs w:val="16"/>
              </w:rPr>
              <w:br/>
            </w:r>
            <w:r w:rsidRPr="00241D18">
              <w:rPr>
                <w:rFonts w:ascii="Segoe UI Light" w:eastAsia="Times New Roman" w:hAnsi="Segoe UI Light"/>
                <w:color w:val="FFFFFF" w:themeColor="background1"/>
                <w:sz w:val="16"/>
                <w:szCs w:val="16"/>
              </w:rPr>
              <w:t>tūkst.</w:t>
            </w:r>
          </w:p>
        </w:tc>
        <w:tc>
          <w:tcPr>
            <w:tcW w:w="539" w:type="pct"/>
            <w:shd w:val="clear" w:color="auto" w:fill="006666"/>
          </w:tcPr>
          <w:p w14:paraId="5E183A48" w14:textId="77777777" w:rsidR="00024B8C" w:rsidRPr="00241D18"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241D18">
              <w:rPr>
                <w:rFonts w:ascii="Segoe UI Light" w:eastAsia="Times New Roman" w:hAnsi="Segoe UI Light"/>
                <w:b/>
                <w:color w:val="FFFFFF" w:themeColor="background1"/>
                <w:sz w:val="16"/>
                <w:szCs w:val="16"/>
              </w:rPr>
              <w:t xml:space="preserve">atbilstība </w:t>
            </w:r>
            <w:r w:rsidRPr="00241D18">
              <w:rPr>
                <w:rFonts w:ascii="Segoe UI Light" w:eastAsia="Times New Roman" w:hAnsi="Segoe UI Light"/>
                <w:b/>
                <w:color w:val="FFFFFF" w:themeColor="background1"/>
                <w:sz w:val="16"/>
                <w:szCs w:val="16"/>
              </w:rPr>
              <w:br/>
            </w:r>
            <w:r w:rsidRPr="00241D18">
              <w:rPr>
                <w:rFonts w:ascii="Segoe UI Light" w:eastAsia="Times New Roman" w:hAnsi="Segoe UI Light"/>
                <w:color w:val="FFFFFF" w:themeColor="background1"/>
                <w:sz w:val="16"/>
                <w:szCs w:val="16"/>
              </w:rPr>
              <w:t>procentos</w:t>
            </w:r>
          </w:p>
        </w:tc>
      </w:tr>
      <w:tr w:rsidR="00C03C20" w:rsidRPr="00D829F0" w14:paraId="2B11B331" w14:textId="77777777" w:rsidTr="008273F5">
        <w:trPr>
          <w:cantSplit/>
          <w:trHeight w:val="20"/>
        </w:trPr>
        <w:tc>
          <w:tcPr>
            <w:tcW w:w="1769" w:type="pct"/>
            <w:shd w:val="clear" w:color="auto" w:fill="DCE7EB"/>
            <w:hideMark/>
          </w:tcPr>
          <w:p w14:paraId="0128AE6A" w14:textId="77777777" w:rsidR="00024B8C" w:rsidRPr="00241D18" w:rsidRDefault="00024B8C">
            <w:pPr>
              <w:spacing w:before="40" w:after="40"/>
              <w:rPr>
                <w:rFonts w:ascii="Segoe UI Light" w:eastAsia="Times New Roman" w:hAnsi="Segoe UI Light"/>
                <w:color w:val="000000"/>
                <w:sz w:val="16"/>
                <w:szCs w:val="16"/>
              </w:rPr>
            </w:pPr>
            <w:r w:rsidRPr="00241D18">
              <w:rPr>
                <w:rFonts w:ascii="Segoe UI Light" w:eastAsia="Times New Roman" w:hAnsi="Segoe UI Light"/>
                <w:sz w:val="16"/>
                <w:szCs w:val="16"/>
              </w:rPr>
              <w:t>Augstākā izglītība, tai skaitā:</w:t>
            </w:r>
          </w:p>
        </w:tc>
        <w:tc>
          <w:tcPr>
            <w:tcW w:w="538" w:type="pct"/>
            <w:shd w:val="clear" w:color="auto" w:fill="DCE7EB"/>
          </w:tcPr>
          <w:p w14:paraId="10B7BE5A" w14:textId="0E9438AD"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397,</w:t>
            </w:r>
            <w:r w:rsidR="00443359">
              <w:rPr>
                <w:rFonts w:ascii="Segoe UI Light" w:hAnsi="Segoe UI Light" w:cs="Segoe UI Light"/>
                <w:sz w:val="16"/>
                <w:szCs w:val="16"/>
              </w:rPr>
              <w:t>7</w:t>
            </w:r>
          </w:p>
        </w:tc>
        <w:tc>
          <w:tcPr>
            <w:tcW w:w="538" w:type="pct"/>
            <w:shd w:val="clear" w:color="auto" w:fill="DCE7EB"/>
          </w:tcPr>
          <w:p w14:paraId="740E2BC1" w14:textId="5E3CDB6E"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405.</w:t>
            </w:r>
            <w:r w:rsidR="00443359">
              <w:rPr>
                <w:rFonts w:ascii="Segoe UI Light" w:hAnsi="Segoe UI Light" w:cs="Segoe UI Light"/>
                <w:sz w:val="16"/>
                <w:szCs w:val="16"/>
              </w:rPr>
              <w:t>9</w:t>
            </w:r>
          </w:p>
        </w:tc>
        <w:tc>
          <w:tcPr>
            <w:tcW w:w="540" w:type="pct"/>
            <w:shd w:val="clear" w:color="auto" w:fill="DCE7EB"/>
          </w:tcPr>
          <w:p w14:paraId="5EB18522" w14:textId="77777777"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eastAsia="Times New Roman" w:hAnsi="Segoe UI Light" w:cs="Segoe UI Light"/>
                <w:sz w:val="16"/>
                <w:szCs w:val="16"/>
              </w:rPr>
              <w:t>98</w:t>
            </w:r>
          </w:p>
        </w:tc>
        <w:tc>
          <w:tcPr>
            <w:tcW w:w="538" w:type="pct"/>
            <w:shd w:val="clear" w:color="auto" w:fill="DCE7EB"/>
          </w:tcPr>
          <w:p w14:paraId="5B4D4EE1" w14:textId="71F6DD22" w:rsidR="00024B8C" w:rsidRPr="00241D18" w:rsidRDefault="00024B8C">
            <w:pPr>
              <w:tabs>
                <w:tab w:val="decimal" w:pos="582"/>
              </w:tabs>
              <w:spacing w:before="40" w:after="40"/>
              <w:rPr>
                <w:rFonts w:ascii="Segoe UI Light" w:eastAsia="Times New Roman" w:hAnsi="Segoe UI Light"/>
                <w:sz w:val="16"/>
                <w:szCs w:val="16"/>
              </w:rPr>
            </w:pPr>
            <w:r w:rsidRPr="00241D18">
              <w:rPr>
                <w:rFonts w:ascii="Segoe UI Light" w:hAnsi="Segoe UI Light" w:cs="Segoe UI Light"/>
                <w:sz w:val="16"/>
                <w:szCs w:val="16"/>
              </w:rPr>
              <w:t>41</w:t>
            </w:r>
            <w:r w:rsidR="00CB76E6">
              <w:rPr>
                <w:rFonts w:ascii="Segoe UI Light" w:hAnsi="Segoe UI Light" w:cs="Segoe UI Light"/>
                <w:sz w:val="16"/>
                <w:szCs w:val="16"/>
              </w:rPr>
              <w:t>8</w:t>
            </w:r>
            <w:r w:rsidRPr="00241D18">
              <w:rPr>
                <w:rFonts w:ascii="Segoe UI Light" w:hAnsi="Segoe UI Light" w:cs="Segoe UI Light"/>
                <w:sz w:val="16"/>
                <w:szCs w:val="16"/>
              </w:rPr>
              <w:t>,</w:t>
            </w:r>
            <w:r w:rsidR="00CB76E6">
              <w:rPr>
                <w:rFonts w:ascii="Segoe UI Light" w:hAnsi="Segoe UI Light" w:cs="Segoe UI Light"/>
                <w:sz w:val="16"/>
                <w:szCs w:val="16"/>
              </w:rPr>
              <w:t>3</w:t>
            </w:r>
          </w:p>
        </w:tc>
        <w:tc>
          <w:tcPr>
            <w:tcW w:w="538" w:type="pct"/>
            <w:shd w:val="clear" w:color="auto" w:fill="DCE7EB"/>
          </w:tcPr>
          <w:p w14:paraId="3FD7EC4C" w14:textId="54FEADB5"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4</w:t>
            </w:r>
            <w:r w:rsidR="00CB76E6">
              <w:rPr>
                <w:rFonts w:ascii="Segoe UI Light" w:hAnsi="Segoe UI Light" w:cs="Segoe UI Light"/>
                <w:sz w:val="16"/>
                <w:szCs w:val="16"/>
              </w:rPr>
              <w:t>22</w:t>
            </w:r>
            <w:r w:rsidRPr="00241D18">
              <w:rPr>
                <w:rFonts w:ascii="Segoe UI Light" w:hAnsi="Segoe UI Light" w:cs="Segoe UI Light"/>
                <w:sz w:val="16"/>
                <w:szCs w:val="16"/>
              </w:rPr>
              <w:t>,</w:t>
            </w:r>
            <w:r w:rsidR="00CB76E6">
              <w:rPr>
                <w:rFonts w:ascii="Segoe UI Light" w:hAnsi="Segoe UI Light" w:cs="Segoe UI Light"/>
                <w:sz w:val="16"/>
                <w:szCs w:val="16"/>
              </w:rPr>
              <w:t>7</w:t>
            </w:r>
          </w:p>
        </w:tc>
        <w:tc>
          <w:tcPr>
            <w:tcW w:w="539" w:type="pct"/>
            <w:shd w:val="clear" w:color="auto" w:fill="DCE7EB"/>
          </w:tcPr>
          <w:p w14:paraId="5991024A" w14:textId="167122FA"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eastAsia="Times New Roman" w:hAnsi="Segoe UI Light" w:cs="Segoe UI Light"/>
                <w:bCs/>
                <w:sz w:val="16"/>
                <w:szCs w:val="16"/>
              </w:rPr>
              <w:t>9</w:t>
            </w:r>
            <w:r w:rsidR="00C87921">
              <w:rPr>
                <w:rFonts w:ascii="Segoe UI Light" w:eastAsia="Times New Roman" w:hAnsi="Segoe UI Light" w:cs="Segoe UI Light"/>
                <w:bCs/>
                <w:sz w:val="16"/>
                <w:szCs w:val="16"/>
              </w:rPr>
              <w:t>9</w:t>
            </w:r>
          </w:p>
        </w:tc>
      </w:tr>
      <w:tr w:rsidR="0037467C" w:rsidRPr="00D829F0" w14:paraId="6E85A9ED"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hideMark/>
          </w:tcPr>
          <w:p w14:paraId="61141E43" w14:textId="77777777" w:rsidR="0037467C" w:rsidRPr="00241D18" w:rsidRDefault="0037467C" w:rsidP="0037467C">
            <w:pPr>
              <w:spacing w:before="40" w:after="40"/>
              <w:ind w:left="186"/>
              <w:rPr>
                <w:rFonts w:ascii="Segoe UI Light" w:eastAsia="Times New Roman" w:hAnsi="Segoe UI Light"/>
                <w:color w:val="000000"/>
                <w:sz w:val="16"/>
                <w:szCs w:val="16"/>
              </w:rPr>
            </w:pPr>
            <w:r w:rsidRPr="00241D18">
              <w:rPr>
                <w:rFonts w:ascii="Segoe UI Light" w:eastAsia="Times New Roman" w:hAnsi="Segoe UI Light"/>
                <w:color w:val="000000"/>
                <w:sz w:val="16"/>
                <w:szCs w:val="16"/>
              </w:rPr>
              <w:t>Izglītība</w:t>
            </w:r>
          </w:p>
        </w:tc>
        <w:tc>
          <w:tcPr>
            <w:tcW w:w="538" w:type="pct"/>
            <w:shd w:val="clear" w:color="auto" w:fill="auto"/>
          </w:tcPr>
          <w:p w14:paraId="5BD9EAC5" w14:textId="3ED8B007"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37</w:t>
            </w:r>
            <w:r>
              <w:rPr>
                <w:rFonts w:ascii="Segoe UI Light" w:hAnsi="Segoe UI Light" w:cs="Segoe UI Light"/>
                <w:sz w:val="16"/>
                <w:szCs w:val="16"/>
              </w:rPr>
              <w:t>,</w:t>
            </w:r>
            <w:r w:rsidRPr="00B1226A">
              <w:rPr>
                <w:rFonts w:ascii="Segoe UI Light" w:hAnsi="Segoe UI Light" w:cs="Segoe UI Light"/>
                <w:sz w:val="16"/>
                <w:szCs w:val="16"/>
              </w:rPr>
              <w:t>4</w:t>
            </w:r>
          </w:p>
        </w:tc>
        <w:tc>
          <w:tcPr>
            <w:tcW w:w="538" w:type="pct"/>
            <w:shd w:val="clear" w:color="auto" w:fill="auto"/>
          </w:tcPr>
          <w:p w14:paraId="52108020" w14:textId="22E24DD1"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39</w:t>
            </w:r>
            <w:r>
              <w:rPr>
                <w:rFonts w:ascii="Segoe UI Light" w:hAnsi="Segoe UI Light" w:cs="Segoe UI Light"/>
                <w:sz w:val="16"/>
                <w:szCs w:val="16"/>
              </w:rPr>
              <w:t>,</w:t>
            </w:r>
            <w:r w:rsidRPr="00B1226A">
              <w:rPr>
                <w:rFonts w:ascii="Segoe UI Light" w:hAnsi="Segoe UI Light" w:cs="Segoe UI Light"/>
                <w:sz w:val="16"/>
                <w:szCs w:val="16"/>
              </w:rPr>
              <w:t>4</w:t>
            </w:r>
          </w:p>
        </w:tc>
        <w:tc>
          <w:tcPr>
            <w:tcW w:w="540" w:type="pct"/>
            <w:shd w:val="clear" w:color="auto" w:fill="auto"/>
          </w:tcPr>
          <w:p w14:paraId="5E102F6E" w14:textId="55724A2E"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95</w:t>
            </w:r>
          </w:p>
        </w:tc>
        <w:tc>
          <w:tcPr>
            <w:tcW w:w="538" w:type="pct"/>
            <w:shd w:val="clear" w:color="auto" w:fill="auto"/>
          </w:tcPr>
          <w:p w14:paraId="2DF866B4" w14:textId="6F2B46E3"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35</w:t>
            </w:r>
            <w:r>
              <w:rPr>
                <w:rFonts w:ascii="Segoe UI Light" w:hAnsi="Segoe UI Light" w:cs="Segoe UI Light"/>
                <w:sz w:val="16"/>
                <w:szCs w:val="16"/>
              </w:rPr>
              <w:t>,</w:t>
            </w:r>
            <w:r w:rsidRPr="0037467C">
              <w:rPr>
                <w:rFonts w:ascii="Segoe UI Light" w:hAnsi="Segoe UI Light" w:cs="Segoe UI Light"/>
                <w:sz w:val="16"/>
                <w:szCs w:val="16"/>
              </w:rPr>
              <w:t>2</w:t>
            </w:r>
          </w:p>
        </w:tc>
        <w:tc>
          <w:tcPr>
            <w:tcW w:w="538" w:type="pct"/>
            <w:shd w:val="clear" w:color="auto" w:fill="auto"/>
          </w:tcPr>
          <w:p w14:paraId="2D88D5C4" w14:textId="671CAE40"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34</w:t>
            </w:r>
            <w:r>
              <w:rPr>
                <w:rFonts w:ascii="Segoe UI Light" w:hAnsi="Segoe UI Light" w:cs="Segoe UI Light"/>
                <w:sz w:val="16"/>
                <w:szCs w:val="16"/>
              </w:rPr>
              <w:t>,</w:t>
            </w:r>
            <w:r w:rsidRPr="0037467C">
              <w:rPr>
                <w:rFonts w:ascii="Segoe UI Light" w:hAnsi="Segoe UI Light" w:cs="Segoe UI Light"/>
                <w:sz w:val="16"/>
                <w:szCs w:val="16"/>
              </w:rPr>
              <w:t>0</w:t>
            </w:r>
          </w:p>
        </w:tc>
        <w:tc>
          <w:tcPr>
            <w:tcW w:w="539" w:type="pct"/>
            <w:shd w:val="clear" w:color="auto" w:fill="auto"/>
          </w:tcPr>
          <w:p w14:paraId="757D99E4" w14:textId="0FF8EF03"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103</w:t>
            </w:r>
          </w:p>
        </w:tc>
      </w:tr>
      <w:tr w:rsidR="0037467C" w:rsidRPr="00D829F0" w14:paraId="6CFF3B66" w14:textId="77777777" w:rsidTr="008273F5">
        <w:trPr>
          <w:cantSplit/>
          <w:trHeight w:val="20"/>
        </w:trPr>
        <w:tc>
          <w:tcPr>
            <w:tcW w:w="1769" w:type="pct"/>
            <w:shd w:val="clear" w:color="auto" w:fill="DCE7EB"/>
            <w:hideMark/>
          </w:tcPr>
          <w:p w14:paraId="18D4CABB" w14:textId="77777777" w:rsidR="0037467C" w:rsidRPr="00241D18" w:rsidRDefault="0037467C" w:rsidP="0037467C">
            <w:pPr>
              <w:spacing w:before="40" w:after="40"/>
              <w:ind w:left="186"/>
              <w:rPr>
                <w:rFonts w:ascii="Segoe UI Light" w:eastAsia="Times New Roman" w:hAnsi="Segoe UI Light"/>
                <w:color w:val="000000"/>
                <w:sz w:val="16"/>
                <w:szCs w:val="16"/>
              </w:rPr>
            </w:pPr>
            <w:r w:rsidRPr="00241D18">
              <w:rPr>
                <w:rFonts w:ascii="Segoe UI Light" w:eastAsia="Times New Roman" w:hAnsi="Segoe UI Light"/>
                <w:color w:val="000000"/>
                <w:sz w:val="16"/>
                <w:szCs w:val="16"/>
              </w:rPr>
              <w:t>Humanitārās zinātnes un māksla</w:t>
            </w:r>
          </w:p>
        </w:tc>
        <w:tc>
          <w:tcPr>
            <w:tcW w:w="538" w:type="pct"/>
            <w:shd w:val="clear" w:color="auto" w:fill="DCE7EB"/>
          </w:tcPr>
          <w:p w14:paraId="3672357C" w14:textId="3BC405D9"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17</w:t>
            </w:r>
            <w:r>
              <w:rPr>
                <w:rFonts w:ascii="Segoe UI Light" w:hAnsi="Segoe UI Light" w:cs="Segoe UI Light"/>
                <w:sz w:val="16"/>
                <w:szCs w:val="16"/>
              </w:rPr>
              <w:t>,</w:t>
            </w:r>
            <w:r w:rsidRPr="00B1226A">
              <w:rPr>
                <w:rFonts w:ascii="Segoe UI Light" w:hAnsi="Segoe UI Light" w:cs="Segoe UI Light"/>
                <w:sz w:val="16"/>
                <w:szCs w:val="16"/>
              </w:rPr>
              <w:t>5</w:t>
            </w:r>
          </w:p>
        </w:tc>
        <w:tc>
          <w:tcPr>
            <w:tcW w:w="538" w:type="pct"/>
            <w:shd w:val="clear" w:color="auto" w:fill="DCE7EB"/>
          </w:tcPr>
          <w:p w14:paraId="567AAFCF" w14:textId="1282B573"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19</w:t>
            </w:r>
            <w:r>
              <w:rPr>
                <w:rFonts w:ascii="Segoe UI Light" w:hAnsi="Segoe UI Light" w:cs="Segoe UI Light"/>
                <w:sz w:val="16"/>
                <w:szCs w:val="16"/>
              </w:rPr>
              <w:t>,</w:t>
            </w:r>
            <w:r w:rsidRPr="00B1226A">
              <w:rPr>
                <w:rFonts w:ascii="Segoe UI Light" w:hAnsi="Segoe UI Light" w:cs="Segoe UI Light"/>
                <w:sz w:val="16"/>
                <w:szCs w:val="16"/>
              </w:rPr>
              <w:t>0</w:t>
            </w:r>
          </w:p>
        </w:tc>
        <w:tc>
          <w:tcPr>
            <w:tcW w:w="540" w:type="pct"/>
            <w:shd w:val="clear" w:color="auto" w:fill="DCE7EB"/>
          </w:tcPr>
          <w:p w14:paraId="3BB78944" w14:textId="0DF4067C"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92</w:t>
            </w:r>
          </w:p>
        </w:tc>
        <w:tc>
          <w:tcPr>
            <w:tcW w:w="538" w:type="pct"/>
            <w:shd w:val="clear" w:color="auto" w:fill="DCE7EB"/>
          </w:tcPr>
          <w:p w14:paraId="0B19D338" w14:textId="7A5B17A7"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19</w:t>
            </w:r>
            <w:r>
              <w:rPr>
                <w:rFonts w:ascii="Segoe UI Light" w:hAnsi="Segoe UI Light" w:cs="Segoe UI Light"/>
                <w:sz w:val="16"/>
                <w:szCs w:val="16"/>
              </w:rPr>
              <w:t>,</w:t>
            </w:r>
            <w:r w:rsidRPr="0037467C">
              <w:rPr>
                <w:rFonts w:ascii="Segoe UI Light" w:hAnsi="Segoe UI Light" w:cs="Segoe UI Light"/>
                <w:sz w:val="16"/>
                <w:szCs w:val="16"/>
              </w:rPr>
              <w:t>2</w:t>
            </w:r>
          </w:p>
        </w:tc>
        <w:tc>
          <w:tcPr>
            <w:tcW w:w="538" w:type="pct"/>
            <w:shd w:val="clear" w:color="auto" w:fill="DCE7EB"/>
          </w:tcPr>
          <w:p w14:paraId="78C8B2D4" w14:textId="155FF0D6"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23</w:t>
            </w:r>
            <w:r>
              <w:rPr>
                <w:rFonts w:ascii="Segoe UI Light" w:hAnsi="Segoe UI Light" w:cs="Segoe UI Light"/>
                <w:sz w:val="16"/>
                <w:szCs w:val="16"/>
              </w:rPr>
              <w:t>,</w:t>
            </w:r>
            <w:r w:rsidRPr="0037467C">
              <w:rPr>
                <w:rFonts w:ascii="Segoe UI Light" w:hAnsi="Segoe UI Light" w:cs="Segoe UI Light"/>
                <w:sz w:val="16"/>
                <w:szCs w:val="16"/>
              </w:rPr>
              <w:t>1</w:t>
            </w:r>
          </w:p>
        </w:tc>
        <w:tc>
          <w:tcPr>
            <w:tcW w:w="539" w:type="pct"/>
            <w:shd w:val="clear" w:color="auto" w:fill="DCE7EB"/>
          </w:tcPr>
          <w:p w14:paraId="468164A7" w14:textId="08066F3F"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83</w:t>
            </w:r>
          </w:p>
        </w:tc>
      </w:tr>
      <w:tr w:rsidR="0037467C" w:rsidRPr="00D829F0" w14:paraId="05996FC4"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hideMark/>
          </w:tcPr>
          <w:p w14:paraId="1696A501" w14:textId="77777777" w:rsidR="0037467C" w:rsidRPr="00241D18" w:rsidRDefault="0037467C" w:rsidP="0037467C">
            <w:pPr>
              <w:spacing w:before="40" w:after="40"/>
              <w:ind w:left="187" w:right="-113"/>
              <w:rPr>
                <w:rFonts w:ascii="Segoe UI Light" w:eastAsia="Times New Roman" w:hAnsi="Segoe UI Light"/>
                <w:color w:val="000000"/>
                <w:sz w:val="16"/>
                <w:szCs w:val="16"/>
              </w:rPr>
            </w:pPr>
            <w:r w:rsidRPr="00241D18">
              <w:rPr>
                <w:rFonts w:ascii="Segoe UI Light" w:eastAsia="Times New Roman" w:hAnsi="Segoe UI Light"/>
                <w:color w:val="000000"/>
                <w:sz w:val="16"/>
                <w:szCs w:val="16"/>
              </w:rPr>
              <w:t>Sociālās zinātnes, komerczinības un tiesības</w:t>
            </w:r>
          </w:p>
        </w:tc>
        <w:tc>
          <w:tcPr>
            <w:tcW w:w="538" w:type="pct"/>
            <w:shd w:val="clear" w:color="auto" w:fill="auto"/>
          </w:tcPr>
          <w:p w14:paraId="2C44CF09" w14:textId="4D5948A9"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131</w:t>
            </w:r>
            <w:r>
              <w:rPr>
                <w:rFonts w:ascii="Segoe UI Light" w:hAnsi="Segoe UI Light" w:cs="Segoe UI Light"/>
                <w:sz w:val="16"/>
                <w:szCs w:val="16"/>
              </w:rPr>
              <w:t>,</w:t>
            </w:r>
            <w:r w:rsidRPr="00B1226A">
              <w:rPr>
                <w:rFonts w:ascii="Segoe UI Light" w:hAnsi="Segoe UI Light" w:cs="Segoe UI Light"/>
                <w:sz w:val="16"/>
                <w:szCs w:val="16"/>
              </w:rPr>
              <w:t>5</w:t>
            </w:r>
          </w:p>
        </w:tc>
        <w:tc>
          <w:tcPr>
            <w:tcW w:w="538" w:type="pct"/>
            <w:shd w:val="clear" w:color="auto" w:fill="auto"/>
          </w:tcPr>
          <w:p w14:paraId="66C76488" w14:textId="00428C35"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139</w:t>
            </w:r>
            <w:r>
              <w:rPr>
                <w:rFonts w:ascii="Segoe UI Light" w:hAnsi="Segoe UI Light" w:cs="Segoe UI Light"/>
                <w:sz w:val="16"/>
                <w:szCs w:val="16"/>
              </w:rPr>
              <w:t>,</w:t>
            </w:r>
            <w:r w:rsidRPr="00B1226A">
              <w:rPr>
                <w:rFonts w:ascii="Segoe UI Light" w:hAnsi="Segoe UI Light" w:cs="Segoe UI Light"/>
                <w:sz w:val="16"/>
                <w:szCs w:val="16"/>
              </w:rPr>
              <w:t>1</w:t>
            </w:r>
          </w:p>
        </w:tc>
        <w:tc>
          <w:tcPr>
            <w:tcW w:w="540" w:type="pct"/>
            <w:shd w:val="clear" w:color="auto" w:fill="auto"/>
          </w:tcPr>
          <w:p w14:paraId="0A68B490" w14:textId="2F5799D2"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95</w:t>
            </w:r>
          </w:p>
        </w:tc>
        <w:tc>
          <w:tcPr>
            <w:tcW w:w="538" w:type="pct"/>
            <w:shd w:val="clear" w:color="auto" w:fill="auto"/>
          </w:tcPr>
          <w:p w14:paraId="6DE3B527" w14:textId="486BFC56"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136</w:t>
            </w:r>
            <w:r>
              <w:rPr>
                <w:rFonts w:ascii="Segoe UI Light" w:hAnsi="Segoe UI Light" w:cs="Segoe UI Light"/>
                <w:sz w:val="16"/>
                <w:szCs w:val="16"/>
              </w:rPr>
              <w:t>,</w:t>
            </w:r>
            <w:r w:rsidRPr="0037467C">
              <w:rPr>
                <w:rFonts w:ascii="Segoe UI Light" w:hAnsi="Segoe UI Light" w:cs="Segoe UI Light"/>
                <w:sz w:val="16"/>
                <w:szCs w:val="16"/>
              </w:rPr>
              <w:t>9</w:t>
            </w:r>
          </w:p>
        </w:tc>
        <w:tc>
          <w:tcPr>
            <w:tcW w:w="538" w:type="pct"/>
            <w:shd w:val="clear" w:color="auto" w:fill="auto"/>
          </w:tcPr>
          <w:p w14:paraId="53A985E3" w14:textId="5E8E0CE3"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152</w:t>
            </w:r>
            <w:r>
              <w:rPr>
                <w:rFonts w:ascii="Segoe UI Light" w:hAnsi="Segoe UI Light" w:cs="Segoe UI Light"/>
                <w:sz w:val="16"/>
                <w:szCs w:val="16"/>
              </w:rPr>
              <w:t>,</w:t>
            </w:r>
            <w:r w:rsidRPr="0037467C">
              <w:rPr>
                <w:rFonts w:ascii="Segoe UI Light" w:hAnsi="Segoe UI Light" w:cs="Segoe UI Light"/>
                <w:sz w:val="16"/>
                <w:szCs w:val="16"/>
              </w:rPr>
              <w:t>3</w:t>
            </w:r>
          </w:p>
        </w:tc>
        <w:tc>
          <w:tcPr>
            <w:tcW w:w="539" w:type="pct"/>
            <w:shd w:val="clear" w:color="auto" w:fill="auto"/>
          </w:tcPr>
          <w:p w14:paraId="298244E3" w14:textId="19333FD2"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90</w:t>
            </w:r>
          </w:p>
        </w:tc>
      </w:tr>
      <w:tr w:rsidR="0037467C" w:rsidRPr="00D829F0" w14:paraId="76E5C6AD" w14:textId="77777777" w:rsidTr="008273F5">
        <w:trPr>
          <w:cantSplit/>
          <w:trHeight w:val="20"/>
        </w:trPr>
        <w:tc>
          <w:tcPr>
            <w:tcW w:w="1769" w:type="pct"/>
            <w:shd w:val="clear" w:color="auto" w:fill="DCE7EB"/>
            <w:hideMark/>
          </w:tcPr>
          <w:p w14:paraId="6A6167A0" w14:textId="77777777" w:rsidR="0037467C" w:rsidRPr="00241D18" w:rsidRDefault="0037467C" w:rsidP="0037467C">
            <w:pPr>
              <w:spacing w:before="40" w:after="40"/>
              <w:ind w:left="186"/>
              <w:rPr>
                <w:rFonts w:ascii="Segoe UI Light" w:eastAsia="Times New Roman" w:hAnsi="Segoe UI Light"/>
                <w:color w:val="000000"/>
                <w:sz w:val="16"/>
                <w:szCs w:val="16"/>
              </w:rPr>
            </w:pPr>
            <w:r w:rsidRPr="00241D18">
              <w:rPr>
                <w:rFonts w:ascii="Segoe UI Light" w:eastAsia="Times New Roman" w:hAnsi="Segoe UI Light"/>
                <w:color w:val="000000"/>
                <w:sz w:val="16"/>
                <w:szCs w:val="16"/>
              </w:rPr>
              <w:t>Dabas zinātnes, matemātika un informācijas tehnoloģijas</w:t>
            </w:r>
          </w:p>
        </w:tc>
        <w:tc>
          <w:tcPr>
            <w:tcW w:w="538" w:type="pct"/>
            <w:shd w:val="clear" w:color="auto" w:fill="DCE7EB"/>
          </w:tcPr>
          <w:p w14:paraId="35D15285" w14:textId="0156C9ED"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27</w:t>
            </w:r>
            <w:r>
              <w:rPr>
                <w:rFonts w:ascii="Segoe UI Light" w:hAnsi="Segoe UI Light" w:cs="Segoe UI Light"/>
                <w:sz w:val="16"/>
                <w:szCs w:val="16"/>
              </w:rPr>
              <w:t>,</w:t>
            </w:r>
            <w:r w:rsidRPr="00B1226A">
              <w:rPr>
                <w:rFonts w:ascii="Segoe UI Light" w:hAnsi="Segoe UI Light" w:cs="Segoe UI Light"/>
                <w:sz w:val="16"/>
                <w:szCs w:val="16"/>
              </w:rPr>
              <w:t>5</w:t>
            </w:r>
          </w:p>
        </w:tc>
        <w:tc>
          <w:tcPr>
            <w:tcW w:w="538" w:type="pct"/>
            <w:shd w:val="clear" w:color="auto" w:fill="DCE7EB"/>
          </w:tcPr>
          <w:p w14:paraId="3A5799A6" w14:textId="381ABEF1"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23</w:t>
            </w:r>
            <w:r>
              <w:rPr>
                <w:rFonts w:ascii="Segoe UI Light" w:hAnsi="Segoe UI Light" w:cs="Segoe UI Light"/>
                <w:sz w:val="16"/>
                <w:szCs w:val="16"/>
              </w:rPr>
              <w:t>,</w:t>
            </w:r>
            <w:r w:rsidRPr="00B1226A">
              <w:rPr>
                <w:rFonts w:ascii="Segoe UI Light" w:hAnsi="Segoe UI Light" w:cs="Segoe UI Light"/>
                <w:sz w:val="16"/>
                <w:szCs w:val="16"/>
              </w:rPr>
              <w:t>6</w:t>
            </w:r>
          </w:p>
        </w:tc>
        <w:tc>
          <w:tcPr>
            <w:tcW w:w="540" w:type="pct"/>
            <w:shd w:val="clear" w:color="auto" w:fill="DCE7EB"/>
          </w:tcPr>
          <w:p w14:paraId="4DAE4D45" w14:textId="0C0B3A90"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117</w:t>
            </w:r>
          </w:p>
        </w:tc>
        <w:tc>
          <w:tcPr>
            <w:tcW w:w="538" w:type="pct"/>
            <w:shd w:val="clear" w:color="auto" w:fill="DCE7EB"/>
          </w:tcPr>
          <w:p w14:paraId="32D73359" w14:textId="4C874600"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38</w:t>
            </w:r>
            <w:r>
              <w:rPr>
                <w:rFonts w:ascii="Segoe UI Light" w:hAnsi="Segoe UI Light" w:cs="Segoe UI Light"/>
                <w:sz w:val="16"/>
                <w:szCs w:val="16"/>
              </w:rPr>
              <w:t>,</w:t>
            </w:r>
            <w:r w:rsidRPr="0037467C">
              <w:rPr>
                <w:rFonts w:ascii="Segoe UI Light" w:hAnsi="Segoe UI Light" w:cs="Segoe UI Light"/>
                <w:sz w:val="16"/>
                <w:szCs w:val="16"/>
              </w:rPr>
              <w:t>8</w:t>
            </w:r>
          </w:p>
        </w:tc>
        <w:tc>
          <w:tcPr>
            <w:tcW w:w="538" w:type="pct"/>
            <w:shd w:val="clear" w:color="auto" w:fill="DCE7EB"/>
          </w:tcPr>
          <w:p w14:paraId="04D9AAA9" w14:textId="088CB6C7"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25</w:t>
            </w:r>
            <w:r>
              <w:rPr>
                <w:rFonts w:ascii="Segoe UI Light" w:hAnsi="Segoe UI Light" w:cs="Segoe UI Light"/>
                <w:sz w:val="16"/>
                <w:szCs w:val="16"/>
              </w:rPr>
              <w:t>,</w:t>
            </w:r>
            <w:r w:rsidRPr="0037467C">
              <w:rPr>
                <w:rFonts w:ascii="Segoe UI Light" w:hAnsi="Segoe UI Light" w:cs="Segoe UI Light"/>
                <w:sz w:val="16"/>
                <w:szCs w:val="16"/>
              </w:rPr>
              <w:t>5</w:t>
            </w:r>
          </w:p>
        </w:tc>
        <w:tc>
          <w:tcPr>
            <w:tcW w:w="539" w:type="pct"/>
            <w:shd w:val="clear" w:color="auto" w:fill="DCE7EB"/>
          </w:tcPr>
          <w:p w14:paraId="2D74DA41" w14:textId="2CD51325"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152</w:t>
            </w:r>
          </w:p>
        </w:tc>
      </w:tr>
      <w:tr w:rsidR="0037467C" w:rsidRPr="00D829F0" w14:paraId="2183E004"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hideMark/>
          </w:tcPr>
          <w:p w14:paraId="6803DD98" w14:textId="77777777" w:rsidR="0037467C" w:rsidRPr="00241D18" w:rsidRDefault="0037467C" w:rsidP="0037467C">
            <w:pPr>
              <w:spacing w:before="40" w:after="40"/>
              <w:ind w:left="186"/>
              <w:rPr>
                <w:rFonts w:ascii="Segoe UI Light" w:eastAsia="Times New Roman" w:hAnsi="Segoe UI Light"/>
                <w:color w:val="000000"/>
                <w:sz w:val="16"/>
                <w:szCs w:val="16"/>
              </w:rPr>
            </w:pPr>
            <w:r w:rsidRPr="00241D18">
              <w:rPr>
                <w:rFonts w:ascii="Segoe UI Light" w:eastAsia="Times New Roman" w:hAnsi="Segoe UI Light"/>
                <w:color w:val="000000"/>
                <w:sz w:val="16"/>
                <w:szCs w:val="16"/>
              </w:rPr>
              <w:t>Inženierzinātnes, ražošana un būvniecība</w:t>
            </w:r>
          </w:p>
        </w:tc>
        <w:tc>
          <w:tcPr>
            <w:tcW w:w="538" w:type="pct"/>
            <w:shd w:val="clear" w:color="auto" w:fill="auto"/>
          </w:tcPr>
          <w:p w14:paraId="77590F12" w14:textId="2C9B0996"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50</w:t>
            </w:r>
            <w:r>
              <w:rPr>
                <w:rFonts w:ascii="Segoe UI Light" w:hAnsi="Segoe UI Light" w:cs="Segoe UI Light"/>
                <w:sz w:val="16"/>
                <w:szCs w:val="16"/>
              </w:rPr>
              <w:t>,</w:t>
            </w:r>
            <w:r w:rsidRPr="00B1226A">
              <w:rPr>
                <w:rFonts w:ascii="Segoe UI Light" w:hAnsi="Segoe UI Light" w:cs="Segoe UI Light"/>
                <w:sz w:val="16"/>
                <w:szCs w:val="16"/>
              </w:rPr>
              <w:t>6</w:t>
            </w:r>
          </w:p>
        </w:tc>
        <w:tc>
          <w:tcPr>
            <w:tcW w:w="538" w:type="pct"/>
            <w:shd w:val="clear" w:color="auto" w:fill="auto"/>
          </w:tcPr>
          <w:p w14:paraId="2EA4133C" w14:textId="62B89DBF"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46</w:t>
            </w:r>
            <w:r>
              <w:rPr>
                <w:rFonts w:ascii="Segoe UI Light" w:hAnsi="Segoe UI Light" w:cs="Segoe UI Light"/>
                <w:sz w:val="16"/>
                <w:szCs w:val="16"/>
              </w:rPr>
              <w:t>,</w:t>
            </w:r>
            <w:r w:rsidRPr="00B1226A">
              <w:rPr>
                <w:rFonts w:ascii="Segoe UI Light" w:hAnsi="Segoe UI Light" w:cs="Segoe UI Light"/>
                <w:sz w:val="16"/>
                <w:szCs w:val="16"/>
              </w:rPr>
              <w:t>7</w:t>
            </w:r>
          </w:p>
        </w:tc>
        <w:tc>
          <w:tcPr>
            <w:tcW w:w="540" w:type="pct"/>
            <w:shd w:val="clear" w:color="auto" w:fill="auto"/>
          </w:tcPr>
          <w:p w14:paraId="6782BBA3" w14:textId="110DB498"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108</w:t>
            </w:r>
          </w:p>
        </w:tc>
        <w:tc>
          <w:tcPr>
            <w:tcW w:w="538" w:type="pct"/>
            <w:shd w:val="clear" w:color="auto" w:fill="auto"/>
          </w:tcPr>
          <w:p w14:paraId="1D654A10" w14:textId="14DBA705"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58</w:t>
            </w:r>
            <w:r>
              <w:rPr>
                <w:rFonts w:ascii="Segoe UI Light" w:hAnsi="Segoe UI Light" w:cs="Segoe UI Light"/>
                <w:sz w:val="16"/>
                <w:szCs w:val="16"/>
              </w:rPr>
              <w:t>,</w:t>
            </w:r>
            <w:r w:rsidRPr="0037467C">
              <w:rPr>
                <w:rFonts w:ascii="Segoe UI Light" w:hAnsi="Segoe UI Light" w:cs="Segoe UI Light"/>
                <w:sz w:val="16"/>
                <w:szCs w:val="16"/>
              </w:rPr>
              <w:t>6</w:t>
            </w:r>
          </w:p>
        </w:tc>
        <w:tc>
          <w:tcPr>
            <w:tcW w:w="538" w:type="pct"/>
            <w:shd w:val="clear" w:color="auto" w:fill="auto"/>
          </w:tcPr>
          <w:p w14:paraId="51D7063A" w14:textId="1177B8CD"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51</w:t>
            </w:r>
            <w:r>
              <w:rPr>
                <w:rFonts w:ascii="Segoe UI Light" w:hAnsi="Segoe UI Light" w:cs="Segoe UI Light"/>
                <w:sz w:val="16"/>
                <w:szCs w:val="16"/>
              </w:rPr>
              <w:t>,</w:t>
            </w:r>
            <w:r w:rsidRPr="0037467C">
              <w:rPr>
                <w:rFonts w:ascii="Segoe UI Light" w:hAnsi="Segoe UI Light" w:cs="Segoe UI Light"/>
                <w:sz w:val="16"/>
                <w:szCs w:val="16"/>
              </w:rPr>
              <w:t>5</w:t>
            </w:r>
          </w:p>
        </w:tc>
        <w:tc>
          <w:tcPr>
            <w:tcW w:w="539" w:type="pct"/>
            <w:shd w:val="clear" w:color="auto" w:fill="auto"/>
          </w:tcPr>
          <w:p w14:paraId="4116C4AC" w14:textId="5B33F689"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114</w:t>
            </w:r>
          </w:p>
        </w:tc>
      </w:tr>
      <w:tr w:rsidR="0037467C" w:rsidRPr="00D829F0" w14:paraId="73905D16" w14:textId="77777777" w:rsidTr="008273F5">
        <w:trPr>
          <w:cantSplit/>
          <w:trHeight w:val="20"/>
        </w:trPr>
        <w:tc>
          <w:tcPr>
            <w:tcW w:w="1769" w:type="pct"/>
            <w:shd w:val="clear" w:color="auto" w:fill="DCE7EB"/>
            <w:hideMark/>
          </w:tcPr>
          <w:p w14:paraId="5B35B1A6" w14:textId="77777777" w:rsidR="0037467C" w:rsidRPr="00241D18" w:rsidRDefault="0037467C" w:rsidP="0037467C">
            <w:pPr>
              <w:spacing w:before="40" w:after="40"/>
              <w:ind w:left="186"/>
              <w:rPr>
                <w:rFonts w:ascii="Segoe UI Light" w:eastAsia="Times New Roman" w:hAnsi="Segoe UI Light"/>
                <w:color w:val="000000"/>
                <w:sz w:val="16"/>
                <w:szCs w:val="16"/>
              </w:rPr>
            </w:pPr>
            <w:r w:rsidRPr="00241D18">
              <w:rPr>
                <w:rFonts w:ascii="Segoe UI Light" w:eastAsia="Times New Roman" w:hAnsi="Segoe UI Light"/>
                <w:color w:val="000000"/>
                <w:sz w:val="16"/>
                <w:szCs w:val="16"/>
              </w:rPr>
              <w:t>Lauksaimniecība</w:t>
            </w:r>
          </w:p>
        </w:tc>
        <w:tc>
          <w:tcPr>
            <w:tcW w:w="538" w:type="pct"/>
            <w:shd w:val="clear" w:color="auto" w:fill="DCE7EB"/>
          </w:tcPr>
          <w:p w14:paraId="35ED0FFC" w14:textId="4EE704FB"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7</w:t>
            </w:r>
            <w:r>
              <w:rPr>
                <w:rFonts w:ascii="Segoe UI Light" w:hAnsi="Segoe UI Light" w:cs="Segoe UI Light"/>
                <w:sz w:val="16"/>
                <w:szCs w:val="16"/>
              </w:rPr>
              <w:t>,</w:t>
            </w:r>
            <w:r w:rsidRPr="00B1226A">
              <w:rPr>
                <w:rFonts w:ascii="Segoe UI Light" w:hAnsi="Segoe UI Light" w:cs="Segoe UI Light"/>
                <w:sz w:val="16"/>
                <w:szCs w:val="16"/>
              </w:rPr>
              <w:t>4</w:t>
            </w:r>
          </w:p>
        </w:tc>
        <w:tc>
          <w:tcPr>
            <w:tcW w:w="538" w:type="pct"/>
            <w:shd w:val="clear" w:color="auto" w:fill="DCE7EB"/>
          </w:tcPr>
          <w:p w14:paraId="628B18DA" w14:textId="799C3D3E"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7</w:t>
            </w:r>
            <w:r>
              <w:rPr>
                <w:rFonts w:ascii="Segoe UI Light" w:hAnsi="Segoe UI Light" w:cs="Segoe UI Light"/>
                <w:sz w:val="16"/>
                <w:szCs w:val="16"/>
              </w:rPr>
              <w:t>,</w:t>
            </w:r>
            <w:r w:rsidRPr="00B1226A">
              <w:rPr>
                <w:rFonts w:ascii="Segoe UI Light" w:hAnsi="Segoe UI Light" w:cs="Segoe UI Light"/>
                <w:sz w:val="16"/>
                <w:szCs w:val="16"/>
              </w:rPr>
              <w:t>0</w:t>
            </w:r>
          </w:p>
        </w:tc>
        <w:tc>
          <w:tcPr>
            <w:tcW w:w="540" w:type="pct"/>
            <w:shd w:val="clear" w:color="auto" w:fill="DCE7EB"/>
          </w:tcPr>
          <w:p w14:paraId="0D454907" w14:textId="09401F2B"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106</w:t>
            </w:r>
          </w:p>
        </w:tc>
        <w:tc>
          <w:tcPr>
            <w:tcW w:w="538" w:type="pct"/>
            <w:shd w:val="clear" w:color="auto" w:fill="DCE7EB"/>
          </w:tcPr>
          <w:p w14:paraId="360F3F40" w14:textId="17548AF1"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7</w:t>
            </w:r>
            <w:r>
              <w:rPr>
                <w:rFonts w:ascii="Segoe UI Light" w:hAnsi="Segoe UI Light" w:cs="Segoe UI Light"/>
                <w:sz w:val="16"/>
                <w:szCs w:val="16"/>
              </w:rPr>
              <w:t>,</w:t>
            </w:r>
            <w:r w:rsidRPr="0037467C">
              <w:rPr>
                <w:rFonts w:ascii="Segoe UI Light" w:hAnsi="Segoe UI Light" w:cs="Segoe UI Light"/>
                <w:sz w:val="16"/>
                <w:szCs w:val="16"/>
              </w:rPr>
              <w:t>4</w:t>
            </w:r>
          </w:p>
        </w:tc>
        <w:tc>
          <w:tcPr>
            <w:tcW w:w="538" w:type="pct"/>
            <w:shd w:val="clear" w:color="auto" w:fill="DCE7EB"/>
          </w:tcPr>
          <w:p w14:paraId="01FA4C73" w14:textId="6FC0FACB"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6</w:t>
            </w:r>
            <w:r>
              <w:rPr>
                <w:rFonts w:ascii="Segoe UI Light" w:hAnsi="Segoe UI Light" w:cs="Segoe UI Light"/>
                <w:sz w:val="16"/>
                <w:szCs w:val="16"/>
              </w:rPr>
              <w:t>,</w:t>
            </w:r>
            <w:r w:rsidRPr="0037467C">
              <w:rPr>
                <w:rFonts w:ascii="Segoe UI Light" w:hAnsi="Segoe UI Light" w:cs="Segoe UI Light"/>
                <w:sz w:val="16"/>
                <w:szCs w:val="16"/>
              </w:rPr>
              <w:t>7</w:t>
            </w:r>
          </w:p>
        </w:tc>
        <w:tc>
          <w:tcPr>
            <w:tcW w:w="539" w:type="pct"/>
            <w:shd w:val="clear" w:color="auto" w:fill="DCE7EB"/>
          </w:tcPr>
          <w:p w14:paraId="7A539537" w14:textId="6C961B08"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110</w:t>
            </w:r>
          </w:p>
        </w:tc>
      </w:tr>
      <w:tr w:rsidR="0037467C" w:rsidRPr="00D829F0" w14:paraId="0C819666"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hideMark/>
          </w:tcPr>
          <w:p w14:paraId="044FFA60" w14:textId="77777777" w:rsidR="0037467C" w:rsidRPr="00241D18" w:rsidRDefault="0037467C" w:rsidP="0037467C">
            <w:pPr>
              <w:spacing w:before="40" w:after="40"/>
              <w:ind w:left="186"/>
              <w:rPr>
                <w:rFonts w:ascii="Segoe UI Light" w:eastAsia="Times New Roman" w:hAnsi="Segoe UI Light"/>
                <w:color w:val="000000"/>
                <w:sz w:val="16"/>
                <w:szCs w:val="16"/>
              </w:rPr>
            </w:pPr>
            <w:r w:rsidRPr="00241D18">
              <w:rPr>
                <w:rFonts w:ascii="Segoe UI Light" w:eastAsia="Times New Roman" w:hAnsi="Segoe UI Light"/>
                <w:color w:val="000000"/>
                <w:sz w:val="16"/>
                <w:szCs w:val="16"/>
              </w:rPr>
              <w:t>Veselības aprūpe un sociālā labklājība</w:t>
            </w:r>
          </w:p>
        </w:tc>
        <w:tc>
          <w:tcPr>
            <w:tcW w:w="538" w:type="pct"/>
            <w:shd w:val="clear" w:color="auto" w:fill="auto"/>
          </w:tcPr>
          <w:p w14:paraId="0B44DF37" w14:textId="27853552"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32</w:t>
            </w:r>
            <w:r>
              <w:rPr>
                <w:rFonts w:ascii="Segoe UI Light" w:hAnsi="Segoe UI Light" w:cs="Segoe UI Light"/>
                <w:sz w:val="16"/>
                <w:szCs w:val="16"/>
              </w:rPr>
              <w:t>,</w:t>
            </w:r>
            <w:r w:rsidRPr="00B1226A">
              <w:rPr>
                <w:rFonts w:ascii="Segoe UI Light" w:hAnsi="Segoe UI Light" w:cs="Segoe UI Light"/>
                <w:sz w:val="16"/>
                <w:szCs w:val="16"/>
              </w:rPr>
              <w:t>3</w:t>
            </w:r>
          </w:p>
        </w:tc>
        <w:tc>
          <w:tcPr>
            <w:tcW w:w="538" w:type="pct"/>
            <w:shd w:val="clear" w:color="auto" w:fill="auto"/>
          </w:tcPr>
          <w:p w14:paraId="6C33E624" w14:textId="177E39B1"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32</w:t>
            </w:r>
            <w:r>
              <w:rPr>
                <w:rFonts w:ascii="Segoe UI Light" w:hAnsi="Segoe UI Light" w:cs="Segoe UI Light"/>
                <w:sz w:val="16"/>
                <w:szCs w:val="16"/>
              </w:rPr>
              <w:t>,</w:t>
            </w:r>
            <w:r w:rsidRPr="00B1226A">
              <w:rPr>
                <w:rFonts w:ascii="Segoe UI Light" w:hAnsi="Segoe UI Light" w:cs="Segoe UI Light"/>
                <w:sz w:val="16"/>
                <w:szCs w:val="16"/>
              </w:rPr>
              <w:t>2</w:t>
            </w:r>
          </w:p>
        </w:tc>
        <w:tc>
          <w:tcPr>
            <w:tcW w:w="540" w:type="pct"/>
            <w:shd w:val="clear" w:color="auto" w:fill="auto"/>
          </w:tcPr>
          <w:p w14:paraId="1E10F6E1" w14:textId="77777777"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100</w:t>
            </w:r>
          </w:p>
        </w:tc>
        <w:tc>
          <w:tcPr>
            <w:tcW w:w="538" w:type="pct"/>
            <w:shd w:val="clear" w:color="auto" w:fill="auto"/>
          </w:tcPr>
          <w:p w14:paraId="0BDBDCB3" w14:textId="7543AC20"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41</w:t>
            </w:r>
            <w:r>
              <w:rPr>
                <w:rFonts w:ascii="Segoe UI Light" w:hAnsi="Segoe UI Light" w:cs="Segoe UI Light"/>
                <w:sz w:val="16"/>
                <w:szCs w:val="16"/>
              </w:rPr>
              <w:t>,</w:t>
            </w:r>
            <w:r w:rsidRPr="0037467C">
              <w:rPr>
                <w:rFonts w:ascii="Segoe UI Light" w:hAnsi="Segoe UI Light" w:cs="Segoe UI Light"/>
                <w:sz w:val="16"/>
                <w:szCs w:val="16"/>
              </w:rPr>
              <w:t>2</w:t>
            </w:r>
          </w:p>
        </w:tc>
        <w:tc>
          <w:tcPr>
            <w:tcW w:w="538" w:type="pct"/>
            <w:shd w:val="clear" w:color="auto" w:fill="auto"/>
          </w:tcPr>
          <w:p w14:paraId="0CAE7308" w14:textId="6DFAE32E"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39</w:t>
            </w:r>
            <w:r>
              <w:rPr>
                <w:rFonts w:ascii="Segoe UI Light" w:hAnsi="Segoe UI Light" w:cs="Segoe UI Light"/>
                <w:sz w:val="16"/>
                <w:szCs w:val="16"/>
              </w:rPr>
              <w:t>,</w:t>
            </w:r>
            <w:r w:rsidRPr="0037467C">
              <w:rPr>
                <w:rFonts w:ascii="Segoe UI Light" w:hAnsi="Segoe UI Light" w:cs="Segoe UI Light"/>
                <w:sz w:val="16"/>
                <w:szCs w:val="16"/>
              </w:rPr>
              <w:t>8</w:t>
            </w:r>
          </w:p>
        </w:tc>
        <w:tc>
          <w:tcPr>
            <w:tcW w:w="539" w:type="pct"/>
            <w:shd w:val="clear" w:color="auto" w:fill="auto"/>
          </w:tcPr>
          <w:p w14:paraId="1B7FAFA2" w14:textId="41F7D08B"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104</w:t>
            </w:r>
          </w:p>
        </w:tc>
      </w:tr>
      <w:tr w:rsidR="0037467C" w:rsidRPr="00D829F0" w14:paraId="6164520A" w14:textId="77777777" w:rsidTr="008273F5">
        <w:trPr>
          <w:cantSplit/>
          <w:trHeight w:val="20"/>
        </w:trPr>
        <w:tc>
          <w:tcPr>
            <w:tcW w:w="1769" w:type="pct"/>
            <w:shd w:val="clear" w:color="auto" w:fill="DCE7EB"/>
            <w:hideMark/>
          </w:tcPr>
          <w:p w14:paraId="6273718A" w14:textId="77777777" w:rsidR="0037467C" w:rsidRPr="00241D18" w:rsidRDefault="0037467C" w:rsidP="0037467C">
            <w:pPr>
              <w:spacing w:before="40" w:after="40"/>
              <w:ind w:left="186"/>
              <w:rPr>
                <w:rFonts w:ascii="Segoe UI Light" w:eastAsia="Times New Roman" w:hAnsi="Segoe UI Light"/>
                <w:color w:val="000000"/>
                <w:sz w:val="16"/>
                <w:szCs w:val="16"/>
              </w:rPr>
            </w:pPr>
            <w:r w:rsidRPr="00241D18">
              <w:rPr>
                <w:rFonts w:ascii="Segoe UI Light" w:eastAsia="Times New Roman" w:hAnsi="Segoe UI Light"/>
                <w:color w:val="000000"/>
                <w:sz w:val="16"/>
                <w:szCs w:val="16"/>
              </w:rPr>
              <w:t>Pakalpojumi</w:t>
            </w:r>
          </w:p>
        </w:tc>
        <w:tc>
          <w:tcPr>
            <w:tcW w:w="538" w:type="pct"/>
            <w:shd w:val="clear" w:color="auto" w:fill="DCE7EB"/>
          </w:tcPr>
          <w:p w14:paraId="01D7949A" w14:textId="54BE1E60"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93</w:t>
            </w:r>
            <w:r>
              <w:rPr>
                <w:rFonts w:ascii="Segoe UI Light" w:hAnsi="Segoe UI Light" w:cs="Segoe UI Light"/>
                <w:sz w:val="16"/>
                <w:szCs w:val="16"/>
              </w:rPr>
              <w:t>,</w:t>
            </w:r>
            <w:r w:rsidRPr="00B1226A">
              <w:rPr>
                <w:rFonts w:ascii="Segoe UI Light" w:hAnsi="Segoe UI Light" w:cs="Segoe UI Light"/>
                <w:sz w:val="16"/>
                <w:szCs w:val="16"/>
              </w:rPr>
              <w:t>5</w:t>
            </w:r>
          </w:p>
        </w:tc>
        <w:tc>
          <w:tcPr>
            <w:tcW w:w="538" w:type="pct"/>
            <w:shd w:val="clear" w:color="auto" w:fill="DCE7EB"/>
          </w:tcPr>
          <w:p w14:paraId="466C86C7" w14:textId="45104749"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98</w:t>
            </w:r>
            <w:r>
              <w:rPr>
                <w:rFonts w:ascii="Segoe UI Light" w:hAnsi="Segoe UI Light" w:cs="Segoe UI Light"/>
                <w:sz w:val="16"/>
                <w:szCs w:val="16"/>
              </w:rPr>
              <w:t>,</w:t>
            </w:r>
            <w:r w:rsidRPr="00B1226A">
              <w:rPr>
                <w:rFonts w:ascii="Segoe UI Light" w:hAnsi="Segoe UI Light" w:cs="Segoe UI Light"/>
                <w:sz w:val="16"/>
                <w:szCs w:val="16"/>
              </w:rPr>
              <w:t>9</w:t>
            </w:r>
          </w:p>
        </w:tc>
        <w:tc>
          <w:tcPr>
            <w:tcW w:w="540" w:type="pct"/>
            <w:shd w:val="clear" w:color="auto" w:fill="DCE7EB"/>
          </w:tcPr>
          <w:p w14:paraId="4C7B47ED" w14:textId="42DC4C0E" w:rsidR="0037467C" w:rsidRPr="00B1226A" w:rsidRDefault="0037467C" w:rsidP="0037467C">
            <w:pPr>
              <w:tabs>
                <w:tab w:val="decimal" w:pos="582"/>
              </w:tabs>
              <w:spacing w:before="40" w:after="40"/>
              <w:rPr>
                <w:rFonts w:ascii="Segoe UI Light" w:hAnsi="Segoe UI Light" w:cs="Segoe UI Light"/>
                <w:sz w:val="16"/>
                <w:szCs w:val="16"/>
              </w:rPr>
            </w:pPr>
            <w:r w:rsidRPr="00B1226A">
              <w:rPr>
                <w:rFonts w:ascii="Segoe UI Light" w:hAnsi="Segoe UI Light" w:cs="Segoe UI Light"/>
                <w:sz w:val="16"/>
                <w:szCs w:val="16"/>
              </w:rPr>
              <w:t>95</w:t>
            </w:r>
          </w:p>
        </w:tc>
        <w:tc>
          <w:tcPr>
            <w:tcW w:w="538" w:type="pct"/>
            <w:shd w:val="clear" w:color="auto" w:fill="DCE7EB"/>
          </w:tcPr>
          <w:p w14:paraId="30833274" w14:textId="2F613974"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81</w:t>
            </w:r>
            <w:r>
              <w:rPr>
                <w:rFonts w:ascii="Segoe UI Light" w:hAnsi="Segoe UI Light" w:cs="Segoe UI Light"/>
                <w:sz w:val="16"/>
                <w:szCs w:val="16"/>
              </w:rPr>
              <w:t>,</w:t>
            </w:r>
            <w:r w:rsidRPr="0037467C">
              <w:rPr>
                <w:rFonts w:ascii="Segoe UI Light" w:hAnsi="Segoe UI Light" w:cs="Segoe UI Light"/>
                <w:sz w:val="16"/>
                <w:szCs w:val="16"/>
              </w:rPr>
              <w:t>0</w:t>
            </w:r>
          </w:p>
        </w:tc>
        <w:tc>
          <w:tcPr>
            <w:tcW w:w="538" w:type="pct"/>
            <w:shd w:val="clear" w:color="auto" w:fill="DCE7EB"/>
          </w:tcPr>
          <w:p w14:paraId="34336070" w14:textId="6FBFE85E"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89</w:t>
            </w:r>
            <w:r>
              <w:rPr>
                <w:rFonts w:ascii="Segoe UI Light" w:hAnsi="Segoe UI Light" w:cs="Segoe UI Light"/>
                <w:sz w:val="16"/>
                <w:szCs w:val="16"/>
              </w:rPr>
              <w:t>,</w:t>
            </w:r>
            <w:r w:rsidRPr="0037467C">
              <w:rPr>
                <w:rFonts w:ascii="Segoe UI Light" w:hAnsi="Segoe UI Light" w:cs="Segoe UI Light"/>
                <w:sz w:val="16"/>
                <w:szCs w:val="16"/>
              </w:rPr>
              <w:t>7</w:t>
            </w:r>
          </w:p>
        </w:tc>
        <w:tc>
          <w:tcPr>
            <w:tcW w:w="539" w:type="pct"/>
            <w:shd w:val="clear" w:color="auto" w:fill="DCE7EB"/>
          </w:tcPr>
          <w:p w14:paraId="3207696D" w14:textId="643872D6" w:rsidR="0037467C" w:rsidRPr="0037467C" w:rsidRDefault="0037467C" w:rsidP="0037467C">
            <w:pPr>
              <w:tabs>
                <w:tab w:val="decimal" w:pos="582"/>
              </w:tabs>
              <w:spacing w:before="40" w:after="40"/>
              <w:rPr>
                <w:rFonts w:ascii="Segoe UI Light" w:hAnsi="Segoe UI Light" w:cs="Segoe UI Light"/>
                <w:sz w:val="16"/>
                <w:szCs w:val="16"/>
              </w:rPr>
            </w:pPr>
            <w:r w:rsidRPr="0037467C">
              <w:rPr>
                <w:rFonts w:ascii="Segoe UI Light" w:hAnsi="Segoe UI Light" w:cs="Segoe UI Light"/>
                <w:sz w:val="16"/>
                <w:szCs w:val="16"/>
              </w:rPr>
              <w:t>90</w:t>
            </w:r>
          </w:p>
        </w:tc>
      </w:tr>
      <w:tr w:rsidR="00C03C20" w:rsidRPr="00D829F0" w14:paraId="11455910"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hideMark/>
          </w:tcPr>
          <w:p w14:paraId="60AC227F" w14:textId="77777777" w:rsidR="00024B8C" w:rsidRPr="00241D18" w:rsidRDefault="00024B8C">
            <w:pPr>
              <w:spacing w:before="40" w:after="40"/>
              <w:rPr>
                <w:rFonts w:ascii="Segoe UI Light" w:eastAsia="Times New Roman" w:hAnsi="Segoe UI Light"/>
                <w:sz w:val="16"/>
                <w:szCs w:val="16"/>
              </w:rPr>
            </w:pPr>
            <w:r w:rsidRPr="00241D18">
              <w:rPr>
                <w:rFonts w:ascii="Segoe UI Light" w:eastAsia="Times New Roman" w:hAnsi="Segoe UI Light"/>
                <w:sz w:val="16"/>
                <w:szCs w:val="16"/>
              </w:rPr>
              <w:t>Vidējā izglītība</w:t>
            </w:r>
            <w:r w:rsidRPr="00241D18">
              <w:rPr>
                <w:rFonts w:ascii="Segoe UI Light" w:eastAsia="Times New Roman" w:hAnsi="Segoe UI Light"/>
                <w:sz w:val="16"/>
                <w:szCs w:val="18"/>
                <w:lang w:eastAsia="lv-LV"/>
              </w:rPr>
              <w:t>, tai skaitā:</w:t>
            </w:r>
          </w:p>
        </w:tc>
        <w:tc>
          <w:tcPr>
            <w:tcW w:w="538" w:type="pct"/>
            <w:shd w:val="clear" w:color="auto" w:fill="auto"/>
          </w:tcPr>
          <w:p w14:paraId="46B44C4F" w14:textId="3BA07064"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4</w:t>
            </w:r>
            <w:r w:rsidR="00BD6DB3">
              <w:rPr>
                <w:rFonts w:ascii="Segoe UI Light" w:hAnsi="Segoe UI Light" w:cs="Segoe UI Light"/>
                <w:sz w:val="16"/>
                <w:szCs w:val="16"/>
              </w:rPr>
              <w:t>46</w:t>
            </w:r>
            <w:r w:rsidRPr="00241D18">
              <w:rPr>
                <w:rFonts w:ascii="Segoe UI Light" w:hAnsi="Segoe UI Light" w:cs="Segoe UI Light"/>
                <w:sz w:val="16"/>
                <w:szCs w:val="16"/>
              </w:rPr>
              <w:t>,</w:t>
            </w:r>
            <w:r w:rsidR="00BD6DB3">
              <w:rPr>
                <w:rFonts w:ascii="Segoe UI Light" w:hAnsi="Segoe UI Light" w:cs="Segoe UI Light"/>
                <w:sz w:val="16"/>
                <w:szCs w:val="16"/>
              </w:rPr>
              <w:t>2</w:t>
            </w:r>
          </w:p>
        </w:tc>
        <w:tc>
          <w:tcPr>
            <w:tcW w:w="538" w:type="pct"/>
            <w:shd w:val="clear" w:color="auto" w:fill="auto"/>
          </w:tcPr>
          <w:p w14:paraId="0DE05B4D" w14:textId="578C4063"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43</w:t>
            </w:r>
            <w:r w:rsidR="000A7C57">
              <w:rPr>
                <w:rFonts w:ascii="Segoe UI Light" w:hAnsi="Segoe UI Light" w:cs="Segoe UI Light"/>
                <w:sz w:val="16"/>
                <w:szCs w:val="16"/>
              </w:rPr>
              <w:t>9</w:t>
            </w:r>
            <w:r w:rsidRPr="00241D18">
              <w:rPr>
                <w:rFonts w:ascii="Segoe UI Light" w:hAnsi="Segoe UI Light" w:cs="Segoe UI Light"/>
                <w:sz w:val="16"/>
                <w:szCs w:val="16"/>
              </w:rPr>
              <w:t>,</w:t>
            </w:r>
            <w:r w:rsidR="000A7C57">
              <w:rPr>
                <w:rFonts w:ascii="Segoe UI Light" w:hAnsi="Segoe UI Light" w:cs="Segoe UI Light"/>
                <w:sz w:val="16"/>
                <w:szCs w:val="16"/>
              </w:rPr>
              <w:t>1</w:t>
            </w:r>
          </w:p>
        </w:tc>
        <w:tc>
          <w:tcPr>
            <w:tcW w:w="540" w:type="pct"/>
            <w:shd w:val="clear" w:color="auto" w:fill="auto"/>
          </w:tcPr>
          <w:p w14:paraId="731B6253" w14:textId="5CE97BC2"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eastAsia="Times New Roman" w:hAnsi="Segoe UI Light" w:cs="Segoe UI Light"/>
                <w:bCs/>
                <w:sz w:val="16"/>
                <w:szCs w:val="16"/>
              </w:rPr>
              <w:t>10</w:t>
            </w:r>
            <w:r w:rsidR="00BD6DB3">
              <w:rPr>
                <w:rFonts w:ascii="Segoe UI Light" w:eastAsia="Times New Roman" w:hAnsi="Segoe UI Light" w:cs="Segoe UI Light"/>
                <w:bCs/>
                <w:sz w:val="16"/>
                <w:szCs w:val="16"/>
              </w:rPr>
              <w:t>2</w:t>
            </w:r>
          </w:p>
        </w:tc>
        <w:tc>
          <w:tcPr>
            <w:tcW w:w="538" w:type="pct"/>
            <w:shd w:val="clear" w:color="auto" w:fill="auto"/>
          </w:tcPr>
          <w:p w14:paraId="7C9803AF" w14:textId="1D662137" w:rsidR="00024B8C" w:rsidRPr="00241D18" w:rsidRDefault="00024B8C">
            <w:pPr>
              <w:tabs>
                <w:tab w:val="decimal" w:pos="582"/>
              </w:tabs>
              <w:spacing w:before="40" w:after="40"/>
              <w:rPr>
                <w:rFonts w:ascii="Segoe UI Light" w:eastAsia="Times New Roman" w:hAnsi="Segoe UI Light"/>
                <w:sz w:val="16"/>
                <w:szCs w:val="16"/>
              </w:rPr>
            </w:pPr>
            <w:r w:rsidRPr="00241D18">
              <w:rPr>
                <w:rFonts w:ascii="Segoe UI Light" w:hAnsi="Segoe UI Light" w:cs="Segoe UI Light"/>
                <w:sz w:val="16"/>
                <w:szCs w:val="16"/>
              </w:rPr>
              <w:t>4</w:t>
            </w:r>
            <w:r w:rsidR="00BD6DB3">
              <w:rPr>
                <w:rFonts w:ascii="Segoe UI Light" w:hAnsi="Segoe UI Light" w:cs="Segoe UI Light"/>
                <w:sz w:val="16"/>
                <w:szCs w:val="16"/>
              </w:rPr>
              <w:t>27</w:t>
            </w:r>
            <w:r w:rsidRPr="00241D18">
              <w:rPr>
                <w:rFonts w:ascii="Segoe UI Light" w:hAnsi="Segoe UI Light" w:cs="Segoe UI Light"/>
                <w:sz w:val="16"/>
                <w:szCs w:val="16"/>
              </w:rPr>
              <w:t>,</w:t>
            </w:r>
            <w:r w:rsidR="00BD6DB3">
              <w:rPr>
                <w:rFonts w:ascii="Segoe UI Light" w:hAnsi="Segoe UI Light" w:cs="Segoe UI Light"/>
                <w:sz w:val="16"/>
                <w:szCs w:val="16"/>
              </w:rPr>
              <w:t>5</w:t>
            </w:r>
          </w:p>
        </w:tc>
        <w:tc>
          <w:tcPr>
            <w:tcW w:w="538" w:type="pct"/>
            <w:shd w:val="clear" w:color="auto" w:fill="auto"/>
          </w:tcPr>
          <w:p w14:paraId="6ED24263" w14:textId="0101C958" w:rsidR="00024B8C" w:rsidRPr="00241D18" w:rsidRDefault="00BD6DB3">
            <w:pPr>
              <w:tabs>
                <w:tab w:val="decimal" w:pos="582"/>
              </w:tabs>
              <w:spacing w:before="40" w:after="40"/>
              <w:rPr>
                <w:rFonts w:ascii="Segoe UI Light" w:eastAsia="Times New Roman" w:hAnsi="Segoe UI Light" w:cs="Segoe UI Light"/>
                <w:sz w:val="16"/>
                <w:szCs w:val="16"/>
              </w:rPr>
            </w:pPr>
            <w:r>
              <w:rPr>
                <w:rFonts w:ascii="Segoe UI Light" w:hAnsi="Segoe UI Light" w:cs="Segoe UI Light"/>
                <w:sz w:val="16"/>
                <w:szCs w:val="16"/>
              </w:rPr>
              <w:t>405,4</w:t>
            </w:r>
          </w:p>
        </w:tc>
        <w:tc>
          <w:tcPr>
            <w:tcW w:w="539" w:type="pct"/>
            <w:shd w:val="clear" w:color="auto" w:fill="auto"/>
          </w:tcPr>
          <w:p w14:paraId="1349CCE0" w14:textId="3BCA30BD"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eastAsia="Times New Roman" w:hAnsi="Segoe UI Light" w:cs="Segoe UI Light"/>
                <w:bCs/>
                <w:sz w:val="16"/>
                <w:szCs w:val="16"/>
              </w:rPr>
              <w:t>1</w:t>
            </w:r>
            <w:r w:rsidR="00BD6DB3">
              <w:rPr>
                <w:rFonts w:ascii="Segoe UI Light" w:eastAsia="Times New Roman" w:hAnsi="Segoe UI Light" w:cs="Segoe UI Light"/>
                <w:bCs/>
                <w:sz w:val="16"/>
                <w:szCs w:val="16"/>
              </w:rPr>
              <w:t>05</w:t>
            </w:r>
          </w:p>
        </w:tc>
      </w:tr>
      <w:tr w:rsidR="00C03C20" w:rsidRPr="00D829F0" w14:paraId="5CFE1655" w14:textId="77777777" w:rsidTr="008273F5">
        <w:trPr>
          <w:cantSplit/>
          <w:trHeight w:val="20"/>
        </w:trPr>
        <w:tc>
          <w:tcPr>
            <w:tcW w:w="1769" w:type="pct"/>
            <w:shd w:val="clear" w:color="auto" w:fill="DCE7EB"/>
          </w:tcPr>
          <w:p w14:paraId="2C766A52" w14:textId="77777777" w:rsidR="00024B8C" w:rsidRPr="00241D18" w:rsidRDefault="00024B8C">
            <w:pPr>
              <w:spacing w:before="40" w:after="40"/>
              <w:ind w:left="170"/>
              <w:rPr>
                <w:rFonts w:ascii="Segoe UI Light" w:eastAsia="Times New Roman" w:hAnsi="Segoe UI Light"/>
                <w:sz w:val="16"/>
                <w:szCs w:val="16"/>
              </w:rPr>
            </w:pPr>
            <w:r w:rsidRPr="00241D18">
              <w:rPr>
                <w:rFonts w:ascii="Segoe UI Light" w:eastAsia="Times New Roman" w:hAnsi="Segoe UI Light"/>
                <w:sz w:val="16"/>
                <w:szCs w:val="16"/>
              </w:rPr>
              <w:t>Profesionālā vidējā izglītība, tai skaitā:</w:t>
            </w:r>
          </w:p>
        </w:tc>
        <w:tc>
          <w:tcPr>
            <w:tcW w:w="538" w:type="pct"/>
            <w:shd w:val="clear" w:color="auto" w:fill="DCE7EB"/>
          </w:tcPr>
          <w:p w14:paraId="55D98568" w14:textId="6F38FEEC" w:rsidR="00024B8C" w:rsidRPr="00241D18" w:rsidRDefault="00044D47">
            <w:pPr>
              <w:tabs>
                <w:tab w:val="decimal" w:pos="582"/>
              </w:tabs>
              <w:spacing w:before="40" w:after="40"/>
              <w:rPr>
                <w:rFonts w:ascii="Segoe UI Light" w:eastAsia="Times New Roman" w:hAnsi="Segoe UI Light" w:cs="Segoe UI Light"/>
                <w:sz w:val="16"/>
                <w:szCs w:val="16"/>
              </w:rPr>
            </w:pPr>
            <w:r>
              <w:rPr>
                <w:rFonts w:ascii="Segoe UI Light" w:hAnsi="Segoe UI Light" w:cs="Segoe UI Light"/>
                <w:sz w:val="16"/>
                <w:szCs w:val="16"/>
              </w:rPr>
              <w:t>269</w:t>
            </w:r>
            <w:r w:rsidR="00024B8C" w:rsidRPr="00241D18">
              <w:rPr>
                <w:rFonts w:ascii="Segoe UI Light" w:hAnsi="Segoe UI Light" w:cs="Segoe UI Light"/>
                <w:sz w:val="16"/>
                <w:szCs w:val="16"/>
              </w:rPr>
              <w:t>,</w:t>
            </w:r>
            <w:r w:rsidR="00984944">
              <w:rPr>
                <w:rFonts w:ascii="Segoe UI Light" w:hAnsi="Segoe UI Light" w:cs="Segoe UI Light"/>
                <w:sz w:val="16"/>
                <w:szCs w:val="16"/>
              </w:rPr>
              <w:t>8</w:t>
            </w:r>
          </w:p>
        </w:tc>
        <w:tc>
          <w:tcPr>
            <w:tcW w:w="538" w:type="pct"/>
            <w:shd w:val="clear" w:color="auto" w:fill="DCE7EB"/>
          </w:tcPr>
          <w:p w14:paraId="14DFDAC6" w14:textId="297D7E96"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23</w:t>
            </w:r>
            <w:r w:rsidR="00984944">
              <w:rPr>
                <w:rFonts w:ascii="Segoe UI Light" w:hAnsi="Segoe UI Light" w:cs="Segoe UI Light"/>
                <w:sz w:val="16"/>
                <w:szCs w:val="16"/>
              </w:rPr>
              <w:t>5</w:t>
            </w:r>
            <w:r w:rsidRPr="00241D18">
              <w:rPr>
                <w:rFonts w:ascii="Segoe UI Light" w:hAnsi="Segoe UI Light" w:cs="Segoe UI Light"/>
                <w:sz w:val="16"/>
                <w:szCs w:val="16"/>
              </w:rPr>
              <w:t>,</w:t>
            </w:r>
            <w:r w:rsidR="00984944">
              <w:rPr>
                <w:rFonts w:ascii="Segoe UI Light" w:hAnsi="Segoe UI Light" w:cs="Segoe UI Light"/>
                <w:sz w:val="16"/>
                <w:szCs w:val="16"/>
              </w:rPr>
              <w:t>7</w:t>
            </w:r>
          </w:p>
        </w:tc>
        <w:tc>
          <w:tcPr>
            <w:tcW w:w="540" w:type="pct"/>
            <w:shd w:val="clear" w:color="auto" w:fill="DCE7EB"/>
          </w:tcPr>
          <w:p w14:paraId="6AD8984C" w14:textId="0A75231A"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eastAsia="Times New Roman" w:hAnsi="Segoe UI Light" w:cs="Segoe UI Light"/>
                <w:bCs/>
                <w:sz w:val="16"/>
                <w:szCs w:val="16"/>
              </w:rPr>
              <w:t>1</w:t>
            </w:r>
            <w:r w:rsidR="00984944">
              <w:rPr>
                <w:rFonts w:ascii="Segoe UI Light" w:eastAsia="Times New Roman" w:hAnsi="Segoe UI Light" w:cs="Segoe UI Light"/>
                <w:bCs/>
                <w:sz w:val="16"/>
                <w:szCs w:val="16"/>
              </w:rPr>
              <w:t>14</w:t>
            </w:r>
          </w:p>
        </w:tc>
        <w:tc>
          <w:tcPr>
            <w:tcW w:w="538" w:type="pct"/>
            <w:shd w:val="clear" w:color="auto" w:fill="DCE7EB"/>
          </w:tcPr>
          <w:p w14:paraId="1257888F" w14:textId="740F8A0C" w:rsidR="00024B8C" w:rsidRPr="00241D18" w:rsidRDefault="00024B8C">
            <w:pPr>
              <w:tabs>
                <w:tab w:val="decimal" w:pos="582"/>
              </w:tabs>
              <w:spacing w:before="40" w:after="40"/>
              <w:rPr>
                <w:rFonts w:ascii="Segoe UI Light" w:eastAsia="Times New Roman" w:hAnsi="Segoe UI Light"/>
                <w:sz w:val="16"/>
                <w:szCs w:val="16"/>
              </w:rPr>
            </w:pPr>
            <w:r w:rsidRPr="00241D18">
              <w:rPr>
                <w:rFonts w:ascii="Segoe UI Light" w:hAnsi="Segoe UI Light" w:cs="Segoe UI Light"/>
                <w:sz w:val="16"/>
                <w:szCs w:val="16"/>
              </w:rPr>
              <w:t>28</w:t>
            </w:r>
            <w:r w:rsidR="00984944">
              <w:rPr>
                <w:rFonts w:ascii="Segoe UI Light" w:hAnsi="Segoe UI Light" w:cs="Segoe UI Light"/>
                <w:sz w:val="16"/>
                <w:szCs w:val="16"/>
              </w:rPr>
              <w:t>1</w:t>
            </w:r>
            <w:r w:rsidRPr="00241D18">
              <w:rPr>
                <w:rFonts w:ascii="Segoe UI Light" w:hAnsi="Segoe UI Light" w:cs="Segoe UI Light"/>
                <w:sz w:val="16"/>
                <w:szCs w:val="16"/>
              </w:rPr>
              <w:t>,</w:t>
            </w:r>
            <w:r w:rsidR="00984944">
              <w:rPr>
                <w:rFonts w:ascii="Segoe UI Light" w:hAnsi="Segoe UI Light" w:cs="Segoe UI Light"/>
                <w:sz w:val="16"/>
                <w:szCs w:val="16"/>
              </w:rPr>
              <w:t>8</w:t>
            </w:r>
          </w:p>
        </w:tc>
        <w:tc>
          <w:tcPr>
            <w:tcW w:w="538" w:type="pct"/>
            <w:shd w:val="clear" w:color="auto" w:fill="DCE7EB"/>
          </w:tcPr>
          <w:p w14:paraId="431E8D9F" w14:textId="73005D81"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1</w:t>
            </w:r>
            <w:r w:rsidR="007A2215">
              <w:rPr>
                <w:rFonts w:ascii="Segoe UI Light" w:hAnsi="Segoe UI Light" w:cs="Segoe UI Light"/>
                <w:sz w:val="16"/>
                <w:szCs w:val="16"/>
              </w:rPr>
              <w:t>92</w:t>
            </w:r>
            <w:r w:rsidRPr="00241D18">
              <w:rPr>
                <w:rFonts w:ascii="Segoe UI Light" w:hAnsi="Segoe UI Light" w:cs="Segoe UI Light"/>
                <w:sz w:val="16"/>
                <w:szCs w:val="16"/>
              </w:rPr>
              <w:t>,</w:t>
            </w:r>
            <w:r w:rsidR="007A2215">
              <w:rPr>
                <w:rFonts w:ascii="Segoe UI Light" w:hAnsi="Segoe UI Light" w:cs="Segoe UI Light"/>
                <w:sz w:val="16"/>
                <w:szCs w:val="16"/>
              </w:rPr>
              <w:t>3</w:t>
            </w:r>
          </w:p>
        </w:tc>
        <w:tc>
          <w:tcPr>
            <w:tcW w:w="539" w:type="pct"/>
            <w:shd w:val="clear" w:color="auto" w:fill="DCE7EB"/>
          </w:tcPr>
          <w:p w14:paraId="062BE508" w14:textId="354FE4A5"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eastAsia="Times New Roman" w:hAnsi="Segoe UI Light" w:cs="Segoe UI Light"/>
                <w:bCs/>
                <w:sz w:val="16"/>
                <w:szCs w:val="16"/>
              </w:rPr>
              <w:t>1</w:t>
            </w:r>
            <w:r w:rsidR="007A2215">
              <w:rPr>
                <w:rFonts w:ascii="Segoe UI Light" w:eastAsia="Times New Roman" w:hAnsi="Segoe UI Light" w:cs="Segoe UI Light"/>
                <w:bCs/>
                <w:sz w:val="16"/>
                <w:szCs w:val="16"/>
              </w:rPr>
              <w:t>4</w:t>
            </w:r>
            <w:r w:rsidRPr="00241D18">
              <w:rPr>
                <w:rFonts w:ascii="Segoe UI Light" w:eastAsia="Times New Roman" w:hAnsi="Segoe UI Light" w:cs="Segoe UI Light"/>
                <w:bCs/>
                <w:sz w:val="16"/>
                <w:szCs w:val="16"/>
              </w:rPr>
              <w:t>7</w:t>
            </w:r>
          </w:p>
        </w:tc>
      </w:tr>
      <w:tr w:rsidR="00AF526D" w:rsidRPr="00D829F0" w14:paraId="778F97E2"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tcPr>
          <w:p w14:paraId="1AAB9E16" w14:textId="77777777" w:rsidR="00AF526D" w:rsidRPr="00241D18" w:rsidRDefault="00AF526D" w:rsidP="00AF526D">
            <w:pPr>
              <w:spacing w:before="40" w:after="40"/>
              <w:ind w:left="340"/>
              <w:rPr>
                <w:rFonts w:ascii="Segoe UI Light" w:eastAsia="Times New Roman" w:hAnsi="Segoe UI Light"/>
                <w:sz w:val="16"/>
                <w:szCs w:val="16"/>
              </w:rPr>
            </w:pPr>
            <w:r w:rsidRPr="00241D18">
              <w:rPr>
                <w:rFonts w:ascii="Segoe UI Light" w:eastAsia="Times New Roman" w:hAnsi="Segoe UI Light"/>
                <w:sz w:val="16"/>
                <w:szCs w:val="16"/>
              </w:rPr>
              <w:t>Izglītība</w:t>
            </w:r>
          </w:p>
        </w:tc>
        <w:tc>
          <w:tcPr>
            <w:tcW w:w="538" w:type="pct"/>
            <w:shd w:val="clear" w:color="auto" w:fill="auto"/>
          </w:tcPr>
          <w:p w14:paraId="44DC785A" w14:textId="141FD543"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2</w:t>
            </w:r>
            <w:r>
              <w:rPr>
                <w:rFonts w:ascii="Segoe UI Light" w:hAnsi="Segoe UI Light" w:cs="Segoe UI Light"/>
                <w:sz w:val="16"/>
                <w:szCs w:val="16"/>
              </w:rPr>
              <w:t>,</w:t>
            </w:r>
            <w:r w:rsidRPr="00AF526D">
              <w:rPr>
                <w:rFonts w:ascii="Segoe UI Light" w:hAnsi="Segoe UI Light" w:cs="Segoe UI Light"/>
                <w:sz w:val="16"/>
                <w:szCs w:val="16"/>
              </w:rPr>
              <w:t>4</w:t>
            </w:r>
          </w:p>
        </w:tc>
        <w:tc>
          <w:tcPr>
            <w:tcW w:w="538" w:type="pct"/>
            <w:shd w:val="clear" w:color="auto" w:fill="auto"/>
          </w:tcPr>
          <w:p w14:paraId="5901DDAD" w14:textId="0B3A83E9"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2</w:t>
            </w:r>
            <w:r>
              <w:rPr>
                <w:rFonts w:ascii="Segoe UI Light" w:hAnsi="Segoe UI Light" w:cs="Segoe UI Light"/>
                <w:sz w:val="16"/>
                <w:szCs w:val="16"/>
              </w:rPr>
              <w:t>,</w:t>
            </w:r>
            <w:r w:rsidRPr="00AF526D">
              <w:rPr>
                <w:rFonts w:ascii="Segoe UI Light" w:hAnsi="Segoe UI Light" w:cs="Segoe UI Light"/>
                <w:sz w:val="16"/>
                <w:szCs w:val="16"/>
              </w:rPr>
              <w:t>0</w:t>
            </w:r>
          </w:p>
        </w:tc>
        <w:tc>
          <w:tcPr>
            <w:tcW w:w="540" w:type="pct"/>
            <w:shd w:val="clear" w:color="auto" w:fill="auto"/>
          </w:tcPr>
          <w:p w14:paraId="37A20C8A" w14:textId="3B14EC29"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118</w:t>
            </w:r>
          </w:p>
        </w:tc>
        <w:tc>
          <w:tcPr>
            <w:tcW w:w="538" w:type="pct"/>
            <w:shd w:val="clear" w:color="auto" w:fill="auto"/>
          </w:tcPr>
          <w:p w14:paraId="5EC7EA0A" w14:textId="4EFAE69A"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w:t>
            </w:r>
            <w:r>
              <w:rPr>
                <w:rFonts w:ascii="Segoe UI Light" w:hAnsi="Segoe UI Light" w:cs="Segoe UI Light"/>
                <w:sz w:val="16"/>
                <w:szCs w:val="16"/>
              </w:rPr>
              <w:t>,</w:t>
            </w:r>
            <w:r w:rsidRPr="00AF526D">
              <w:rPr>
                <w:rFonts w:ascii="Segoe UI Light" w:hAnsi="Segoe UI Light" w:cs="Segoe UI Light"/>
                <w:sz w:val="16"/>
                <w:szCs w:val="16"/>
              </w:rPr>
              <w:t>8</w:t>
            </w:r>
          </w:p>
        </w:tc>
        <w:tc>
          <w:tcPr>
            <w:tcW w:w="538" w:type="pct"/>
            <w:shd w:val="clear" w:color="auto" w:fill="auto"/>
          </w:tcPr>
          <w:p w14:paraId="366A6EA8" w14:textId="289C7861"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0</w:t>
            </w:r>
            <w:r>
              <w:rPr>
                <w:rFonts w:ascii="Segoe UI Light" w:hAnsi="Segoe UI Light" w:cs="Segoe UI Light"/>
                <w:sz w:val="16"/>
                <w:szCs w:val="16"/>
              </w:rPr>
              <w:t>,</w:t>
            </w:r>
            <w:r w:rsidRPr="00AF526D">
              <w:rPr>
                <w:rFonts w:ascii="Segoe UI Light" w:hAnsi="Segoe UI Light" w:cs="Segoe UI Light"/>
                <w:sz w:val="16"/>
                <w:szCs w:val="16"/>
              </w:rPr>
              <w:t>8</w:t>
            </w:r>
          </w:p>
        </w:tc>
        <w:tc>
          <w:tcPr>
            <w:tcW w:w="539" w:type="pct"/>
            <w:shd w:val="clear" w:color="auto" w:fill="auto"/>
          </w:tcPr>
          <w:p w14:paraId="2C23E186" w14:textId="2A00625B"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218</w:t>
            </w:r>
          </w:p>
        </w:tc>
      </w:tr>
      <w:tr w:rsidR="00AF526D" w:rsidRPr="00D829F0" w14:paraId="0F162E8F" w14:textId="77777777" w:rsidTr="008273F5">
        <w:trPr>
          <w:cantSplit/>
          <w:trHeight w:val="20"/>
        </w:trPr>
        <w:tc>
          <w:tcPr>
            <w:tcW w:w="1769" w:type="pct"/>
            <w:shd w:val="clear" w:color="auto" w:fill="DCE7EB"/>
          </w:tcPr>
          <w:p w14:paraId="5AC2C0DF" w14:textId="77777777" w:rsidR="00AF526D" w:rsidRPr="00241D18" w:rsidRDefault="00AF526D" w:rsidP="00AF526D">
            <w:pPr>
              <w:spacing w:before="40" w:after="40"/>
              <w:ind w:left="340"/>
              <w:rPr>
                <w:rFonts w:ascii="Segoe UI Light" w:eastAsia="Times New Roman" w:hAnsi="Segoe UI Light"/>
                <w:sz w:val="16"/>
                <w:szCs w:val="16"/>
              </w:rPr>
            </w:pPr>
            <w:r w:rsidRPr="00241D18">
              <w:rPr>
                <w:rFonts w:ascii="Segoe UI Light" w:eastAsia="Times New Roman" w:hAnsi="Segoe UI Light"/>
                <w:sz w:val="16"/>
                <w:szCs w:val="16"/>
              </w:rPr>
              <w:t>Humanitārās zinātnes un māksla</w:t>
            </w:r>
          </w:p>
        </w:tc>
        <w:tc>
          <w:tcPr>
            <w:tcW w:w="538" w:type="pct"/>
            <w:shd w:val="clear" w:color="auto" w:fill="DCE7EB"/>
          </w:tcPr>
          <w:p w14:paraId="7C6E09F1" w14:textId="704FEC2A"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7</w:t>
            </w:r>
            <w:r>
              <w:rPr>
                <w:rFonts w:ascii="Segoe UI Light" w:hAnsi="Segoe UI Light" w:cs="Segoe UI Light"/>
                <w:sz w:val="16"/>
                <w:szCs w:val="16"/>
              </w:rPr>
              <w:t>,</w:t>
            </w:r>
            <w:r w:rsidRPr="00AF526D">
              <w:rPr>
                <w:rFonts w:ascii="Segoe UI Light" w:hAnsi="Segoe UI Light" w:cs="Segoe UI Light"/>
                <w:sz w:val="16"/>
                <w:szCs w:val="16"/>
              </w:rPr>
              <w:t>5</w:t>
            </w:r>
          </w:p>
        </w:tc>
        <w:tc>
          <w:tcPr>
            <w:tcW w:w="538" w:type="pct"/>
            <w:shd w:val="clear" w:color="auto" w:fill="DCE7EB"/>
          </w:tcPr>
          <w:p w14:paraId="24806813" w14:textId="10AC9DB9"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7</w:t>
            </w:r>
            <w:r>
              <w:rPr>
                <w:rFonts w:ascii="Segoe UI Light" w:hAnsi="Segoe UI Light" w:cs="Segoe UI Light"/>
                <w:sz w:val="16"/>
                <w:szCs w:val="16"/>
              </w:rPr>
              <w:t>,</w:t>
            </w:r>
            <w:r w:rsidRPr="00AF526D">
              <w:rPr>
                <w:rFonts w:ascii="Segoe UI Light" w:hAnsi="Segoe UI Light" w:cs="Segoe UI Light"/>
                <w:sz w:val="16"/>
                <w:szCs w:val="16"/>
              </w:rPr>
              <w:t>9</w:t>
            </w:r>
          </w:p>
        </w:tc>
        <w:tc>
          <w:tcPr>
            <w:tcW w:w="540" w:type="pct"/>
            <w:shd w:val="clear" w:color="auto" w:fill="DCE7EB"/>
          </w:tcPr>
          <w:p w14:paraId="6D256EC0" w14:textId="2919B640"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95</w:t>
            </w:r>
          </w:p>
        </w:tc>
        <w:tc>
          <w:tcPr>
            <w:tcW w:w="538" w:type="pct"/>
            <w:shd w:val="clear" w:color="auto" w:fill="DCE7EB"/>
          </w:tcPr>
          <w:p w14:paraId="5016B163" w14:textId="24821E69"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8</w:t>
            </w:r>
            <w:r>
              <w:rPr>
                <w:rFonts w:ascii="Segoe UI Light" w:hAnsi="Segoe UI Light" w:cs="Segoe UI Light"/>
                <w:sz w:val="16"/>
                <w:szCs w:val="16"/>
              </w:rPr>
              <w:t>,</w:t>
            </w:r>
            <w:r w:rsidRPr="00AF526D">
              <w:rPr>
                <w:rFonts w:ascii="Segoe UI Light" w:hAnsi="Segoe UI Light" w:cs="Segoe UI Light"/>
                <w:sz w:val="16"/>
                <w:szCs w:val="16"/>
              </w:rPr>
              <w:t>0</w:t>
            </w:r>
          </w:p>
        </w:tc>
        <w:tc>
          <w:tcPr>
            <w:tcW w:w="538" w:type="pct"/>
            <w:shd w:val="clear" w:color="auto" w:fill="DCE7EB"/>
          </w:tcPr>
          <w:p w14:paraId="11A003B3" w14:textId="4C19C5B7"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10</w:t>
            </w:r>
            <w:r>
              <w:rPr>
                <w:rFonts w:ascii="Segoe UI Light" w:hAnsi="Segoe UI Light" w:cs="Segoe UI Light"/>
                <w:sz w:val="16"/>
                <w:szCs w:val="16"/>
              </w:rPr>
              <w:t>,</w:t>
            </w:r>
            <w:r w:rsidRPr="00AF526D">
              <w:rPr>
                <w:rFonts w:ascii="Segoe UI Light" w:hAnsi="Segoe UI Light" w:cs="Segoe UI Light"/>
                <w:sz w:val="16"/>
                <w:szCs w:val="16"/>
              </w:rPr>
              <w:t>2</w:t>
            </w:r>
          </w:p>
        </w:tc>
        <w:tc>
          <w:tcPr>
            <w:tcW w:w="539" w:type="pct"/>
            <w:shd w:val="clear" w:color="auto" w:fill="DCE7EB"/>
          </w:tcPr>
          <w:p w14:paraId="42BAB09C" w14:textId="40B28030"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79</w:t>
            </w:r>
          </w:p>
        </w:tc>
      </w:tr>
      <w:tr w:rsidR="00AF526D" w:rsidRPr="00D829F0" w14:paraId="66FD81E4"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tcPr>
          <w:p w14:paraId="6104EE47" w14:textId="77777777" w:rsidR="00AF526D" w:rsidRPr="00241D18" w:rsidRDefault="00AF526D" w:rsidP="00AF526D">
            <w:pPr>
              <w:spacing w:before="40" w:after="40"/>
              <w:ind w:left="340" w:right="-107"/>
              <w:rPr>
                <w:rFonts w:ascii="Segoe UI Light" w:eastAsia="Times New Roman" w:hAnsi="Segoe UI Light"/>
                <w:color w:val="000000"/>
                <w:spacing w:val="-4"/>
                <w:sz w:val="16"/>
                <w:szCs w:val="16"/>
              </w:rPr>
            </w:pPr>
            <w:r w:rsidRPr="00241D18">
              <w:rPr>
                <w:rFonts w:ascii="Segoe UI Light" w:eastAsia="Times New Roman" w:hAnsi="Segoe UI Light"/>
                <w:color w:val="000000"/>
                <w:spacing w:val="-4"/>
                <w:sz w:val="16"/>
                <w:szCs w:val="16"/>
              </w:rPr>
              <w:t>Sociālās zinātnes, komerczinības un tiesības</w:t>
            </w:r>
          </w:p>
        </w:tc>
        <w:tc>
          <w:tcPr>
            <w:tcW w:w="538" w:type="pct"/>
            <w:shd w:val="clear" w:color="auto" w:fill="auto"/>
          </w:tcPr>
          <w:p w14:paraId="1535FAD4" w14:textId="33B46302"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20</w:t>
            </w:r>
            <w:r>
              <w:rPr>
                <w:rFonts w:ascii="Segoe UI Light" w:hAnsi="Segoe UI Light" w:cs="Segoe UI Light"/>
                <w:sz w:val="16"/>
                <w:szCs w:val="16"/>
              </w:rPr>
              <w:t>,</w:t>
            </w:r>
            <w:r w:rsidRPr="00AF526D">
              <w:rPr>
                <w:rFonts w:ascii="Segoe UI Light" w:hAnsi="Segoe UI Light" w:cs="Segoe UI Light"/>
                <w:sz w:val="16"/>
                <w:szCs w:val="16"/>
              </w:rPr>
              <w:t>4</w:t>
            </w:r>
          </w:p>
        </w:tc>
        <w:tc>
          <w:tcPr>
            <w:tcW w:w="538" w:type="pct"/>
            <w:shd w:val="clear" w:color="auto" w:fill="auto"/>
          </w:tcPr>
          <w:p w14:paraId="52E4531B" w14:textId="01DF1C8A"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18</w:t>
            </w:r>
            <w:r>
              <w:rPr>
                <w:rFonts w:ascii="Segoe UI Light" w:hAnsi="Segoe UI Light" w:cs="Segoe UI Light"/>
                <w:sz w:val="16"/>
                <w:szCs w:val="16"/>
              </w:rPr>
              <w:t>,</w:t>
            </w:r>
            <w:r w:rsidRPr="00AF526D">
              <w:rPr>
                <w:rFonts w:ascii="Segoe UI Light" w:hAnsi="Segoe UI Light" w:cs="Segoe UI Light"/>
                <w:sz w:val="16"/>
                <w:szCs w:val="16"/>
              </w:rPr>
              <w:t>8</w:t>
            </w:r>
          </w:p>
        </w:tc>
        <w:tc>
          <w:tcPr>
            <w:tcW w:w="540" w:type="pct"/>
            <w:shd w:val="clear" w:color="auto" w:fill="auto"/>
          </w:tcPr>
          <w:p w14:paraId="1C552693" w14:textId="504F0541"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109</w:t>
            </w:r>
          </w:p>
        </w:tc>
        <w:tc>
          <w:tcPr>
            <w:tcW w:w="538" w:type="pct"/>
            <w:shd w:val="clear" w:color="auto" w:fill="auto"/>
          </w:tcPr>
          <w:p w14:paraId="09B5A13C" w14:textId="7BDA29FE"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20</w:t>
            </w:r>
            <w:r>
              <w:rPr>
                <w:rFonts w:ascii="Segoe UI Light" w:hAnsi="Segoe UI Light" w:cs="Segoe UI Light"/>
                <w:sz w:val="16"/>
                <w:szCs w:val="16"/>
              </w:rPr>
              <w:t>,</w:t>
            </w:r>
            <w:r w:rsidRPr="00AF526D">
              <w:rPr>
                <w:rFonts w:ascii="Segoe UI Light" w:hAnsi="Segoe UI Light" w:cs="Segoe UI Light"/>
                <w:sz w:val="16"/>
                <w:szCs w:val="16"/>
              </w:rPr>
              <w:t>3</w:t>
            </w:r>
          </w:p>
        </w:tc>
        <w:tc>
          <w:tcPr>
            <w:tcW w:w="538" w:type="pct"/>
            <w:shd w:val="clear" w:color="auto" w:fill="auto"/>
          </w:tcPr>
          <w:p w14:paraId="17F72762" w14:textId="76E017F6"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13</w:t>
            </w:r>
            <w:r>
              <w:rPr>
                <w:rFonts w:ascii="Segoe UI Light" w:hAnsi="Segoe UI Light" w:cs="Segoe UI Light"/>
                <w:sz w:val="16"/>
                <w:szCs w:val="16"/>
              </w:rPr>
              <w:t>,</w:t>
            </w:r>
            <w:r w:rsidRPr="00AF526D">
              <w:rPr>
                <w:rFonts w:ascii="Segoe UI Light" w:hAnsi="Segoe UI Light" w:cs="Segoe UI Light"/>
                <w:sz w:val="16"/>
                <w:szCs w:val="16"/>
              </w:rPr>
              <w:t>3</w:t>
            </w:r>
          </w:p>
        </w:tc>
        <w:tc>
          <w:tcPr>
            <w:tcW w:w="539" w:type="pct"/>
            <w:shd w:val="clear" w:color="auto" w:fill="auto"/>
          </w:tcPr>
          <w:p w14:paraId="7FAE90FF" w14:textId="7E0FC6D3"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152</w:t>
            </w:r>
          </w:p>
        </w:tc>
      </w:tr>
      <w:tr w:rsidR="00AF526D" w:rsidRPr="00D829F0" w14:paraId="7866B1AA" w14:textId="77777777" w:rsidTr="008273F5">
        <w:trPr>
          <w:cantSplit/>
          <w:trHeight w:val="20"/>
        </w:trPr>
        <w:tc>
          <w:tcPr>
            <w:tcW w:w="1769" w:type="pct"/>
            <w:shd w:val="clear" w:color="auto" w:fill="DCE7EB"/>
          </w:tcPr>
          <w:p w14:paraId="266D0064" w14:textId="77777777" w:rsidR="00AF526D" w:rsidRPr="00241D18" w:rsidRDefault="00AF526D" w:rsidP="00AF526D">
            <w:pPr>
              <w:spacing w:before="40" w:after="40"/>
              <w:ind w:left="340"/>
              <w:rPr>
                <w:rFonts w:ascii="Segoe UI Light" w:eastAsia="Times New Roman" w:hAnsi="Segoe UI Light"/>
                <w:sz w:val="16"/>
                <w:szCs w:val="16"/>
              </w:rPr>
            </w:pPr>
            <w:r w:rsidRPr="00241D18">
              <w:rPr>
                <w:rFonts w:ascii="Segoe UI Light" w:eastAsia="Times New Roman" w:hAnsi="Segoe UI Light"/>
                <w:sz w:val="16"/>
                <w:szCs w:val="16"/>
              </w:rPr>
              <w:t>Dabas zinātnes, matemātika un informācijas tehnoloģijas</w:t>
            </w:r>
          </w:p>
        </w:tc>
        <w:tc>
          <w:tcPr>
            <w:tcW w:w="538" w:type="pct"/>
            <w:shd w:val="clear" w:color="auto" w:fill="DCE7EB"/>
          </w:tcPr>
          <w:p w14:paraId="3EB4B9C5" w14:textId="50A525AF"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5</w:t>
            </w:r>
            <w:r>
              <w:rPr>
                <w:rFonts w:ascii="Segoe UI Light" w:hAnsi="Segoe UI Light" w:cs="Segoe UI Light"/>
                <w:sz w:val="16"/>
                <w:szCs w:val="16"/>
              </w:rPr>
              <w:t>,</w:t>
            </w:r>
            <w:r w:rsidRPr="00AF526D">
              <w:rPr>
                <w:rFonts w:ascii="Segoe UI Light" w:hAnsi="Segoe UI Light" w:cs="Segoe UI Light"/>
                <w:sz w:val="16"/>
                <w:szCs w:val="16"/>
              </w:rPr>
              <w:t>7</w:t>
            </w:r>
          </w:p>
        </w:tc>
        <w:tc>
          <w:tcPr>
            <w:tcW w:w="538" w:type="pct"/>
            <w:shd w:val="clear" w:color="auto" w:fill="DCE7EB"/>
          </w:tcPr>
          <w:p w14:paraId="3647924F" w14:textId="210FA62B"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5</w:t>
            </w:r>
            <w:r>
              <w:rPr>
                <w:rFonts w:ascii="Segoe UI Light" w:hAnsi="Segoe UI Light" w:cs="Segoe UI Light"/>
                <w:sz w:val="16"/>
                <w:szCs w:val="16"/>
              </w:rPr>
              <w:t>,</w:t>
            </w:r>
            <w:r w:rsidRPr="00AF526D">
              <w:rPr>
                <w:rFonts w:ascii="Segoe UI Light" w:hAnsi="Segoe UI Light" w:cs="Segoe UI Light"/>
                <w:sz w:val="16"/>
                <w:szCs w:val="16"/>
              </w:rPr>
              <w:t>2</w:t>
            </w:r>
          </w:p>
        </w:tc>
        <w:tc>
          <w:tcPr>
            <w:tcW w:w="540" w:type="pct"/>
            <w:shd w:val="clear" w:color="auto" w:fill="DCE7EB"/>
          </w:tcPr>
          <w:p w14:paraId="72C4AF12" w14:textId="6B5988BE"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109</w:t>
            </w:r>
          </w:p>
        </w:tc>
        <w:tc>
          <w:tcPr>
            <w:tcW w:w="538" w:type="pct"/>
            <w:shd w:val="clear" w:color="auto" w:fill="DCE7EB"/>
          </w:tcPr>
          <w:p w14:paraId="7E7D4597" w14:textId="29960700"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8</w:t>
            </w:r>
            <w:r>
              <w:rPr>
                <w:rFonts w:ascii="Segoe UI Light" w:hAnsi="Segoe UI Light" w:cs="Segoe UI Light"/>
                <w:sz w:val="16"/>
                <w:szCs w:val="16"/>
              </w:rPr>
              <w:t>,</w:t>
            </w:r>
            <w:r w:rsidRPr="00AF526D">
              <w:rPr>
                <w:rFonts w:ascii="Segoe UI Light" w:hAnsi="Segoe UI Light" w:cs="Segoe UI Light"/>
                <w:sz w:val="16"/>
                <w:szCs w:val="16"/>
              </w:rPr>
              <w:t>1</w:t>
            </w:r>
          </w:p>
        </w:tc>
        <w:tc>
          <w:tcPr>
            <w:tcW w:w="538" w:type="pct"/>
            <w:shd w:val="clear" w:color="auto" w:fill="DCE7EB"/>
          </w:tcPr>
          <w:p w14:paraId="26E39C08" w14:textId="7718FF66"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7</w:t>
            </w:r>
            <w:r>
              <w:rPr>
                <w:rFonts w:ascii="Segoe UI Light" w:hAnsi="Segoe UI Light" w:cs="Segoe UI Light"/>
                <w:sz w:val="16"/>
                <w:szCs w:val="16"/>
              </w:rPr>
              <w:t>,</w:t>
            </w:r>
            <w:r w:rsidRPr="00AF526D">
              <w:rPr>
                <w:rFonts w:ascii="Segoe UI Light" w:hAnsi="Segoe UI Light" w:cs="Segoe UI Light"/>
                <w:sz w:val="16"/>
                <w:szCs w:val="16"/>
              </w:rPr>
              <w:t>4</w:t>
            </w:r>
          </w:p>
        </w:tc>
        <w:tc>
          <w:tcPr>
            <w:tcW w:w="539" w:type="pct"/>
            <w:shd w:val="clear" w:color="auto" w:fill="DCE7EB"/>
          </w:tcPr>
          <w:p w14:paraId="04E5A139" w14:textId="74CBEF44"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110</w:t>
            </w:r>
          </w:p>
        </w:tc>
      </w:tr>
      <w:tr w:rsidR="00AF526D" w:rsidRPr="00D829F0" w14:paraId="7DEBE4CF"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tcPr>
          <w:p w14:paraId="16BABC2C" w14:textId="77777777" w:rsidR="00AF526D" w:rsidRPr="00241D18" w:rsidRDefault="00AF526D" w:rsidP="00AF526D">
            <w:pPr>
              <w:spacing w:before="40" w:after="40"/>
              <w:ind w:left="340"/>
              <w:rPr>
                <w:rFonts w:ascii="Segoe UI Light" w:eastAsia="Times New Roman" w:hAnsi="Segoe UI Light"/>
                <w:sz w:val="16"/>
                <w:szCs w:val="16"/>
              </w:rPr>
            </w:pPr>
            <w:r w:rsidRPr="00241D18">
              <w:rPr>
                <w:rFonts w:ascii="Segoe UI Light" w:eastAsia="Times New Roman" w:hAnsi="Segoe UI Light"/>
                <w:sz w:val="16"/>
                <w:szCs w:val="16"/>
              </w:rPr>
              <w:t>Inženierzinātnes, ražošana un būvniecība</w:t>
            </w:r>
          </w:p>
        </w:tc>
        <w:tc>
          <w:tcPr>
            <w:tcW w:w="538" w:type="pct"/>
            <w:shd w:val="clear" w:color="auto" w:fill="auto"/>
          </w:tcPr>
          <w:p w14:paraId="14D1AFBD" w14:textId="5EA376E5"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114</w:t>
            </w:r>
            <w:r>
              <w:rPr>
                <w:rFonts w:ascii="Segoe UI Light" w:hAnsi="Segoe UI Light" w:cs="Segoe UI Light"/>
                <w:sz w:val="16"/>
                <w:szCs w:val="16"/>
              </w:rPr>
              <w:t>,</w:t>
            </w:r>
            <w:r w:rsidRPr="00AF526D">
              <w:rPr>
                <w:rFonts w:ascii="Segoe UI Light" w:hAnsi="Segoe UI Light" w:cs="Segoe UI Light"/>
                <w:sz w:val="16"/>
                <w:szCs w:val="16"/>
              </w:rPr>
              <w:t>1</w:t>
            </w:r>
          </w:p>
        </w:tc>
        <w:tc>
          <w:tcPr>
            <w:tcW w:w="538" w:type="pct"/>
            <w:shd w:val="clear" w:color="auto" w:fill="auto"/>
          </w:tcPr>
          <w:p w14:paraId="4B4FB1A3" w14:textId="04B74AAC"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90</w:t>
            </w:r>
            <w:r>
              <w:rPr>
                <w:rFonts w:ascii="Segoe UI Light" w:hAnsi="Segoe UI Light" w:cs="Segoe UI Light"/>
                <w:sz w:val="16"/>
                <w:szCs w:val="16"/>
              </w:rPr>
              <w:t>,</w:t>
            </w:r>
            <w:r w:rsidRPr="00AF526D">
              <w:rPr>
                <w:rFonts w:ascii="Segoe UI Light" w:hAnsi="Segoe UI Light" w:cs="Segoe UI Light"/>
                <w:sz w:val="16"/>
                <w:szCs w:val="16"/>
              </w:rPr>
              <w:t>6</w:t>
            </w:r>
          </w:p>
        </w:tc>
        <w:tc>
          <w:tcPr>
            <w:tcW w:w="540" w:type="pct"/>
            <w:shd w:val="clear" w:color="auto" w:fill="auto"/>
          </w:tcPr>
          <w:p w14:paraId="4B5E9B19" w14:textId="7A43A897"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126</w:t>
            </w:r>
          </w:p>
        </w:tc>
        <w:tc>
          <w:tcPr>
            <w:tcW w:w="538" w:type="pct"/>
            <w:shd w:val="clear" w:color="auto" w:fill="auto"/>
          </w:tcPr>
          <w:p w14:paraId="0770E29B" w14:textId="6B7B8937"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125</w:t>
            </w:r>
            <w:r>
              <w:rPr>
                <w:rFonts w:ascii="Segoe UI Light" w:hAnsi="Segoe UI Light" w:cs="Segoe UI Light"/>
                <w:sz w:val="16"/>
                <w:szCs w:val="16"/>
              </w:rPr>
              <w:t>,</w:t>
            </w:r>
            <w:r w:rsidRPr="00AF526D">
              <w:rPr>
                <w:rFonts w:ascii="Segoe UI Light" w:hAnsi="Segoe UI Light" w:cs="Segoe UI Light"/>
                <w:sz w:val="16"/>
                <w:szCs w:val="16"/>
              </w:rPr>
              <w:t>7</w:t>
            </w:r>
          </w:p>
        </w:tc>
        <w:tc>
          <w:tcPr>
            <w:tcW w:w="538" w:type="pct"/>
            <w:shd w:val="clear" w:color="auto" w:fill="auto"/>
          </w:tcPr>
          <w:p w14:paraId="10B20397" w14:textId="665FA833"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72</w:t>
            </w:r>
            <w:r>
              <w:rPr>
                <w:rFonts w:ascii="Segoe UI Light" w:hAnsi="Segoe UI Light" w:cs="Segoe UI Light"/>
                <w:sz w:val="16"/>
                <w:szCs w:val="16"/>
              </w:rPr>
              <w:t>,</w:t>
            </w:r>
            <w:r w:rsidRPr="00AF526D">
              <w:rPr>
                <w:rFonts w:ascii="Segoe UI Light" w:hAnsi="Segoe UI Light" w:cs="Segoe UI Light"/>
                <w:sz w:val="16"/>
                <w:szCs w:val="16"/>
              </w:rPr>
              <w:t>1</w:t>
            </w:r>
          </w:p>
        </w:tc>
        <w:tc>
          <w:tcPr>
            <w:tcW w:w="539" w:type="pct"/>
            <w:shd w:val="clear" w:color="auto" w:fill="auto"/>
          </w:tcPr>
          <w:p w14:paraId="184082F0" w14:textId="7770570F"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174</w:t>
            </w:r>
          </w:p>
        </w:tc>
      </w:tr>
      <w:tr w:rsidR="00AF526D" w:rsidRPr="00D829F0" w14:paraId="6E28CEEE" w14:textId="77777777" w:rsidTr="008273F5">
        <w:trPr>
          <w:cantSplit/>
          <w:trHeight w:val="20"/>
        </w:trPr>
        <w:tc>
          <w:tcPr>
            <w:tcW w:w="1769" w:type="pct"/>
            <w:shd w:val="clear" w:color="auto" w:fill="DCE7EB"/>
          </w:tcPr>
          <w:p w14:paraId="5DB5DF2B" w14:textId="77777777" w:rsidR="00AF526D" w:rsidRPr="00241D18" w:rsidRDefault="00AF526D" w:rsidP="00AF526D">
            <w:pPr>
              <w:spacing w:before="40" w:after="40"/>
              <w:ind w:left="340"/>
              <w:rPr>
                <w:rFonts w:ascii="Segoe UI Light" w:eastAsia="Times New Roman" w:hAnsi="Segoe UI Light"/>
                <w:sz w:val="16"/>
                <w:szCs w:val="16"/>
              </w:rPr>
            </w:pPr>
            <w:r w:rsidRPr="00241D18">
              <w:rPr>
                <w:rFonts w:ascii="Segoe UI Light" w:eastAsia="Times New Roman" w:hAnsi="Segoe UI Light"/>
                <w:sz w:val="16"/>
                <w:szCs w:val="16"/>
              </w:rPr>
              <w:t>Lauksaimniecība</w:t>
            </w:r>
          </w:p>
        </w:tc>
        <w:tc>
          <w:tcPr>
            <w:tcW w:w="538" w:type="pct"/>
            <w:shd w:val="clear" w:color="auto" w:fill="DCE7EB"/>
          </w:tcPr>
          <w:p w14:paraId="253F6C22" w14:textId="55A58756"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12</w:t>
            </w:r>
            <w:r>
              <w:rPr>
                <w:rFonts w:ascii="Segoe UI Light" w:hAnsi="Segoe UI Light" w:cs="Segoe UI Light"/>
                <w:sz w:val="16"/>
                <w:szCs w:val="16"/>
              </w:rPr>
              <w:t>,</w:t>
            </w:r>
            <w:r w:rsidRPr="00AF526D">
              <w:rPr>
                <w:rFonts w:ascii="Segoe UI Light" w:hAnsi="Segoe UI Light" w:cs="Segoe UI Light"/>
                <w:sz w:val="16"/>
                <w:szCs w:val="16"/>
              </w:rPr>
              <w:t>0</w:t>
            </w:r>
          </w:p>
        </w:tc>
        <w:tc>
          <w:tcPr>
            <w:tcW w:w="538" w:type="pct"/>
            <w:shd w:val="clear" w:color="auto" w:fill="DCE7EB"/>
          </w:tcPr>
          <w:p w14:paraId="0D242354" w14:textId="71E021E2"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10</w:t>
            </w:r>
            <w:r>
              <w:rPr>
                <w:rFonts w:ascii="Segoe UI Light" w:hAnsi="Segoe UI Light" w:cs="Segoe UI Light"/>
                <w:sz w:val="16"/>
                <w:szCs w:val="16"/>
              </w:rPr>
              <w:t>,</w:t>
            </w:r>
            <w:r w:rsidRPr="00AF526D">
              <w:rPr>
                <w:rFonts w:ascii="Segoe UI Light" w:hAnsi="Segoe UI Light" w:cs="Segoe UI Light"/>
                <w:sz w:val="16"/>
                <w:szCs w:val="16"/>
              </w:rPr>
              <w:t>7</w:t>
            </w:r>
          </w:p>
        </w:tc>
        <w:tc>
          <w:tcPr>
            <w:tcW w:w="540" w:type="pct"/>
            <w:shd w:val="clear" w:color="auto" w:fill="DCE7EB"/>
          </w:tcPr>
          <w:p w14:paraId="3E6C123A" w14:textId="089DB257"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112</w:t>
            </w:r>
          </w:p>
        </w:tc>
        <w:tc>
          <w:tcPr>
            <w:tcW w:w="538" w:type="pct"/>
            <w:shd w:val="clear" w:color="auto" w:fill="DCE7EB"/>
          </w:tcPr>
          <w:p w14:paraId="53040433" w14:textId="71334807"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10</w:t>
            </w:r>
            <w:r>
              <w:rPr>
                <w:rFonts w:ascii="Segoe UI Light" w:hAnsi="Segoe UI Light" w:cs="Segoe UI Light"/>
                <w:sz w:val="16"/>
                <w:szCs w:val="16"/>
              </w:rPr>
              <w:t>,</w:t>
            </w:r>
            <w:r w:rsidRPr="00AF526D">
              <w:rPr>
                <w:rFonts w:ascii="Segoe UI Light" w:hAnsi="Segoe UI Light" w:cs="Segoe UI Light"/>
                <w:sz w:val="16"/>
                <w:szCs w:val="16"/>
              </w:rPr>
              <w:t>9</w:t>
            </w:r>
          </w:p>
        </w:tc>
        <w:tc>
          <w:tcPr>
            <w:tcW w:w="538" w:type="pct"/>
            <w:shd w:val="clear" w:color="auto" w:fill="DCE7EB"/>
          </w:tcPr>
          <w:p w14:paraId="5C21FD28" w14:textId="7874CC34"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8</w:t>
            </w:r>
            <w:r>
              <w:rPr>
                <w:rFonts w:ascii="Segoe UI Light" w:hAnsi="Segoe UI Light" w:cs="Segoe UI Light"/>
                <w:sz w:val="16"/>
                <w:szCs w:val="16"/>
              </w:rPr>
              <w:t>,</w:t>
            </w:r>
            <w:r w:rsidRPr="00AF526D">
              <w:rPr>
                <w:rFonts w:ascii="Segoe UI Light" w:hAnsi="Segoe UI Light" w:cs="Segoe UI Light"/>
                <w:sz w:val="16"/>
                <w:szCs w:val="16"/>
              </w:rPr>
              <w:t>2</w:t>
            </w:r>
          </w:p>
        </w:tc>
        <w:tc>
          <w:tcPr>
            <w:tcW w:w="539" w:type="pct"/>
            <w:shd w:val="clear" w:color="auto" w:fill="DCE7EB"/>
          </w:tcPr>
          <w:p w14:paraId="1EF9BF33" w14:textId="514E4373"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133</w:t>
            </w:r>
          </w:p>
        </w:tc>
      </w:tr>
      <w:tr w:rsidR="00AF526D" w:rsidRPr="00D829F0" w14:paraId="0650FE48"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tcPr>
          <w:p w14:paraId="2E9784A3" w14:textId="77777777" w:rsidR="00AF526D" w:rsidRPr="00241D18" w:rsidRDefault="00AF526D" w:rsidP="00AF526D">
            <w:pPr>
              <w:spacing w:before="40" w:after="40"/>
              <w:ind w:left="340"/>
              <w:rPr>
                <w:rFonts w:ascii="Segoe UI Light" w:eastAsia="Times New Roman" w:hAnsi="Segoe UI Light"/>
                <w:sz w:val="16"/>
                <w:szCs w:val="16"/>
              </w:rPr>
            </w:pPr>
            <w:r w:rsidRPr="00241D18">
              <w:rPr>
                <w:rFonts w:ascii="Segoe UI Light" w:eastAsia="Times New Roman" w:hAnsi="Segoe UI Light"/>
                <w:sz w:val="16"/>
                <w:szCs w:val="16"/>
              </w:rPr>
              <w:t>Veselības aprūpe un sociālā labklājība</w:t>
            </w:r>
          </w:p>
        </w:tc>
        <w:tc>
          <w:tcPr>
            <w:tcW w:w="538" w:type="pct"/>
            <w:shd w:val="clear" w:color="auto" w:fill="auto"/>
          </w:tcPr>
          <w:p w14:paraId="05C82494" w14:textId="0B4F6730"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9</w:t>
            </w:r>
            <w:r>
              <w:rPr>
                <w:rFonts w:ascii="Segoe UI Light" w:hAnsi="Segoe UI Light" w:cs="Segoe UI Light"/>
                <w:sz w:val="16"/>
                <w:szCs w:val="16"/>
              </w:rPr>
              <w:t>,</w:t>
            </w:r>
            <w:r w:rsidRPr="00AF526D">
              <w:rPr>
                <w:rFonts w:ascii="Segoe UI Light" w:hAnsi="Segoe UI Light" w:cs="Segoe UI Light"/>
                <w:sz w:val="16"/>
                <w:szCs w:val="16"/>
              </w:rPr>
              <w:t>5</w:t>
            </w:r>
          </w:p>
        </w:tc>
        <w:tc>
          <w:tcPr>
            <w:tcW w:w="538" w:type="pct"/>
            <w:shd w:val="clear" w:color="auto" w:fill="auto"/>
          </w:tcPr>
          <w:p w14:paraId="6A30008E" w14:textId="411A195C"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7</w:t>
            </w:r>
            <w:r>
              <w:rPr>
                <w:rFonts w:ascii="Segoe UI Light" w:hAnsi="Segoe UI Light" w:cs="Segoe UI Light"/>
                <w:sz w:val="16"/>
                <w:szCs w:val="16"/>
              </w:rPr>
              <w:t>,</w:t>
            </w:r>
            <w:r w:rsidRPr="00AF526D">
              <w:rPr>
                <w:rFonts w:ascii="Segoe UI Light" w:hAnsi="Segoe UI Light" w:cs="Segoe UI Light"/>
                <w:sz w:val="16"/>
                <w:szCs w:val="16"/>
              </w:rPr>
              <w:t>1</w:t>
            </w:r>
          </w:p>
        </w:tc>
        <w:tc>
          <w:tcPr>
            <w:tcW w:w="540" w:type="pct"/>
            <w:shd w:val="clear" w:color="auto" w:fill="auto"/>
          </w:tcPr>
          <w:p w14:paraId="4E9229AB" w14:textId="41C118AD"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134</w:t>
            </w:r>
          </w:p>
        </w:tc>
        <w:tc>
          <w:tcPr>
            <w:tcW w:w="538" w:type="pct"/>
            <w:shd w:val="clear" w:color="auto" w:fill="auto"/>
          </w:tcPr>
          <w:p w14:paraId="5855560B" w14:textId="6DD245F6"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12</w:t>
            </w:r>
            <w:r>
              <w:rPr>
                <w:rFonts w:ascii="Segoe UI Light" w:hAnsi="Segoe UI Light" w:cs="Segoe UI Light"/>
                <w:sz w:val="16"/>
                <w:szCs w:val="16"/>
              </w:rPr>
              <w:t>,</w:t>
            </w:r>
            <w:r w:rsidRPr="00AF526D">
              <w:rPr>
                <w:rFonts w:ascii="Segoe UI Light" w:hAnsi="Segoe UI Light" w:cs="Segoe UI Light"/>
                <w:sz w:val="16"/>
                <w:szCs w:val="16"/>
              </w:rPr>
              <w:t>9</w:t>
            </w:r>
          </w:p>
        </w:tc>
        <w:tc>
          <w:tcPr>
            <w:tcW w:w="538" w:type="pct"/>
            <w:shd w:val="clear" w:color="auto" w:fill="auto"/>
          </w:tcPr>
          <w:p w14:paraId="5CD2C46D" w14:textId="51AA704E"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6</w:t>
            </w:r>
            <w:r>
              <w:rPr>
                <w:rFonts w:ascii="Segoe UI Light" w:hAnsi="Segoe UI Light" w:cs="Segoe UI Light"/>
                <w:sz w:val="16"/>
                <w:szCs w:val="16"/>
              </w:rPr>
              <w:t>,</w:t>
            </w:r>
            <w:r w:rsidRPr="00AF526D">
              <w:rPr>
                <w:rFonts w:ascii="Segoe UI Light" w:hAnsi="Segoe UI Light" w:cs="Segoe UI Light"/>
                <w:sz w:val="16"/>
                <w:szCs w:val="16"/>
              </w:rPr>
              <w:t>6</w:t>
            </w:r>
          </w:p>
        </w:tc>
        <w:tc>
          <w:tcPr>
            <w:tcW w:w="539" w:type="pct"/>
            <w:shd w:val="clear" w:color="auto" w:fill="auto"/>
          </w:tcPr>
          <w:p w14:paraId="1CC68109" w14:textId="07955583"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196</w:t>
            </w:r>
          </w:p>
        </w:tc>
      </w:tr>
      <w:tr w:rsidR="00AF526D" w:rsidRPr="00D829F0" w14:paraId="5AAB6EE4" w14:textId="77777777" w:rsidTr="008273F5">
        <w:trPr>
          <w:cantSplit/>
          <w:trHeight w:val="20"/>
        </w:trPr>
        <w:tc>
          <w:tcPr>
            <w:tcW w:w="1769" w:type="pct"/>
            <w:shd w:val="clear" w:color="auto" w:fill="DCE7EB"/>
          </w:tcPr>
          <w:p w14:paraId="6C37B29F" w14:textId="77777777" w:rsidR="00AF526D" w:rsidRPr="00241D18" w:rsidRDefault="00AF526D" w:rsidP="00AF526D">
            <w:pPr>
              <w:spacing w:before="40" w:after="40"/>
              <w:ind w:left="340"/>
              <w:rPr>
                <w:rFonts w:ascii="Segoe UI Light" w:eastAsia="Times New Roman" w:hAnsi="Segoe UI Light"/>
                <w:sz w:val="16"/>
                <w:szCs w:val="16"/>
              </w:rPr>
            </w:pPr>
            <w:r w:rsidRPr="00241D18">
              <w:rPr>
                <w:rFonts w:ascii="Segoe UI Light" w:eastAsia="Times New Roman" w:hAnsi="Segoe UI Light"/>
                <w:sz w:val="16"/>
                <w:szCs w:val="16"/>
              </w:rPr>
              <w:t>Pakalpojumi</w:t>
            </w:r>
          </w:p>
        </w:tc>
        <w:tc>
          <w:tcPr>
            <w:tcW w:w="538" w:type="pct"/>
            <w:shd w:val="clear" w:color="auto" w:fill="DCE7EB"/>
          </w:tcPr>
          <w:p w14:paraId="2FCC6CE2" w14:textId="1BA53A64"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41</w:t>
            </w:r>
            <w:r>
              <w:rPr>
                <w:rFonts w:ascii="Segoe UI Light" w:hAnsi="Segoe UI Light" w:cs="Segoe UI Light"/>
                <w:sz w:val="16"/>
                <w:szCs w:val="16"/>
              </w:rPr>
              <w:t>,</w:t>
            </w:r>
            <w:r w:rsidRPr="00AF526D">
              <w:rPr>
                <w:rFonts w:ascii="Segoe UI Light" w:hAnsi="Segoe UI Light" w:cs="Segoe UI Light"/>
                <w:sz w:val="16"/>
                <w:szCs w:val="16"/>
              </w:rPr>
              <w:t>8</w:t>
            </w:r>
          </w:p>
        </w:tc>
        <w:tc>
          <w:tcPr>
            <w:tcW w:w="538" w:type="pct"/>
            <w:shd w:val="clear" w:color="auto" w:fill="DCE7EB"/>
          </w:tcPr>
          <w:p w14:paraId="5079DBF6" w14:textId="0A7E0272"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40</w:t>
            </w:r>
            <w:r>
              <w:rPr>
                <w:rFonts w:ascii="Segoe UI Light" w:hAnsi="Segoe UI Light" w:cs="Segoe UI Light"/>
                <w:sz w:val="16"/>
                <w:szCs w:val="16"/>
              </w:rPr>
              <w:t>,</w:t>
            </w:r>
            <w:r w:rsidRPr="00AF526D">
              <w:rPr>
                <w:rFonts w:ascii="Segoe UI Light" w:hAnsi="Segoe UI Light" w:cs="Segoe UI Light"/>
                <w:sz w:val="16"/>
                <w:szCs w:val="16"/>
              </w:rPr>
              <w:t>8</w:t>
            </w:r>
          </w:p>
        </w:tc>
        <w:tc>
          <w:tcPr>
            <w:tcW w:w="540" w:type="pct"/>
            <w:shd w:val="clear" w:color="auto" w:fill="DCE7EB"/>
          </w:tcPr>
          <w:p w14:paraId="6DF85F9B" w14:textId="4E7F73EE"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102</w:t>
            </w:r>
          </w:p>
        </w:tc>
        <w:tc>
          <w:tcPr>
            <w:tcW w:w="538" w:type="pct"/>
            <w:shd w:val="clear" w:color="auto" w:fill="DCE7EB"/>
          </w:tcPr>
          <w:p w14:paraId="6C78A515" w14:textId="24594826"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41</w:t>
            </w:r>
            <w:r>
              <w:rPr>
                <w:rFonts w:ascii="Segoe UI Light" w:hAnsi="Segoe UI Light" w:cs="Segoe UI Light"/>
                <w:sz w:val="16"/>
                <w:szCs w:val="16"/>
              </w:rPr>
              <w:t>,</w:t>
            </w:r>
            <w:r w:rsidRPr="00AF526D">
              <w:rPr>
                <w:rFonts w:ascii="Segoe UI Light" w:hAnsi="Segoe UI Light" w:cs="Segoe UI Light"/>
                <w:sz w:val="16"/>
                <w:szCs w:val="16"/>
              </w:rPr>
              <w:t>7</w:t>
            </w:r>
          </w:p>
        </w:tc>
        <w:tc>
          <w:tcPr>
            <w:tcW w:w="538" w:type="pct"/>
            <w:shd w:val="clear" w:color="auto" w:fill="DCE7EB"/>
          </w:tcPr>
          <w:p w14:paraId="6B62067F" w14:textId="5864B08F"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39</w:t>
            </w:r>
            <w:r>
              <w:rPr>
                <w:rFonts w:ascii="Segoe UI Light" w:hAnsi="Segoe UI Light" w:cs="Segoe UI Light"/>
                <w:sz w:val="16"/>
                <w:szCs w:val="16"/>
              </w:rPr>
              <w:t>,</w:t>
            </w:r>
            <w:r w:rsidRPr="00AF526D">
              <w:rPr>
                <w:rFonts w:ascii="Segoe UI Light" w:hAnsi="Segoe UI Light" w:cs="Segoe UI Light"/>
                <w:sz w:val="16"/>
                <w:szCs w:val="16"/>
              </w:rPr>
              <w:t>3</w:t>
            </w:r>
          </w:p>
        </w:tc>
        <w:tc>
          <w:tcPr>
            <w:tcW w:w="539" w:type="pct"/>
            <w:shd w:val="clear" w:color="auto" w:fill="DCE7EB"/>
          </w:tcPr>
          <w:p w14:paraId="2AA01752" w14:textId="638C4367" w:rsidR="00AF526D" w:rsidRPr="00AF526D" w:rsidRDefault="00AF526D" w:rsidP="00AF526D">
            <w:pPr>
              <w:tabs>
                <w:tab w:val="decimal" w:pos="582"/>
              </w:tabs>
              <w:spacing w:before="40" w:after="40"/>
              <w:rPr>
                <w:rFonts w:ascii="Segoe UI Light" w:hAnsi="Segoe UI Light" w:cs="Segoe UI Light"/>
                <w:sz w:val="16"/>
                <w:szCs w:val="16"/>
              </w:rPr>
            </w:pPr>
            <w:r w:rsidRPr="00AF526D">
              <w:rPr>
                <w:rFonts w:ascii="Segoe UI Light" w:hAnsi="Segoe UI Light" w:cs="Segoe UI Light"/>
                <w:sz w:val="16"/>
                <w:szCs w:val="16"/>
              </w:rPr>
              <w:t>106</w:t>
            </w:r>
          </w:p>
        </w:tc>
      </w:tr>
      <w:tr w:rsidR="00C03C20" w:rsidRPr="00D829F0" w14:paraId="662E6AEE"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tcPr>
          <w:p w14:paraId="7DCA1351" w14:textId="77777777" w:rsidR="00024B8C" w:rsidRPr="00241D18" w:rsidRDefault="00024B8C">
            <w:pPr>
              <w:spacing w:before="40" w:after="40"/>
              <w:ind w:left="170"/>
              <w:rPr>
                <w:rFonts w:ascii="Segoe UI Light" w:eastAsia="Times New Roman" w:hAnsi="Segoe UI Light"/>
                <w:color w:val="000000"/>
                <w:sz w:val="16"/>
                <w:szCs w:val="16"/>
              </w:rPr>
            </w:pPr>
            <w:r w:rsidRPr="00241D18">
              <w:rPr>
                <w:rFonts w:ascii="Segoe UI Light" w:eastAsia="Times New Roman" w:hAnsi="Segoe UI Light"/>
                <w:sz w:val="16"/>
                <w:szCs w:val="16"/>
              </w:rPr>
              <w:t>Vispārējā vidējā izglītība</w:t>
            </w:r>
          </w:p>
        </w:tc>
        <w:tc>
          <w:tcPr>
            <w:tcW w:w="538" w:type="pct"/>
            <w:shd w:val="clear" w:color="auto" w:fill="auto"/>
          </w:tcPr>
          <w:p w14:paraId="4C53F93F" w14:textId="7E103C91"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176,</w:t>
            </w:r>
            <w:r w:rsidR="007A2215">
              <w:rPr>
                <w:rFonts w:ascii="Segoe UI Light" w:hAnsi="Segoe UI Light" w:cs="Segoe UI Light"/>
                <w:sz w:val="16"/>
                <w:szCs w:val="16"/>
              </w:rPr>
              <w:t>4</w:t>
            </w:r>
          </w:p>
        </w:tc>
        <w:tc>
          <w:tcPr>
            <w:tcW w:w="538" w:type="pct"/>
            <w:shd w:val="clear" w:color="auto" w:fill="auto"/>
          </w:tcPr>
          <w:p w14:paraId="4C8DB23D" w14:textId="67716CA3"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20</w:t>
            </w:r>
            <w:r w:rsidR="007A2215">
              <w:rPr>
                <w:rFonts w:ascii="Segoe UI Light" w:hAnsi="Segoe UI Light" w:cs="Segoe UI Light"/>
                <w:sz w:val="16"/>
                <w:szCs w:val="16"/>
              </w:rPr>
              <w:t>3</w:t>
            </w:r>
            <w:r w:rsidRPr="00241D18">
              <w:rPr>
                <w:rFonts w:ascii="Segoe UI Light" w:hAnsi="Segoe UI Light" w:cs="Segoe UI Light"/>
                <w:sz w:val="16"/>
                <w:szCs w:val="16"/>
              </w:rPr>
              <w:t>,</w:t>
            </w:r>
            <w:r w:rsidR="007A2215">
              <w:rPr>
                <w:rFonts w:ascii="Segoe UI Light" w:hAnsi="Segoe UI Light" w:cs="Segoe UI Light"/>
                <w:sz w:val="16"/>
                <w:szCs w:val="16"/>
              </w:rPr>
              <w:t>4</w:t>
            </w:r>
          </w:p>
        </w:tc>
        <w:tc>
          <w:tcPr>
            <w:tcW w:w="540" w:type="pct"/>
            <w:shd w:val="clear" w:color="auto" w:fill="auto"/>
          </w:tcPr>
          <w:p w14:paraId="72FBAB85" w14:textId="745A2D62"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8</w:t>
            </w:r>
            <w:r w:rsidR="00A9497F">
              <w:rPr>
                <w:rFonts w:ascii="Segoe UI Light" w:hAnsi="Segoe UI Light" w:cs="Segoe UI Light"/>
                <w:sz w:val="16"/>
                <w:szCs w:val="16"/>
              </w:rPr>
              <w:t>7</w:t>
            </w:r>
          </w:p>
        </w:tc>
        <w:tc>
          <w:tcPr>
            <w:tcW w:w="538" w:type="pct"/>
            <w:shd w:val="clear" w:color="auto" w:fill="auto"/>
          </w:tcPr>
          <w:p w14:paraId="3BEFF398" w14:textId="7DA8EB9D" w:rsidR="00024B8C" w:rsidRPr="00241D18" w:rsidRDefault="00024B8C">
            <w:pPr>
              <w:tabs>
                <w:tab w:val="decimal" w:pos="582"/>
              </w:tabs>
              <w:spacing w:before="40" w:after="40"/>
              <w:rPr>
                <w:rFonts w:ascii="Segoe UI Light" w:eastAsia="Times New Roman" w:hAnsi="Segoe UI Light"/>
                <w:sz w:val="16"/>
                <w:szCs w:val="16"/>
              </w:rPr>
            </w:pPr>
            <w:r w:rsidRPr="00241D18">
              <w:rPr>
                <w:rFonts w:ascii="Segoe UI Light" w:hAnsi="Segoe UI Light" w:cs="Segoe UI Light"/>
                <w:sz w:val="16"/>
                <w:szCs w:val="16"/>
              </w:rPr>
              <w:t>14</w:t>
            </w:r>
            <w:r w:rsidR="00A9497F">
              <w:rPr>
                <w:rFonts w:ascii="Segoe UI Light" w:hAnsi="Segoe UI Light" w:cs="Segoe UI Light"/>
                <w:sz w:val="16"/>
                <w:szCs w:val="16"/>
              </w:rPr>
              <w:t>5</w:t>
            </w:r>
            <w:r w:rsidRPr="00241D18">
              <w:rPr>
                <w:rFonts w:ascii="Segoe UI Light" w:hAnsi="Segoe UI Light" w:cs="Segoe UI Light"/>
                <w:sz w:val="16"/>
                <w:szCs w:val="16"/>
              </w:rPr>
              <w:t>,</w:t>
            </w:r>
            <w:r w:rsidR="00A9497F">
              <w:rPr>
                <w:rFonts w:ascii="Segoe UI Light" w:hAnsi="Segoe UI Light" w:cs="Segoe UI Light"/>
                <w:sz w:val="16"/>
                <w:szCs w:val="16"/>
              </w:rPr>
              <w:t>7</w:t>
            </w:r>
          </w:p>
        </w:tc>
        <w:tc>
          <w:tcPr>
            <w:tcW w:w="538" w:type="pct"/>
            <w:shd w:val="clear" w:color="auto" w:fill="auto"/>
          </w:tcPr>
          <w:p w14:paraId="7F60E5CE" w14:textId="7506D8BC"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2</w:t>
            </w:r>
            <w:r w:rsidR="00A9497F">
              <w:rPr>
                <w:rFonts w:ascii="Segoe UI Light" w:hAnsi="Segoe UI Light" w:cs="Segoe UI Light"/>
                <w:sz w:val="16"/>
                <w:szCs w:val="16"/>
              </w:rPr>
              <w:t>13</w:t>
            </w:r>
            <w:r w:rsidRPr="00241D18">
              <w:rPr>
                <w:rFonts w:ascii="Segoe UI Light" w:hAnsi="Segoe UI Light" w:cs="Segoe UI Light"/>
                <w:sz w:val="16"/>
                <w:szCs w:val="16"/>
              </w:rPr>
              <w:t>,</w:t>
            </w:r>
            <w:r w:rsidR="00A9497F">
              <w:rPr>
                <w:rFonts w:ascii="Segoe UI Light" w:hAnsi="Segoe UI Light" w:cs="Segoe UI Light"/>
                <w:sz w:val="16"/>
                <w:szCs w:val="16"/>
              </w:rPr>
              <w:t>1</w:t>
            </w:r>
          </w:p>
        </w:tc>
        <w:tc>
          <w:tcPr>
            <w:tcW w:w="539" w:type="pct"/>
            <w:shd w:val="clear" w:color="auto" w:fill="auto"/>
          </w:tcPr>
          <w:p w14:paraId="435D1D00" w14:textId="77777777"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68</w:t>
            </w:r>
          </w:p>
        </w:tc>
      </w:tr>
      <w:tr w:rsidR="00C03C20" w:rsidRPr="00D829F0" w14:paraId="2E43AE21" w14:textId="77777777" w:rsidTr="008273F5">
        <w:trPr>
          <w:cantSplit/>
          <w:trHeight w:val="20"/>
        </w:trPr>
        <w:tc>
          <w:tcPr>
            <w:tcW w:w="1769" w:type="pct"/>
            <w:shd w:val="clear" w:color="auto" w:fill="DCE7EB"/>
          </w:tcPr>
          <w:p w14:paraId="1DC915D0" w14:textId="77777777" w:rsidR="00024B8C" w:rsidRPr="00241D18" w:rsidRDefault="00024B8C">
            <w:pPr>
              <w:spacing w:before="40" w:after="40"/>
              <w:rPr>
                <w:rFonts w:ascii="Segoe UI Light" w:eastAsia="Times New Roman" w:hAnsi="Segoe UI Light"/>
                <w:color w:val="000000"/>
                <w:sz w:val="16"/>
                <w:szCs w:val="16"/>
              </w:rPr>
            </w:pPr>
            <w:r w:rsidRPr="00241D18">
              <w:rPr>
                <w:rFonts w:ascii="Segoe UI Light" w:eastAsia="Times New Roman" w:hAnsi="Segoe UI Light"/>
                <w:sz w:val="16"/>
                <w:szCs w:val="16"/>
              </w:rPr>
              <w:t>Pamatizglītība un zemāka par pamatizglītību</w:t>
            </w:r>
          </w:p>
        </w:tc>
        <w:tc>
          <w:tcPr>
            <w:tcW w:w="538" w:type="pct"/>
            <w:shd w:val="clear" w:color="auto" w:fill="DCE7EB"/>
          </w:tcPr>
          <w:p w14:paraId="46568EE0" w14:textId="11651B8E"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5</w:t>
            </w:r>
            <w:r w:rsidR="00E13FC1">
              <w:rPr>
                <w:rFonts w:ascii="Segoe UI Light" w:hAnsi="Segoe UI Light" w:cs="Segoe UI Light"/>
                <w:sz w:val="16"/>
                <w:szCs w:val="16"/>
              </w:rPr>
              <w:t>6</w:t>
            </w:r>
            <w:r w:rsidRPr="00241D18">
              <w:rPr>
                <w:rFonts w:ascii="Segoe UI Light" w:hAnsi="Segoe UI Light" w:cs="Segoe UI Light"/>
                <w:sz w:val="16"/>
                <w:szCs w:val="16"/>
              </w:rPr>
              <w:t>,</w:t>
            </w:r>
            <w:r w:rsidR="00E13FC1">
              <w:rPr>
                <w:rFonts w:ascii="Segoe UI Light" w:hAnsi="Segoe UI Light" w:cs="Segoe UI Light"/>
                <w:sz w:val="16"/>
                <w:szCs w:val="16"/>
              </w:rPr>
              <w:t>5</w:t>
            </w:r>
          </w:p>
        </w:tc>
        <w:tc>
          <w:tcPr>
            <w:tcW w:w="538" w:type="pct"/>
            <w:shd w:val="clear" w:color="auto" w:fill="DCE7EB"/>
          </w:tcPr>
          <w:p w14:paraId="01B3F7B4" w14:textId="2722CCCC"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1</w:t>
            </w:r>
            <w:r w:rsidR="00BF497B">
              <w:rPr>
                <w:rFonts w:ascii="Segoe UI Light" w:hAnsi="Segoe UI Light" w:cs="Segoe UI Light"/>
                <w:sz w:val="16"/>
                <w:szCs w:val="16"/>
              </w:rPr>
              <w:t>08</w:t>
            </w:r>
            <w:r w:rsidRPr="00241D18">
              <w:rPr>
                <w:rFonts w:ascii="Segoe UI Light" w:hAnsi="Segoe UI Light" w:cs="Segoe UI Light"/>
                <w:sz w:val="16"/>
                <w:szCs w:val="16"/>
              </w:rPr>
              <w:t>,9</w:t>
            </w:r>
          </w:p>
        </w:tc>
        <w:tc>
          <w:tcPr>
            <w:tcW w:w="540" w:type="pct"/>
            <w:shd w:val="clear" w:color="auto" w:fill="DCE7EB"/>
          </w:tcPr>
          <w:p w14:paraId="70325D13" w14:textId="0327010E" w:rsidR="00024B8C" w:rsidRPr="00241D18" w:rsidRDefault="00BF497B">
            <w:pPr>
              <w:tabs>
                <w:tab w:val="decimal" w:pos="582"/>
              </w:tabs>
              <w:spacing w:before="40" w:after="40"/>
              <w:rPr>
                <w:rFonts w:ascii="Segoe UI Light" w:eastAsia="Times New Roman" w:hAnsi="Segoe UI Light" w:cs="Segoe UI Light"/>
                <w:sz w:val="16"/>
                <w:szCs w:val="16"/>
              </w:rPr>
            </w:pPr>
            <w:r>
              <w:rPr>
                <w:rFonts w:ascii="Segoe UI Light" w:eastAsia="Times New Roman" w:hAnsi="Segoe UI Light" w:cs="Segoe UI Light"/>
                <w:bCs/>
                <w:sz w:val="16"/>
                <w:szCs w:val="16"/>
              </w:rPr>
              <w:t>52</w:t>
            </w:r>
          </w:p>
        </w:tc>
        <w:tc>
          <w:tcPr>
            <w:tcW w:w="538" w:type="pct"/>
            <w:shd w:val="clear" w:color="auto" w:fill="DCE7EB"/>
          </w:tcPr>
          <w:p w14:paraId="572993F2" w14:textId="20704910" w:rsidR="00024B8C" w:rsidRPr="00241D18" w:rsidRDefault="00024B8C">
            <w:pPr>
              <w:tabs>
                <w:tab w:val="decimal" w:pos="582"/>
              </w:tabs>
              <w:spacing w:before="40" w:after="40"/>
              <w:rPr>
                <w:rFonts w:ascii="Segoe UI Light" w:eastAsia="Times New Roman" w:hAnsi="Segoe UI Light"/>
                <w:sz w:val="16"/>
                <w:szCs w:val="16"/>
              </w:rPr>
            </w:pPr>
            <w:r w:rsidRPr="00241D18">
              <w:rPr>
                <w:rFonts w:ascii="Segoe UI Light" w:hAnsi="Segoe UI Light" w:cs="Segoe UI Light"/>
                <w:sz w:val="16"/>
                <w:szCs w:val="16"/>
              </w:rPr>
              <w:t>4</w:t>
            </w:r>
            <w:r w:rsidR="00EA68C8">
              <w:rPr>
                <w:rFonts w:ascii="Segoe UI Light" w:hAnsi="Segoe UI Light" w:cs="Segoe UI Light"/>
                <w:sz w:val="16"/>
                <w:szCs w:val="16"/>
              </w:rPr>
              <w:t>3</w:t>
            </w:r>
            <w:r w:rsidRPr="00241D18">
              <w:rPr>
                <w:rFonts w:ascii="Segoe UI Light" w:hAnsi="Segoe UI Light" w:cs="Segoe UI Light"/>
                <w:sz w:val="16"/>
                <w:szCs w:val="16"/>
              </w:rPr>
              <w:t>,</w:t>
            </w:r>
            <w:r w:rsidR="00EA68C8">
              <w:rPr>
                <w:rFonts w:ascii="Segoe UI Light" w:hAnsi="Segoe UI Light" w:cs="Segoe UI Light"/>
                <w:sz w:val="16"/>
                <w:szCs w:val="16"/>
              </w:rPr>
              <w:t>6</w:t>
            </w:r>
          </w:p>
        </w:tc>
        <w:tc>
          <w:tcPr>
            <w:tcW w:w="538" w:type="pct"/>
            <w:shd w:val="clear" w:color="auto" w:fill="DCE7EB"/>
          </w:tcPr>
          <w:p w14:paraId="711D8700" w14:textId="556CCC5B"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hAnsi="Segoe UI Light" w:cs="Segoe UI Light"/>
                <w:sz w:val="16"/>
                <w:szCs w:val="16"/>
              </w:rPr>
              <w:t>10</w:t>
            </w:r>
            <w:r w:rsidR="00EA68C8">
              <w:rPr>
                <w:rFonts w:ascii="Segoe UI Light" w:hAnsi="Segoe UI Light" w:cs="Segoe UI Light"/>
                <w:sz w:val="16"/>
                <w:szCs w:val="16"/>
              </w:rPr>
              <w:t>8</w:t>
            </w:r>
            <w:r w:rsidRPr="00241D18">
              <w:rPr>
                <w:rFonts w:ascii="Segoe UI Light" w:hAnsi="Segoe UI Light" w:cs="Segoe UI Light"/>
                <w:sz w:val="16"/>
                <w:szCs w:val="16"/>
              </w:rPr>
              <w:t>,</w:t>
            </w:r>
            <w:r w:rsidR="00EA68C8">
              <w:rPr>
                <w:rFonts w:ascii="Segoe UI Light" w:hAnsi="Segoe UI Light" w:cs="Segoe UI Light"/>
                <w:sz w:val="16"/>
                <w:szCs w:val="16"/>
              </w:rPr>
              <w:t>1</w:t>
            </w:r>
          </w:p>
        </w:tc>
        <w:tc>
          <w:tcPr>
            <w:tcW w:w="539" w:type="pct"/>
            <w:shd w:val="clear" w:color="auto" w:fill="DCE7EB"/>
          </w:tcPr>
          <w:p w14:paraId="14D0EDE9" w14:textId="77777777" w:rsidR="00024B8C" w:rsidRPr="00241D18" w:rsidRDefault="00024B8C">
            <w:pPr>
              <w:tabs>
                <w:tab w:val="decimal" w:pos="582"/>
              </w:tabs>
              <w:spacing w:before="40" w:after="40"/>
              <w:rPr>
                <w:rFonts w:ascii="Segoe UI Light" w:eastAsia="Times New Roman" w:hAnsi="Segoe UI Light" w:cs="Segoe UI Light"/>
                <w:sz w:val="16"/>
                <w:szCs w:val="16"/>
              </w:rPr>
            </w:pPr>
            <w:r w:rsidRPr="00241D18">
              <w:rPr>
                <w:rFonts w:ascii="Segoe UI Light" w:eastAsia="Times New Roman" w:hAnsi="Segoe UI Light" w:cs="Segoe UI Light"/>
                <w:sz w:val="16"/>
                <w:szCs w:val="16"/>
              </w:rPr>
              <w:t>40</w:t>
            </w:r>
          </w:p>
        </w:tc>
      </w:tr>
      <w:tr w:rsidR="00C03C20" w:rsidRPr="00D829F0" w14:paraId="70C4A216" w14:textId="77777777" w:rsidTr="008273F5">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auto"/>
          </w:tcPr>
          <w:p w14:paraId="757C0173" w14:textId="77777777" w:rsidR="00024B8C" w:rsidRPr="00241D18" w:rsidRDefault="00024B8C">
            <w:pPr>
              <w:spacing w:before="40" w:after="40"/>
              <w:rPr>
                <w:rFonts w:ascii="Segoe UI Light" w:eastAsia="Times New Roman" w:hAnsi="Segoe UI Light"/>
                <w:b/>
                <w:color w:val="000000"/>
                <w:sz w:val="16"/>
                <w:szCs w:val="16"/>
              </w:rPr>
            </w:pPr>
            <w:r w:rsidRPr="00241D18">
              <w:rPr>
                <w:rFonts w:ascii="Segoe UI Light" w:eastAsia="Times New Roman" w:hAnsi="Segoe UI Light"/>
                <w:b/>
                <w:sz w:val="16"/>
                <w:szCs w:val="16"/>
              </w:rPr>
              <w:t>Kopā</w:t>
            </w:r>
          </w:p>
        </w:tc>
        <w:tc>
          <w:tcPr>
            <w:tcW w:w="538" w:type="pct"/>
            <w:shd w:val="clear" w:color="auto" w:fill="auto"/>
          </w:tcPr>
          <w:p w14:paraId="31509456" w14:textId="30BA841A" w:rsidR="00024B8C" w:rsidRPr="00241D18" w:rsidRDefault="00024B8C">
            <w:pPr>
              <w:tabs>
                <w:tab w:val="decimal" w:pos="582"/>
              </w:tabs>
              <w:spacing w:before="40" w:after="40"/>
              <w:rPr>
                <w:rFonts w:ascii="Segoe UI Light" w:eastAsia="Times New Roman" w:hAnsi="Segoe UI Light" w:cs="Segoe UI Light"/>
                <w:b/>
                <w:sz w:val="16"/>
                <w:szCs w:val="16"/>
              </w:rPr>
            </w:pPr>
            <w:r w:rsidRPr="00241D18">
              <w:rPr>
                <w:rFonts w:ascii="Segoe UI Light" w:hAnsi="Segoe UI Light" w:cs="Segoe UI Light"/>
                <w:b/>
                <w:bCs/>
                <w:sz w:val="16"/>
                <w:szCs w:val="16"/>
              </w:rPr>
              <w:t>90</w:t>
            </w:r>
            <w:r w:rsidR="004A32C3">
              <w:rPr>
                <w:rFonts w:ascii="Segoe UI Light" w:hAnsi="Segoe UI Light" w:cs="Segoe UI Light"/>
                <w:b/>
                <w:bCs/>
                <w:sz w:val="16"/>
                <w:szCs w:val="16"/>
              </w:rPr>
              <w:t>0</w:t>
            </w:r>
            <w:r w:rsidRPr="00241D18">
              <w:rPr>
                <w:rFonts w:ascii="Segoe UI Light" w:hAnsi="Segoe UI Light" w:cs="Segoe UI Light"/>
                <w:b/>
                <w:bCs/>
                <w:sz w:val="16"/>
                <w:szCs w:val="16"/>
              </w:rPr>
              <w:t>,</w:t>
            </w:r>
            <w:r w:rsidR="004A32C3">
              <w:rPr>
                <w:rFonts w:ascii="Segoe UI Light" w:hAnsi="Segoe UI Light" w:cs="Segoe UI Light"/>
                <w:b/>
                <w:bCs/>
                <w:sz w:val="16"/>
                <w:szCs w:val="16"/>
              </w:rPr>
              <w:t>3</w:t>
            </w:r>
          </w:p>
        </w:tc>
        <w:tc>
          <w:tcPr>
            <w:tcW w:w="538" w:type="pct"/>
            <w:shd w:val="clear" w:color="auto" w:fill="auto"/>
          </w:tcPr>
          <w:p w14:paraId="7B576EF2" w14:textId="6D8B3050" w:rsidR="00024B8C" w:rsidRPr="00241D18" w:rsidRDefault="005C47E4">
            <w:pPr>
              <w:tabs>
                <w:tab w:val="decimal" w:pos="582"/>
              </w:tabs>
              <w:spacing w:before="40" w:after="40"/>
              <w:rPr>
                <w:rFonts w:ascii="Segoe UI Light" w:eastAsia="Times New Roman" w:hAnsi="Segoe UI Light" w:cs="Segoe UI Light"/>
                <w:b/>
                <w:sz w:val="16"/>
                <w:szCs w:val="16"/>
              </w:rPr>
            </w:pPr>
            <w:r>
              <w:rPr>
                <w:rFonts w:ascii="Segoe UI Light" w:hAnsi="Segoe UI Light" w:cs="Segoe UI Light"/>
                <w:b/>
                <w:bCs/>
                <w:sz w:val="16"/>
                <w:szCs w:val="16"/>
              </w:rPr>
              <w:t>953</w:t>
            </w:r>
            <w:r w:rsidR="00024B8C" w:rsidRPr="00241D18">
              <w:rPr>
                <w:rFonts w:ascii="Segoe UI Light" w:hAnsi="Segoe UI Light" w:cs="Segoe UI Light"/>
                <w:b/>
                <w:bCs/>
                <w:sz w:val="16"/>
                <w:szCs w:val="16"/>
              </w:rPr>
              <w:t>,</w:t>
            </w:r>
            <w:r w:rsidR="00292116">
              <w:rPr>
                <w:rFonts w:ascii="Segoe UI Light" w:hAnsi="Segoe UI Light" w:cs="Segoe UI Light"/>
                <w:b/>
                <w:bCs/>
                <w:sz w:val="16"/>
                <w:szCs w:val="16"/>
              </w:rPr>
              <w:t>9</w:t>
            </w:r>
          </w:p>
        </w:tc>
        <w:tc>
          <w:tcPr>
            <w:tcW w:w="540" w:type="pct"/>
            <w:shd w:val="clear" w:color="auto" w:fill="auto"/>
          </w:tcPr>
          <w:p w14:paraId="64483399" w14:textId="19EED7EB" w:rsidR="00024B8C" w:rsidRPr="00241D18" w:rsidRDefault="00024B8C">
            <w:pPr>
              <w:tabs>
                <w:tab w:val="decimal" w:pos="582"/>
              </w:tabs>
              <w:spacing w:before="40" w:after="40"/>
              <w:rPr>
                <w:rFonts w:ascii="Segoe UI Light" w:eastAsia="Times New Roman" w:hAnsi="Segoe UI Light" w:cs="Segoe UI Light"/>
                <w:b/>
                <w:sz w:val="16"/>
                <w:szCs w:val="16"/>
              </w:rPr>
            </w:pPr>
            <w:r w:rsidRPr="00241D18">
              <w:rPr>
                <w:rFonts w:ascii="Segoe UI Light" w:eastAsia="Times New Roman" w:hAnsi="Segoe UI Light" w:cs="Segoe UI Light"/>
                <w:b/>
                <w:bCs/>
                <w:sz w:val="16"/>
                <w:szCs w:val="16"/>
              </w:rPr>
              <w:t>9</w:t>
            </w:r>
            <w:r w:rsidR="0006220C">
              <w:rPr>
                <w:rFonts w:ascii="Segoe UI Light" w:eastAsia="Times New Roman" w:hAnsi="Segoe UI Light" w:cs="Segoe UI Light"/>
                <w:b/>
                <w:bCs/>
                <w:sz w:val="16"/>
                <w:szCs w:val="16"/>
              </w:rPr>
              <w:t>4</w:t>
            </w:r>
          </w:p>
        </w:tc>
        <w:tc>
          <w:tcPr>
            <w:tcW w:w="538" w:type="pct"/>
            <w:shd w:val="clear" w:color="auto" w:fill="auto"/>
          </w:tcPr>
          <w:p w14:paraId="40F04DD2" w14:textId="41188765" w:rsidR="00024B8C" w:rsidRPr="00241D18" w:rsidRDefault="00B2650A">
            <w:pPr>
              <w:tabs>
                <w:tab w:val="decimal" w:pos="582"/>
              </w:tabs>
              <w:spacing w:before="40" w:after="40"/>
              <w:rPr>
                <w:rFonts w:ascii="Segoe UI Light" w:eastAsia="Times New Roman" w:hAnsi="Segoe UI Light"/>
                <w:b/>
                <w:sz w:val="16"/>
                <w:szCs w:val="16"/>
              </w:rPr>
            </w:pPr>
            <w:r>
              <w:rPr>
                <w:rFonts w:ascii="Segoe UI Light" w:hAnsi="Segoe UI Light" w:cs="Segoe UI Light"/>
                <w:b/>
                <w:bCs/>
                <w:sz w:val="16"/>
                <w:szCs w:val="16"/>
              </w:rPr>
              <w:t>889,4</w:t>
            </w:r>
          </w:p>
        </w:tc>
        <w:tc>
          <w:tcPr>
            <w:tcW w:w="538" w:type="pct"/>
            <w:shd w:val="clear" w:color="auto" w:fill="auto"/>
          </w:tcPr>
          <w:p w14:paraId="5DE657F0" w14:textId="0B6A4C0C" w:rsidR="00024B8C" w:rsidRPr="00241D18" w:rsidRDefault="00024B8C">
            <w:pPr>
              <w:tabs>
                <w:tab w:val="decimal" w:pos="582"/>
              </w:tabs>
              <w:spacing w:before="40" w:after="40"/>
              <w:rPr>
                <w:rFonts w:ascii="Segoe UI Light" w:eastAsia="Times New Roman" w:hAnsi="Segoe UI Light" w:cs="Segoe UI Light"/>
                <w:b/>
                <w:sz w:val="16"/>
                <w:szCs w:val="16"/>
              </w:rPr>
            </w:pPr>
            <w:r w:rsidRPr="00241D18">
              <w:rPr>
                <w:rFonts w:ascii="Segoe UI Light" w:hAnsi="Segoe UI Light" w:cs="Segoe UI Light"/>
                <w:b/>
                <w:sz w:val="16"/>
                <w:szCs w:val="16"/>
              </w:rPr>
              <w:t>936,</w:t>
            </w:r>
            <w:r w:rsidR="00B2650A">
              <w:rPr>
                <w:rFonts w:ascii="Segoe UI Light" w:hAnsi="Segoe UI Light" w:cs="Segoe UI Light"/>
                <w:b/>
                <w:bCs/>
                <w:sz w:val="16"/>
                <w:szCs w:val="16"/>
              </w:rPr>
              <w:t>1</w:t>
            </w:r>
          </w:p>
        </w:tc>
        <w:tc>
          <w:tcPr>
            <w:tcW w:w="539" w:type="pct"/>
            <w:shd w:val="clear" w:color="auto" w:fill="auto"/>
          </w:tcPr>
          <w:p w14:paraId="68C88C8B" w14:textId="77777777" w:rsidR="00024B8C" w:rsidRPr="00241D18" w:rsidRDefault="00024B8C">
            <w:pPr>
              <w:tabs>
                <w:tab w:val="decimal" w:pos="582"/>
              </w:tabs>
              <w:spacing w:before="40" w:after="40"/>
              <w:rPr>
                <w:rFonts w:ascii="Segoe UI Light" w:eastAsia="Times New Roman" w:hAnsi="Segoe UI Light" w:cs="Segoe UI Light"/>
                <w:b/>
                <w:sz w:val="16"/>
                <w:szCs w:val="16"/>
              </w:rPr>
            </w:pPr>
            <w:r w:rsidRPr="00241D18">
              <w:rPr>
                <w:rFonts w:ascii="Segoe UI Light" w:eastAsia="Times New Roman" w:hAnsi="Segoe UI Light" w:cs="Segoe UI Light"/>
                <w:b/>
                <w:sz w:val="16"/>
                <w:szCs w:val="16"/>
              </w:rPr>
              <w:t>95</w:t>
            </w:r>
          </w:p>
        </w:tc>
      </w:tr>
    </w:tbl>
    <w:p w14:paraId="2B5B465A" w14:textId="77777777" w:rsidR="005F3312" w:rsidRDefault="00024B8C" w:rsidP="008273F5">
      <w:pPr>
        <w:spacing w:before="120" w:after="120"/>
        <w:jc w:val="both"/>
        <w:rPr>
          <w:rFonts w:ascii="Source Sans Pro" w:hAnsi="Source Sans Pro" w:cs="Calibri Light"/>
          <w:sz w:val="16"/>
          <w:szCs w:val="14"/>
        </w:rPr>
      </w:pPr>
      <w:r w:rsidRPr="00D829F0">
        <w:rPr>
          <w:rFonts w:ascii="Source Sans Pro" w:hAnsi="Source Sans Pro" w:cs="Calibri Light"/>
          <w:sz w:val="16"/>
          <w:szCs w:val="14"/>
        </w:rPr>
        <w:t>Avots: EM prognozes</w:t>
      </w:r>
    </w:p>
    <w:p w14:paraId="0036B6D4" w14:textId="77777777" w:rsidR="005F3312" w:rsidRDefault="005F3312" w:rsidP="008273F5">
      <w:pPr>
        <w:spacing w:before="120" w:after="120"/>
        <w:jc w:val="both"/>
        <w:rPr>
          <w:rFonts w:ascii="Source Sans Pro" w:hAnsi="Source Sans Pro" w:cs="Calibri Light"/>
          <w:sz w:val="16"/>
          <w:szCs w:val="14"/>
        </w:rPr>
      </w:pPr>
    </w:p>
    <w:p w14:paraId="30727CA1" w14:textId="77C82876" w:rsidR="00941DB6" w:rsidRPr="005F3312" w:rsidRDefault="00941DB6" w:rsidP="000816FF">
      <w:pPr>
        <w:spacing w:after="120"/>
        <w:jc w:val="both"/>
        <w:rPr>
          <w:rFonts w:ascii="Aptos Narrow" w:hAnsi="Aptos Narrow"/>
          <w:b/>
          <w:color w:val="003E4C"/>
          <w:sz w:val="28"/>
          <w:szCs w:val="28"/>
        </w:rPr>
      </w:pPr>
      <w:r w:rsidRPr="005F3312">
        <w:rPr>
          <w:rFonts w:ascii="Aptos Narrow" w:hAnsi="Aptos Narrow"/>
          <w:b/>
          <w:color w:val="003E4C"/>
          <w:sz w:val="28"/>
          <w:szCs w:val="28"/>
        </w:rPr>
        <w:t>Darbaspēka pieprasījuma un piedāvājuma atbilstība pa profesiju grupām</w:t>
      </w:r>
    </w:p>
    <w:p w14:paraId="3323EB94" w14:textId="2C268131" w:rsidR="00941DB6" w:rsidRPr="00D829F0" w:rsidRDefault="00F10DEA" w:rsidP="000816FF">
      <w:pPr>
        <w:spacing w:after="120"/>
        <w:jc w:val="both"/>
        <w:rPr>
          <w:rFonts w:ascii="Source Sans Pro" w:hAnsi="Source Sans Pro"/>
          <w:szCs w:val="20"/>
        </w:rPr>
      </w:pPr>
      <w:r w:rsidRPr="00D829F0">
        <w:rPr>
          <w:rFonts w:ascii="Source Sans Pro" w:hAnsi="Source Sans Pro"/>
          <w:szCs w:val="20"/>
        </w:rPr>
        <w:t xml:space="preserve">Vidējā termiņā darbaspēka pieprasījums un piedāvājums </w:t>
      </w:r>
      <w:r w:rsidRPr="00D829F0">
        <w:rPr>
          <w:rFonts w:ascii="Source Sans Pro" w:hAnsi="Source Sans Pro"/>
          <w:b/>
          <w:szCs w:val="20"/>
        </w:rPr>
        <w:t>augstākās kvalifikācijas profesijās</w:t>
      </w:r>
      <w:r w:rsidRPr="00D829F0">
        <w:rPr>
          <w:rFonts w:ascii="Source Sans Pro" w:hAnsi="Source Sans Pro"/>
          <w:szCs w:val="20"/>
        </w:rPr>
        <w:t xml:space="preserve"> kopumā būs tuvu līdzsvaram. Līdz 2030.</w:t>
      </w:r>
      <w:r w:rsidR="00D7223F">
        <w:rPr>
          <w:rFonts w:ascii="Source Sans Pro" w:hAnsi="Source Sans Pro"/>
          <w:szCs w:val="20"/>
        </w:rPr>
        <w:t> </w:t>
      </w:r>
      <w:r w:rsidRPr="00D829F0">
        <w:rPr>
          <w:rFonts w:ascii="Source Sans Pro" w:hAnsi="Source Sans Pro"/>
          <w:szCs w:val="20"/>
        </w:rPr>
        <w:t>gadam darbaspēka piedāvājums šajā profesiju grupā nedaudz pārsniegs pieprasījumu, tomēr ilgtermiņā situācija var mainīties un atsevišķās augstākās kvalifikācijas profesijās var veidoties darbaspēka iztrūkums. Būtiskākā darbaspēka nepietiekamība varētu veidoties zinātnes un inženierzinātņu profesijās, IKT speciālistu profesijās, kā arī veselības aprūpes jomas vecāko speciālistu profesijās. Šajās profesijās pieprasījumu veicinās gan digitalizācija un tehnoloģiju ieviešana, gan sabiedrības novecošanās un nepieciešamība pēc augstākas kvalifikācijas speciālistiem produktivitātes kāpināšanai.</w:t>
      </w:r>
    </w:p>
    <w:p w14:paraId="0411645C" w14:textId="4E348014" w:rsidR="00941DB6" w:rsidRPr="00D829F0" w:rsidRDefault="00CA68B2" w:rsidP="000816FF">
      <w:pPr>
        <w:spacing w:after="120"/>
        <w:jc w:val="both"/>
        <w:rPr>
          <w:rFonts w:ascii="Source Sans Pro" w:hAnsi="Source Sans Pro"/>
          <w:szCs w:val="20"/>
        </w:rPr>
      </w:pPr>
      <w:r w:rsidRPr="00D829F0">
        <w:rPr>
          <w:rFonts w:ascii="Source Sans Pro" w:hAnsi="Source Sans Pro"/>
          <w:szCs w:val="20"/>
        </w:rPr>
        <w:t>Vienlaikus augstākās kvalifikācijas profesiju grupā darbaspēka pārpalikums vidējā termiņā saglabāsies izglītības jomas vecāko speciālistu, komercdarbības un pārvaldes, kā arī juridisko, sociālo un kultūras jomu vecāko speciālistu profesijās. Kopumā tas nozīmē, ka augstākās kvalifikācijas profesijās galvenie riski būs saistīti nevis ar kopējo darbaspēka nepietiekamību, bet ar neatbilstībām starp pieprasīto un piedāvāto prasmju struktūru.</w:t>
      </w:r>
    </w:p>
    <w:p w14:paraId="6CDAA313" w14:textId="77777777" w:rsidR="005F3312" w:rsidRDefault="005F3312">
      <w:pPr>
        <w:spacing w:after="0"/>
        <w:rPr>
          <w:rFonts w:ascii="Source Sans Pro" w:hAnsi="Source Sans Pro"/>
          <w:szCs w:val="26"/>
        </w:rPr>
      </w:pPr>
      <w:r>
        <w:rPr>
          <w:rFonts w:ascii="Source Sans Pro" w:hAnsi="Source Sans Pro"/>
          <w:szCs w:val="26"/>
        </w:rPr>
        <w:br w:type="page"/>
      </w:r>
    </w:p>
    <w:p w14:paraId="6BE0993A" w14:textId="4FF9236F" w:rsidR="00941DB6" w:rsidRPr="00D829F0" w:rsidRDefault="00941DB6" w:rsidP="00941DB6">
      <w:pPr>
        <w:spacing w:after="120"/>
        <w:jc w:val="right"/>
        <w:rPr>
          <w:rFonts w:ascii="Source Sans Pro" w:hAnsi="Source Sans Pro"/>
          <w:szCs w:val="26"/>
        </w:rPr>
      </w:pPr>
      <w:r w:rsidRPr="00D829F0">
        <w:rPr>
          <w:rFonts w:ascii="Source Sans Pro" w:hAnsi="Source Sans Pro"/>
          <w:szCs w:val="26"/>
        </w:rPr>
        <w:lastRenderedPageBreak/>
        <w:t>3.1</w:t>
      </w:r>
      <w:r w:rsidR="002C39ED">
        <w:rPr>
          <w:rFonts w:ascii="Source Sans Pro" w:hAnsi="Source Sans Pro"/>
          <w:szCs w:val="26"/>
        </w:rPr>
        <w:t>9</w:t>
      </w:r>
      <w:r w:rsidRPr="00D829F0">
        <w:rPr>
          <w:rFonts w:ascii="Source Sans Pro" w:hAnsi="Source Sans Pro"/>
          <w:szCs w:val="26"/>
        </w:rPr>
        <w:t>.</w:t>
      </w:r>
      <w:r w:rsidR="00D7223F">
        <w:rPr>
          <w:rFonts w:ascii="Source Sans Pro" w:hAnsi="Source Sans Pro"/>
          <w:szCs w:val="26"/>
        </w:rPr>
        <w:t> </w:t>
      </w:r>
      <w:r w:rsidRPr="00D829F0">
        <w:rPr>
          <w:rFonts w:ascii="Source Sans Pro" w:hAnsi="Source Sans Pro"/>
          <w:szCs w:val="26"/>
        </w:rPr>
        <w:t>attēls</w:t>
      </w:r>
    </w:p>
    <w:p w14:paraId="22634048" w14:textId="77777777" w:rsidR="00941DB6" w:rsidRPr="00530B4C" w:rsidRDefault="00941DB6" w:rsidP="00941DB6">
      <w:pPr>
        <w:spacing w:after="120"/>
        <w:jc w:val="center"/>
        <w:rPr>
          <w:rFonts w:ascii="Segoe UI Light" w:hAnsi="Segoe UI Light"/>
          <w:b/>
          <w:color w:val="000000"/>
          <w:sz w:val="16"/>
        </w:rPr>
      </w:pPr>
      <w:r w:rsidRPr="00530B4C">
        <w:rPr>
          <w:rFonts w:ascii="Segoe UI Light" w:hAnsi="Segoe UI Light"/>
          <w:b/>
          <w:sz w:val="18"/>
          <w:szCs w:val="26"/>
        </w:rPr>
        <w:t xml:space="preserve">Darbaspēka piedāvājuma un pieprasījuma prognozes </w:t>
      </w:r>
      <w:r w:rsidRPr="00530B4C">
        <w:rPr>
          <w:rFonts w:ascii="Segoe UI Light" w:hAnsi="Segoe UI Light"/>
          <w:b/>
          <w:color w:val="000000"/>
          <w:sz w:val="18"/>
          <w:szCs w:val="26"/>
        </w:rPr>
        <w:t xml:space="preserve">sadalījumā pa profesiju grupām </w:t>
      </w:r>
      <w:r w:rsidRPr="00530B4C">
        <w:rPr>
          <w:rFonts w:ascii="Segoe UI Light" w:hAnsi="Segoe UI Light"/>
          <w:b/>
          <w:color w:val="000000"/>
          <w:sz w:val="18"/>
          <w:szCs w:val="26"/>
        </w:rPr>
        <w:br/>
      </w:r>
      <w:r w:rsidRPr="00530B4C">
        <w:rPr>
          <w:rFonts w:ascii="Segoe UI Light" w:hAnsi="Segoe UI Light"/>
          <w:i/>
          <w:color w:val="000000"/>
          <w:sz w:val="16"/>
        </w:rPr>
        <w:t>tūkstošos</w:t>
      </w:r>
    </w:p>
    <w:p w14:paraId="54A5C786" w14:textId="77777777" w:rsidR="00941DB6" w:rsidRPr="00530B4C" w:rsidRDefault="00941DB6" w:rsidP="000816FF">
      <w:pPr>
        <w:tabs>
          <w:tab w:val="center" w:pos="1560"/>
          <w:tab w:val="center" w:pos="4678"/>
          <w:tab w:val="center" w:pos="7655"/>
        </w:tabs>
        <w:spacing w:after="120"/>
        <w:rPr>
          <w:rFonts w:ascii="Segoe UI Light" w:hAnsi="Segoe UI Light"/>
          <w:sz w:val="16"/>
          <w:szCs w:val="20"/>
        </w:rPr>
      </w:pPr>
      <w:r w:rsidRPr="00530B4C">
        <w:rPr>
          <w:rFonts w:ascii="Segoe UI Light" w:hAnsi="Segoe UI Light"/>
          <w:sz w:val="16"/>
          <w:szCs w:val="20"/>
        </w:rPr>
        <w:tab/>
        <w:t>Vadītāji</w:t>
      </w:r>
      <w:r w:rsidRPr="00530B4C">
        <w:rPr>
          <w:rFonts w:ascii="Segoe UI Light" w:hAnsi="Segoe UI Light"/>
          <w:sz w:val="16"/>
          <w:szCs w:val="20"/>
        </w:rPr>
        <w:tab/>
        <w:t>Vecākie speciālisti</w:t>
      </w:r>
      <w:r w:rsidRPr="00530B4C">
        <w:rPr>
          <w:rFonts w:ascii="Segoe UI Light" w:hAnsi="Segoe UI Light"/>
          <w:sz w:val="16"/>
          <w:szCs w:val="20"/>
        </w:rPr>
        <w:tab/>
        <w:t>Speciālisti</w:t>
      </w:r>
    </w:p>
    <w:p w14:paraId="76E43073" w14:textId="77777777" w:rsidR="00941DB6" w:rsidRPr="00530B4C" w:rsidRDefault="00941DB6" w:rsidP="000816FF">
      <w:pPr>
        <w:tabs>
          <w:tab w:val="center" w:pos="1560"/>
          <w:tab w:val="center" w:pos="4678"/>
          <w:tab w:val="center" w:pos="7655"/>
        </w:tabs>
        <w:spacing w:after="120"/>
        <w:ind w:right="-193"/>
        <w:rPr>
          <w:rFonts w:ascii="Segoe UI Light" w:hAnsi="Segoe UI Light"/>
          <w:sz w:val="16"/>
          <w:szCs w:val="16"/>
        </w:rPr>
      </w:pPr>
      <w:r w:rsidRPr="00530B4C">
        <w:rPr>
          <w:rFonts w:ascii="Segoe UI Light" w:hAnsi="Segoe UI Light"/>
          <w:noProof/>
          <w:sz w:val="16"/>
          <w:szCs w:val="20"/>
          <w:lang w:eastAsia="lv-LV"/>
        </w:rPr>
        <w:drawing>
          <wp:inline distT="0" distB="0" distL="0" distR="0" wp14:anchorId="6EC3BAE9" wp14:editId="6FB36498">
            <wp:extent cx="1944000" cy="1440000"/>
            <wp:effectExtent l="0" t="0" r="0" b="0"/>
            <wp:docPr id="313" name="Chart 3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r w:rsidRPr="00530B4C">
        <w:rPr>
          <w:rFonts w:ascii="Segoe UI Light" w:hAnsi="Segoe UI Light"/>
          <w:noProof/>
          <w:sz w:val="16"/>
          <w:szCs w:val="20"/>
          <w:lang w:eastAsia="lv-LV"/>
        </w:rPr>
        <w:drawing>
          <wp:inline distT="0" distB="0" distL="0" distR="0" wp14:anchorId="55844BAF" wp14:editId="5D4E6C2C">
            <wp:extent cx="1944000" cy="1440000"/>
            <wp:effectExtent l="0" t="0" r="0" b="0"/>
            <wp:docPr id="260" name="Chart 2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r w:rsidRPr="00530B4C">
        <w:rPr>
          <w:rFonts w:ascii="Segoe UI Light" w:hAnsi="Segoe UI Light"/>
          <w:noProof/>
          <w:sz w:val="16"/>
          <w:szCs w:val="20"/>
          <w:lang w:eastAsia="lv-LV"/>
        </w:rPr>
        <w:drawing>
          <wp:inline distT="0" distB="0" distL="0" distR="0" wp14:anchorId="0DE7F572" wp14:editId="3D861E8A">
            <wp:extent cx="1944000" cy="1440000"/>
            <wp:effectExtent l="0" t="0" r="0" b="0"/>
            <wp:docPr id="111" name="Chart 1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14:paraId="2B23A4A3" w14:textId="77777777" w:rsidR="00941DB6" w:rsidRPr="00530B4C" w:rsidRDefault="00941DB6" w:rsidP="000816FF">
      <w:pPr>
        <w:tabs>
          <w:tab w:val="center" w:pos="1560"/>
          <w:tab w:val="center" w:pos="4678"/>
          <w:tab w:val="center" w:pos="7655"/>
        </w:tabs>
        <w:spacing w:after="120"/>
        <w:rPr>
          <w:rFonts w:ascii="Segoe UI Light" w:hAnsi="Segoe UI Light"/>
          <w:sz w:val="16"/>
          <w:szCs w:val="20"/>
        </w:rPr>
      </w:pPr>
      <w:r w:rsidRPr="00530B4C">
        <w:rPr>
          <w:rFonts w:ascii="Segoe UI Light" w:hAnsi="Segoe UI Light"/>
          <w:sz w:val="16"/>
          <w:szCs w:val="20"/>
        </w:rPr>
        <w:tab/>
        <w:t>Kalpotāji</w:t>
      </w:r>
      <w:r w:rsidRPr="00530B4C">
        <w:rPr>
          <w:rFonts w:ascii="Segoe UI Light" w:hAnsi="Segoe UI Light"/>
          <w:sz w:val="16"/>
          <w:szCs w:val="20"/>
        </w:rPr>
        <w:tab/>
        <w:t>Pakalpojumu un tirdzniecības darbinieki</w:t>
      </w:r>
      <w:r w:rsidRPr="00530B4C">
        <w:rPr>
          <w:rFonts w:ascii="Segoe UI Light" w:hAnsi="Segoe UI Light"/>
          <w:sz w:val="16"/>
          <w:szCs w:val="20"/>
        </w:rPr>
        <w:tab/>
        <w:t>Kvalificēti lauksaimniecības,</w:t>
      </w:r>
      <w:r w:rsidRPr="00530B4C">
        <w:rPr>
          <w:rFonts w:ascii="Segoe UI Light" w:hAnsi="Segoe UI Light"/>
          <w:sz w:val="16"/>
          <w:szCs w:val="20"/>
        </w:rPr>
        <w:br/>
      </w:r>
      <w:r w:rsidRPr="00530B4C">
        <w:rPr>
          <w:rFonts w:ascii="Segoe UI Light" w:hAnsi="Segoe UI Light"/>
          <w:sz w:val="16"/>
          <w:szCs w:val="20"/>
        </w:rPr>
        <w:tab/>
      </w:r>
      <w:r w:rsidRPr="00530B4C">
        <w:rPr>
          <w:rFonts w:ascii="Segoe UI Light" w:hAnsi="Segoe UI Light"/>
          <w:sz w:val="16"/>
          <w:szCs w:val="20"/>
        </w:rPr>
        <w:tab/>
      </w:r>
      <w:r w:rsidRPr="00530B4C">
        <w:rPr>
          <w:rFonts w:ascii="Segoe UI Light" w:hAnsi="Segoe UI Light"/>
          <w:sz w:val="16"/>
          <w:szCs w:val="20"/>
        </w:rPr>
        <w:tab/>
        <w:t>mežsaimniecības darbinieki</w:t>
      </w:r>
    </w:p>
    <w:p w14:paraId="116FDA9C" w14:textId="77777777" w:rsidR="00941DB6" w:rsidRPr="00530B4C" w:rsidRDefault="00941DB6" w:rsidP="000816FF">
      <w:pPr>
        <w:tabs>
          <w:tab w:val="center" w:pos="1560"/>
          <w:tab w:val="center" w:pos="4678"/>
          <w:tab w:val="center" w:pos="7655"/>
        </w:tabs>
        <w:spacing w:after="120"/>
        <w:ind w:right="-193"/>
        <w:rPr>
          <w:rFonts w:ascii="Segoe UI Light" w:hAnsi="Segoe UI Light"/>
          <w:sz w:val="16"/>
          <w:szCs w:val="16"/>
        </w:rPr>
      </w:pPr>
      <w:r w:rsidRPr="00530B4C">
        <w:rPr>
          <w:rFonts w:ascii="Segoe UI Light" w:hAnsi="Segoe UI Light"/>
          <w:noProof/>
          <w:sz w:val="16"/>
          <w:szCs w:val="20"/>
          <w:lang w:eastAsia="lv-LV"/>
        </w:rPr>
        <w:drawing>
          <wp:inline distT="0" distB="0" distL="0" distR="0" wp14:anchorId="578E578A" wp14:editId="5B6A8B39">
            <wp:extent cx="1944000" cy="1440000"/>
            <wp:effectExtent l="0" t="0" r="0" b="0"/>
            <wp:docPr id="112" name="Chart 1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r w:rsidRPr="00530B4C">
        <w:rPr>
          <w:rFonts w:ascii="Segoe UI Light" w:hAnsi="Segoe UI Light"/>
          <w:noProof/>
          <w:sz w:val="16"/>
          <w:szCs w:val="20"/>
          <w:lang w:eastAsia="lv-LV"/>
        </w:rPr>
        <w:drawing>
          <wp:inline distT="0" distB="0" distL="0" distR="0" wp14:anchorId="32866CAB" wp14:editId="216BF4DB">
            <wp:extent cx="1944000" cy="1440000"/>
            <wp:effectExtent l="0" t="0" r="0" b="0"/>
            <wp:docPr id="113" name="Chart 1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r w:rsidRPr="00530B4C">
        <w:rPr>
          <w:rFonts w:ascii="Segoe UI Light" w:hAnsi="Segoe UI Light"/>
          <w:noProof/>
          <w:sz w:val="16"/>
          <w:szCs w:val="20"/>
          <w:lang w:eastAsia="lv-LV"/>
        </w:rPr>
        <w:drawing>
          <wp:inline distT="0" distB="0" distL="0" distR="0" wp14:anchorId="28E76CE1" wp14:editId="459D45A8">
            <wp:extent cx="1944000" cy="1440000"/>
            <wp:effectExtent l="0" t="0" r="0" b="0"/>
            <wp:docPr id="114" name="Chart 1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14:paraId="0B223A8A" w14:textId="77777777" w:rsidR="00941DB6" w:rsidRPr="00530B4C" w:rsidRDefault="00941DB6" w:rsidP="000816FF">
      <w:pPr>
        <w:tabs>
          <w:tab w:val="center" w:pos="1560"/>
          <w:tab w:val="center" w:pos="4678"/>
          <w:tab w:val="center" w:pos="7655"/>
        </w:tabs>
        <w:spacing w:after="120"/>
        <w:rPr>
          <w:rFonts w:ascii="Segoe UI Light" w:hAnsi="Segoe UI Light"/>
          <w:sz w:val="16"/>
          <w:szCs w:val="20"/>
        </w:rPr>
      </w:pPr>
      <w:r w:rsidRPr="00530B4C">
        <w:rPr>
          <w:rFonts w:ascii="Segoe UI Light" w:hAnsi="Segoe UI Light"/>
          <w:sz w:val="16"/>
          <w:szCs w:val="20"/>
        </w:rPr>
        <w:tab/>
        <w:t>Kvalificēti strādnieki un amatnieki</w:t>
      </w:r>
      <w:r w:rsidRPr="00530B4C">
        <w:rPr>
          <w:rFonts w:ascii="Segoe UI Light" w:hAnsi="Segoe UI Light"/>
          <w:sz w:val="16"/>
          <w:szCs w:val="20"/>
        </w:rPr>
        <w:tab/>
        <w:t>Iekārtu un mašīnu operatori,</w:t>
      </w:r>
      <w:r w:rsidRPr="00530B4C">
        <w:rPr>
          <w:rFonts w:ascii="Segoe UI Light" w:hAnsi="Segoe UI Light"/>
          <w:sz w:val="16"/>
          <w:szCs w:val="20"/>
        </w:rPr>
        <w:tab/>
        <w:t>Vienkāršās profesijas</w:t>
      </w:r>
      <w:r w:rsidRPr="00530B4C">
        <w:rPr>
          <w:rFonts w:ascii="Segoe UI Light" w:hAnsi="Segoe UI Light"/>
          <w:sz w:val="16"/>
          <w:szCs w:val="20"/>
        </w:rPr>
        <w:br/>
      </w:r>
      <w:r w:rsidRPr="00530B4C">
        <w:rPr>
          <w:rFonts w:ascii="Segoe UI Light" w:hAnsi="Segoe UI Light"/>
          <w:sz w:val="16"/>
          <w:szCs w:val="20"/>
        </w:rPr>
        <w:tab/>
      </w:r>
      <w:r w:rsidRPr="00530B4C">
        <w:rPr>
          <w:rFonts w:ascii="Segoe UI Light" w:hAnsi="Segoe UI Light"/>
          <w:sz w:val="16"/>
          <w:szCs w:val="20"/>
        </w:rPr>
        <w:tab/>
        <w:t>izstrādājumu montieri</w:t>
      </w:r>
    </w:p>
    <w:p w14:paraId="3B2C6586" w14:textId="77777777" w:rsidR="00941DB6" w:rsidRPr="00530B4C" w:rsidRDefault="00941DB6" w:rsidP="000816FF">
      <w:pPr>
        <w:tabs>
          <w:tab w:val="center" w:pos="1560"/>
          <w:tab w:val="center" w:pos="4678"/>
          <w:tab w:val="center" w:pos="7655"/>
        </w:tabs>
        <w:spacing w:after="120"/>
        <w:ind w:right="-193"/>
        <w:rPr>
          <w:rFonts w:ascii="Segoe UI Light" w:hAnsi="Segoe UI Light"/>
          <w:sz w:val="16"/>
          <w:szCs w:val="16"/>
        </w:rPr>
      </w:pPr>
      <w:r w:rsidRPr="00530B4C">
        <w:rPr>
          <w:rFonts w:ascii="Segoe UI Light" w:hAnsi="Segoe UI Light"/>
          <w:noProof/>
          <w:sz w:val="16"/>
          <w:szCs w:val="20"/>
          <w:lang w:eastAsia="lv-LV"/>
        </w:rPr>
        <w:drawing>
          <wp:inline distT="0" distB="0" distL="0" distR="0" wp14:anchorId="70B01C2F" wp14:editId="1B2D50E1">
            <wp:extent cx="1944000" cy="1440000"/>
            <wp:effectExtent l="0" t="0" r="0" b="0"/>
            <wp:docPr id="116" name="Chart 1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r w:rsidRPr="00530B4C">
        <w:rPr>
          <w:rFonts w:ascii="Segoe UI Light" w:hAnsi="Segoe UI Light"/>
          <w:noProof/>
          <w:sz w:val="16"/>
          <w:szCs w:val="20"/>
          <w:lang w:eastAsia="lv-LV"/>
        </w:rPr>
        <w:drawing>
          <wp:inline distT="0" distB="0" distL="0" distR="0" wp14:anchorId="4E8BC99C" wp14:editId="34849058">
            <wp:extent cx="1944000" cy="1440000"/>
            <wp:effectExtent l="0" t="0" r="0" b="0"/>
            <wp:docPr id="117" name="Chart 1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r w:rsidRPr="00530B4C">
        <w:rPr>
          <w:rFonts w:ascii="Segoe UI Light" w:hAnsi="Segoe UI Light"/>
          <w:noProof/>
          <w:sz w:val="16"/>
          <w:szCs w:val="20"/>
          <w:lang w:eastAsia="lv-LV"/>
        </w:rPr>
        <w:drawing>
          <wp:inline distT="0" distB="0" distL="0" distR="0" wp14:anchorId="2FBD62BC" wp14:editId="5CA25A2E">
            <wp:extent cx="1944000" cy="1440000"/>
            <wp:effectExtent l="0" t="0" r="0" b="0"/>
            <wp:docPr id="118" name="Chart 1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313F91A9" w14:textId="1A47F662" w:rsidR="00941DB6" w:rsidRPr="00D829F0" w:rsidRDefault="00941DB6" w:rsidP="00941DB6">
      <w:pPr>
        <w:spacing w:after="120"/>
        <w:jc w:val="both"/>
        <w:rPr>
          <w:rFonts w:ascii="Source Sans Pro" w:hAnsi="Source Sans Pro" w:cs="Calibri Light"/>
          <w:sz w:val="16"/>
          <w:szCs w:val="14"/>
        </w:rPr>
      </w:pPr>
      <w:r w:rsidRPr="00D829F0">
        <w:rPr>
          <w:rFonts w:ascii="Source Sans Pro" w:hAnsi="Source Sans Pro" w:cs="Calibri Light"/>
          <w:sz w:val="16"/>
          <w:szCs w:val="14"/>
        </w:rPr>
        <w:t>Avots: CSP dati 202</w:t>
      </w:r>
      <w:r w:rsidR="006C15CE" w:rsidRPr="00D829F0">
        <w:rPr>
          <w:rFonts w:ascii="Source Sans Pro" w:hAnsi="Source Sans Pro" w:cs="Calibri Light"/>
          <w:sz w:val="16"/>
          <w:szCs w:val="14"/>
        </w:rPr>
        <w:t>5</w:t>
      </w:r>
      <w:r w:rsidRPr="00D829F0">
        <w:rPr>
          <w:rFonts w:ascii="Source Sans Pro" w:hAnsi="Source Sans Pro" w:cs="Calibri Light"/>
          <w:sz w:val="16"/>
          <w:szCs w:val="14"/>
        </w:rPr>
        <w:t>.</w:t>
      </w:r>
      <w:r w:rsidR="00D7223F">
        <w:rPr>
          <w:rFonts w:ascii="Source Sans Pro" w:hAnsi="Source Sans Pro" w:cs="Calibri Light"/>
          <w:sz w:val="16"/>
          <w:szCs w:val="14"/>
        </w:rPr>
        <w:t> </w:t>
      </w:r>
      <w:r w:rsidRPr="00D829F0">
        <w:rPr>
          <w:rFonts w:ascii="Source Sans Pro" w:hAnsi="Source Sans Pro" w:cs="Calibri Light"/>
          <w:sz w:val="16"/>
          <w:szCs w:val="14"/>
        </w:rPr>
        <w:t>gadam, EM prognozes sākot ar 202</w:t>
      </w:r>
      <w:r w:rsidR="006C15CE" w:rsidRPr="00D829F0">
        <w:rPr>
          <w:rFonts w:ascii="Source Sans Pro" w:hAnsi="Source Sans Pro" w:cs="Calibri Light"/>
          <w:sz w:val="16"/>
          <w:szCs w:val="14"/>
        </w:rPr>
        <w:t>6</w:t>
      </w:r>
      <w:r w:rsidRPr="00D829F0">
        <w:rPr>
          <w:rFonts w:ascii="Source Sans Pro" w:hAnsi="Source Sans Pro" w:cs="Calibri Light"/>
          <w:sz w:val="16"/>
          <w:szCs w:val="14"/>
        </w:rPr>
        <w:t>.</w:t>
      </w:r>
      <w:r w:rsidR="00D7223F">
        <w:rPr>
          <w:rFonts w:ascii="Source Sans Pro" w:hAnsi="Source Sans Pro" w:cs="Calibri Light"/>
          <w:sz w:val="16"/>
          <w:szCs w:val="14"/>
        </w:rPr>
        <w:t> </w:t>
      </w:r>
      <w:r w:rsidRPr="00D829F0">
        <w:rPr>
          <w:rFonts w:ascii="Source Sans Pro" w:hAnsi="Source Sans Pro" w:cs="Calibri Light"/>
          <w:sz w:val="16"/>
          <w:szCs w:val="14"/>
        </w:rPr>
        <w:t>gadu</w:t>
      </w:r>
    </w:p>
    <w:p w14:paraId="621D1095" w14:textId="77777777" w:rsidR="00C24E26" w:rsidRPr="00D829F0" w:rsidRDefault="00C24E26" w:rsidP="000816FF">
      <w:pPr>
        <w:spacing w:after="120"/>
        <w:jc w:val="both"/>
        <w:rPr>
          <w:rFonts w:ascii="Source Sans Pro" w:hAnsi="Source Sans Pro"/>
          <w:b/>
          <w:szCs w:val="20"/>
        </w:rPr>
      </w:pPr>
    </w:p>
    <w:p w14:paraId="39F4D3B0" w14:textId="6D39E99E" w:rsidR="00941DB6" w:rsidRPr="00D829F0" w:rsidRDefault="00CA68B2" w:rsidP="000816FF">
      <w:pPr>
        <w:spacing w:after="120"/>
        <w:jc w:val="both"/>
        <w:rPr>
          <w:rFonts w:ascii="Source Sans Pro" w:hAnsi="Source Sans Pro"/>
          <w:szCs w:val="20"/>
        </w:rPr>
      </w:pPr>
      <w:r w:rsidRPr="00D829F0">
        <w:rPr>
          <w:rFonts w:ascii="Source Sans Pro" w:hAnsi="Source Sans Pro"/>
          <w:b/>
          <w:szCs w:val="20"/>
        </w:rPr>
        <w:t xml:space="preserve">Vidējās kvalifikācijas profesijās </w:t>
      </w:r>
      <w:r w:rsidRPr="00D829F0">
        <w:rPr>
          <w:rFonts w:ascii="Source Sans Pro" w:hAnsi="Source Sans Pro"/>
          <w:szCs w:val="20"/>
        </w:rPr>
        <w:t>kopumā darbaspēka piedāvājums vidējā un ilgtermiņā pārsniegs pieprasījumu, tomēr arī šajā grupā saglabāsies būtiskas iekšējās disproporcijas. Darbaspēka iztrūkums veidosies galvenokārt tehniskajās un kvalificēto strādnieku profesijās – būvnieku un tiem radniecīgo profesiju, metālapstrādes un mašīnbūves strādnieku, elektrisko un elektronisko iekārtu strādnieku, pārtikas produktu pārstrādes un kokapstrādes strādnieku, rūpniecisko iekārtu operatoru, kā arī pašgājēju mašīnu un iekārtu vadītāju un operatoru profesijās. Šajās specialitātēs darbaspēka piedāvājumu ierobežos gan darbaspēka novecošanās un iziešana no darba tirgus, gan nepietiekams profesionālās izglītības piedāvājums atbilstošajās specialitātēs.</w:t>
      </w:r>
    </w:p>
    <w:p w14:paraId="74380998" w14:textId="0696B1F3" w:rsidR="004D1347" w:rsidRPr="00D829F0" w:rsidRDefault="004D1347" w:rsidP="000816FF">
      <w:pPr>
        <w:spacing w:after="120"/>
        <w:jc w:val="both"/>
        <w:rPr>
          <w:rFonts w:ascii="Source Sans Pro" w:hAnsi="Source Sans Pro"/>
          <w:szCs w:val="20"/>
        </w:rPr>
      </w:pPr>
      <w:r w:rsidRPr="00D829F0">
        <w:rPr>
          <w:rFonts w:ascii="Source Sans Pro" w:hAnsi="Source Sans Pro"/>
          <w:szCs w:val="20"/>
        </w:rPr>
        <w:t>Ilgtermiņā disproporcijas atsevišķās vidējās kvalifikācijas profesijās var padziļināties. Saglabājoties līdzšinējai darbaspēka sagatavošanas struktūrai un apjomam, piedāvājums būs mazāks nekā pieprasījums kvalificētu strādnieku un amatnieku, iekārtu un mašīnu operatoru, kā arī atsevišķās kvalificētu lauksaimniecības, mežsaimniecības un zivsaimniecības darbinieku profesijās. To noteiks gan augsts nodarbināto īpatsvars pirmspensijas vecumā, gan salīdzinoši neliels jaunpienācēju skaits no izglītības sistēmas.</w:t>
      </w:r>
    </w:p>
    <w:p w14:paraId="2C681236" w14:textId="1AAEFD13" w:rsidR="00B018CB" w:rsidRPr="00D829F0" w:rsidRDefault="005F3312">
      <w:pPr>
        <w:spacing w:after="0"/>
        <w:rPr>
          <w:rFonts w:ascii="Source Sans Pro" w:hAnsi="Source Sans Pro"/>
          <w:szCs w:val="20"/>
        </w:rPr>
      </w:pPr>
      <w:r>
        <w:rPr>
          <w:rFonts w:ascii="Source Sans Pro" w:hAnsi="Source Sans Pro"/>
          <w:szCs w:val="20"/>
        </w:rPr>
        <w:br w:type="page"/>
      </w:r>
    </w:p>
    <w:p w14:paraId="3FE644D0" w14:textId="10490285" w:rsidR="00941DB6" w:rsidRPr="00D829F0" w:rsidRDefault="00941DB6" w:rsidP="00941DB6">
      <w:pPr>
        <w:spacing w:after="120"/>
        <w:jc w:val="right"/>
        <w:rPr>
          <w:rFonts w:ascii="Source Sans Pro" w:hAnsi="Source Sans Pro"/>
          <w:szCs w:val="26"/>
        </w:rPr>
      </w:pPr>
      <w:r w:rsidRPr="00D829F0">
        <w:rPr>
          <w:rFonts w:ascii="Source Sans Pro" w:hAnsi="Source Sans Pro"/>
          <w:szCs w:val="26"/>
        </w:rPr>
        <w:lastRenderedPageBreak/>
        <w:t>3.</w:t>
      </w:r>
      <w:r w:rsidR="002C39ED">
        <w:rPr>
          <w:rFonts w:ascii="Source Sans Pro" w:hAnsi="Source Sans Pro"/>
          <w:szCs w:val="26"/>
        </w:rPr>
        <w:t>20</w:t>
      </w:r>
      <w:r w:rsidRPr="00D829F0">
        <w:rPr>
          <w:rFonts w:ascii="Source Sans Pro" w:hAnsi="Source Sans Pro"/>
          <w:szCs w:val="26"/>
        </w:rPr>
        <w:t>.</w:t>
      </w:r>
      <w:r w:rsidR="00D7223F">
        <w:rPr>
          <w:rFonts w:ascii="Source Sans Pro" w:hAnsi="Source Sans Pro"/>
          <w:szCs w:val="26"/>
        </w:rPr>
        <w:t> </w:t>
      </w:r>
      <w:r w:rsidRPr="00D829F0">
        <w:rPr>
          <w:rFonts w:ascii="Source Sans Pro" w:hAnsi="Source Sans Pro"/>
          <w:szCs w:val="26"/>
        </w:rPr>
        <w:t>attēls</w:t>
      </w:r>
    </w:p>
    <w:p w14:paraId="7FEAA983" w14:textId="77777777" w:rsidR="00941DB6" w:rsidRPr="003F25F9" w:rsidRDefault="00941DB6" w:rsidP="000816FF">
      <w:pPr>
        <w:spacing w:after="120"/>
        <w:jc w:val="center"/>
        <w:rPr>
          <w:rFonts w:ascii="Segoe UI Light" w:hAnsi="Segoe UI Light"/>
          <w:i/>
          <w:sz w:val="16"/>
          <w:szCs w:val="26"/>
        </w:rPr>
      </w:pPr>
      <w:r w:rsidRPr="003F25F9">
        <w:rPr>
          <w:rFonts w:ascii="Segoe UI Light" w:hAnsi="Segoe UI Light"/>
          <w:b/>
          <w:sz w:val="18"/>
          <w:szCs w:val="26"/>
        </w:rPr>
        <w:t>Darbaspēka pieprasījuma un piedāvājuma attiecība pa profesiju grupām</w:t>
      </w:r>
      <w:r w:rsidRPr="003F25F9">
        <w:rPr>
          <w:rFonts w:ascii="Segoe UI Light" w:hAnsi="Segoe UI Light"/>
          <w:b/>
          <w:sz w:val="18"/>
          <w:szCs w:val="26"/>
        </w:rPr>
        <w:br/>
      </w:r>
      <w:r w:rsidRPr="003F25F9">
        <w:rPr>
          <w:rFonts w:ascii="Segoe UI Light" w:hAnsi="Segoe UI Light"/>
          <w:i/>
          <w:sz w:val="16"/>
          <w:szCs w:val="26"/>
          <w:u w:val="single"/>
        </w:rPr>
        <w:t>2030. gads,</w:t>
      </w:r>
      <w:r w:rsidRPr="003F25F9">
        <w:rPr>
          <w:rFonts w:ascii="Segoe UI Light" w:hAnsi="Segoe UI Light"/>
          <w:i/>
          <w:sz w:val="16"/>
          <w:szCs w:val="26"/>
        </w:rPr>
        <w:t xml:space="preserve"> pieprasījums pret piedāvājumu, procentos</w:t>
      </w:r>
    </w:p>
    <w:p w14:paraId="68761181" w14:textId="77777777" w:rsidR="00941DB6" w:rsidRPr="003F25F9" w:rsidRDefault="00941DB6" w:rsidP="000816FF">
      <w:pPr>
        <w:spacing w:after="120"/>
        <w:jc w:val="both"/>
        <w:rPr>
          <w:rFonts w:ascii="Segoe UI Light" w:hAnsi="Segoe UI Light"/>
        </w:rPr>
      </w:pPr>
      <w:r w:rsidRPr="003F25F9">
        <w:rPr>
          <w:rFonts w:ascii="Segoe UI Light" w:hAnsi="Segoe UI Light"/>
          <w:bCs/>
          <w:iCs/>
          <w:noProof/>
          <w:sz w:val="18"/>
          <w:szCs w:val="26"/>
          <w:lang w:eastAsia="lv-LV"/>
        </w:rPr>
        <w:drawing>
          <wp:inline distT="0" distB="0" distL="0" distR="0" wp14:anchorId="01355F8C" wp14:editId="00E48417">
            <wp:extent cx="5760085" cy="1440000"/>
            <wp:effectExtent l="0" t="0" r="0" b="8255"/>
            <wp:docPr id="264" name="Chart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41DB6" w:rsidRPr="00D829F0" w14:paraId="43EF0E13" w14:textId="77777777">
        <w:trPr>
          <w:cantSplit/>
          <w:trHeight w:val="2041"/>
          <w:jc w:val="right"/>
        </w:trPr>
        <w:tc>
          <w:tcPr>
            <w:tcW w:w="9071" w:type="dxa"/>
            <w:textDirection w:val="btLr"/>
          </w:tcPr>
          <w:p w14:paraId="148A7914" w14:textId="77777777" w:rsidR="00941DB6" w:rsidRPr="003F25F9" w:rsidRDefault="00941DB6" w:rsidP="000816FF">
            <w:pPr>
              <w:spacing w:before="720" w:after="120"/>
              <w:ind w:right="57"/>
              <w:jc w:val="right"/>
              <w:rPr>
                <w:rFonts w:ascii="Segoe UI Light" w:hAnsi="Segoe UI Light"/>
                <w:sz w:val="16"/>
                <w:szCs w:val="16"/>
              </w:rPr>
            </w:pPr>
            <w:r w:rsidRPr="003F25F9">
              <w:rPr>
                <w:rFonts w:ascii="Segoe UI Light" w:hAnsi="Segoe UI Light"/>
                <w:sz w:val="16"/>
                <w:szCs w:val="16"/>
              </w:rPr>
              <w:t>Kopā</w:t>
            </w:r>
          </w:p>
          <w:p w14:paraId="1F53A75E" w14:textId="77777777" w:rsidR="00941DB6" w:rsidRPr="003F25F9" w:rsidRDefault="00941DB6" w:rsidP="000816FF">
            <w:pPr>
              <w:spacing w:before="620" w:after="120"/>
              <w:ind w:right="57"/>
              <w:jc w:val="right"/>
              <w:rPr>
                <w:rFonts w:ascii="Segoe UI Light" w:hAnsi="Segoe UI Light"/>
                <w:sz w:val="16"/>
                <w:szCs w:val="16"/>
              </w:rPr>
            </w:pPr>
            <w:r w:rsidRPr="003F25F9">
              <w:rPr>
                <w:rFonts w:ascii="Segoe UI Light" w:hAnsi="Segoe UI Light"/>
                <w:sz w:val="16"/>
                <w:szCs w:val="16"/>
              </w:rPr>
              <w:t>Vadītāji</w:t>
            </w:r>
          </w:p>
          <w:p w14:paraId="67489657" w14:textId="77777777" w:rsidR="00941DB6" w:rsidRPr="003F25F9" w:rsidRDefault="00941DB6" w:rsidP="000816FF">
            <w:pPr>
              <w:spacing w:before="620" w:after="120"/>
              <w:ind w:right="57"/>
              <w:jc w:val="right"/>
              <w:rPr>
                <w:rFonts w:ascii="Segoe UI Light" w:hAnsi="Segoe UI Light"/>
                <w:sz w:val="16"/>
                <w:szCs w:val="16"/>
              </w:rPr>
            </w:pPr>
            <w:r w:rsidRPr="003F25F9">
              <w:rPr>
                <w:rFonts w:ascii="Segoe UI Light" w:hAnsi="Segoe UI Light"/>
                <w:sz w:val="16"/>
                <w:szCs w:val="16"/>
              </w:rPr>
              <w:t>Vecākie speciālisti</w:t>
            </w:r>
          </w:p>
          <w:p w14:paraId="66BC7599" w14:textId="77777777" w:rsidR="00941DB6" w:rsidRPr="003F25F9" w:rsidRDefault="00941DB6" w:rsidP="000816FF">
            <w:pPr>
              <w:spacing w:before="620" w:after="120"/>
              <w:ind w:right="57"/>
              <w:jc w:val="right"/>
              <w:rPr>
                <w:rFonts w:ascii="Segoe UI Light" w:hAnsi="Segoe UI Light"/>
                <w:sz w:val="16"/>
                <w:szCs w:val="16"/>
              </w:rPr>
            </w:pPr>
            <w:r w:rsidRPr="003F25F9">
              <w:rPr>
                <w:rFonts w:ascii="Segoe UI Light" w:hAnsi="Segoe UI Light"/>
                <w:sz w:val="16"/>
                <w:szCs w:val="16"/>
              </w:rPr>
              <w:t>Speciālisti</w:t>
            </w:r>
          </w:p>
          <w:p w14:paraId="66F8614C" w14:textId="77777777" w:rsidR="00941DB6" w:rsidRPr="003F25F9" w:rsidRDefault="00941DB6" w:rsidP="000816FF">
            <w:pPr>
              <w:spacing w:before="620" w:after="120"/>
              <w:ind w:right="57"/>
              <w:jc w:val="right"/>
              <w:rPr>
                <w:rFonts w:ascii="Segoe UI Light" w:hAnsi="Segoe UI Light"/>
                <w:sz w:val="16"/>
                <w:szCs w:val="16"/>
              </w:rPr>
            </w:pPr>
            <w:r w:rsidRPr="003F25F9">
              <w:rPr>
                <w:rFonts w:ascii="Segoe UI Light" w:hAnsi="Segoe UI Light"/>
                <w:sz w:val="16"/>
                <w:szCs w:val="16"/>
              </w:rPr>
              <w:t>Kalpotāji</w:t>
            </w:r>
          </w:p>
          <w:p w14:paraId="61B97DF8" w14:textId="77777777" w:rsidR="00941DB6" w:rsidRPr="003F25F9" w:rsidRDefault="00941DB6" w:rsidP="000816FF">
            <w:pPr>
              <w:spacing w:before="480" w:after="120"/>
              <w:ind w:right="57"/>
              <w:jc w:val="right"/>
              <w:rPr>
                <w:rFonts w:ascii="Segoe UI Light" w:hAnsi="Segoe UI Light"/>
                <w:sz w:val="16"/>
                <w:szCs w:val="16"/>
              </w:rPr>
            </w:pPr>
            <w:r w:rsidRPr="003F25F9">
              <w:rPr>
                <w:rFonts w:ascii="Segoe UI Light" w:hAnsi="Segoe UI Light"/>
                <w:sz w:val="16"/>
                <w:szCs w:val="16"/>
              </w:rPr>
              <w:t>Pakalpojumu un tirdzniecības darbinieki</w:t>
            </w:r>
          </w:p>
          <w:p w14:paraId="2422795F" w14:textId="77777777" w:rsidR="00941DB6" w:rsidRPr="003F25F9" w:rsidRDefault="00941DB6" w:rsidP="000816FF">
            <w:pPr>
              <w:spacing w:before="300" w:after="120"/>
              <w:ind w:right="57"/>
              <w:jc w:val="right"/>
              <w:rPr>
                <w:rFonts w:ascii="Segoe UI Light" w:hAnsi="Segoe UI Light"/>
                <w:sz w:val="16"/>
                <w:szCs w:val="16"/>
              </w:rPr>
            </w:pPr>
            <w:r w:rsidRPr="003F25F9">
              <w:rPr>
                <w:rFonts w:ascii="Segoe UI Light" w:hAnsi="Segoe UI Light"/>
                <w:sz w:val="16"/>
                <w:szCs w:val="16"/>
              </w:rPr>
              <w:t>Kvalificēti lauksaimniecības, mežsaimniecības un zivsaimniecības darbinieki</w:t>
            </w:r>
          </w:p>
          <w:p w14:paraId="59970907" w14:textId="77777777" w:rsidR="00941DB6" w:rsidRPr="003F25F9" w:rsidRDefault="00941DB6" w:rsidP="000816FF">
            <w:pPr>
              <w:spacing w:before="300" w:after="120"/>
              <w:ind w:right="57"/>
              <w:jc w:val="right"/>
              <w:rPr>
                <w:rFonts w:ascii="Segoe UI Light" w:hAnsi="Segoe UI Light"/>
                <w:sz w:val="16"/>
                <w:szCs w:val="16"/>
              </w:rPr>
            </w:pPr>
            <w:r w:rsidRPr="003F25F9">
              <w:rPr>
                <w:rFonts w:ascii="Segoe UI Light" w:hAnsi="Segoe UI Light"/>
                <w:sz w:val="16"/>
                <w:szCs w:val="16"/>
              </w:rPr>
              <w:t>Kvalificēti strādnieki un amatnieki</w:t>
            </w:r>
          </w:p>
          <w:p w14:paraId="12423161" w14:textId="77777777" w:rsidR="00941DB6" w:rsidRPr="003F25F9" w:rsidRDefault="00941DB6" w:rsidP="000816FF">
            <w:pPr>
              <w:spacing w:before="360" w:after="120"/>
              <w:ind w:right="57"/>
              <w:jc w:val="right"/>
              <w:rPr>
                <w:rFonts w:ascii="Segoe UI Light" w:hAnsi="Segoe UI Light"/>
                <w:sz w:val="16"/>
                <w:szCs w:val="16"/>
              </w:rPr>
            </w:pPr>
            <w:r w:rsidRPr="003F25F9">
              <w:rPr>
                <w:rFonts w:ascii="Segoe UI Light" w:hAnsi="Segoe UI Light"/>
                <w:sz w:val="16"/>
                <w:szCs w:val="16"/>
              </w:rPr>
              <w:t>Iekārtu un mašīnu operatori un izstrādājumu montieri</w:t>
            </w:r>
          </w:p>
          <w:p w14:paraId="106D15EE" w14:textId="77777777" w:rsidR="00941DB6" w:rsidRPr="003F25F9" w:rsidRDefault="00941DB6" w:rsidP="000816FF">
            <w:pPr>
              <w:spacing w:before="540" w:after="120"/>
              <w:ind w:right="57"/>
              <w:jc w:val="right"/>
              <w:rPr>
                <w:rFonts w:ascii="Segoe UI Light" w:hAnsi="Segoe UI Light"/>
                <w:sz w:val="16"/>
                <w:szCs w:val="16"/>
              </w:rPr>
            </w:pPr>
            <w:r w:rsidRPr="003F25F9">
              <w:rPr>
                <w:rFonts w:ascii="Segoe UI Light" w:hAnsi="Segoe UI Light"/>
                <w:sz w:val="16"/>
                <w:szCs w:val="16"/>
              </w:rPr>
              <w:t>Vienkāršās profesijas</w:t>
            </w:r>
          </w:p>
        </w:tc>
      </w:tr>
    </w:tbl>
    <w:p w14:paraId="44FBB4BC" w14:textId="77777777" w:rsidR="00941DB6" w:rsidRPr="00D829F0" w:rsidRDefault="00941DB6" w:rsidP="000816FF">
      <w:pPr>
        <w:spacing w:after="120"/>
        <w:jc w:val="center"/>
        <w:rPr>
          <w:rFonts w:ascii="Source Sans Pro" w:hAnsi="Source Sans Pro"/>
          <w:szCs w:val="26"/>
        </w:rPr>
      </w:pPr>
    </w:p>
    <w:p w14:paraId="0751753B" w14:textId="77777777" w:rsidR="00941DB6" w:rsidRPr="003F25F9" w:rsidRDefault="00941DB6" w:rsidP="000816FF">
      <w:pPr>
        <w:spacing w:after="120"/>
        <w:jc w:val="center"/>
        <w:rPr>
          <w:rFonts w:ascii="Segoe UI Light" w:hAnsi="Segoe UI Light"/>
          <w:i/>
          <w:sz w:val="16"/>
          <w:szCs w:val="26"/>
        </w:rPr>
      </w:pPr>
      <w:r w:rsidRPr="003F25F9">
        <w:rPr>
          <w:rFonts w:ascii="Segoe UI Light" w:hAnsi="Segoe UI Light"/>
          <w:b/>
          <w:sz w:val="18"/>
          <w:szCs w:val="26"/>
        </w:rPr>
        <w:t>Darbaspēka pieprasījuma un piedāvājuma attiecība pa profesiju grupām</w:t>
      </w:r>
      <w:r w:rsidRPr="003F25F9">
        <w:rPr>
          <w:rFonts w:ascii="Segoe UI Light" w:hAnsi="Segoe UI Light"/>
          <w:b/>
          <w:sz w:val="18"/>
          <w:szCs w:val="26"/>
        </w:rPr>
        <w:br/>
      </w:r>
      <w:r w:rsidRPr="003F25F9">
        <w:rPr>
          <w:rFonts w:ascii="Segoe UI Light" w:hAnsi="Segoe UI Light"/>
          <w:i/>
          <w:sz w:val="16"/>
          <w:szCs w:val="26"/>
          <w:u w:val="single"/>
        </w:rPr>
        <w:t>2040. gads</w:t>
      </w:r>
      <w:r w:rsidRPr="003F25F9">
        <w:rPr>
          <w:rFonts w:ascii="Segoe UI Light" w:hAnsi="Segoe UI Light"/>
          <w:i/>
          <w:sz w:val="16"/>
          <w:szCs w:val="26"/>
        </w:rPr>
        <w:t>, pieprasījums pret piedāvājumu, procentos</w:t>
      </w:r>
    </w:p>
    <w:p w14:paraId="5B0AFF3F" w14:textId="77777777" w:rsidR="00941DB6" w:rsidRPr="003F25F9" w:rsidRDefault="00941DB6" w:rsidP="000816FF">
      <w:pPr>
        <w:spacing w:after="120"/>
        <w:jc w:val="both"/>
        <w:rPr>
          <w:rFonts w:ascii="Segoe UI Light" w:hAnsi="Segoe UI Light"/>
        </w:rPr>
      </w:pPr>
      <w:r w:rsidRPr="003F25F9">
        <w:rPr>
          <w:rFonts w:ascii="Segoe UI Light" w:hAnsi="Segoe UI Light"/>
          <w:bCs/>
          <w:iCs/>
          <w:noProof/>
          <w:sz w:val="18"/>
          <w:szCs w:val="26"/>
          <w:lang w:eastAsia="lv-LV"/>
        </w:rPr>
        <w:drawing>
          <wp:inline distT="0" distB="0" distL="0" distR="0" wp14:anchorId="30F544C3" wp14:editId="70C02496">
            <wp:extent cx="5760085" cy="1440000"/>
            <wp:effectExtent l="0" t="0" r="0" b="8255"/>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41DB6" w:rsidRPr="00D829F0" w14:paraId="75812C30" w14:textId="77777777">
        <w:trPr>
          <w:cantSplit/>
          <w:trHeight w:val="2041"/>
          <w:jc w:val="right"/>
        </w:trPr>
        <w:tc>
          <w:tcPr>
            <w:tcW w:w="9071" w:type="dxa"/>
            <w:textDirection w:val="btLr"/>
          </w:tcPr>
          <w:p w14:paraId="4FEEF12C" w14:textId="77777777" w:rsidR="00941DB6" w:rsidRPr="003F25F9" w:rsidRDefault="00941DB6" w:rsidP="000816FF">
            <w:pPr>
              <w:spacing w:before="720" w:after="120"/>
              <w:ind w:right="57"/>
              <w:jc w:val="right"/>
              <w:rPr>
                <w:rFonts w:ascii="Segoe UI Light" w:hAnsi="Segoe UI Light"/>
                <w:sz w:val="16"/>
                <w:szCs w:val="16"/>
              </w:rPr>
            </w:pPr>
            <w:r w:rsidRPr="003F25F9">
              <w:rPr>
                <w:rFonts w:ascii="Segoe UI Light" w:hAnsi="Segoe UI Light"/>
                <w:sz w:val="16"/>
                <w:szCs w:val="16"/>
              </w:rPr>
              <w:t>Kopā</w:t>
            </w:r>
          </w:p>
          <w:p w14:paraId="1CA7044C" w14:textId="77777777" w:rsidR="00941DB6" w:rsidRPr="003F25F9" w:rsidRDefault="00941DB6" w:rsidP="000816FF">
            <w:pPr>
              <w:spacing w:before="620" w:after="120"/>
              <w:ind w:right="57"/>
              <w:jc w:val="right"/>
              <w:rPr>
                <w:rFonts w:ascii="Segoe UI Light" w:hAnsi="Segoe UI Light"/>
                <w:sz w:val="16"/>
                <w:szCs w:val="16"/>
              </w:rPr>
            </w:pPr>
            <w:r w:rsidRPr="003F25F9">
              <w:rPr>
                <w:rFonts w:ascii="Segoe UI Light" w:hAnsi="Segoe UI Light"/>
                <w:sz w:val="16"/>
                <w:szCs w:val="16"/>
              </w:rPr>
              <w:t>Vadītāji</w:t>
            </w:r>
          </w:p>
          <w:p w14:paraId="4E5C8CE2" w14:textId="77777777" w:rsidR="00941DB6" w:rsidRPr="003F25F9" w:rsidRDefault="00941DB6" w:rsidP="000816FF">
            <w:pPr>
              <w:spacing w:before="620" w:after="120"/>
              <w:ind w:right="57"/>
              <w:jc w:val="right"/>
              <w:rPr>
                <w:rFonts w:ascii="Segoe UI Light" w:hAnsi="Segoe UI Light"/>
                <w:sz w:val="16"/>
                <w:szCs w:val="16"/>
              </w:rPr>
            </w:pPr>
            <w:r w:rsidRPr="003F25F9">
              <w:rPr>
                <w:rFonts w:ascii="Segoe UI Light" w:hAnsi="Segoe UI Light"/>
                <w:sz w:val="16"/>
                <w:szCs w:val="16"/>
              </w:rPr>
              <w:t>Vecākie speciālisti</w:t>
            </w:r>
          </w:p>
          <w:p w14:paraId="4F95998F" w14:textId="77777777" w:rsidR="00941DB6" w:rsidRPr="003F25F9" w:rsidRDefault="00941DB6" w:rsidP="000816FF">
            <w:pPr>
              <w:spacing w:before="620" w:after="120"/>
              <w:ind w:right="57"/>
              <w:jc w:val="right"/>
              <w:rPr>
                <w:rFonts w:ascii="Segoe UI Light" w:hAnsi="Segoe UI Light"/>
                <w:sz w:val="16"/>
                <w:szCs w:val="16"/>
              </w:rPr>
            </w:pPr>
            <w:r w:rsidRPr="003F25F9">
              <w:rPr>
                <w:rFonts w:ascii="Segoe UI Light" w:hAnsi="Segoe UI Light"/>
                <w:sz w:val="16"/>
                <w:szCs w:val="16"/>
              </w:rPr>
              <w:t>Speciālisti</w:t>
            </w:r>
          </w:p>
          <w:p w14:paraId="3930EC86" w14:textId="77777777" w:rsidR="00941DB6" w:rsidRPr="003F25F9" w:rsidRDefault="00941DB6" w:rsidP="000816FF">
            <w:pPr>
              <w:spacing w:before="620" w:after="120"/>
              <w:ind w:right="57"/>
              <w:jc w:val="right"/>
              <w:rPr>
                <w:rFonts w:ascii="Segoe UI Light" w:hAnsi="Segoe UI Light"/>
                <w:sz w:val="16"/>
                <w:szCs w:val="16"/>
              </w:rPr>
            </w:pPr>
            <w:r w:rsidRPr="003F25F9">
              <w:rPr>
                <w:rFonts w:ascii="Segoe UI Light" w:hAnsi="Segoe UI Light"/>
                <w:sz w:val="16"/>
                <w:szCs w:val="16"/>
              </w:rPr>
              <w:t>Kalpotāji</w:t>
            </w:r>
          </w:p>
          <w:p w14:paraId="24EEA7E6" w14:textId="77777777" w:rsidR="00941DB6" w:rsidRPr="003F25F9" w:rsidRDefault="00941DB6" w:rsidP="000816FF">
            <w:pPr>
              <w:spacing w:before="480" w:after="120"/>
              <w:ind w:right="57"/>
              <w:jc w:val="right"/>
              <w:rPr>
                <w:rFonts w:ascii="Segoe UI Light" w:hAnsi="Segoe UI Light"/>
                <w:sz w:val="16"/>
                <w:szCs w:val="16"/>
              </w:rPr>
            </w:pPr>
            <w:r w:rsidRPr="003F25F9">
              <w:rPr>
                <w:rFonts w:ascii="Segoe UI Light" w:hAnsi="Segoe UI Light"/>
                <w:sz w:val="16"/>
                <w:szCs w:val="16"/>
              </w:rPr>
              <w:t>Pakalpojumu un tirdzniecības darbinieki</w:t>
            </w:r>
          </w:p>
          <w:p w14:paraId="72ABE683" w14:textId="77777777" w:rsidR="00941DB6" w:rsidRPr="003F25F9" w:rsidRDefault="00941DB6" w:rsidP="000816FF">
            <w:pPr>
              <w:spacing w:before="300" w:after="120"/>
              <w:ind w:right="57"/>
              <w:jc w:val="right"/>
              <w:rPr>
                <w:rFonts w:ascii="Segoe UI Light" w:hAnsi="Segoe UI Light"/>
                <w:sz w:val="16"/>
                <w:szCs w:val="16"/>
              </w:rPr>
            </w:pPr>
            <w:r w:rsidRPr="003F25F9">
              <w:rPr>
                <w:rFonts w:ascii="Segoe UI Light" w:hAnsi="Segoe UI Light"/>
                <w:sz w:val="16"/>
                <w:szCs w:val="16"/>
              </w:rPr>
              <w:t>Kvalificēti lauksaimniecības, mežsaimniecības un zivsaimniecības darbinieki</w:t>
            </w:r>
          </w:p>
          <w:p w14:paraId="47B72620" w14:textId="77777777" w:rsidR="00941DB6" w:rsidRPr="003F25F9" w:rsidRDefault="00941DB6" w:rsidP="000816FF">
            <w:pPr>
              <w:spacing w:before="300" w:after="120"/>
              <w:ind w:right="57"/>
              <w:jc w:val="right"/>
              <w:rPr>
                <w:rFonts w:ascii="Segoe UI Light" w:hAnsi="Segoe UI Light"/>
                <w:sz w:val="16"/>
                <w:szCs w:val="16"/>
              </w:rPr>
            </w:pPr>
            <w:r w:rsidRPr="003F25F9">
              <w:rPr>
                <w:rFonts w:ascii="Segoe UI Light" w:hAnsi="Segoe UI Light"/>
                <w:sz w:val="16"/>
                <w:szCs w:val="16"/>
              </w:rPr>
              <w:t>Kvalificēti strādnieki un amatnieki</w:t>
            </w:r>
          </w:p>
          <w:p w14:paraId="583E8140" w14:textId="77777777" w:rsidR="00941DB6" w:rsidRPr="003F25F9" w:rsidRDefault="00941DB6" w:rsidP="000816FF">
            <w:pPr>
              <w:spacing w:before="360" w:after="120"/>
              <w:ind w:right="57"/>
              <w:jc w:val="right"/>
              <w:rPr>
                <w:rFonts w:ascii="Segoe UI Light" w:hAnsi="Segoe UI Light"/>
                <w:sz w:val="16"/>
                <w:szCs w:val="16"/>
              </w:rPr>
            </w:pPr>
            <w:r w:rsidRPr="003F25F9">
              <w:rPr>
                <w:rFonts w:ascii="Segoe UI Light" w:hAnsi="Segoe UI Light"/>
                <w:sz w:val="16"/>
                <w:szCs w:val="16"/>
              </w:rPr>
              <w:t>Iekārtu un mašīnu operatori un izstrādājumu montieri</w:t>
            </w:r>
          </w:p>
          <w:p w14:paraId="70F1561B" w14:textId="77777777" w:rsidR="00941DB6" w:rsidRPr="003F25F9" w:rsidRDefault="00941DB6" w:rsidP="000816FF">
            <w:pPr>
              <w:spacing w:before="540" w:after="120"/>
              <w:ind w:right="57"/>
              <w:jc w:val="right"/>
              <w:rPr>
                <w:rFonts w:ascii="Segoe UI Light" w:hAnsi="Segoe UI Light"/>
                <w:sz w:val="16"/>
                <w:szCs w:val="16"/>
              </w:rPr>
            </w:pPr>
            <w:r w:rsidRPr="003F25F9">
              <w:rPr>
                <w:rFonts w:ascii="Segoe UI Light" w:hAnsi="Segoe UI Light"/>
                <w:sz w:val="16"/>
                <w:szCs w:val="16"/>
              </w:rPr>
              <w:t>Vienkāršās profesijas</w:t>
            </w:r>
          </w:p>
        </w:tc>
      </w:tr>
    </w:tbl>
    <w:p w14:paraId="77891A4E" w14:textId="77777777" w:rsidR="00941DB6" w:rsidRPr="00D829F0" w:rsidRDefault="00941DB6" w:rsidP="00941DB6">
      <w:pPr>
        <w:spacing w:before="120" w:after="120"/>
        <w:jc w:val="both"/>
        <w:rPr>
          <w:rFonts w:ascii="Source Sans Pro" w:hAnsi="Source Sans Pro" w:cs="Calibri Light"/>
          <w:sz w:val="16"/>
          <w:szCs w:val="14"/>
        </w:rPr>
      </w:pPr>
      <w:r w:rsidRPr="00D829F0">
        <w:rPr>
          <w:rFonts w:ascii="Source Sans Pro" w:hAnsi="Source Sans Pro" w:cs="Calibri Light"/>
          <w:sz w:val="16"/>
          <w:szCs w:val="14"/>
        </w:rPr>
        <w:t>Avots: EM prognozes</w:t>
      </w:r>
    </w:p>
    <w:p w14:paraId="6E1B29EF" w14:textId="77777777" w:rsidR="00B22578" w:rsidRPr="00D829F0" w:rsidRDefault="00B22578" w:rsidP="000816FF">
      <w:pPr>
        <w:spacing w:after="120"/>
        <w:jc w:val="both"/>
        <w:rPr>
          <w:rFonts w:ascii="Source Sans Pro" w:hAnsi="Source Sans Pro"/>
          <w:szCs w:val="20"/>
        </w:rPr>
      </w:pPr>
    </w:p>
    <w:p w14:paraId="45873491" w14:textId="77777777" w:rsidR="002E5A66" w:rsidRPr="00D829F0" w:rsidRDefault="002E5A66" w:rsidP="002E5A66">
      <w:pPr>
        <w:jc w:val="both"/>
        <w:rPr>
          <w:rFonts w:ascii="Source Sans Pro" w:hAnsi="Source Sans Pro"/>
          <w:szCs w:val="20"/>
        </w:rPr>
      </w:pPr>
      <w:r w:rsidRPr="00D829F0">
        <w:rPr>
          <w:rFonts w:ascii="Source Sans Pro" w:hAnsi="Source Sans Pro"/>
          <w:szCs w:val="20"/>
        </w:rPr>
        <w:t>Vienlaikus lielākais darbaspēka pārpalikums vidējās kvalifikācijas profesijās būs pakalpojumu un tirdzniecības darbinieku, klientu apkalpotāju, kā arī atsevišķās kalpotāju profesijās. Šajās profesijās liela daļa nodarbināto ir ar vidējo vispārējo izglītību, savukārt darba meklētāju skaits ar šādu izglītību saglabāsies salīdzinoši augsts. Turklāt daļā no šīm profesijām pieprasījumu ilgtermiņā var ierobežot automatizācija, pašapkalpošanās risinājumu attīstība un digitālo pakalpojumu izmantošanas pieaugums.</w:t>
      </w:r>
    </w:p>
    <w:p w14:paraId="3FEE94C3" w14:textId="4F115C28" w:rsidR="00490B57" w:rsidRPr="00D829F0" w:rsidRDefault="00941DB6" w:rsidP="00941DB6">
      <w:pPr>
        <w:jc w:val="both"/>
        <w:rPr>
          <w:rFonts w:ascii="Source Sans Pro" w:hAnsi="Source Sans Pro"/>
        </w:rPr>
      </w:pPr>
      <w:r w:rsidRPr="00D829F0">
        <w:rPr>
          <w:rFonts w:ascii="Source Sans Pro" w:hAnsi="Source Sans Pro"/>
          <w:szCs w:val="20"/>
        </w:rPr>
        <w:t xml:space="preserve">Sagaidāms, ka būtisks darbaspēka pārpalikums saglabāsies </w:t>
      </w:r>
      <w:r w:rsidR="002E5A66" w:rsidRPr="00D829F0">
        <w:rPr>
          <w:rFonts w:ascii="Source Sans Pro" w:hAnsi="Source Sans Pro"/>
          <w:szCs w:val="20"/>
        </w:rPr>
        <w:t xml:space="preserve">arī </w:t>
      </w:r>
      <w:r w:rsidRPr="00D829F0">
        <w:rPr>
          <w:rFonts w:ascii="Source Sans Pro" w:hAnsi="Source Sans Pro"/>
          <w:szCs w:val="20"/>
        </w:rPr>
        <w:t>vienkāršajās profesijās</w:t>
      </w:r>
      <w:r w:rsidR="002E5A66" w:rsidRPr="00D829F0">
        <w:rPr>
          <w:rFonts w:ascii="Source Sans Pro" w:hAnsi="Source Sans Pro"/>
          <w:szCs w:val="20"/>
        </w:rPr>
        <w:t xml:space="preserve">. To noteiks gan darbaspēka piedāvājums </w:t>
      </w:r>
      <w:r w:rsidRPr="00D829F0">
        <w:rPr>
          <w:rFonts w:ascii="Source Sans Pro" w:hAnsi="Source Sans Pro"/>
          <w:szCs w:val="20"/>
        </w:rPr>
        <w:t xml:space="preserve">ar pamatizglītību </w:t>
      </w:r>
      <w:r w:rsidR="002E5A66" w:rsidRPr="00D829F0">
        <w:rPr>
          <w:rFonts w:ascii="Source Sans Pro" w:hAnsi="Source Sans Pro"/>
          <w:szCs w:val="20"/>
        </w:rPr>
        <w:t>un vispārējo vidējo izglītību, gan pakāpenisks pieprasījuma samazinājums pēc zemākas kvalifikācijas darbaspēka.</w:t>
      </w:r>
      <w:r w:rsidRPr="00D829F0">
        <w:rPr>
          <w:rFonts w:ascii="Source Sans Pro" w:hAnsi="Source Sans Pro"/>
          <w:szCs w:val="20"/>
        </w:rPr>
        <w:t xml:space="preserve"> Jāņem vērā, ka vidējā un ilgtermiņā, līdz ar automatizācijas tendencēm, būtiskākais darbavietu samazinājums sagaidāms profesijās ar augstu manuālo un atkārtojamu darbu īpatsvaru.</w:t>
      </w:r>
      <w:r w:rsidR="00490B57" w:rsidRPr="00D829F0">
        <w:rPr>
          <w:rFonts w:ascii="Source Sans Pro" w:hAnsi="Source Sans Pro"/>
        </w:rPr>
        <w:br w:type="page"/>
      </w:r>
    </w:p>
    <w:p w14:paraId="1EBCC777" w14:textId="3B1036A3" w:rsidR="0077767D" w:rsidRPr="00D829F0" w:rsidRDefault="0077767D" w:rsidP="0077767D">
      <w:pPr>
        <w:pStyle w:val="BodyTextIndent2"/>
        <w:spacing w:line="240" w:lineRule="auto"/>
        <w:ind w:left="0"/>
        <w:jc w:val="both"/>
        <w:rPr>
          <w:rFonts w:ascii="Source Sans Pro" w:hAnsi="Source Sans Pro"/>
          <w:sz w:val="20"/>
          <w:szCs w:val="20"/>
        </w:rPr>
      </w:pPr>
      <w:bookmarkStart w:id="67" w:name="_Toc517876445"/>
      <w:r w:rsidRPr="00D829F0">
        <w:rPr>
          <w:rFonts w:ascii="Source Sans Pro" w:hAnsi="Source Sans Pro"/>
          <w:noProof/>
          <w:sz w:val="20"/>
          <w:szCs w:val="20"/>
        </w:rPr>
        <w:lastRenderedPageBreak/>
        <w:drawing>
          <wp:anchor distT="0" distB="0" distL="114300" distR="114300" simplePos="0" relativeHeight="251658412" behindDoc="1" locked="0" layoutInCell="1" allowOverlap="1" wp14:anchorId="50504558" wp14:editId="78E6EA0A">
            <wp:simplePos x="0" y="0"/>
            <wp:positionH relativeFrom="page">
              <wp:posOffset>0</wp:posOffset>
            </wp:positionH>
            <wp:positionV relativeFrom="page">
              <wp:posOffset>1</wp:posOffset>
            </wp:positionV>
            <wp:extent cx="7559675" cy="4203510"/>
            <wp:effectExtent l="0" t="0" r="3175" b="6985"/>
            <wp:wrapNone/>
            <wp:docPr id="1401" name="Picture 1401" descr="Back view of a student with a backpack pushing a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Picture 1401" descr="Back view of a student with a backpack pushing a bike"/>
                    <pic:cNvPicPr/>
                  </pic:nvPicPr>
                  <pic:blipFill rotWithShape="1">
                    <a:blip r:embed="rId210" cstate="print">
                      <a:duotone>
                        <a:schemeClr val="accent5">
                          <a:shade val="45000"/>
                          <a:satMod val="135000"/>
                        </a:schemeClr>
                        <a:prstClr val="white"/>
                      </a:duotone>
                      <a:extLst>
                        <a:ext uri="{28A0092B-C50C-407E-A947-70E740481C1C}">
                          <a14:useLocalDpi xmlns:a14="http://schemas.microsoft.com/office/drawing/2010/main" val="0"/>
                        </a:ext>
                      </a:extLst>
                    </a:blip>
                    <a:srcRect b="16593"/>
                    <a:stretch/>
                  </pic:blipFill>
                  <pic:spPr bwMode="auto">
                    <a:xfrm>
                      <a:off x="0" y="0"/>
                      <a:ext cx="7560000" cy="42036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3CE4A4"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7A1C3B32"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62B85A51"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556DB808"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6D39E63E"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6142C278"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592B6FCD"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726CEF20"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581E8ECB"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2758D871"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16742099"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0013543E"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00938D05"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379598AA"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010E7A76"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403D8FC3" w14:textId="77777777" w:rsidR="00CD3284" w:rsidRPr="00D829F0" w:rsidRDefault="00CD3284" w:rsidP="0077767D">
      <w:pPr>
        <w:pStyle w:val="BodyTextIndent2"/>
        <w:spacing w:line="240" w:lineRule="auto"/>
        <w:ind w:left="0"/>
        <w:jc w:val="both"/>
        <w:rPr>
          <w:rFonts w:ascii="Source Sans Pro" w:hAnsi="Source Sans Pro"/>
          <w:sz w:val="20"/>
          <w:szCs w:val="20"/>
        </w:rPr>
      </w:pPr>
    </w:p>
    <w:p w14:paraId="4C9C0F07" w14:textId="77777777" w:rsidR="00CD3284" w:rsidRPr="00D829F0" w:rsidRDefault="00CD3284" w:rsidP="0077767D">
      <w:pPr>
        <w:pStyle w:val="BodyTextIndent2"/>
        <w:spacing w:line="240" w:lineRule="auto"/>
        <w:ind w:left="0"/>
        <w:jc w:val="both"/>
        <w:rPr>
          <w:rFonts w:ascii="Source Sans Pro" w:hAnsi="Source Sans Pro"/>
          <w:sz w:val="20"/>
          <w:szCs w:val="20"/>
        </w:rPr>
      </w:pPr>
    </w:p>
    <w:p w14:paraId="237CAE20" w14:textId="77777777" w:rsidR="0077767D" w:rsidRPr="00D829F0" w:rsidRDefault="0077767D" w:rsidP="0077767D">
      <w:pPr>
        <w:pStyle w:val="BodyTextIndent2"/>
        <w:spacing w:line="240" w:lineRule="auto"/>
        <w:ind w:left="0"/>
        <w:jc w:val="both"/>
        <w:rPr>
          <w:rFonts w:ascii="Source Sans Pro" w:hAnsi="Source Sans Pro"/>
          <w:sz w:val="20"/>
          <w:szCs w:val="20"/>
        </w:rPr>
      </w:pPr>
    </w:p>
    <w:p w14:paraId="3952D7EA" w14:textId="568D4CB5" w:rsidR="00F94B79" w:rsidRPr="00EF7F3C" w:rsidRDefault="005E42E4" w:rsidP="00080A71">
      <w:pPr>
        <w:pStyle w:val="Heading1"/>
      </w:pPr>
      <w:bookmarkStart w:id="68" w:name="_Toc106366814"/>
      <w:bookmarkStart w:id="69" w:name="_Toc1212335018"/>
      <w:bookmarkEnd w:id="67"/>
      <w:r>
        <w:t>4</w:t>
      </w:r>
      <w:r w:rsidR="00F94B79">
        <w:t>. KOPSAVILKUMS UN PRIEKŠLIKUMI</w:t>
      </w:r>
      <w:bookmarkEnd w:id="68"/>
      <w:bookmarkEnd w:id="69"/>
    </w:p>
    <w:p w14:paraId="75F68E2A" w14:textId="77777777" w:rsidR="0077767D" w:rsidRPr="00D829F0" w:rsidRDefault="0077767D">
      <w:pPr>
        <w:spacing w:after="0"/>
        <w:rPr>
          <w:rFonts w:ascii="Source Sans Pro" w:hAnsi="Source Sans Pro"/>
          <w:szCs w:val="28"/>
        </w:rPr>
      </w:pPr>
      <w:r w:rsidRPr="00D829F0">
        <w:rPr>
          <w:rFonts w:ascii="Source Sans Pro" w:hAnsi="Source Sans Pro"/>
          <w:szCs w:val="28"/>
        </w:rPr>
        <w:br w:type="page"/>
      </w:r>
    </w:p>
    <w:p w14:paraId="6EE540FD" w14:textId="77777777" w:rsidR="00A93628" w:rsidRPr="00983AF9" w:rsidRDefault="00A93628" w:rsidP="00A93628">
      <w:pPr>
        <w:pStyle w:val="BodyTextIndent2"/>
        <w:spacing w:line="240" w:lineRule="auto"/>
        <w:ind w:left="0"/>
        <w:jc w:val="both"/>
        <w:rPr>
          <w:rFonts w:ascii="Source Sans Pro" w:hAnsi="Source Sans Pro"/>
          <w:sz w:val="20"/>
          <w:szCs w:val="20"/>
        </w:rPr>
      </w:pPr>
    </w:p>
    <w:p w14:paraId="6BFB1D26" w14:textId="77777777" w:rsidR="00A93628" w:rsidRPr="00983AF9" w:rsidRDefault="00A93628" w:rsidP="00A93628">
      <w:pPr>
        <w:pStyle w:val="BodyTextIndent2"/>
        <w:spacing w:line="240" w:lineRule="auto"/>
        <w:ind w:left="0"/>
        <w:jc w:val="both"/>
        <w:rPr>
          <w:rFonts w:ascii="Source Sans Pro" w:hAnsi="Source Sans Pro"/>
          <w:sz w:val="20"/>
          <w:szCs w:val="20"/>
        </w:rPr>
      </w:pPr>
    </w:p>
    <w:p w14:paraId="1B9A22BC" w14:textId="3C8EBFEA" w:rsidR="00A93628" w:rsidRPr="00F458B3" w:rsidRDefault="00487A3E" w:rsidP="00393847">
      <w:pPr>
        <w:pBdr>
          <w:left w:val="single" w:sz="24" w:space="10" w:color="0E5A69"/>
        </w:pBdr>
        <w:spacing w:after="120"/>
        <w:jc w:val="both"/>
        <w:rPr>
          <w:rFonts w:ascii="Aptos Narrow" w:hAnsi="Aptos Narrow"/>
          <w:i/>
          <w:color w:val="0E5A69"/>
          <w:sz w:val="40"/>
          <w:szCs w:val="40"/>
        </w:rPr>
      </w:pPr>
      <w:r w:rsidRPr="005836DC">
        <w:rPr>
          <w:rFonts w:ascii="Aptos Narrow" w:hAnsi="Aptos Narrow"/>
          <w:i/>
          <w:color w:val="0E5A69"/>
          <w:sz w:val="40"/>
          <w:szCs w:val="40"/>
        </w:rPr>
        <w:t xml:space="preserve">Galvenās darba tirgus neatbilstības </w:t>
      </w:r>
      <w:r w:rsidR="005836DC">
        <w:rPr>
          <w:rFonts w:ascii="Aptos Narrow" w:hAnsi="Aptos Narrow"/>
          <w:i/>
          <w:iCs/>
          <w:color w:val="0E5A69"/>
          <w:sz w:val="40"/>
          <w:szCs w:val="40"/>
        </w:rPr>
        <w:t>–</w:t>
      </w:r>
      <w:r w:rsidRPr="005836DC">
        <w:rPr>
          <w:rFonts w:ascii="Aptos Narrow" w:hAnsi="Aptos Narrow"/>
          <w:i/>
          <w:color w:val="0E5A69"/>
          <w:sz w:val="40"/>
          <w:szCs w:val="40"/>
        </w:rPr>
        <w:t xml:space="preserve"> STEM un profesionālās vidējās izglītības speciālistu iztrūkums, zemas kvalifikācijas darbaspēka pārpalikums un pieaugošā demogrāfiskā slodze </w:t>
      </w:r>
      <w:r w:rsidR="005836DC">
        <w:rPr>
          <w:rFonts w:ascii="Aptos Narrow" w:hAnsi="Aptos Narrow"/>
          <w:i/>
          <w:iCs/>
          <w:color w:val="0E5A69"/>
          <w:sz w:val="40"/>
          <w:szCs w:val="40"/>
        </w:rPr>
        <w:t>–</w:t>
      </w:r>
      <w:r w:rsidRPr="005836DC">
        <w:rPr>
          <w:rFonts w:ascii="Aptos Narrow" w:hAnsi="Aptos Narrow"/>
          <w:i/>
          <w:color w:val="0E5A69"/>
          <w:sz w:val="40"/>
          <w:szCs w:val="40"/>
        </w:rPr>
        <w:t xml:space="preserve"> prasa mērķtiecīgu rīcību produktivitātes, prasmju un darbaspēka piesaistes jomā</w:t>
      </w:r>
    </w:p>
    <w:p w14:paraId="03333761" w14:textId="77777777" w:rsidR="00A93628" w:rsidRDefault="00A93628" w:rsidP="00A93628">
      <w:pPr>
        <w:pStyle w:val="BodyTextIndent2"/>
        <w:spacing w:line="240" w:lineRule="auto"/>
        <w:ind w:left="0"/>
        <w:jc w:val="both"/>
        <w:rPr>
          <w:rFonts w:ascii="Source Sans Pro" w:hAnsi="Source Sans Pro"/>
          <w:sz w:val="20"/>
          <w:szCs w:val="20"/>
        </w:rPr>
      </w:pPr>
    </w:p>
    <w:p w14:paraId="21C7287D" w14:textId="77777777" w:rsidR="007C6908" w:rsidRDefault="007C6908" w:rsidP="00A93628">
      <w:pPr>
        <w:pStyle w:val="BodyTextIndent2"/>
        <w:spacing w:line="240" w:lineRule="auto"/>
        <w:ind w:left="0"/>
        <w:jc w:val="both"/>
        <w:rPr>
          <w:rFonts w:ascii="Source Sans Pro" w:hAnsi="Source Sans Pro"/>
          <w:sz w:val="20"/>
          <w:szCs w:val="20"/>
        </w:rPr>
      </w:pPr>
    </w:p>
    <w:p w14:paraId="09E4C553" w14:textId="77777777" w:rsidR="007C6908" w:rsidRDefault="007C6908" w:rsidP="00A93628">
      <w:pPr>
        <w:pStyle w:val="BodyTextIndent2"/>
        <w:spacing w:line="240" w:lineRule="auto"/>
        <w:ind w:left="0"/>
        <w:jc w:val="both"/>
        <w:rPr>
          <w:rFonts w:ascii="Source Sans Pro" w:hAnsi="Source Sans Pro"/>
          <w:sz w:val="20"/>
          <w:szCs w:val="20"/>
        </w:rPr>
      </w:pPr>
    </w:p>
    <w:p w14:paraId="67F81CFB" w14:textId="77777777" w:rsidR="00A93628" w:rsidRPr="001644DC" w:rsidRDefault="00A93628" w:rsidP="00A93628">
      <w:pPr>
        <w:pStyle w:val="BodyTextIndent2"/>
        <w:spacing w:line="240" w:lineRule="auto"/>
        <w:ind w:left="0"/>
        <w:jc w:val="both"/>
        <w:rPr>
          <w:rFonts w:ascii="Source Sans Pro" w:hAnsi="Source Sans Pro"/>
          <w:sz w:val="20"/>
          <w:szCs w:val="20"/>
        </w:rPr>
      </w:pPr>
    </w:p>
    <w:p w14:paraId="3A320DB7" w14:textId="5BD9EF83" w:rsidR="00F94B79" w:rsidRPr="00D829F0" w:rsidRDefault="00C355AE" w:rsidP="005E5E57">
      <w:pPr>
        <w:pStyle w:val="EnvelopeReturn"/>
        <w:spacing w:after="120"/>
        <w:jc w:val="both"/>
        <w:rPr>
          <w:rFonts w:ascii="Source Sans Pro" w:eastAsia="Calibri" w:hAnsi="Source Sans Pro"/>
          <w:szCs w:val="28"/>
          <w:lang w:eastAsia="en-US"/>
        </w:rPr>
      </w:pPr>
      <w:r w:rsidRPr="00D829F0">
        <w:rPr>
          <w:rFonts w:ascii="Source Sans Pro" w:eastAsia="Calibri" w:hAnsi="Source Sans Pro"/>
          <w:szCs w:val="28"/>
          <w:lang w:eastAsia="en-US"/>
        </w:rPr>
        <w:t>EM</w:t>
      </w:r>
      <w:r w:rsidR="00F94B79" w:rsidRPr="00D829F0">
        <w:rPr>
          <w:rFonts w:ascii="Source Sans Pro" w:eastAsia="Calibri" w:hAnsi="Source Sans Pro"/>
          <w:szCs w:val="28"/>
          <w:lang w:eastAsia="en-US"/>
        </w:rPr>
        <w:t xml:space="preserve"> ir aktualizējusi vidēja un ilgtermiņa darba tirgus prognozes, aptverot nozaru nodarbinātības vajadzības profesiju un izglītības griezumā līdz 2040.</w:t>
      </w:r>
      <w:r w:rsidR="00393847">
        <w:rPr>
          <w:rFonts w:ascii="Source Sans Pro" w:eastAsia="Calibri" w:hAnsi="Source Sans Pro"/>
          <w:szCs w:val="28"/>
          <w:lang w:eastAsia="en-US"/>
        </w:rPr>
        <w:t> </w:t>
      </w:r>
      <w:r w:rsidR="00F94B79" w:rsidRPr="00D829F0">
        <w:rPr>
          <w:rFonts w:ascii="Source Sans Pro" w:eastAsia="Calibri" w:hAnsi="Source Sans Pro"/>
          <w:szCs w:val="28"/>
          <w:lang w:eastAsia="en-US"/>
        </w:rPr>
        <w:t xml:space="preserve">gadam. Prognozes izstrādātas, balstoties uz tautsaimniecības izaugsmes mērķa scenāriju un tam atbilstošām demogrāfijas prognozēm. Darba tirgus prognozēs ņemti vērā aktuālie globālās ekonomikas attīstības procesi, arī ģeopolitiskie izaicinājumi un </w:t>
      </w:r>
      <w:r w:rsidR="00605184" w:rsidRPr="00D829F0">
        <w:rPr>
          <w:rFonts w:ascii="Source Sans Pro" w:eastAsia="Calibri" w:hAnsi="Source Sans Pro"/>
          <w:szCs w:val="28"/>
          <w:lang w:eastAsia="en-US"/>
        </w:rPr>
        <w:t>MI</w:t>
      </w:r>
      <w:r w:rsidR="00F94B79" w:rsidRPr="00D829F0">
        <w:rPr>
          <w:rFonts w:ascii="Source Sans Pro" w:eastAsia="Calibri" w:hAnsi="Source Sans Pro"/>
          <w:szCs w:val="28"/>
          <w:lang w:eastAsia="en-US"/>
        </w:rPr>
        <w:t xml:space="preserve"> attīstības tendences.</w:t>
      </w:r>
    </w:p>
    <w:p w14:paraId="54FCA18A" w14:textId="51E27ECD" w:rsidR="005E5E57" w:rsidRPr="00D829F0" w:rsidRDefault="00F94B79" w:rsidP="005E5E57">
      <w:pPr>
        <w:pStyle w:val="EnvelopeReturn"/>
        <w:spacing w:after="120"/>
        <w:jc w:val="both"/>
        <w:rPr>
          <w:rFonts w:ascii="Source Sans Pro" w:eastAsia="Calibri" w:hAnsi="Source Sans Pro"/>
          <w:szCs w:val="28"/>
          <w:lang w:eastAsia="en-US"/>
        </w:rPr>
      </w:pPr>
      <w:r w:rsidRPr="00D829F0">
        <w:rPr>
          <w:rFonts w:ascii="Source Sans Pro" w:eastAsia="Calibri" w:hAnsi="Source Sans Pro"/>
          <w:szCs w:val="28"/>
          <w:lang w:eastAsia="en-US"/>
        </w:rPr>
        <w:t>EM Darba tirgus prognozes ir kvantitatīvā bāze tālākām diskusijām starp nodarbinātības, izglītības, struktūrpolitikas veidotājiem, sociālajiem partneriem, zinātniekiem u.c. iesaistītām pusēm, lai izkristalizētos rīcības virzieni, kas sekmētu sabalansētu darba tirgus attīstību.</w:t>
      </w:r>
    </w:p>
    <w:p w14:paraId="68CFE88E" w14:textId="77777777" w:rsidR="00370F38" w:rsidRPr="00D829F0" w:rsidRDefault="00370F38" w:rsidP="00370F38">
      <w:pPr>
        <w:pStyle w:val="EnvelopeReturn"/>
        <w:spacing w:after="120"/>
        <w:jc w:val="both"/>
        <w:rPr>
          <w:rFonts w:ascii="Source Sans Pro" w:eastAsia="Calibri" w:hAnsi="Source Sans Pro"/>
          <w:szCs w:val="28"/>
          <w:lang w:eastAsia="en-US"/>
        </w:rPr>
      </w:pPr>
    </w:p>
    <w:p w14:paraId="69C5CD9D" w14:textId="77777777" w:rsidR="007C6908" w:rsidRPr="00D829F0" w:rsidRDefault="007C6908" w:rsidP="00370F38">
      <w:pPr>
        <w:pStyle w:val="EnvelopeReturn"/>
        <w:spacing w:after="120"/>
        <w:jc w:val="both"/>
        <w:rPr>
          <w:rFonts w:ascii="Source Sans Pro" w:eastAsia="Calibri" w:hAnsi="Source Sans Pro"/>
          <w:szCs w:val="28"/>
          <w:lang w:eastAsia="en-US"/>
        </w:rPr>
      </w:pPr>
    </w:p>
    <w:p w14:paraId="65E0C620" w14:textId="33735131" w:rsidR="00F94B79" w:rsidRPr="00487A3E" w:rsidRDefault="005E5E57" w:rsidP="00F458B3">
      <w:pPr>
        <w:tabs>
          <w:tab w:val="left" w:pos="284"/>
        </w:tabs>
        <w:spacing w:after="120"/>
        <w:ind w:left="567" w:hanging="567"/>
        <w:jc w:val="both"/>
        <w:rPr>
          <w:rFonts w:ascii="Aptos Narrow" w:hAnsi="Aptos Narrow"/>
          <w:b/>
          <w:color w:val="003E4C"/>
          <w:sz w:val="28"/>
          <w:szCs w:val="28"/>
        </w:rPr>
      </w:pPr>
      <w:r w:rsidRPr="00487A3E">
        <w:rPr>
          <w:rFonts w:ascii="Aptos Narrow" w:hAnsi="Aptos Narrow"/>
          <w:b/>
          <w:color w:val="003E4C"/>
          <w:sz w:val="28"/>
          <w:szCs w:val="28"/>
        </w:rPr>
        <w:t>I</w:t>
      </w:r>
      <w:r w:rsidRPr="00487A3E">
        <w:rPr>
          <w:rFonts w:ascii="Aptos Narrow" w:hAnsi="Aptos Narrow"/>
          <w:b/>
          <w:color w:val="003E4C"/>
          <w:sz w:val="28"/>
          <w:szCs w:val="28"/>
        </w:rPr>
        <w:tab/>
      </w:r>
      <w:r w:rsidR="00F94B79" w:rsidRPr="00487A3E">
        <w:rPr>
          <w:rFonts w:ascii="Aptos Narrow" w:hAnsi="Aptos Narrow"/>
          <w:b/>
          <w:color w:val="003E4C"/>
          <w:sz w:val="28"/>
          <w:szCs w:val="28"/>
        </w:rPr>
        <w:t>PROGNOŽU MAKROEKONOMISKAIS IETVARS UN PIEŅĒMUMI</w:t>
      </w:r>
    </w:p>
    <w:p w14:paraId="7B1DB999" w14:textId="640F946C" w:rsidR="00F94B79" w:rsidRPr="00D829F0" w:rsidRDefault="00F94B79" w:rsidP="005E5E57">
      <w:pPr>
        <w:pStyle w:val="EnvelopeReturn"/>
        <w:spacing w:after="120"/>
        <w:jc w:val="both"/>
        <w:rPr>
          <w:rFonts w:ascii="Source Sans Pro" w:eastAsia="Calibri" w:hAnsi="Source Sans Pro"/>
          <w:lang w:eastAsia="en-US"/>
        </w:rPr>
      </w:pPr>
      <w:r w:rsidRPr="003C687C">
        <w:rPr>
          <w:rFonts w:ascii="Source Sans Pro" w:eastAsia="Calibri" w:hAnsi="Source Sans Pro"/>
          <w:color w:val="000000"/>
          <w:lang w:eastAsia="en-US"/>
        </w:rPr>
        <w:t xml:space="preserve">Darba tirgus prognozes balstās uz EM izstrādāto tautsaimniecības izaugsmes Mērķa scenāriju un tam atbilstošo makroekonomisko prognozi. Lai arī ģeopolitiskā situācija reģionā negatīvi ietekmē ekonomiku, tomēr tautsaimniecības attīstības ilgtermiņa mērķi, kas jau ir noteikti politikas plānošanas dokumentos, kā nepieciešamība palielināt Latvijas preču un pakalpojumu eksportu un produktivitāti, nemainās. Tāpat </w:t>
      </w:r>
      <w:r w:rsidR="002924FA">
        <w:rPr>
          <w:rFonts w:ascii="Source Sans Pro" w:eastAsia="Calibri" w:hAnsi="Source Sans Pro"/>
          <w:color w:val="000000"/>
          <w:lang w:eastAsia="en-US"/>
        </w:rPr>
        <w:t xml:space="preserve">nezaudē </w:t>
      </w:r>
      <w:r w:rsidRPr="003C687C">
        <w:rPr>
          <w:rFonts w:ascii="Source Sans Pro" w:eastAsia="Calibri" w:hAnsi="Source Sans Pro"/>
          <w:color w:val="000000"/>
          <w:lang w:eastAsia="en-US"/>
        </w:rPr>
        <w:t>aktu</w:t>
      </w:r>
      <w:r w:rsidR="002924FA">
        <w:rPr>
          <w:rFonts w:ascii="Source Sans Pro" w:eastAsia="Calibri" w:hAnsi="Source Sans Pro"/>
          <w:color w:val="000000"/>
          <w:lang w:eastAsia="en-US"/>
        </w:rPr>
        <w:t>alitāti</w:t>
      </w:r>
      <w:r w:rsidRPr="003C687C">
        <w:rPr>
          <w:rFonts w:ascii="Source Sans Pro" w:eastAsia="Calibri" w:hAnsi="Source Sans Pro"/>
          <w:color w:val="000000"/>
          <w:lang w:eastAsia="en-US"/>
        </w:rPr>
        <w:t xml:space="preserve"> arī ES uzsāktās iniciatīvas kā, piemēram, zaļais kurss un digitalizācija.</w:t>
      </w:r>
    </w:p>
    <w:p w14:paraId="3E662C13" w14:textId="7C06E101" w:rsidR="00F94B79" w:rsidRPr="00D829F0" w:rsidRDefault="00F94B79" w:rsidP="005E5E57">
      <w:pPr>
        <w:pStyle w:val="EnvelopeReturn"/>
        <w:spacing w:after="120"/>
        <w:jc w:val="both"/>
        <w:rPr>
          <w:rFonts w:ascii="Source Sans Pro" w:eastAsia="Calibri" w:hAnsi="Source Sans Pro"/>
          <w:lang w:eastAsia="en-US"/>
        </w:rPr>
      </w:pPr>
      <w:r w:rsidRPr="46BC649F">
        <w:rPr>
          <w:rFonts w:ascii="Source Sans Pro" w:eastAsia="Calibri" w:hAnsi="Source Sans Pro"/>
          <w:b/>
          <w:color w:val="000000" w:themeColor="text1"/>
          <w:lang w:eastAsia="en-US"/>
        </w:rPr>
        <w:t>Mērķa scenārijs izstrādāts atbilstoši EM Informatīvajā ziņojumā par Latvijas ekonomikas attīstību izvirzītam mērķim</w:t>
      </w:r>
      <w:r w:rsidR="003C687C" w:rsidRPr="46BC649F">
        <w:rPr>
          <w:rFonts w:ascii="Source Sans Pro" w:eastAsia="Calibri" w:hAnsi="Source Sans Pro"/>
          <w:b/>
          <w:color w:val="000000" w:themeColor="text1"/>
          <w:lang w:eastAsia="en-US"/>
        </w:rPr>
        <w:t xml:space="preserve"> –</w:t>
      </w:r>
      <w:r w:rsidRPr="46BC649F">
        <w:rPr>
          <w:rFonts w:ascii="Source Sans Pro" w:eastAsia="Calibri" w:hAnsi="Source Sans Pro"/>
          <w:b/>
          <w:color w:val="000000" w:themeColor="text1"/>
          <w:lang w:eastAsia="en-US"/>
        </w:rPr>
        <w:t xml:space="preserve"> līdz 2035.</w:t>
      </w:r>
      <w:r w:rsidR="002924FA">
        <w:rPr>
          <w:rFonts w:ascii="Source Sans Pro" w:eastAsia="Calibri" w:hAnsi="Source Sans Pro"/>
          <w:b/>
          <w:color w:val="000000" w:themeColor="text1"/>
          <w:lang w:eastAsia="en-US"/>
        </w:rPr>
        <w:t> </w:t>
      </w:r>
      <w:r w:rsidRPr="46BC649F">
        <w:rPr>
          <w:rFonts w:ascii="Source Sans Pro" w:eastAsia="Calibri" w:hAnsi="Source Sans Pro"/>
          <w:b/>
          <w:color w:val="000000" w:themeColor="text1"/>
          <w:lang w:eastAsia="en-US"/>
        </w:rPr>
        <w:t>gadam panākt, lai Latvijas IKP apjomi dubultotos</w:t>
      </w:r>
      <w:r w:rsidR="003C687C" w:rsidRPr="46BC649F">
        <w:rPr>
          <w:rFonts w:ascii="Source Sans Pro" w:eastAsia="Calibri" w:hAnsi="Source Sans Pro"/>
          <w:b/>
          <w:color w:val="000000" w:themeColor="text1"/>
          <w:lang w:eastAsia="en-US"/>
        </w:rPr>
        <w:t>.</w:t>
      </w:r>
      <w:r w:rsidRPr="46BC649F">
        <w:rPr>
          <w:rFonts w:ascii="Source Sans Pro" w:eastAsia="Calibri" w:hAnsi="Source Sans Pro"/>
          <w:b/>
          <w:color w:val="000000" w:themeColor="text1"/>
          <w:lang w:eastAsia="en-US"/>
        </w:rPr>
        <w:t xml:space="preserve"> Tāpat mērķa scenārijā ņemti vērā esošie struktūrpolitikas </w:t>
      </w:r>
      <w:r w:rsidR="003C687C" w:rsidRPr="46BC649F">
        <w:rPr>
          <w:rFonts w:ascii="Source Sans Pro" w:eastAsia="Calibri" w:hAnsi="Source Sans Pro"/>
          <w:b/>
          <w:color w:val="000000" w:themeColor="text1"/>
          <w:lang w:eastAsia="en-US"/>
        </w:rPr>
        <w:t>uzstādījumi</w:t>
      </w:r>
      <w:r w:rsidRPr="46BC649F">
        <w:rPr>
          <w:rFonts w:ascii="Source Sans Pro" w:eastAsia="Calibri" w:hAnsi="Source Sans Pro"/>
          <w:b/>
          <w:color w:val="000000" w:themeColor="text1"/>
          <w:lang w:eastAsia="en-US"/>
        </w:rPr>
        <w:t xml:space="preserve">, kas noteikti politikas dokumentos – Latvijas ilgtspējīgas attīstības </w:t>
      </w:r>
      <w:r w:rsidR="003C687C" w:rsidRPr="46BC649F">
        <w:rPr>
          <w:rFonts w:ascii="Source Sans Pro" w:eastAsia="Calibri" w:hAnsi="Source Sans Pro"/>
          <w:b/>
          <w:color w:val="000000" w:themeColor="text1"/>
          <w:lang w:eastAsia="en-US"/>
        </w:rPr>
        <w:t>stratēģijā</w:t>
      </w:r>
      <w:r w:rsidRPr="46BC649F">
        <w:rPr>
          <w:rFonts w:ascii="Source Sans Pro" w:eastAsia="Calibri" w:hAnsi="Source Sans Pro"/>
          <w:b/>
          <w:color w:val="000000" w:themeColor="text1"/>
          <w:lang w:eastAsia="en-US"/>
        </w:rPr>
        <w:t xml:space="preserve"> </w:t>
      </w:r>
      <w:r w:rsidR="76662641" w:rsidRPr="46BC649F">
        <w:rPr>
          <w:rFonts w:ascii="Source Sans Pro" w:eastAsia="Calibri" w:hAnsi="Source Sans Pro"/>
          <w:b/>
          <w:bCs/>
          <w:color w:val="000000" w:themeColor="text1"/>
          <w:lang w:eastAsia="en-US"/>
        </w:rPr>
        <w:t>“</w:t>
      </w:r>
      <w:r w:rsidRPr="46BC649F">
        <w:rPr>
          <w:rFonts w:ascii="Source Sans Pro" w:eastAsia="Calibri" w:hAnsi="Source Sans Pro"/>
          <w:b/>
          <w:color w:val="000000" w:themeColor="text1"/>
          <w:lang w:eastAsia="en-US"/>
        </w:rPr>
        <w:t xml:space="preserve">Latvija 2030”, Latvijas Nacionālajā attīstības plānā </w:t>
      </w:r>
      <w:r w:rsidR="003C687C" w:rsidRPr="46BC649F">
        <w:rPr>
          <w:rFonts w:ascii="Source Sans Pro" w:eastAsia="Calibri" w:hAnsi="Source Sans Pro"/>
          <w:b/>
          <w:color w:val="000000" w:themeColor="text1"/>
          <w:lang w:eastAsia="en-US"/>
        </w:rPr>
        <w:t>2021.-</w:t>
      </w:r>
      <w:r w:rsidRPr="46BC649F">
        <w:rPr>
          <w:rFonts w:ascii="Source Sans Pro" w:eastAsia="Calibri" w:hAnsi="Source Sans Pro"/>
          <w:b/>
          <w:color w:val="000000" w:themeColor="text1"/>
          <w:lang w:eastAsia="en-US"/>
        </w:rPr>
        <w:t>2027.</w:t>
      </w:r>
      <w:r w:rsidR="002924FA">
        <w:rPr>
          <w:rFonts w:ascii="Source Sans Pro" w:eastAsia="Calibri" w:hAnsi="Source Sans Pro"/>
          <w:b/>
          <w:color w:val="000000" w:themeColor="text1"/>
          <w:lang w:eastAsia="en-US"/>
        </w:rPr>
        <w:t> </w:t>
      </w:r>
      <w:r w:rsidRPr="46BC649F">
        <w:rPr>
          <w:rFonts w:ascii="Source Sans Pro" w:eastAsia="Calibri" w:hAnsi="Source Sans Pro"/>
          <w:b/>
          <w:color w:val="000000" w:themeColor="text1"/>
          <w:lang w:eastAsia="en-US"/>
        </w:rPr>
        <w:t xml:space="preserve">gadam, Nacionālās industriālās politikas pamatnostādnēs </w:t>
      </w:r>
      <w:r w:rsidR="003C687C" w:rsidRPr="46BC649F">
        <w:rPr>
          <w:rFonts w:ascii="Source Sans Pro" w:eastAsia="Calibri" w:hAnsi="Source Sans Pro"/>
          <w:b/>
          <w:color w:val="000000" w:themeColor="text1"/>
          <w:lang w:eastAsia="en-US"/>
        </w:rPr>
        <w:t>2021.-</w:t>
      </w:r>
      <w:r w:rsidRPr="46BC649F">
        <w:rPr>
          <w:rFonts w:ascii="Source Sans Pro" w:eastAsia="Calibri" w:hAnsi="Source Sans Pro"/>
          <w:b/>
          <w:color w:val="000000" w:themeColor="text1"/>
          <w:lang w:eastAsia="en-US"/>
        </w:rPr>
        <w:t>2027.</w:t>
      </w:r>
      <w:r w:rsidR="002924FA">
        <w:rPr>
          <w:rFonts w:ascii="Source Sans Pro" w:eastAsia="Calibri" w:hAnsi="Source Sans Pro"/>
          <w:b/>
          <w:color w:val="000000" w:themeColor="text1"/>
          <w:lang w:eastAsia="en-US"/>
        </w:rPr>
        <w:t> </w:t>
      </w:r>
      <w:r w:rsidRPr="46BC649F">
        <w:rPr>
          <w:rFonts w:ascii="Source Sans Pro" w:eastAsia="Calibri" w:hAnsi="Source Sans Pro"/>
          <w:b/>
          <w:color w:val="000000" w:themeColor="text1"/>
          <w:lang w:eastAsia="en-US"/>
        </w:rPr>
        <w:t>gadam.</w:t>
      </w:r>
    </w:p>
    <w:p w14:paraId="70B5BABA" w14:textId="16991F92" w:rsidR="00F94B79" w:rsidRPr="00D829F0" w:rsidRDefault="00F94B79" w:rsidP="005E5E57">
      <w:pPr>
        <w:pStyle w:val="EnvelopeReturn"/>
        <w:spacing w:after="120"/>
        <w:jc w:val="both"/>
        <w:rPr>
          <w:rFonts w:ascii="Source Sans Pro" w:eastAsia="Calibri" w:hAnsi="Source Sans Pro"/>
          <w:lang w:eastAsia="en-US"/>
        </w:rPr>
      </w:pPr>
      <w:r w:rsidRPr="003C687C">
        <w:rPr>
          <w:rFonts w:ascii="Source Sans Pro" w:eastAsia="Calibri" w:hAnsi="Source Sans Pro"/>
          <w:color w:val="000000"/>
          <w:lang w:eastAsia="en-US"/>
        </w:rPr>
        <w:t xml:space="preserve">Perioda no </w:t>
      </w:r>
      <w:r w:rsidR="003C687C" w:rsidRPr="003C687C">
        <w:rPr>
          <w:rFonts w:ascii="Source Sans Pro" w:eastAsia="Calibri" w:hAnsi="Source Sans Pro"/>
          <w:color w:val="000000"/>
          <w:lang w:eastAsia="en-US"/>
        </w:rPr>
        <w:t>2026.</w:t>
      </w:r>
      <w:r w:rsidRPr="003C687C">
        <w:rPr>
          <w:rFonts w:ascii="Source Sans Pro" w:eastAsia="Calibri" w:hAnsi="Source Sans Pro"/>
          <w:color w:val="000000"/>
          <w:lang w:eastAsia="en-US"/>
        </w:rPr>
        <w:t xml:space="preserve"> līdz 2030.</w:t>
      </w:r>
      <w:r w:rsidR="002924FA">
        <w:rPr>
          <w:rFonts w:ascii="Source Sans Pro" w:eastAsia="Calibri" w:hAnsi="Source Sans Pro"/>
          <w:color w:val="000000"/>
          <w:lang w:eastAsia="en-US"/>
        </w:rPr>
        <w:t> </w:t>
      </w:r>
      <w:r w:rsidRPr="003C687C">
        <w:rPr>
          <w:rFonts w:ascii="Source Sans Pro" w:eastAsia="Calibri" w:hAnsi="Source Sans Pro"/>
          <w:color w:val="000000"/>
          <w:lang w:eastAsia="en-US"/>
        </w:rPr>
        <w:t xml:space="preserve">gadam scenārijs paredz ekonomikas izaugsmi par vidēji </w:t>
      </w:r>
      <w:r w:rsidR="003C687C" w:rsidRPr="003C687C">
        <w:rPr>
          <w:rFonts w:ascii="Source Sans Pro" w:eastAsia="Calibri" w:hAnsi="Source Sans Pro"/>
          <w:color w:val="000000"/>
          <w:lang w:eastAsia="en-US"/>
        </w:rPr>
        <w:t>3,8</w:t>
      </w:r>
      <w:r w:rsidRPr="003C687C">
        <w:rPr>
          <w:rFonts w:ascii="Source Sans Pro" w:eastAsia="Calibri" w:hAnsi="Source Sans Pro"/>
          <w:color w:val="000000"/>
          <w:lang w:eastAsia="en-US"/>
        </w:rPr>
        <w:t xml:space="preserve">% gadā, bet periodā no 2031. </w:t>
      </w:r>
      <w:r w:rsidR="003C687C" w:rsidRPr="003C687C">
        <w:rPr>
          <w:rFonts w:ascii="Source Sans Pro" w:eastAsia="Calibri" w:hAnsi="Source Sans Pro"/>
          <w:color w:val="000000"/>
          <w:lang w:eastAsia="en-US"/>
        </w:rPr>
        <w:t>līdz</w:t>
      </w:r>
      <w:r w:rsidRPr="003C687C">
        <w:rPr>
          <w:rFonts w:ascii="Source Sans Pro" w:eastAsia="Calibri" w:hAnsi="Source Sans Pro"/>
          <w:color w:val="000000"/>
          <w:lang w:eastAsia="en-US"/>
        </w:rPr>
        <w:t xml:space="preserve"> 2040.</w:t>
      </w:r>
      <w:r w:rsidR="002924FA">
        <w:rPr>
          <w:rFonts w:ascii="Source Sans Pro" w:eastAsia="Calibri" w:hAnsi="Source Sans Pro"/>
          <w:color w:val="000000"/>
          <w:lang w:eastAsia="en-US"/>
        </w:rPr>
        <w:t> </w:t>
      </w:r>
      <w:r w:rsidRPr="003C687C">
        <w:rPr>
          <w:rFonts w:ascii="Source Sans Pro" w:eastAsia="Calibri" w:hAnsi="Source Sans Pro"/>
          <w:color w:val="000000"/>
          <w:lang w:eastAsia="en-US"/>
        </w:rPr>
        <w:t xml:space="preserve">gadam ikgadējie izaugsmes tempi būs vidēji </w:t>
      </w:r>
      <w:r w:rsidR="003C687C" w:rsidRPr="003C687C">
        <w:rPr>
          <w:rFonts w:ascii="Source Sans Pro" w:eastAsia="Calibri" w:hAnsi="Source Sans Pro"/>
          <w:color w:val="000000"/>
          <w:lang w:eastAsia="en-US"/>
        </w:rPr>
        <w:t>4,2</w:t>
      </w:r>
      <w:r w:rsidRPr="003C687C">
        <w:rPr>
          <w:rFonts w:ascii="Source Sans Pro" w:eastAsia="Calibri" w:hAnsi="Source Sans Pro"/>
          <w:color w:val="000000"/>
          <w:lang w:eastAsia="en-US"/>
        </w:rPr>
        <w:t>% gadā. Priekšnosacījumi izaugsmei gan vidējā, gan ilgtermiņā ir ekonomikas konkurētspējas priekšrocību balstīšana uz tehnoloģiskiem faktoriem, ražošanas efektivitāti, inovācijām, kā arī spējai pielāgoties un izmantot globālo pārmaiņu radītās iespējas.</w:t>
      </w:r>
    </w:p>
    <w:p w14:paraId="06C96C02" w14:textId="2D1CEC70" w:rsidR="00F94B79" w:rsidRPr="00D829F0" w:rsidRDefault="00F94B79" w:rsidP="00980F2E">
      <w:pPr>
        <w:spacing w:after="120"/>
        <w:jc w:val="both"/>
        <w:rPr>
          <w:rFonts w:ascii="Source Sans Pro" w:hAnsi="Source Sans Pro"/>
        </w:rPr>
      </w:pPr>
      <w:r w:rsidRPr="003C687C">
        <w:rPr>
          <w:rFonts w:ascii="Source Sans Pro" w:hAnsi="Source Sans Pro"/>
          <w:b/>
          <w:color w:val="000000"/>
        </w:rPr>
        <w:t>Vidējā termiņa ekonomikas izaugsmi turpinās ierobežot saspringtā ģeopolitiskā situācija, tomēr to kompensēs izaugsmes potenciāla palielināšanās ilgtermiņā.</w:t>
      </w:r>
      <w:r w:rsidRPr="003C687C">
        <w:rPr>
          <w:rFonts w:ascii="Source Sans Pro" w:hAnsi="Source Sans Pro"/>
          <w:color w:val="000000"/>
        </w:rPr>
        <w:t xml:space="preserve"> Līdz ar Krievijas iebrukumu Ukrainā būtiski ir mainījusies ģeopolitiskā situācija reģionā. </w:t>
      </w:r>
      <w:r w:rsidR="003C687C" w:rsidRPr="003C687C">
        <w:rPr>
          <w:rFonts w:ascii="Source Sans Pro" w:hAnsi="Source Sans Pro"/>
          <w:color w:val="000000"/>
        </w:rPr>
        <w:t xml:space="preserve">Tāpat globālo nenoteiktību ir palielinājis gan konflikts Tuvajos Austrumos, kas ir izraisījis energoresursu cenu kāpumu un traucējumus starptautiskajās piegāžu ķēdēs, gan arī ASV īstenotā importa tarifu pārskatīšana, kopumā vājinot globālās tirdzniecības apriti un bremzējot izaugsmi Latvijas eksporta tirgos. </w:t>
      </w:r>
      <w:r w:rsidRPr="003C687C">
        <w:rPr>
          <w:rFonts w:ascii="Source Sans Pro" w:hAnsi="Source Sans Pro"/>
          <w:color w:val="000000"/>
        </w:rPr>
        <w:t xml:space="preserve">Ņemot vērā Latvijas vēsturisko ekonomisko saišu sašaurināšanos ar Krieviju un Baltkrieviju, kā arī izaugsmes palēnināšanos galvenajos Latvijas eksporta tirgos, kopumā Latvijas ekonomika ir augusi lēnāk nekā iepriekš prognozēts. Jāņem vērā, ka saspringtā ģeopolitiskā situācija arī tuvākajos gados turpinās ierobežot Latvijas ekonomikas izaugsmi, tomēr ilgtermiņā, jauni un diversificēti izejmateriālu piegādes tirgi, valsts enerģētiskās neatkarības stiprināšana un pārorientēšanas no Krievijas uz </w:t>
      </w:r>
      <w:r w:rsidRPr="003C687C">
        <w:rPr>
          <w:rFonts w:ascii="Source Sans Pro" w:hAnsi="Source Sans Pro"/>
          <w:color w:val="000000"/>
        </w:rPr>
        <w:lastRenderedPageBreak/>
        <w:t xml:space="preserve">maksātspējīgākiem Rietumvalstu tirgiem, kopumā palielinās Latvijas ekonomikas izaugsmes potenciālu. Jāatzīmē, ka Latvijas ekonomika </w:t>
      </w:r>
      <w:r w:rsidR="003C687C" w:rsidRPr="003C687C">
        <w:rPr>
          <w:rFonts w:ascii="Source Sans Pro" w:hAnsi="Source Sans Pro"/>
          <w:color w:val="000000"/>
        </w:rPr>
        <w:t>iepriekšējos</w:t>
      </w:r>
      <w:r w:rsidRPr="003C687C">
        <w:rPr>
          <w:rFonts w:ascii="Source Sans Pro" w:hAnsi="Source Sans Pro"/>
          <w:color w:val="000000"/>
        </w:rPr>
        <w:t xml:space="preserve"> gados ir apliecinājusi stingru noturību pret ārējiem šokiem un kopumā ekonomisko saišu sašaurināšanās tiešā ietekme ir bijusi ierobežota. Tāpat Latvija ir spējusi pielāgoties mainīgiem apstākļiem ātrāk nekā iepriekš vērtēts, kas parāda mazas valsts priekšrocības labāk pielāgoties un izmantot jaunas ekonomikās iespējas.</w:t>
      </w:r>
    </w:p>
    <w:p w14:paraId="784134B5" w14:textId="30C23781" w:rsidR="00F94B79" w:rsidRPr="00D829F0" w:rsidRDefault="00F94B79" w:rsidP="005E5E57">
      <w:pPr>
        <w:spacing w:after="120"/>
        <w:jc w:val="both"/>
        <w:rPr>
          <w:rFonts w:ascii="Source Sans Pro" w:hAnsi="Source Sans Pro"/>
          <w:szCs w:val="20"/>
        </w:rPr>
      </w:pPr>
      <w:r w:rsidRPr="003C687C">
        <w:rPr>
          <w:rFonts w:ascii="Source Sans Pro" w:hAnsi="Source Sans Pro"/>
          <w:b/>
          <w:color w:val="000000"/>
          <w:szCs w:val="20"/>
        </w:rPr>
        <w:t>Straujākas ekonomiskās izaugsmes noteicošais priekšnosacījums ir produktivitātes līmeņa paaugstināšana.</w:t>
      </w:r>
      <w:r w:rsidRPr="003C687C">
        <w:rPr>
          <w:rFonts w:ascii="Source Sans Pro" w:hAnsi="Source Sans Pro"/>
          <w:color w:val="000000"/>
          <w:szCs w:val="20"/>
        </w:rPr>
        <w:t xml:space="preserve"> Sagaidāmo demogrāfijas tendenču dēļ ekonomiskās izaugsmes noteicošais priekšnosacījums ir produktivitātes līmeņa paaugstināšana. Viens no galvenajiem izaicinājumiem ir jauno konkurētspējas priekšrocību veidošana, kas ir saistīts ar investīcijām cilvēkkapitālā, tehnoloģijās, inovācijā, pētniecībā, digitalizācijā. Jaunu konkurētspējas priekšrocību veidošana ir svarīgs nosacījums eksporta noietu tirgus paplašināšanai un eksporta apjomu pieaugumam, kam ir jākļūst par galveno izaugsmes dzinuli. Latvijas konkurētspēju ārējos un iekšējos tirgos noteiks spēja mazināt produktivitātes plaisu ar tehnoloģiski attīstītajām valstīm. Produktivitātes paaugstināšanas pamatā ir ne tikai tehnoloģiskās novitātes, ražošanas procesa vadības pilnveidošana, bet arī esošo resursu pārdale augstākās pievienotās vērtības produktu ražošanai. </w:t>
      </w:r>
      <w:r w:rsidR="003C687C" w:rsidRPr="003C687C">
        <w:rPr>
          <w:rFonts w:ascii="Source Sans Pro" w:hAnsi="Source Sans Pro"/>
          <w:color w:val="000000"/>
          <w:szCs w:val="20"/>
        </w:rPr>
        <w:t xml:space="preserve">Vienlaikus arvien lielāku pozitīvu ieguldījumu produktivitātes kāpināšanā dos mākslīgā intelekta (MI) risinājumu plašāka ieviešana – MI balstīta procesu automatizācija ļauj efektivizēt gan ražošanas, gan pakalpojumu procesus, uzlabot darba organizāciju un klientu apkalpošanu, kā arī atbrīvot darbaspēku augstākas pievienotās vērtības uzdevumu veikšanai. </w:t>
      </w:r>
      <w:r w:rsidRPr="003C687C">
        <w:rPr>
          <w:rFonts w:ascii="Source Sans Pro" w:hAnsi="Source Sans Pro"/>
          <w:color w:val="000000"/>
          <w:szCs w:val="20"/>
        </w:rPr>
        <w:t xml:space="preserve">Vidējā un ilgtermiņā straujāka attīstība ir sagaidāma nozarēs, kas spēs palielināt produktivitāti, ko ietekmē tehnoloģiskās atpalicības pārvarēšana, ražošanas modernizēšana un investīcijas, ieguldījumi cilvēkkapitālā, pētniecībā un inovācijā. Darbaspēka produktivitātes pieaugums periodā no </w:t>
      </w:r>
      <w:r w:rsidR="003C687C" w:rsidRPr="003C687C">
        <w:rPr>
          <w:rFonts w:ascii="Source Sans Pro" w:hAnsi="Source Sans Pro"/>
          <w:color w:val="000000"/>
          <w:szCs w:val="20"/>
        </w:rPr>
        <w:t>2026.</w:t>
      </w:r>
      <w:r w:rsidRPr="003C687C">
        <w:rPr>
          <w:rFonts w:ascii="Source Sans Pro" w:hAnsi="Source Sans Pro"/>
          <w:color w:val="000000"/>
          <w:szCs w:val="20"/>
        </w:rPr>
        <w:t xml:space="preserve"> līdz 2030.</w:t>
      </w:r>
      <w:r w:rsidR="007B4F27">
        <w:rPr>
          <w:rFonts w:ascii="Source Sans Pro" w:hAnsi="Source Sans Pro"/>
          <w:color w:val="000000"/>
          <w:szCs w:val="20"/>
        </w:rPr>
        <w:t> </w:t>
      </w:r>
      <w:r w:rsidRPr="003C687C">
        <w:rPr>
          <w:rFonts w:ascii="Source Sans Pro" w:hAnsi="Source Sans Pro"/>
          <w:color w:val="000000"/>
          <w:szCs w:val="20"/>
        </w:rPr>
        <w:t>gadam varētu veidot vidēji aptuveni 3,</w:t>
      </w:r>
      <w:r w:rsidR="003C687C" w:rsidRPr="003C687C">
        <w:rPr>
          <w:rFonts w:ascii="Source Sans Pro" w:hAnsi="Source Sans Pro"/>
          <w:color w:val="000000"/>
          <w:szCs w:val="20"/>
        </w:rPr>
        <w:t>3</w:t>
      </w:r>
      <w:r w:rsidRPr="003C687C">
        <w:rPr>
          <w:rFonts w:ascii="Source Sans Pro" w:hAnsi="Source Sans Pro"/>
          <w:color w:val="000000"/>
          <w:szCs w:val="20"/>
        </w:rPr>
        <w:t xml:space="preserve">% gadā, kas ir </w:t>
      </w:r>
      <w:r w:rsidR="003C687C" w:rsidRPr="003C687C">
        <w:rPr>
          <w:rFonts w:ascii="Source Sans Pro" w:hAnsi="Source Sans Pro"/>
          <w:color w:val="000000"/>
          <w:szCs w:val="20"/>
        </w:rPr>
        <w:t>gandrīz</w:t>
      </w:r>
      <w:r w:rsidRPr="003C687C">
        <w:rPr>
          <w:rFonts w:ascii="Source Sans Pro" w:hAnsi="Source Sans Pro"/>
          <w:color w:val="000000"/>
          <w:szCs w:val="20"/>
        </w:rPr>
        <w:t xml:space="preserve"> 90% no ekonomikas izaugsmes atbilstošā periodā, bet no 2031. līdz 2040.</w:t>
      </w:r>
      <w:r w:rsidR="007B4F27">
        <w:rPr>
          <w:rFonts w:ascii="Source Sans Pro" w:hAnsi="Source Sans Pro"/>
          <w:color w:val="000000"/>
          <w:szCs w:val="20"/>
        </w:rPr>
        <w:t> </w:t>
      </w:r>
      <w:r w:rsidRPr="003C687C">
        <w:rPr>
          <w:rFonts w:ascii="Source Sans Pro" w:hAnsi="Source Sans Pro"/>
          <w:color w:val="000000"/>
          <w:szCs w:val="20"/>
        </w:rPr>
        <w:t>gadam ekonomikas izaugsme varētu būt pilnā apmērā balstīta uz produktivitātes pieaugumu</w:t>
      </w:r>
      <w:r w:rsidR="003C687C" w:rsidRPr="003C687C">
        <w:rPr>
          <w:rFonts w:ascii="Source Sans Pro" w:hAnsi="Source Sans Pro"/>
          <w:color w:val="000000"/>
          <w:szCs w:val="20"/>
        </w:rPr>
        <w:t xml:space="preserve"> un produktivitātes pieauguma tempi varētu sasniegt vidēji 4,4% gadā</w:t>
      </w:r>
      <w:r w:rsidRPr="003C687C">
        <w:rPr>
          <w:rFonts w:ascii="Source Sans Pro" w:hAnsi="Source Sans Pro"/>
          <w:color w:val="000000"/>
          <w:szCs w:val="20"/>
        </w:rPr>
        <w:t>.</w:t>
      </w:r>
    </w:p>
    <w:p w14:paraId="788FF57E" w14:textId="3CE28BAB" w:rsidR="00F94B79" w:rsidRPr="00D829F0" w:rsidRDefault="003C687C" w:rsidP="005E5E57">
      <w:pPr>
        <w:spacing w:after="120"/>
        <w:jc w:val="both"/>
        <w:rPr>
          <w:rFonts w:ascii="Source Sans Pro" w:hAnsi="Source Sans Pro"/>
          <w:szCs w:val="20"/>
        </w:rPr>
      </w:pPr>
      <w:r w:rsidRPr="003C687C">
        <w:rPr>
          <w:rFonts w:ascii="Source Sans Pro" w:hAnsi="Source Sans Pro"/>
          <w:b/>
          <w:color w:val="000000"/>
          <w:szCs w:val="20"/>
        </w:rPr>
        <w:t>Ilgtermiņā sagaidāma pakāpeniska migrācijas bilances uzlabošanās.</w:t>
      </w:r>
      <w:r w:rsidRPr="003C687C">
        <w:rPr>
          <w:rFonts w:ascii="Source Sans Pro" w:hAnsi="Source Sans Pro"/>
          <w:color w:val="000000"/>
          <w:szCs w:val="20"/>
        </w:rPr>
        <w:t xml:space="preserve"> Lai gan iedzīvotāju skaits Latvijā arī nākamajos gados turpinās sarukt, starptautiskās migrācijas plūsmas uz laiku palēnināja iedzīvotāju skaita lejupslīdes tempus – 2022.</w:t>
      </w:r>
      <w:r w:rsidR="007B4F27">
        <w:rPr>
          <w:rFonts w:ascii="Source Sans Pro" w:hAnsi="Source Sans Pro"/>
          <w:color w:val="000000"/>
          <w:szCs w:val="20"/>
        </w:rPr>
        <w:t> </w:t>
      </w:r>
      <w:r w:rsidRPr="003C687C">
        <w:rPr>
          <w:rFonts w:ascii="Source Sans Pro" w:hAnsi="Source Sans Pro"/>
          <w:color w:val="000000"/>
          <w:szCs w:val="20"/>
        </w:rPr>
        <w:t>gadā pirmo reizi kopš Latvijas neatkarības atgūšanas demogrāfijas bilancē bija vērojams pozitīvs migrācijas saldo, ko lielā mērā noteica arī Ukrainas kara bēgļu ieplūde. Tomēr šī ietekme bija īslaicīga – jau 2024.</w:t>
      </w:r>
      <w:r w:rsidR="007B4F27">
        <w:rPr>
          <w:rFonts w:ascii="Source Sans Pro" w:hAnsi="Source Sans Pro"/>
          <w:color w:val="000000"/>
          <w:szCs w:val="20"/>
        </w:rPr>
        <w:t> </w:t>
      </w:r>
      <w:r w:rsidRPr="003C687C">
        <w:rPr>
          <w:rFonts w:ascii="Source Sans Pro" w:hAnsi="Source Sans Pro"/>
          <w:color w:val="000000"/>
          <w:szCs w:val="20"/>
        </w:rPr>
        <w:t>gadā no Latvijas emigrējušo skaits atkal pārsniedza imigrējušo skaitu. Saskaņā ar EM demogrāfijas prognozēm periodā no 2026. līdz 2029.</w:t>
      </w:r>
      <w:r w:rsidR="007B4F27">
        <w:rPr>
          <w:rFonts w:ascii="Source Sans Pro" w:hAnsi="Source Sans Pro"/>
          <w:color w:val="000000"/>
          <w:szCs w:val="20"/>
        </w:rPr>
        <w:t> </w:t>
      </w:r>
      <w:r w:rsidRPr="003C687C">
        <w:rPr>
          <w:rFonts w:ascii="Source Sans Pro" w:hAnsi="Source Sans Pro"/>
          <w:color w:val="000000"/>
          <w:szCs w:val="20"/>
        </w:rPr>
        <w:t>gadam migrācijas saldo kopumā vēl saglabāsies negatīvs (aptuveni -2,3</w:t>
      </w:r>
      <w:r w:rsidR="007B4F27">
        <w:rPr>
          <w:rFonts w:ascii="Source Sans Pro" w:hAnsi="Source Sans Pro"/>
          <w:color w:val="000000"/>
          <w:szCs w:val="20"/>
        </w:rPr>
        <w:t> </w:t>
      </w:r>
      <w:r w:rsidRPr="003C687C">
        <w:rPr>
          <w:rFonts w:ascii="Source Sans Pro" w:hAnsi="Source Sans Pro"/>
          <w:color w:val="000000"/>
          <w:szCs w:val="20"/>
        </w:rPr>
        <w:t>tūkst.), pozitīvu migrācijas saldo sasniedzot ap 2029. gadu, bet noturīgi pozitīvu – ap 2032.</w:t>
      </w:r>
      <w:r w:rsidR="007B4F27">
        <w:rPr>
          <w:rFonts w:ascii="Source Sans Pro" w:hAnsi="Source Sans Pro"/>
          <w:color w:val="000000"/>
          <w:szCs w:val="20"/>
        </w:rPr>
        <w:t> </w:t>
      </w:r>
      <w:r w:rsidRPr="003C687C">
        <w:rPr>
          <w:rFonts w:ascii="Source Sans Pro" w:hAnsi="Source Sans Pro"/>
          <w:color w:val="000000"/>
          <w:szCs w:val="20"/>
        </w:rPr>
        <w:t>gadu. Kopumā periodā no 2030. līdz 2040.</w:t>
      </w:r>
      <w:r w:rsidR="007B4F27">
        <w:rPr>
          <w:rFonts w:ascii="Source Sans Pro" w:hAnsi="Source Sans Pro"/>
          <w:color w:val="000000"/>
          <w:szCs w:val="20"/>
        </w:rPr>
        <w:t> </w:t>
      </w:r>
      <w:r w:rsidRPr="003C687C">
        <w:rPr>
          <w:rFonts w:ascii="Source Sans Pro" w:hAnsi="Source Sans Pro"/>
          <w:color w:val="000000"/>
          <w:szCs w:val="20"/>
        </w:rPr>
        <w:t>gadam migrācijas saldo varētu veidot aptuveni +47,4</w:t>
      </w:r>
      <w:r w:rsidR="007B4F27">
        <w:rPr>
          <w:rFonts w:ascii="Source Sans Pro" w:hAnsi="Source Sans Pro"/>
          <w:color w:val="000000"/>
          <w:szCs w:val="20"/>
        </w:rPr>
        <w:t> </w:t>
      </w:r>
      <w:r w:rsidRPr="003C687C">
        <w:rPr>
          <w:rFonts w:ascii="Source Sans Pro" w:hAnsi="Source Sans Pro"/>
          <w:color w:val="000000"/>
          <w:szCs w:val="20"/>
        </w:rPr>
        <w:t>tūkst., kas līdztekus pakāpeniskai dabiskās pieauguma bilances uzlabošanai palēninās iedzīvotāju skaita samazināšanos ilgtermiņā.</w:t>
      </w:r>
    </w:p>
    <w:p w14:paraId="45C9D8C9" w14:textId="7DB6EDB2" w:rsidR="00F94B79" w:rsidRDefault="003C687C" w:rsidP="005E5E57">
      <w:pPr>
        <w:spacing w:after="120"/>
        <w:jc w:val="both"/>
        <w:rPr>
          <w:rFonts w:ascii="Source Sans Pro" w:hAnsi="Source Sans Pro"/>
          <w:color w:val="000000"/>
          <w:szCs w:val="20"/>
        </w:rPr>
      </w:pPr>
      <w:r w:rsidRPr="003C687C">
        <w:rPr>
          <w:rFonts w:ascii="Source Sans Pro" w:hAnsi="Source Sans Pro"/>
          <w:b/>
          <w:color w:val="000000"/>
          <w:szCs w:val="20"/>
        </w:rPr>
        <w:t>Iedzīvotāju</w:t>
      </w:r>
      <w:r w:rsidR="00F94B79" w:rsidRPr="003C687C">
        <w:rPr>
          <w:rFonts w:ascii="Source Sans Pro" w:hAnsi="Source Sans Pro"/>
          <w:b/>
          <w:color w:val="000000"/>
          <w:szCs w:val="20"/>
        </w:rPr>
        <w:t xml:space="preserve"> skaita </w:t>
      </w:r>
      <w:r w:rsidRPr="003C687C">
        <w:rPr>
          <w:rFonts w:ascii="Source Sans Pro" w:hAnsi="Source Sans Pro"/>
          <w:b/>
          <w:color w:val="000000"/>
          <w:szCs w:val="20"/>
        </w:rPr>
        <w:t>lejupslīde palēnināsies, tomēr</w:t>
      </w:r>
      <w:r w:rsidR="00F94B79" w:rsidRPr="003C687C">
        <w:rPr>
          <w:rFonts w:ascii="Source Sans Pro" w:hAnsi="Source Sans Pro"/>
          <w:b/>
          <w:color w:val="000000"/>
          <w:szCs w:val="20"/>
        </w:rPr>
        <w:t xml:space="preserve"> ilgtermiņā turpināsies sabiedrības novecošanās un samazināsies darbspējīgo iedzīvotāju skaits.</w:t>
      </w:r>
      <w:r w:rsidR="00F94B79" w:rsidRPr="003C687C">
        <w:rPr>
          <w:rFonts w:ascii="Source Sans Pro" w:hAnsi="Source Sans Pro"/>
          <w:color w:val="000000"/>
          <w:szCs w:val="20"/>
        </w:rPr>
        <w:t xml:space="preserve"> Sagaidāms, ka kopējais iedzīvotāju skaits Latvijā līdz 2040.</w:t>
      </w:r>
      <w:r w:rsidR="007B4F27">
        <w:rPr>
          <w:rFonts w:ascii="Source Sans Pro" w:hAnsi="Source Sans Pro"/>
          <w:color w:val="000000"/>
          <w:szCs w:val="20"/>
        </w:rPr>
        <w:t> </w:t>
      </w:r>
      <w:r w:rsidR="00F94B79" w:rsidRPr="003C687C">
        <w:rPr>
          <w:rFonts w:ascii="Source Sans Pro" w:hAnsi="Source Sans Pro"/>
          <w:color w:val="000000"/>
          <w:szCs w:val="20"/>
        </w:rPr>
        <w:t>gadam turpinās samazināties, vienlaikus iedzīvotāju skaita negatīvā dinamika palēnināsies, ko ietekmēs uzlabojumi gan iedzīvotāju starptautiskās migrācijas plūsmās, gan dabiskā pieauguma bilancē. Galvenais iedzīvotāju skaita samazināšanās iemesls gan vidējā, gan ilgtermiņā būs sabiedrības novecošanās tendences, līdz ar to negatīvā plaisa starp dzimstības un mirstības rādītājiem saglabāsies līdz pat 2040.gadam. Būtiskākais iedzīvotāju skaita samazinājums prognozējams starp iedzīvotājiem darbaspējas vecumā, līdz ar to demogrāfiskie procesi atstās jūtamu ietekmi uz darba tirgu. Saskaņā ar EM demogrāfijas prognozēm kopumā iedzīvotāju skaits Latvijā līdz 2040.</w:t>
      </w:r>
      <w:r w:rsidR="007B4F27">
        <w:rPr>
          <w:rFonts w:ascii="Source Sans Pro" w:hAnsi="Source Sans Pro"/>
          <w:color w:val="000000"/>
          <w:szCs w:val="20"/>
        </w:rPr>
        <w:t> </w:t>
      </w:r>
      <w:r w:rsidR="00F94B79" w:rsidRPr="003C687C">
        <w:rPr>
          <w:rFonts w:ascii="Source Sans Pro" w:hAnsi="Source Sans Pro"/>
          <w:color w:val="000000"/>
          <w:szCs w:val="20"/>
        </w:rPr>
        <w:t>gadam samazināsies līdz aptuveni 1,</w:t>
      </w:r>
      <w:r w:rsidRPr="003C687C">
        <w:rPr>
          <w:rFonts w:ascii="Source Sans Pro" w:hAnsi="Source Sans Pro"/>
          <w:color w:val="000000"/>
          <w:szCs w:val="20"/>
        </w:rPr>
        <w:t>75</w:t>
      </w:r>
      <w:r w:rsidR="007B4F27">
        <w:rPr>
          <w:rFonts w:ascii="Source Sans Pro" w:hAnsi="Source Sans Pro"/>
          <w:color w:val="000000"/>
          <w:szCs w:val="20"/>
        </w:rPr>
        <w:t> </w:t>
      </w:r>
      <w:r w:rsidR="00F94B79" w:rsidRPr="003C687C">
        <w:rPr>
          <w:rFonts w:ascii="Source Sans Pro" w:hAnsi="Source Sans Pro"/>
          <w:color w:val="000000"/>
          <w:szCs w:val="20"/>
        </w:rPr>
        <w:t xml:space="preserve">milj. jeb par gandrīz </w:t>
      </w:r>
      <w:r w:rsidRPr="003C687C">
        <w:rPr>
          <w:rFonts w:ascii="Source Sans Pro" w:hAnsi="Source Sans Pro"/>
          <w:color w:val="000000"/>
          <w:szCs w:val="20"/>
        </w:rPr>
        <w:t>95</w:t>
      </w:r>
      <w:r w:rsidR="007B4F27">
        <w:rPr>
          <w:rFonts w:ascii="Source Sans Pro" w:hAnsi="Source Sans Pro"/>
          <w:color w:val="000000"/>
          <w:szCs w:val="20"/>
        </w:rPr>
        <w:t> </w:t>
      </w:r>
      <w:r w:rsidR="00F94B79" w:rsidRPr="003C687C">
        <w:rPr>
          <w:rFonts w:ascii="Source Sans Pro" w:hAnsi="Source Sans Pro"/>
          <w:color w:val="000000"/>
          <w:szCs w:val="20"/>
        </w:rPr>
        <w:t>tūkst</w:t>
      </w:r>
      <w:r w:rsidRPr="003C687C">
        <w:rPr>
          <w:rFonts w:ascii="Source Sans Pro" w:hAnsi="Source Sans Pro"/>
          <w:color w:val="000000"/>
          <w:szCs w:val="20"/>
        </w:rPr>
        <w:t>. (-</w:t>
      </w:r>
      <w:r w:rsidR="0002288E">
        <w:rPr>
          <w:rFonts w:ascii="Source Sans Pro" w:hAnsi="Source Sans Pro"/>
          <w:color w:val="000000"/>
          <w:szCs w:val="20"/>
        </w:rPr>
        <w:t> </w:t>
      </w:r>
      <w:r w:rsidRPr="003C687C">
        <w:rPr>
          <w:rFonts w:ascii="Source Sans Pro" w:hAnsi="Source Sans Pro"/>
          <w:color w:val="000000"/>
          <w:szCs w:val="20"/>
        </w:rPr>
        <w:t>5,1%),</w:t>
      </w:r>
      <w:r w:rsidR="00F94B79" w:rsidRPr="003C687C">
        <w:rPr>
          <w:rFonts w:ascii="Source Sans Pro" w:hAnsi="Source Sans Pro"/>
          <w:color w:val="000000"/>
          <w:szCs w:val="20"/>
        </w:rPr>
        <w:t xml:space="preserve"> salīdzinot ar </w:t>
      </w:r>
      <w:r w:rsidRPr="003C687C">
        <w:rPr>
          <w:rFonts w:ascii="Source Sans Pro" w:hAnsi="Source Sans Pro"/>
          <w:color w:val="000000"/>
          <w:szCs w:val="20"/>
        </w:rPr>
        <w:t>2026.</w:t>
      </w:r>
      <w:r w:rsidR="007B4F27">
        <w:rPr>
          <w:rFonts w:ascii="Source Sans Pro" w:hAnsi="Source Sans Pro"/>
          <w:color w:val="000000"/>
          <w:szCs w:val="20"/>
        </w:rPr>
        <w:t> </w:t>
      </w:r>
      <w:r w:rsidRPr="003C687C">
        <w:rPr>
          <w:rFonts w:ascii="Source Sans Pro" w:hAnsi="Source Sans Pro"/>
          <w:color w:val="000000"/>
          <w:szCs w:val="20"/>
        </w:rPr>
        <w:t>gadu.</w:t>
      </w:r>
      <w:r w:rsidR="00F94B79" w:rsidRPr="003C687C">
        <w:rPr>
          <w:rFonts w:ascii="Source Sans Pro" w:hAnsi="Source Sans Pro"/>
          <w:color w:val="000000"/>
          <w:szCs w:val="20"/>
        </w:rPr>
        <w:t xml:space="preserve"> Vecuma grupā no 15 līdz 64 gadiem iedzīvotāju skaita samazinājums sagaidāms par </w:t>
      </w:r>
      <w:r w:rsidRPr="003C687C">
        <w:rPr>
          <w:rFonts w:ascii="Source Sans Pro" w:hAnsi="Source Sans Pro"/>
          <w:color w:val="000000"/>
          <w:szCs w:val="20"/>
        </w:rPr>
        <w:t>aptuveni 108</w:t>
      </w:r>
      <w:r w:rsidR="007B4F27">
        <w:rPr>
          <w:rFonts w:ascii="Source Sans Pro" w:hAnsi="Source Sans Pro"/>
          <w:color w:val="000000"/>
          <w:szCs w:val="20"/>
        </w:rPr>
        <w:t> </w:t>
      </w:r>
      <w:r w:rsidR="00F94B79" w:rsidRPr="003C687C">
        <w:rPr>
          <w:rFonts w:ascii="Source Sans Pro" w:hAnsi="Source Sans Pro"/>
          <w:color w:val="000000"/>
          <w:szCs w:val="20"/>
        </w:rPr>
        <w:t xml:space="preserve">tūkst. jeb </w:t>
      </w:r>
      <w:r w:rsidRPr="003C687C">
        <w:rPr>
          <w:rFonts w:ascii="Source Sans Pro" w:hAnsi="Source Sans Pro"/>
          <w:color w:val="000000"/>
          <w:szCs w:val="20"/>
        </w:rPr>
        <w:t>9,4%.</w:t>
      </w:r>
      <w:r w:rsidR="00F94B79" w:rsidRPr="003C687C">
        <w:rPr>
          <w:rFonts w:ascii="Source Sans Pro" w:hAnsi="Source Sans Pro"/>
          <w:color w:val="000000"/>
          <w:szCs w:val="20"/>
        </w:rPr>
        <w:t xml:space="preserve"> Tikmēr turpinās palielināties gados vecāku iedzīvotāju īpatsvars - iedzīvotāju skaits virs 64 gadiem līdz 2040.</w:t>
      </w:r>
      <w:r w:rsidR="007B4F27">
        <w:rPr>
          <w:rFonts w:ascii="Source Sans Pro" w:hAnsi="Source Sans Pro"/>
          <w:color w:val="000000"/>
          <w:szCs w:val="20"/>
        </w:rPr>
        <w:t> </w:t>
      </w:r>
      <w:r w:rsidR="00F94B79" w:rsidRPr="003C687C">
        <w:rPr>
          <w:rFonts w:ascii="Source Sans Pro" w:hAnsi="Source Sans Pro"/>
          <w:color w:val="000000"/>
          <w:szCs w:val="20"/>
        </w:rPr>
        <w:t xml:space="preserve">gadam palielināsies par </w:t>
      </w:r>
      <w:r w:rsidRPr="003C687C">
        <w:rPr>
          <w:rFonts w:ascii="Source Sans Pro" w:hAnsi="Source Sans Pro"/>
          <w:color w:val="000000"/>
          <w:szCs w:val="20"/>
        </w:rPr>
        <w:t>aptuveni 62</w:t>
      </w:r>
      <w:r w:rsidR="00065D72">
        <w:rPr>
          <w:rFonts w:ascii="Source Sans Pro" w:hAnsi="Source Sans Pro"/>
          <w:color w:val="000000"/>
          <w:szCs w:val="20"/>
        </w:rPr>
        <w:t> </w:t>
      </w:r>
      <w:r w:rsidR="00F94B79" w:rsidRPr="003C687C">
        <w:rPr>
          <w:rFonts w:ascii="Source Sans Pro" w:hAnsi="Source Sans Pro"/>
          <w:color w:val="000000"/>
          <w:szCs w:val="20"/>
        </w:rPr>
        <w:t xml:space="preserve">tūkst. jeb </w:t>
      </w:r>
      <w:r w:rsidRPr="003C687C">
        <w:rPr>
          <w:rFonts w:ascii="Source Sans Pro" w:hAnsi="Source Sans Pro"/>
          <w:color w:val="000000"/>
          <w:szCs w:val="20"/>
        </w:rPr>
        <w:t>15</w:t>
      </w:r>
      <w:r w:rsidR="00F94B79" w:rsidRPr="003C687C">
        <w:rPr>
          <w:rFonts w:ascii="Source Sans Pro" w:hAnsi="Source Sans Pro"/>
          <w:color w:val="000000"/>
          <w:szCs w:val="20"/>
        </w:rPr>
        <w:t xml:space="preserve"> procentiem.</w:t>
      </w:r>
    </w:p>
    <w:p w14:paraId="15730A0D" w14:textId="77777777" w:rsidR="00365064" w:rsidRPr="00D829F0" w:rsidRDefault="00365064" w:rsidP="005E5E57">
      <w:pPr>
        <w:spacing w:after="120"/>
        <w:jc w:val="both"/>
        <w:rPr>
          <w:rFonts w:ascii="Source Sans Pro" w:hAnsi="Source Sans Pro"/>
          <w:szCs w:val="20"/>
        </w:rPr>
      </w:pPr>
    </w:p>
    <w:p w14:paraId="541DCF6F" w14:textId="77777777" w:rsidR="007C6908" w:rsidRDefault="007C6908">
      <w:pPr>
        <w:spacing w:after="0"/>
        <w:rPr>
          <w:rFonts w:ascii="Aptos Narrow" w:hAnsi="Aptos Narrow"/>
          <w:b/>
          <w:color w:val="003E4C"/>
          <w:sz w:val="28"/>
          <w:szCs w:val="28"/>
        </w:rPr>
      </w:pPr>
      <w:r>
        <w:rPr>
          <w:rFonts w:ascii="Aptos Narrow" w:hAnsi="Aptos Narrow"/>
          <w:b/>
          <w:color w:val="003E4C"/>
          <w:sz w:val="28"/>
          <w:szCs w:val="28"/>
        </w:rPr>
        <w:br w:type="page"/>
      </w:r>
    </w:p>
    <w:p w14:paraId="530AF3E7" w14:textId="2872B887" w:rsidR="00F94B79" w:rsidRPr="00A55174" w:rsidRDefault="005E5E57" w:rsidP="00F458B3">
      <w:pPr>
        <w:tabs>
          <w:tab w:val="left" w:pos="284"/>
        </w:tabs>
        <w:spacing w:after="120"/>
        <w:jc w:val="both"/>
        <w:rPr>
          <w:rFonts w:ascii="Aptos Narrow" w:hAnsi="Aptos Narrow"/>
          <w:b/>
          <w:color w:val="003E4C"/>
          <w:sz w:val="28"/>
          <w:szCs w:val="28"/>
        </w:rPr>
      </w:pPr>
      <w:r w:rsidRPr="00A55174">
        <w:rPr>
          <w:rFonts w:ascii="Aptos Narrow" w:hAnsi="Aptos Narrow"/>
          <w:b/>
          <w:color w:val="003E4C"/>
          <w:sz w:val="28"/>
          <w:szCs w:val="28"/>
        </w:rPr>
        <w:lastRenderedPageBreak/>
        <w:t>II</w:t>
      </w:r>
      <w:r w:rsidRPr="00A55174">
        <w:rPr>
          <w:rFonts w:ascii="Aptos Narrow" w:hAnsi="Aptos Narrow"/>
          <w:b/>
          <w:color w:val="003E4C"/>
          <w:sz w:val="28"/>
          <w:szCs w:val="28"/>
        </w:rPr>
        <w:tab/>
      </w:r>
      <w:r w:rsidR="00F94B79" w:rsidRPr="00A55174">
        <w:rPr>
          <w:rFonts w:ascii="Aptos Narrow" w:hAnsi="Aptos Narrow"/>
          <w:b/>
          <w:color w:val="003E4C"/>
          <w:sz w:val="28"/>
          <w:szCs w:val="28"/>
        </w:rPr>
        <w:t>VIDĒJA UN ILGTERMIŅA DARBA TIRGUS TENDENCES</w:t>
      </w:r>
    </w:p>
    <w:p w14:paraId="663BC8F2" w14:textId="0797E545" w:rsidR="00F94B79" w:rsidRPr="00D829F0" w:rsidRDefault="00F94B79" w:rsidP="005E5E57">
      <w:pPr>
        <w:spacing w:after="120"/>
        <w:jc w:val="both"/>
        <w:rPr>
          <w:rFonts w:ascii="Source Sans Pro" w:hAnsi="Source Sans Pro"/>
          <w:b/>
          <w:szCs w:val="28"/>
        </w:rPr>
      </w:pPr>
      <w:r w:rsidRPr="00463E15">
        <w:rPr>
          <w:rFonts w:ascii="Source Sans Pro" w:hAnsi="Source Sans Pro"/>
          <w:b/>
          <w:color w:val="000000"/>
          <w:szCs w:val="28"/>
        </w:rPr>
        <w:t>Ilgtermiņā darba tirgus saglabāsies saspringts un bezdarbs būs tuvu dabiskam līmenim.</w:t>
      </w:r>
      <w:r w:rsidRPr="00463E15">
        <w:rPr>
          <w:rFonts w:ascii="Source Sans Pro" w:hAnsi="Source Sans Pro"/>
          <w:color w:val="000000"/>
          <w:szCs w:val="28"/>
        </w:rPr>
        <w:t xml:space="preserve"> Ilgtermiņa demogrāfiskās tendences sašaurina darbaspēka kvantitatīvo piedāvājumu, savukārt sabiedrības prasmju polarizācija, reģionālās disproporcijas un prasmju novecošanās saasina strukturālās neatbilstības un darbaspēka iztrūkuma riskus. Kopumā bezdarbs gan vidējā, gan ilgtermiņā turpinās sarukt. Sagaidāms, ka bezdarba līmenis </w:t>
      </w:r>
      <w:r w:rsidR="00463E15" w:rsidRPr="00463E15">
        <w:rPr>
          <w:rFonts w:ascii="Source Sans Pro" w:hAnsi="Source Sans Pro"/>
          <w:color w:val="000000"/>
          <w:szCs w:val="28"/>
        </w:rPr>
        <w:t>no 6,9% 2025.</w:t>
      </w:r>
      <w:r w:rsidR="00065D72">
        <w:rPr>
          <w:rFonts w:ascii="Source Sans Pro" w:hAnsi="Source Sans Pro"/>
          <w:color w:val="000000"/>
          <w:szCs w:val="28"/>
        </w:rPr>
        <w:t> </w:t>
      </w:r>
      <w:r w:rsidR="00463E15" w:rsidRPr="00463E15">
        <w:rPr>
          <w:rFonts w:ascii="Source Sans Pro" w:hAnsi="Source Sans Pro"/>
          <w:color w:val="000000"/>
          <w:szCs w:val="28"/>
        </w:rPr>
        <w:t>gadā samazināsies līdz 5,6% 2030.</w:t>
      </w:r>
      <w:r w:rsidR="00065D72">
        <w:rPr>
          <w:rFonts w:ascii="Source Sans Pro" w:hAnsi="Source Sans Pro"/>
          <w:color w:val="000000"/>
          <w:szCs w:val="28"/>
        </w:rPr>
        <w:t> </w:t>
      </w:r>
      <w:r w:rsidR="00463E15" w:rsidRPr="00463E15">
        <w:rPr>
          <w:rFonts w:ascii="Source Sans Pro" w:hAnsi="Source Sans Pro"/>
          <w:color w:val="000000"/>
          <w:szCs w:val="28"/>
        </w:rPr>
        <w:t>gadā, bet ilgtermiņā – līdz aptuveni 5,0% 2040.</w:t>
      </w:r>
      <w:r w:rsidR="00065D72">
        <w:rPr>
          <w:rFonts w:ascii="Source Sans Pro" w:hAnsi="Source Sans Pro"/>
          <w:color w:val="000000"/>
          <w:szCs w:val="28"/>
        </w:rPr>
        <w:t> </w:t>
      </w:r>
      <w:r w:rsidR="00463E15" w:rsidRPr="00463E15">
        <w:rPr>
          <w:rFonts w:ascii="Source Sans Pro" w:hAnsi="Source Sans Pro"/>
          <w:color w:val="000000"/>
          <w:szCs w:val="28"/>
        </w:rPr>
        <w:t>gadā.</w:t>
      </w:r>
      <w:r w:rsidRPr="00463E15">
        <w:rPr>
          <w:rFonts w:ascii="Source Sans Pro" w:hAnsi="Source Sans Pro"/>
          <w:color w:val="000000"/>
          <w:szCs w:val="28"/>
        </w:rPr>
        <w:t xml:space="preserve"> Gan vidējā, gan arī ilgtermiņā bezdarbs būs tuvu tā dabiskam līmenim un to pamatā veidos frikcionālais un strukturālais bezdarbs. Augstākie bezdarba riski sagaidāmi iedzīvotājiem ar zemu izglītības līmeni un bez profesionālām prasmēm/profesionālās kvalifikācijas, kā arī no ekonomiskās aktivitātes centriem attālākos reģionos. </w:t>
      </w:r>
      <w:r w:rsidR="00463E15" w:rsidRPr="00463E15">
        <w:rPr>
          <w:rFonts w:ascii="Source Sans Pro" w:hAnsi="Source Sans Pro"/>
          <w:color w:val="000000"/>
          <w:szCs w:val="28"/>
        </w:rPr>
        <w:t>Vienlaikus, ņemot vērā demogrāfijas tendences un darbaspēka strukturālās neatbilstības, darba devējiem arī turpmāk saglabāsies grūtības atrast nepieciešamās kvalifikācijas speciālistus, tādējādi arī pie svārstīgas ekonomiskās attīstības darba devēju manevru iespējas darba tirgū saglabāsies ierobežotas.</w:t>
      </w:r>
    </w:p>
    <w:p w14:paraId="1E98D890" w14:textId="4F64BAA4" w:rsidR="00F94B79" w:rsidRPr="00D829F0" w:rsidRDefault="00F94B79" w:rsidP="005E5E57">
      <w:pPr>
        <w:pStyle w:val="EnvelopeReturn"/>
        <w:spacing w:after="120"/>
        <w:jc w:val="both"/>
        <w:rPr>
          <w:rFonts w:ascii="Source Sans Pro" w:eastAsia="Calibri" w:hAnsi="Source Sans Pro"/>
          <w:lang w:eastAsia="en-US"/>
        </w:rPr>
      </w:pPr>
      <w:r w:rsidRPr="00463E15">
        <w:rPr>
          <w:rFonts w:ascii="Source Sans Pro" w:eastAsia="Calibri" w:hAnsi="Source Sans Pro"/>
          <w:b/>
          <w:color w:val="000000"/>
          <w:lang w:eastAsia="en-US"/>
        </w:rPr>
        <w:t>Vidējā termiņā ekonomikas izaugsme palielinās darbaspēka vajadzības, ilgtermiņā izaugsmi balstīs produktivitātes pieaugums un nodarbināto skaits varētu sarukt.</w:t>
      </w:r>
      <w:r w:rsidRPr="00463E15">
        <w:rPr>
          <w:rFonts w:ascii="Source Sans Pro" w:eastAsia="Calibri" w:hAnsi="Source Sans Pro"/>
          <w:color w:val="000000"/>
          <w:lang w:eastAsia="en-US"/>
        </w:rPr>
        <w:t xml:space="preserve"> Gan vidējā termiņā, gan arī ilgtermiņā darbaspēka pieprasījuma un nodarbinātības dinamikas bāzes tendences joprojām lielā mērā noteiks darbaspēka produktivitātes pieaugums, kas ir būtisks priekšnosacījums Latvijas globālās konkurētspējas saglabāšanai, līdz ar to nodarbināto skaits nākamajos gados kopumā varētu augt lēni. Vienlaikus, līdz ar divkārši straujāku ekonomikas izaugsmi (salīdzinot ar iepriekšējo dekādi), kopumā arī darbaspēka pieprasījuma pieaugums līdz 2030.</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gadam varētu būtu vidēji straujāks nekā iepriekšējos gados. Vienlaikus, ņemot vērā gan produktivitātes pieaugumu, gan demogrāfijas tendences (ierobežotos darba resursus), ilgtermiņā nodarbināto skaita dinamikā varētu atgriezties lejupvērsta tendence. Ņemot vērā to, nodarbināto iedzīvotāju skaits līdz 2030.</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gadam varētu kopumā augt par aptuveni </w:t>
      </w:r>
      <w:r w:rsidR="00463E15" w:rsidRPr="00463E15">
        <w:rPr>
          <w:rFonts w:ascii="Source Sans Pro" w:eastAsia="Calibri" w:hAnsi="Source Sans Pro"/>
          <w:color w:val="000000"/>
          <w:lang w:eastAsia="en-US"/>
        </w:rPr>
        <w:t>17,5</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tūkst. jeb 2,</w:t>
      </w:r>
      <w:r w:rsidR="00463E15" w:rsidRPr="00463E15">
        <w:rPr>
          <w:rFonts w:ascii="Source Sans Pro" w:eastAsia="Calibri" w:hAnsi="Source Sans Pro"/>
          <w:color w:val="000000"/>
          <w:lang w:eastAsia="en-US"/>
        </w:rPr>
        <w:t>0</w:t>
      </w:r>
      <w:r w:rsidRPr="00463E15">
        <w:rPr>
          <w:rFonts w:ascii="Source Sans Pro" w:eastAsia="Calibri" w:hAnsi="Source Sans Pro"/>
          <w:color w:val="000000"/>
          <w:lang w:eastAsia="en-US"/>
        </w:rPr>
        <w:t xml:space="preserve">%, salīdzinot ar </w:t>
      </w:r>
      <w:r w:rsidR="00463E15" w:rsidRPr="00463E15">
        <w:rPr>
          <w:rFonts w:ascii="Source Sans Pro" w:eastAsia="Calibri" w:hAnsi="Source Sans Pro"/>
          <w:color w:val="000000"/>
          <w:lang w:eastAsia="en-US"/>
        </w:rPr>
        <w:t>2025</w:t>
      </w:r>
      <w:r w:rsidRPr="00463E15">
        <w:rPr>
          <w:rFonts w:ascii="Source Sans Pro" w:eastAsia="Calibri" w:hAnsi="Source Sans Pro"/>
          <w:color w:val="000000"/>
          <w:lang w:eastAsia="en-US"/>
        </w:rPr>
        <w:t>.</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gadu, bet pēc 2030.</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gada periodā līdz 2040.</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gadam tas varētu samazināties par aptuveni </w:t>
      </w:r>
      <w:r w:rsidR="00463E15" w:rsidRPr="00463E15">
        <w:rPr>
          <w:rFonts w:ascii="Source Sans Pro" w:eastAsia="Calibri" w:hAnsi="Source Sans Pro"/>
          <w:color w:val="000000"/>
          <w:lang w:eastAsia="en-US"/>
        </w:rPr>
        <w:t>12</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tūkst. (</w:t>
      </w:r>
      <w:r w:rsidR="00463E15" w:rsidRPr="00463E15">
        <w:rPr>
          <w:rFonts w:ascii="Source Sans Pro" w:eastAsia="Calibri" w:hAnsi="Source Sans Pro"/>
          <w:color w:val="000000"/>
          <w:lang w:eastAsia="en-US"/>
        </w:rPr>
        <w:t>1,3</w:t>
      </w:r>
      <w:r w:rsidRPr="00463E15">
        <w:rPr>
          <w:rFonts w:ascii="Source Sans Pro" w:eastAsia="Calibri" w:hAnsi="Source Sans Pro"/>
          <w:color w:val="000000"/>
          <w:lang w:eastAsia="en-US"/>
        </w:rPr>
        <w:t>%). Augstākais darbaspēka pieprasījuma līmenis varētu tikt sasniegts 2030.</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gadā, kad nodarbināto skaits būtu tuvu </w:t>
      </w:r>
      <w:r w:rsidR="00463E15" w:rsidRPr="00463E15">
        <w:rPr>
          <w:rFonts w:ascii="Source Sans Pro" w:eastAsia="Calibri" w:hAnsi="Source Sans Pro"/>
          <w:color w:val="000000"/>
          <w:lang w:eastAsia="en-US"/>
        </w:rPr>
        <w:t>901</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tūkst.</w:t>
      </w:r>
    </w:p>
    <w:p w14:paraId="68B8CE52" w14:textId="619A121A" w:rsidR="00F94B79" w:rsidRPr="00D829F0" w:rsidRDefault="00F94B79" w:rsidP="005E5E57">
      <w:pPr>
        <w:pStyle w:val="EnvelopeReturn"/>
        <w:spacing w:after="120"/>
        <w:jc w:val="both"/>
        <w:rPr>
          <w:rFonts w:ascii="Source Sans Pro" w:eastAsia="Calibri" w:hAnsi="Source Sans Pro"/>
          <w:lang w:eastAsia="en-US"/>
        </w:rPr>
      </w:pPr>
      <w:r w:rsidRPr="00463E15">
        <w:rPr>
          <w:rFonts w:ascii="Source Sans Pro" w:eastAsia="Calibri" w:hAnsi="Source Sans Pro"/>
          <w:b/>
          <w:color w:val="000000"/>
          <w:lang w:eastAsia="en-US"/>
        </w:rPr>
        <w:t xml:space="preserve">Būtiskākais jauno darbavietu pieaugums vidējā termiņā sagaidāms būvniecībā un </w:t>
      </w:r>
      <w:r w:rsidR="00463E15" w:rsidRPr="00463E15">
        <w:rPr>
          <w:rFonts w:ascii="Source Sans Pro" w:eastAsia="Calibri" w:hAnsi="Source Sans Pro"/>
          <w:b/>
          <w:color w:val="000000"/>
          <w:lang w:eastAsia="en-US"/>
        </w:rPr>
        <w:t>komercpakalpojumu nozarēs.</w:t>
      </w:r>
      <w:r w:rsidRPr="00463E15">
        <w:rPr>
          <w:rFonts w:ascii="Source Sans Pro" w:eastAsia="Calibri" w:hAnsi="Source Sans Pro"/>
          <w:color w:val="000000"/>
          <w:lang w:eastAsia="en-US"/>
        </w:rPr>
        <w:t xml:space="preserve"> Kopumā minētās nozares līdz 2030.</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gadam radīs aptuveni </w:t>
      </w:r>
      <w:r w:rsidR="00463E15" w:rsidRPr="00463E15">
        <w:rPr>
          <w:rFonts w:ascii="Source Sans Pro" w:eastAsia="Calibri" w:hAnsi="Source Sans Pro"/>
          <w:color w:val="000000"/>
          <w:lang w:eastAsia="en-US"/>
        </w:rPr>
        <w:t>30</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tūkst. jaunu darbavietu</w:t>
      </w:r>
      <w:r w:rsidR="00463E15" w:rsidRPr="00463E15">
        <w:rPr>
          <w:rFonts w:ascii="Source Sans Pro" w:eastAsia="Calibri" w:hAnsi="Source Sans Pro"/>
          <w:color w:val="000000"/>
          <w:lang w:eastAsia="en-US"/>
        </w:rPr>
        <w:t xml:space="preserve"> (būvniecībā un komercpakalpojumu nozarēs – katrā par aptuveni 15 tūkst.),</w:t>
      </w:r>
      <w:r w:rsidRPr="00463E15">
        <w:rPr>
          <w:rFonts w:ascii="Source Sans Pro" w:eastAsia="Calibri" w:hAnsi="Source Sans Pro"/>
          <w:color w:val="000000"/>
          <w:lang w:eastAsia="en-US"/>
        </w:rPr>
        <w:t xml:space="preserve"> kas kopējā darbaspēka pieprasījumā kompensēs nodarbināto skaita samazinājumu citās nozarēs, piemēram, tirdzniecības nozarē, kur atbilstošā periodā sagaidāms nodarbināto skaita samazinājums par </w:t>
      </w:r>
      <w:r w:rsidR="00463E15" w:rsidRPr="00463E15">
        <w:rPr>
          <w:rFonts w:ascii="Source Sans Pro" w:eastAsia="Calibri" w:hAnsi="Source Sans Pro"/>
          <w:color w:val="000000"/>
          <w:lang w:eastAsia="en-US"/>
        </w:rPr>
        <w:t>aptuveni 12</w:t>
      </w:r>
      <w:r w:rsidR="00065D72">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tūkst. Vienlaikus ilgtermiņā (periodā </w:t>
      </w:r>
      <w:r w:rsidR="00463E15" w:rsidRPr="00463E15">
        <w:rPr>
          <w:rFonts w:ascii="Source Sans Pro" w:eastAsia="Calibri" w:hAnsi="Source Sans Pro"/>
          <w:color w:val="000000"/>
          <w:lang w:eastAsia="en-US"/>
        </w:rPr>
        <w:t>no 2031.-2040.</w:t>
      </w:r>
      <w:r w:rsidR="00065D72">
        <w:rPr>
          <w:rFonts w:ascii="Source Sans Pro" w:eastAsia="Calibri" w:hAnsi="Source Sans Pro"/>
          <w:color w:val="000000"/>
          <w:lang w:eastAsia="en-US"/>
        </w:rPr>
        <w:t> </w:t>
      </w:r>
      <w:r w:rsidR="00463E15" w:rsidRPr="00463E15">
        <w:rPr>
          <w:rFonts w:ascii="Source Sans Pro" w:eastAsia="Calibri" w:hAnsi="Source Sans Pro"/>
          <w:color w:val="000000"/>
          <w:lang w:eastAsia="en-US"/>
        </w:rPr>
        <w:t>gadam) nozīmīgākais jaunu darbavietu pieaugums sagaidāms komercpakalpojumu sektorā - nodarbināto skaits palielināsies par aptuveni 14</w:t>
      </w:r>
      <w:r w:rsidR="00065D72">
        <w:rPr>
          <w:rFonts w:ascii="Source Sans Pro" w:eastAsia="Calibri" w:hAnsi="Source Sans Pro"/>
          <w:color w:val="000000"/>
          <w:lang w:eastAsia="en-US"/>
        </w:rPr>
        <w:t> </w:t>
      </w:r>
      <w:r w:rsidR="00463E15" w:rsidRPr="00463E15">
        <w:rPr>
          <w:rFonts w:ascii="Source Sans Pro" w:eastAsia="Calibri" w:hAnsi="Source Sans Pro"/>
          <w:color w:val="000000"/>
          <w:lang w:eastAsia="en-US"/>
        </w:rPr>
        <w:t>tūkst., savukārt būtiskākas samazinājums būs vērojams tirdzniecības un sabiedrisko pakalpojumu nozarēs - nodarbināto skaits šajās nozarēs varētu samazināties par aptuveni 22</w:t>
      </w:r>
      <w:r w:rsidR="00A518FF">
        <w:rPr>
          <w:rFonts w:ascii="Source Sans Pro" w:eastAsia="Calibri" w:hAnsi="Source Sans Pro"/>
          <w:color w:val="000000"/>
          <w:lang w:eastAsia="en-US"/>
        </w:rPr>
        <w:t> </w:t>
      </w:r>
      <w:r w:rsidR="00463E15" w:rsidRPr="00463E15">
        <w:rPr>
          <w:rFonts w:ascii="Source Sans Pro" w:eastAsia="Calibri" w:hAnsi="Source Sans Pro"/>
          <w:color w:val="000000"/>
          <w:lang w:eastAsia="en-US"/>
        </w:rPr>
        <w:t>tūkst.</w:t>
      </w:r>
    </w:p>
    <w:p w14:paraId="14D020F8" w14:textId="4AC6A196" w:rsidR="00F94B79" w:rsidRPr="00D829F0" w:rsidRDefault="00F94B79" w:rsidP="005E5E57">
      <w:pPr>
        <w:spacing w:after="120"/>
        <w:jc w:val="both"/>
        <w:rPr>
          <w:rFonts w:ascii="Source Sans Pro" w:hAnsi="Source Sans Pro"/>
          <w:szCs w:val="20"/>
        </w:rPr>
      </w:pPr>
      <w:r w:rsidRPr="00463E15">
        <w:rPr>
          <w:rFonts w:ascii="Source Sans Pro" w:hAnsi="Source Sans Pro"/>
          <w:b/>
          <w:color w:val="000000"/>
          <w:szCs w:val="20"/>
        </w:rPr>
        <w:t>Situāciju darba tirgū turpinās noteikt piedāvājuma puses faktori.</w:t>
      </w:r>
      <w:r w:rsidRPr="00463E15">
        <w:rPr>
          <w:rFonts w:ascii="Source Sans Pro" w:hAnsi="Source Sans Pro"/>
          <w:color w:val="000000"/>
          <w:szCs w:val="20"/>
        </w:rPr>
        <w:t xml:space="preserve"> Iedzīvotāju skaita lejupslīde laika periodā līdz 2040.</w:t>
      </w:r>
      <w:r w:rsidR="00A518FF">
        <w:rPr>
          <w:rFonts w:ascii="Source Sans Pro" w:hAnsi="Source Sans Pro"/>
          <w:color w:val="000000"/>
          <w:szCs w:val="20"/>
        </w:rPr>
        <w:t> </w:t>
      </w:r>
      <w:r w:rsidRPr="00463E15">
        <w:rPr>
          <w:rFonts w:ascii="Source Sans Pro" w:hAnsi="Source Sans Pro"/>
          <w:color w:val="000000"/>
          <w:szCs w:val="20"/>
        </w:rPr>
        <w:t xml:space="preserve">gadam kļūs lēnāka, tomēr turpināsies sabiedrības novecošanās un samazināsies darbspējīgo iedzīvotāju skaits, kas ietekmēs arī kopējo darbaspēka piedāvājumu nākotnē. Vienlaikus </w:t>
      </w:r>
      <w:r w:rsidR="00463E15" w:rsidRPr="00463E15">
        <w:rPr>
          <w:rFonts w:ascii="Source Sans Pro" w:hAnsi="Source Sans Pro"/>
          <w:color w:val="000000"/>
          <w:szCs w:val="20"/>
        </w:rPr>
        <w:t xml:space="preserve">vidējā termiņā </w:t>
      </w:r>
      <w:r w:rsidRPr="00463E15">
        <w:rPr>
          <w:rFonts w:ascii="Source Sans Pro" w:hAnsi="Source Sans Pro"/>
          <w:color w:val="000000"/>
          <w:szCs w:val="20"/>
        </w:rPr>
        <w:t xml:space="preserve">demogrāfijas tendenču negatīvo ietekmi uz </w:t>
      </w:r>
      <w:r w:rsidR="00463E15" w:rsidRPr="00463E15">
        <w:rPr>
          <w:rFonts w:ascii="Source Sans Pro" w:hAnsi="Source Sans Pro"/>
          <w:color w:val="000000"/>
          <w:szCs w:val="20"/>
        </w:rPr>
        <w:t>darba tirgu</w:t>
      </w:r>
      <w:r w:rsidRPr="00463E15">
        <w:rPr>
          <w:rFonts w:ascii="Source Sans Pro" w:hAnsi="Source Sans Pro"/>
          <w:color w:val="000000"/>
          <w:szCs w:val="20"/>
        </w:rPr>
        <w:t xml:space="preserve"> turpinās kompensēt iedzīvotāju līdzdalības </w:t>
      </w:r>
      <w:r w:rsidR="00463E15" w:rsidRPr="00463E15">
        <w:rPr>
          <w:rFonts w:ascii="Source Sans Pro" w:hAnsi="Source Sans Pro"/>
          <w:color w:val="000000"/>
          <w:szCs w:val="20"/>
        </w:rPr>
        <w:t>līmeņa palielināšanās</w:t>
      </w:r>
      <w:r w:rsidRPr="00463E15">
        <w:rPr>
          <w:rFonts w:ascii="Source Sans Pro" w:hAnsi="Source Sans Pro"/>
          <w:color w:val="000000"/>
          <w:szCs w:val="20"/>
        </w:rPr>
        <w:t xml:space="preserve"> darba tirgū</w:t>
      </w:r>
      <w:r w:rsidR="00463E15" w:rsidRPr="00463E15">
        <w:rPr>
          <w:rFonts w:ascii="Source Sans Pro" w:hAnsi="Source Sans Pro"/>
          <w:color w:val="000000"/>
          <w:szCs w:val="20"/>
        </w:rPr>
        <w:t xml:space="preserve"> - ekonomikas</w:t>
      </w:r>
      <w:r w:rsidRPr="00463E15">
        <w:rPr>
          <w:rFonts w:ascii="Source Sans Pro" w:hAnsi="Source Sans Pro"/>
          <w:color w:val="000000"/>
          <w:szCs w:val="20"/>
        </w:rPr>
        <w:t xml:space="preserve"> izaugsme</w:t>
      </w:r>
      <w:r w:rsidR="00463E15" w:rsidRPr="00463E15">
        <w:rPr>
          <w:rFonts w:ascii="Source Sans Pro" w:hAnsi="Source Sans Pro"/>
          <w:color w:val="000000"/>
          <w:szCs w:val="20"/>
        </w:rPr>
        <w:t xml:space="preserve"> un </w:t>
      </w:r>
      <w:r w:rsidRPr="00463E15">
        <w:rPr>
          <w:rFonts w:ascii="Source Sans Pro" w:hAnsi="Source Sans Pro"/>
          <w:color w:val="000000"/>
          <w:szCs w:val="20"/>
        </w:rPr>
        <w:t xml:space="preserve">darbaspēka nepietiekamība </w:t>
      </w:r>
      <w:r w:rsidR="00463E15" w:rsidRPr="00463E15">
        <w:rPr>
          <w:rFonts w:ascii="Source Sans Pro" w:hAnsi="Source Sans Pro"/>
          <w:color w:val="000000"/>
          <w:szCs w:val="20"/>
        </w:rPr>
        <w:t>varētu pavērt</w:t>
      </w:r>
      <w:r w:rsidRPr="00463E15">
        <w:rPr>
          <w:rFonts w:ascii="Source Sans Pro" w:hAnsi="Source Sans Pro"/>
          <w:color w:val="000000"/>
          <w:szCs w:val="20"/>
        </w:rPr>
        <w:t xml:space="preserve"> plašākas darba iespējas virknei neaktīvo iedzīvotāju grupu (mājsaimniecēm, studentiem, pensijas vecuma iedzīvotājiem u.c.). Tāpat būtiska loma iedzīvotāju līdzdalības veicināšanā būs atalgojuma pieaugumam. Vienlaikus ilgtermiņā (periodā pēc 2030.</w:t>
      </w:r>
      <w:r w:rsidR="00A518FF">
        <w:rPr>
          <w:rFonts w:ascii="Source Sans Pro" w:hAnsi="Source Sans Pro"/>
          <w:color w:val="000000"/>
          <w:szCs w:val="20"/>
        </w:rPr>
        <w:t> </w:t>
      </w:r>
      <w:r w:rsidRPr="00463E15">
        <w:rPr>
          <w:rFonts w:ascii="Source Sans Pro" w:hAnsi="Source Sans Pro"/>
          <w:color w:val="000000"/>
          <w:szCs w:val="20"/>
        </w:rPr>
        <w:t xml:space="preserve">gada) iedzīvotāju ekonomiskās aktivitātes pieauguma kompensējošā ietekme uz darbaspēka piedāvājumu varētu pamazām </w:t>
      </w:r>
      <w:r w:rsidR="00463E15" w:rsidRPr="00463E15">
        <w:rPr>
          <w:rFonts w:ascii="Source Sans Pro" w:hAnsi="Source Sans Pro"/>
          <w:color w:val="000000"/>
          <w:szCs w:val="20"/>
        </w:rPr>
        <w:t>samazināties</w:t>
      </w:r>
      <w:r w:rsidRPr="00463E15">
        <w:rPr>
          <w:rFonts w:ascii="Source Sans Pro" w:hAnsi="Source Sans Pro"/>
          <w:color w:val="000000"/>
          <w:szCs w:val="20"/>
        </w:rPr>
        <w:t xml:space="preserve"> un demogrāfijas procesi ņems virsroku, tādejādi no 2030. līdz 2040.</w:t>
      </w:r>
      <w:r w:rsidR="00A518FF">
        <w:rPr>
          <w:rFonts w:ascii="Source Sans Pro" w:hAnsi="Source Sans Pro"/>
          <w:color w:val="000000"/>
          <w:szCs w:val="20"/>
        </w:rPr>
        <w:t> </w:t>
      </w:r>
      <w:r w:rsidRPr="00463E15">
        <w:rPr>
          <w:rFonts w:ascii="Source Sans Pro" w:hAnsi="Source Sans Pro"/>
          <w:color w:val="000000"/>
          <w:szCs w:val="20"/>
        </w:rPr>
        <w:t>gadam kopumā sagaidāma darbaspēka piedāvājuma krītoša tendence. Jāņem vērā, ka iedzīvotāju ekonomiskā aktivitāte ir tuvu savam potenciālam, līdz ar to ilgtermiņā iedzīvotāju līdzdalības pieaugums darba tirgū būs ierobežots un jaunas darbaspēka rezerves galvenokārt nodrošinās ārējā darbaspēka piesaiste.</w:t>
      </w:r>
    </w:p>
    <w:p w14:paraId="0F8D8344" w14:textId="3DF1E085" w:rsidR="00F94B79" w:rsidRPr="00D829F0" w:rsidRDefault="00F94B79" w:rsidP="005E5E57">
      <w:pPr>
        <w:spacing w:after="120"/>
        <w:jc w:val="both"/>
        <w:rPr>
          <w:rFonts w:ascii="Source Sans Pro" w:hAnsi="Source Sans Pro"/>
        </w:rPr>
      </w:pPr>
      <w:r w:rsidRPr="00463E15">
        <w:rPr>
          <w:rFonts w:ascii="Source Sans Pro" w:hAnsi="Source Sans Pro"/>
          <w:color w:val="000000"/>
        </w:rPr>
        <w:t>Kopumā līdz 2030.</w:t>
      </w:r>
      <w:r w:rsidR="00A518FF">
        <w:rPr>
          <w:rFonts w:ascii="Source Sans Pro" w:hAnsi="Source Sans Pro"/>
          <w:color w:val="000000"/>
        </w:rPr>
        <w:t> </w:t>
      </w:r>
      <w:r w:rsidRPr="00463E15">
        <w:rPr>
          <w:rFonts w:ascii="Source Sans Pro" w:hAnsi="Source Sans Pro"/>
          <w:color w:val="000000"/>
        </w:rPr>
        <w:t xml:space="preserve">gadam darbaspēka piedāvājums varētu palielināties līdz </w:t>
      </w:r>
      <w:r w:rsidR="00463E15" w:rsidRPr="00463E15">
        <w:rPr>
          <w:rFonts w:ascii="Source Sans Pro" w:hAnsi="Source Sans Pro"/>
          <w:color w:val="000000"/>
        </w:rPr>
        <w:t>aptuveni 954</w:t>
      </w:r>
      <w:r w:rsidR="00A518FF">
        <w:rPr>
          <w:rFonts w:ascii="Source Sans Pro" w:hAnsi="Source Sans Pro"/>
          <w:color w:val="000000"/>
        </w:rPr>
        <w:t> </w:t>
      </w:r>
      <w:r w:rsidRPr="00463E15">
        <w:rPr>
          <w:rFonts w:ascii="Source Sans Pro" w:hAnsi="Source Sans Pro"/>
          <w:color w:val="000000"/>
        </w:rPr>
        <w:t>tūkst. (par 5</w:t>
      </w:r>
      <w:r w:rsidR="00463E15" w:rsidRPr="00463E15">
        <w:rPr>
          <w:rFonts w:ascii="Source Sans Pro" w:hAnsi="Source Sans Pro"/>
          <w:color w:val="000000"/>
        </w:rPr>
        <w:t>,1</w:t>
      </w:r>
      <w:r w:rsidR="00A518FF">
        <w:rPr>
          <w:rFonts w:ascii="Source Sans Pro" w:hAnsi="Source Sans Pro"/>
          <w:color w:val="000000"/>
        </w:rPr>
        <w:t> </w:t>
      </w:r>
      <w:r w:rsidRPr="00463E15">
        <w:rPr>
          <w:rFonts w:ascii="Source Sans Pro" w:hAnsi="Source Sans Pro"/>
          <w:color w:val="000000"/>
        </w:rPr>
        <w:t xml:space="preserve">tūkst. jeb </w:t>
      </w:r>
      <w:r w:rsidR="00463E15" w:rsidRPr="00463E15">
        <w:rPr>
          <w:rFonts w:ascii="Source Sans Pro" w:hAnsi="Source Sans Pro"/>
          <w:color w:val="000000"/>
        </w:rPr>
        <w:t>0</w:t>
      </w:r>
      <w:r w:rsidRPr="00463E15">
        <w:rPr>
          <w:rFonts w:ascii="Source Sans Pro" w:hAnsi="Source Sans Pro"/>
          <w:color w:val="000000"/>
        </w:rPr>
        <w:t xml:space="preserve">,5% augstāks rādītājs nekā </w:t>
      </w:r>
      <w:r w:rsidR="00463E15" w:rsidRPr="00463E15">
        <w:rPr>
          <w:rFonts w:ascii="Source Sans Pro" w:hAnsi="Source Sans Pro"/>
          <w:color w:val="000000"/>
        </w:rPr>
        <w:t>2025.</w:t>
      </w:r>
      <w:r w:rsidR="00A518FF">
        <w:rPr>
          <w:rFonts w:ascii="Source Sans Pro" w:hAnsi="Source Sans Pro"/>
          <w:color w:val="000000"/>
        </w:rPr>
        <w:t> </w:t>
      </w:r>
      <w:r w:rsidRPr="00463E15">
        <w:rPr>
          <w:rFonts w:ascii="Source Sans Pro" w:hAnsi="Source Sans Pro"/>
          <w:color w:val="000000"/>
        </w:rPr>
        <w:t>gadā), savukārt pēc 2030.</w:t>
      </w:r>
      <w:r w:rsidR="00A518FF">
        <w:rPr>
          <w:rFonts w:ascii="Source Sans Pro" w:hAnsi="Source Sans Pro"/>
          <w:color w:val="000000"/>
        </w:rPr>
        <w:t> </w:t>
      </w:r>
      <w:r w:rsidRPr="00463E15">
        <w:rPr>
          <w:rFonts w:ascii="Source Sans Pro" w:hAnsi="Source Sans Pro"/>
          <w:color w:val="000000"/>
        </w:rPr>
        <w:t>gada darbaspēka piedāvājumu arvien vairāk ietekmēs demogrāfiskie procesi un tas varētu atkal sarukt – līdz 936</w:t>
      </w:r>
      <w:r w:rsidR="00A518FF">
        <w:rPr>
          <w:rFonts w:ascii="Source Sans Pro" w:hAnsi="Source Sans Pro"/>
          <w:color w:val="000000"/>
        </w:rPr>
        <w:t> </w:t>
      </w:r>
      <w:r w:rsidRPr="00463E15">
        <w:rPr>
          <w:rFonts w:ascii="Source Sans Pro" w:hAnsi="Source Sans Pro"/>
          <w:color w:val="000000"/>
        </w:rPr>
        <w:t>tūkst</w:t>
      </w:r>
      <w:r w:rsidR="00463E15" w:rsidRPr="00463E15">
        <w:rPr>
          <w:rFonts w:ascii="Source Sans Pro" w:hAnsi="Source Sans Pro"/>
          <w:color w:val="000000"/>
        </w:rPr>
        <w:t>.</w:t>
      </w:r>
      <w:r w:rsidRPr="00463E15">
        <w:rPr>
          <w:rFonts w:ascii="Source Sans Pro" w:hAnsi="Source Sans Pro"/>
          <w:color w:val="000000"/>
        </w:rPr>
        <w:t xml:space="preserve"> (par aptuveni </w:t>
      </w:r>
      <w:r w:rsidR="00463E15" w:rsidRPr="00463E15">
        <w:rPr>
          <w:rFonts w:ascii="Source Sans Pro" w:hAnsi="Source Sans Pro"/>
          <w:color w:val="000000"/>
        </w:rPr>
        <w:t>13</w:t>
      </w:r>
      <w:r w:rsidR="00A518FF">
        <w:rPr>
          <w:rFonts w:ascii="Source Sans Pro" w:hAnsi="Source Sans Pro"/>
          <w:color w:val="000000"/>
        </w:rPr>
        <w:t> </w:t>
      </w:r>
      <w:r w:rsidRPr="00463E15">
        <w:rPr>
          <w:rFonts w:ascii="Source Sans Pro" w:hAnsi="Source Sans Pro"/>
          <w:color w:val="000000"/>
        </w:rPr>
        <w:t>tūkst. jeb 1</w:t>
      </w:r>
      <w:r w:rsidR="00463E15" w:rsidRPr="00463E15">
        <w:rPr>
          <w:rFonts w:ascii="Source Sans Pro" w:hAnsi="Source Sans Pro"/>
          <w:color w:val="000000"/>
        </w:rPr>
        <w:t>,3</w:t>
      </w:r>
      <w:r w:rsidRPr="00463E15">
        <w:rPr>
          <w:rFonts w:ascii="Source Sans Pro" w:hAnsi="Source Sans Pro"/>
          <w:color w:val="000000"/>
        </w:rPr>
        <w:t xml:space="preserve">% mazāk nekā </w:t>
      </w:r>
      <w:r w:rsidR="00463E15" w:rsidRPr="00463E15">
        <w:rPr>
          <w:rFonts w:ascii="Source Sans Pro" w:hAnsi="Source Sans Pro"/>
          <w:color w:val="000000"/>
        </w:rPr>
        <w:t>2025.</w:t>
      </w:r>
      <w:r w:rsidR="00A518FF">
        <w:rPr>
          <w:rFonts w:ascii="Source Sans Pro" w:hAnsi="Source Sans Pro"/>
          <w:color w:val="000000"/>
        </w:rPr>
        <w:t> </w:t>
      </w:r>
      <w:r w:rsidRPr="00463E15">
        <w:rPr>
          <w:rFonts w:ascii="Source Sans Pro" w:hAnsi="Source Sans Pro"/>
          <w:color w:val="000000"/>
        </w:rPr>
        <w:t>gadā).</w:t>
      </w:r>
    </w:p>
    <w:p w14:paraId="55BBD54A" w14:textId="77777777" w:rsidR="007C6908" w:rsidRDefault="007C6908">
      <w:pPr>
        <w:spacing w:after="0"/>
        <w:rPr>
          <w:rFonts w:ascii="Source Sans Pro" w:hAnsi="Source Sans Pro"/>
          <w:b/>
          <w:color w:val="000000"/>
          <w:szCs w:val="20"/>
        </w:rPr>
      </w:pPr>
      <w:r>
        <w:rPr>
          <w:rFonts w:ascii="Source Sans Pro" w:hAnsi="Source Sans Pro"/>
          <w:b/>
          <w:color w:val="000000"/>
        </w:rPr>
        <w:br w:type="page"/>
      </w:r>
    </w:p>
    <w:p w14:paraId="42F191E2" w14:textId="631793E3" w:rsidR="00F94B79" w:rsidRPr="00D829F0" w:rsidRDefault="00F94B79" w:rsidP="005E5E57">
      <w:pPr>
        <w:pStyle w:val="EnvelopeReturn"/>
        <w:spacing w:after="120"/>
        <w:jc w:val="both"/>
        <w:rPr>
          <w:rFonts w:ascii="Source Sans Pro" w:eastAsia="Calibri" w:hAnsi="Source Sans Pro"/>
          <w:lang w:eastAsia="en-US"/>
        </w:rPr>
      </w:pPr>
      <w:r w:rsidRPr="00463E15">
        <w:rPr>
          <w:rFonts w:ascii="Source Sans Pro" w:eastAsia="Calibri" w:hAnsi="Source Sans Pro"/>
          <w:b/>
          <w:color w:val="000000"/>
          <w:lang w:eastAsia="en-US"/>
        </w:rPr>
        <w:lastRenderedPageBreak/>
        <w:t>Darbaspēka novecošanās tendences, gan arī zemais atražošanās līmenis vidējā un ilgtermiņā visvairāk ietekmēs vidējās kvalifikācijas darbaspēka pieejamību.</w:t>
      </w:r>
      <w:r w:rsidRPr="00463E15">
        <w:rPr>
          <w:rFonts w:ascii="Source Sans Pro" w:eastAsia="Calibri" w:hAnsi="Source Sans Pro"/>
          <w:color w:val="000000"/>
          <w:lang w:eastAsia="en-US"/>
        </w:rPr>
        <w:t xml:space="preserve"> Ekonomiski aktīvo iedzīvotāju skaits ar </w:t>
      </w:r>
      <w:r w:rsidR="00463E15" w:rsidRPr="00463E15">
        <w:rPr>
          <w:rFonts w:ascii="Source Sans Pro" w:eastAsia="Calibri" w:hAnsi="Source Sans Pro"/>
          <w:color w:val="000000"/>
          <w:lang w:eastAsia="en-US"/>
        </w:rPr>
        <w:t xml:space="preserve">arodizglītību un </w:t>
      </w:r>
      <w:r w:rsidRPr="00463E15">
        <w:rPr>
          <w:rFonts w:ascii="Source Sans Pro" w:eastAsia="Calibri" w:hAnsi="Source Sans Pro"/>
          <w:color w:val="000000"/>
          <w:lang w:eastAsia="en-US"/>
        </w:rPr>
        <w:t>profesionālo vidējo izglītību līdz 2040.</w:t>
      </w:r>
      <w:r w:rsidR="00A518FF">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gadam varētu samazināties par </w:t>
      </w:r>
      <w:r w:rsidR="00463E15" w:rsidRPr="00463E15">
        <w:rPr>
          <w:rFonts w:ascii="Source Sans Pro" w:eastAsia="Calibri" w:hAnsi="Source Sans Pro"/>
          <w:color w:val="000000"/>
          <w:lang w:eastAsia="en-US"/>
        </w:rPr>
        <w:t>aptuveni 30%</w:t>
      </w:r>
      <w:r w:rsidRPr="00463E15">
        <w:rPr>
          <w:rFonts w:ascii="Source Sans Pro" w:eastAsia="Calibri" w:hAnsi="Source Sans Pro"/>
          <w:color w:val="000000"/>
          <w:lang w:eastAsia="en-US"/>
        </w:rPr>
        <w:t xml:space="preserve"> jeb </w:t>
      </w:r>
      <w:r w:rsidR="00463E15" w:rsidRPr="00463E15">
        <w:rPr>
          <w:rFonts w:ascii="Source Sans Pro" w:eastAsia="Calibri" w:hAnsi="Source Sans Pro"/>
          <w:color w:val="000000"/>
          <w:lang w:eastAsia="en-US"/>
        </w:rPr>
        <w:t>82</w:t>
      </w:r>
      <w:r w:rsidRPr="00463E15">
        <w:rPr>
          <w:rFonts w:ascii="Source Sans Pro" w:eastAsia="Calibri" w:hAnsi="Source Sans Pro"/>
          <w:color w:val="000000"/>
          <w:lang w:eastAsia="en-US"/>
        </w:rPr>
        <w:t xml:space="preserve"> tūkst., </w:t>
      </w:r>
      <w:r w:rsidR="00463E15" w:rsidRPr="00463E15">
        <w:rPr>
          <w:rFonts w:ascii="Source Sans Pro" w:eastAsia="Calibri" w:hAnsi="Source Sans Pro"/>
          <w:color w:val="000000"/>
          <w:lang w:eastAsia="en-US"/>
        </w:rPr>
        <w:t xml:space="preserve">salīdzinot ar 2025. gadu, </w:t>
      </w:r>
      <w:r w:rsidRPr="00463E15">
        <w:rPr>
          <w:rFonts w:ascii="Source Sans Pro" w:eastAsia="Calibri" w:hAnsi="Source Sans Pro"/>
          <w:color w:val="000000"/>
          <w:lang w:eastAsia="en-US"/>
        </w:rPr>
        <w:t xml:space="preserve">bet atbilstošas kvalifikācijas darbaspēka iztrūkums </w:t>
      </w:r>
      <w:r w:rsidR="00463E15" w:rsidRPr="00463E15">
        <w:rPr>
          <w:rFonts w:ascii="Source Sans Pro" w:eastAsia="Calibri" w:hAnsi="Source Sans Pro"/>
          <w:color w:val="000000"/>
          <w:lang w:eastAsia="en-US"/>
        </w:rPr>
        <w:t>līdz 2040.</w:t>
      </w:r>
      <w:r w:rsidR="00A518FF">
        <w:rPr>
          <w:rFonts w:ascii="Source Sans Pro" w:eastAsia="Calibri" w:hAnsi="Source Sans Pro"/>
          <w:color w:val="000000"/>
          <w:lang w:eastAsia="en-US"/>
        </w:rPr>
        <w:t> </w:t>
      </w:r>
      <w:r w:rsidR="00463E15" w:rsidRPr="00463E15">
        <w:rPr>
          <w:rFonts w:ascii="Source Sans Pro" w:eastAsia="Calibri" w:hAnsi="Source Sans Pro"/>
          <w:color w:val="000000"/>
          <w:lang w:eastAsia="en-US"/>
        </w:rPr>
        <w:t xml:space="preserve">gadam </w:t>
      </w:r>
      <w:r w:rsidRPr="00463E15">
        <w:rPr>
          <w:rFonts w:ascii="Source Sans Pro" w:eastAsia="Calibri" w:hAnsi="Source Sans Pro"/>
          <w:color w:val="000000"/>
          <w:lang w:eastAsia="en-US"/>
        </w:rPr>
        <w:t xml:space="preserve">varētu pieaugt līdz </w:t>
      </w:r>
      <w:r w:rsidR="00463E15" w:rsidRPr="00463E15">
        <w:rPr>
          <w:rFonts w:ascii="Source Sans Pro" w:eastAsia="Calibri" w:hAnsi="Source Sans Pro"/>
          <w:color w:val="000000"/>
          <w:lang w:eastAsia="en-US"/>
        </w:rPr>
        <w:t>gandrīz 90</w:t>
      </w:r>
      <w:r w:rsidR="00A518FF">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tūkst. darbinieku. </w:t>
      </w:r>
      <w:r w:rsidR="00463E15" w:rsidRPr="00463E15">
        <w:rPr>
          <w:rFonts w:ascii="Source Sans Pro" w:eastAsia="Calibri" w:hAnsi="Source Sans Pro"/>
          <w:color w:val="000000"/>
          <w:lang w:eastAsia="en-US"/>
        </w:rPr>
        <w:t>Vidējās kvalifikācijas darbaspēka iztrūkums veidosies galvenokārt tehniskajās un kvalificēto strādnieku profesijās – būvnieku, metālapstrādes un mašīnbūves strādnieku, elektrisko un elektronisko iekārtu strādnieku, pārtikas produktu pārstrādes un kokapstrādes strādnieku, rūpniecisko iekārtu operatoru, kā arī pašgājēju mašīnu un iekārtu vadītāju un operatoru profesijās, kurās darbaspēka piedāvājumu ierobežos gan darbaspēka novecošanās, gan nepietiekams profesionālās izglītības piedāvājums atbilstošajās specialitātēs.</w:t>
      </w:r>
    </w:p>
    <w:p w14:paraId="48765E32" w14:textId="0BB53BB1" w:rsidR="00F94B79" w:rsidRPr="00D829F0" w:rsidRDefault="00F94B79" w:rsidP="005E5E57">
      <w:pPr>
        <w:pStyle w:val="EnvelopeReturn"/>
        <w:spacing w:after="120"/>
        <w:jc w:val="both"/>
        <w:rPr>
          <w:rFonts w:ascii="Source Sans Pro" w:eastAsia="Calibri" w:hAnsi="Source Sans Pro"/>
          <w:b/>
          <w:lang w:eastAsia="en-US"/>
        </w:rPr>
      </w:pPr>
      <w:r w:rsidRPr="00463E15">
        <w:rPr>
          <w:rFonts w:ascii="Source Sans Pro" w:eastAsia="Calibri" w:hAnsi="Source Sans Pro"/>
          <w:b/>
          <w:color w:val="000000"/>
          <w:lang w:eastAsia="en-US"/>
        </w:rPr>
        <w:t>Tautsaimniecības struktūras maiņa palielinās pieprasījumu pēc augstas kvalifikācijas darbaspēka, bet samazinās zemas un vidējās kvalifikācijas darbavietu skaitu.</w:t>
      </w:r>
      <w:r w:rsidRPr="00463E15">
        <w:rPr>
          <w:rFonts w:ascii="Source Sans Pro" w:eastAsia="Calibri" w:hAnsi="Source Sans Pro"/>
          <w:color w:val="000000"/>
          <w:lang w:eastAsia="en-US"/>
        </w:rPr>
        <w:t xml:space="preserve"> Produktivitātes līmeņa pieaugumu lielā mērā nodrošinās tautsaimniecības pārstrukturizācija no zemu un vidēji zemu tehnoloģiju nozarēm uz vidēji augstu un augstu tehnoloģiju nozarēm, līdz ar to ietekmējot ne tikai kopējo darbaspēka pieprasījumu, bet arī tā struktūru – palielinot augstas kvalifikācijas darbavietu īpatsvaru no vienas puses, bet samazinot zemas un vidēji zemas kvalifikācijas darbavietu īpatsvaru no otras puses. Kopumā līdz 2040.</w:t>
      </w:r>
      <w:r w:rsidR="00F93058">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gadam augstākās kvalifikācijas darbavietu īpatsvars </w:t>
      </w:r>
      <w:r w:rsidR="00463E15" w:rsidRPr="00463E15">
        <w:rPr>
          <w:rFonts w:ascii="Source Sans Pro" w:eastAsia="Calibri" w:hAnsi="Source Sans Pro"/>
          <w:color w:val="000000"/>
          <w:lang w:eastAsia="en-US"/>
        </w:rPr>
        <w:t>kopējā</w:t>
      </w:r>
      <w:r w:rsidRPr="00463E15">
        <w:rPr>
          <w:rFonts w:ascii="Source Sans Pro" w:eastAsia="Calibri" w:hAnsi="Source Sans Pro"/>
          <w:color w:val="000000"/>
          <w:lang w:eastAsia="en-US"/>
        </w:rPr>
        <w:t xml:space="preserve"> darbaspēka pieprasījumā</w:t>
      </w:r>
      <w:r w:rsidR="00463E15" w:rsidRPr="00463E15">
        <w:rPr>
          <w:rFonts w:ascii="Source Sans Pro" w:eastAsia="Calibri" w:hAnsi="Source Sans Pro"/>
          <w:color w:val="000000"/>
          <w:lang w:eastAsia="en-US"/>
        </w:rPr>
        <w:t xml:space="preserve"> varētu palielināties līdz 51,3% (2030.</w:t>
      </w:r>
      <w:r w:rsidR="00F93058">
        <w:rPr>
          <w:rFonts w:ascii="Source Sans Pro" w:eastAsia="Calibri" w:hAnsi="Source Sans Pro"/>
          <w:color w:val="000000"/>
          <w:lang w:eastAsia="en-US"/>
        </w:rPr>
        <w:t> </w:t>
      </w:r>
      <w:r w:rsidR="00463E15" w:rsidRPr="00463E15">
        <w:rPr>
          <w:rFonts w:ascii="Source Sans Pro" w:eastAsia="Calibri" w:hAnsi="Source Sans Pro"/>
          <w:color w:val="000000"/>
          <w:lang w:eastAsia="en-US"/>
        </w:rPr>
        <w:t>gadā – 47,0%),</w:t>
      </w:r>
      <w:r w:rsidRPr="00463E15">
        <w:rPr>
          <w:rFonts w:ascii="Source Sans Pro" w:eastAsia="Calibri" w:hAnsi="Source Sans Pro"/>
          <w:color w:val="000000"/>
          <w:lang w:eastAsia="en-US"/>
        </w:rPr>
        <w:t xml:space="preserve"> bet vidējās </w:t>
      </w:r>
      <w:r w:rsidR="00463E15" w:rsidRPr="00463E15">
        <w:rPr>
          <w:rFonts w:ascii="Source Sans Pro" w:eastAsia="Calibri" w:hAnsi="Source Sans Pro"/>
          <w:color w:val="000000"/>
          <w:lang w:eastAsia="en-US"/>
        </w:rPr>
        <w:t xml:space="preserve">kvalifikācijas profesiju īpatsvars sarukt līdz 39,1% </w:t>
      </w:r>
      <w:r w:rsidRPr="00463E15">
        <w:rPr>
          <w:rFonts w:ascii="Source Sans Pro" w:eastAsia="Calibri" w:hAnsi="Source Sans Pro"/>
          <w:color w:val="000000"/>
          <w:lang w:eastAsia="en-US"/>
        </w:rPr>
        <w:t xml:space="preserve">un zemas kvalifikācijas profesiju īpatsvars </w:t>
      </w:r>
      <w:r w:rsidR="00463E15" w:rsidRPr="00463E15">
        <w:rPr>
          <w:rFonts w:ascii="Source Sans Pro" w:eastAsia="Calibri" w:hAnsi="Source Sans Pro"/>
          <w:color w:val="000000"/>
          <w:lang w:eastAsia="en-US"/>
        </w:rPr>
        <w:t>– līdz 8,5%.</w:t>
      </w:r>
      <w:r w:rsidRPr="00463E15">
        <w:rPr>
          <w:rFonts w:ascii="Source Sans Pro" w:eastAsia="Calibri" w:hAnsi="Source Sans Pro"/>
          <w:color w:val="000000"/>
          <w:lang w:eastAsia="en-US"/>
        </w:rPr>
        <w:t xml:space="preserve"> Proporcionāli visbūtiskāk tautsaimniecības struktūras maiņa varētu ietekmēt vienkāršās profesijas. Darbaspēka pieprasījums vienkāršajās profesijās līdz 2040.</w:t>
      </w:r>
      <w:r w:rsidR="00F93058">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gadam varētu samazināties par gandrīz </w:t>
      </w:r>
      <w:r w:rsidR="00463E15" w:rsidRPr="00463E15">
        <w:rPr>
          <w:rFonts w:ascii="Source Sans Pro" w:eastAsia="Calibri" w:hAnsi="Source Sans Pro"/>
          <w:color w:val="000000"/>
          <w:lang w:eastAsia="en-US"/>
        </w:rPr>
        <w:t>28</w:t>
      </w:r>
      <w:r w:rsidRPr="00463E15">
        <w:rPr>
          <w:rFonts w:ascii="Source Sans Pro" w:eastAsia="Calibri" w:hAnsi="Source Sans Pro"/>
          <w:color w:val="000000"/>
          <w:lang w:eastAsia="en-US"/>
        </w:rPr>
        <w:t xml:space="preserve">% jeb </w:t>
      </w:r>
      <w:r w:rsidR="00463E15" w:rsidRPr="00463E15">
        <w:rPr>
          <w:rFonts w:ascii="Source Sans Pro" w:eastAsia="Calibri" w:hAnsi="Source Sans Pro"/>
          <w:color w:val="000000"/>
          <w:lang w:eastAsia="en-US"/>
        </w:rPr>
        <w:t>28,9</w:t>
      </w:r>
      <w:r w:rsidR="00F93058">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tūkst. darbavietu, savukārt vidējās kvalifikācijas darbavietas </w:t>
      </w:r>
      <w:r w:rsidR="00463E15" w:rsidRPr="00463E15">
        <w:rPr>
          <w:rFonts w:ascii="Source Sans Pro" w:eastAsia="Calibri" w:hAnsi="Source Sans Pro"/>
          <w:color w:val="000000"/>
          <w:lang w:eastAsia="en-US"/>
        </w:rPr>
        <w:t>– par aptuveni 25,3</w:t>
      </w:r>
      <w:r w:rsidR="00D352AF">
        <w:rPr>
          <w:rFonts w:ascii="Source Sans Pro" w:eastAsia="Calibri" w:hAnsi="Source Sans Pro"/>
          <w:color w:val="000000"/>
          <w:lang w:eastAsia="en-US"/>
        </w:rPr>
        <w:t> </w:t>
      </w:r>
      <w:r w:rsidRPr="00463E15">
        <w:rPr>
          <w:rFonts w:ascii="Source Sans Pro" w:eastAsia="Calibri" w:hAnsi="Source Sans Pro"/>
          <w:color w:val="000000"/>
          <w:lang w:eastAsia="en-US"/>
        </w:rPr>
        <w:t>tūkst. jeb 6,8</w:t>
      </w:r>
      <w:r w:rsidR="00463E15" w:rsidRPr="00463E15">
        <w:rPr>
          <w:rFonts w:ascii="Source Sans Pro" w:eastAsia="Calibri" w:hAnsi="Source Sans Pro"/>
          <w:color w:val="000000"/>
          <w:lang w:eastAsia="en-US"/>
        </w:rPr>
        <w:t>%, salīdzinot ar 2025.</w:t>
      </w:r>
      <w:r w:rsidR="00F93058">
        <w:rPr>
          <w:rFonts w:ascii="Source Sans Pro" w:eastAsia="Calibri" w:hAnsi="Source Sans Pro"/>
          <w:color w:val="000000"/>
          <w:lang w:eastAsia="en-US"/>
        </w:rPr>
        <w:t> </w:t>
      </w:r>
      <w:r w:rsidR="00463E15" w:rsidRPr="00463E15">
        <w:rPr>
          <w:rFonts w:ascii="Source Sans Pro" w:eastAsia="Calibri" w:hAnsi="Source Sans Pro"/>
          <w:color w:val="000000"/>
          <w:lang w:eastAsia="en-US"/>
        </w:rPr>
        <w:t>gadu.</w:t>
      </w:r>
      <w:r w:rsidRPr="00463E15">
        <w:rPr>
          <w:rFonts w:ascii="Source Sans Pro" w:eastAsia="Calibri" w:hAnsi="Source Sans Pro"/>
          <w:color w:val="000000"/>
          <w:lang w:eastAsia="en-US"/>
        </w:rPr>
        <w:t xml:space="preserve"> Periodā līdz 2040. gadam augstākās kvalifikācijas darbavietu skaits varētu pieaugt par </w:t>
      </w:r>
      <w:r w:rsidR="00463E15" w:rsidRPr="00463E15">
        <w:rPr>
          <w:rFonts w:ascii="Source Sans Pro" w:eastAsia="Calibri" w:hAnsi="Source Sans Pro"/>
          <w:color w:val="000000"/>
          <w:lang w:eastAsia="en-US"/>
        </w:rPr>
        <w:t>aptuveni 57,5</w:t>
      </w:r>
      <w:r w:rsidR="00D352AF">
        <w:rPr>
          <w:rFonts w:ascii="Source Sans Pro" w:eastAsia="Calibri" w:hAnsi="Source Sans Pro"/>
          <w:color w:val="000000"/>
          <w:lang w:eastAsia="en-US"/>
        </w:rPr>
        <w:t> </w:t>
      </w:r>
      <w:r w:rsidR="00463E15" w:rsidRPr="00463E15">
        <w:rPr>
          <w:rFonts w:ascii="Source Sans Pro" w:eastAsia="Calibri" w:hAnsi="Source Sans Pro"/>
          <w:color w:val="000000"/>
          <w:lang w:eastAsia="en-US"/>
        </w:rPr>
        <w:t xml:space="preserve">tūkst. jeb 14,4%, veidojot </w:t>
      </w:r>
      <w:r w:rsidRPr="00463E15">
        <w:rPr>
          <w:rFonts w:ascii="Source Sans Pro" w:eastAsia="Calibri" w:hAnsi="Source Sans Pro"/>
          <w:color w:val="000000"/>
          <w:lang w:eastAsia="en-US"/>
        </w:rPr>
        <w:t>vairāk nekā pusi (</w:t>
      </w:r>
      <w:r w:rsidR="00463E15" w:rsidRPr="00463E15">
        <w:rPr>
          <w:rFonts w:ascii="Source Sans Pro" w:eastAsia="Calibri" w:hAnsi="Source Sans Pro"/>
          <w:color w:val="000000"/>
          <w:lang w:eastAsia="en-US"/>
        </w:rPr>
        <w:t>51,3</w:t>
      </w:r>
      <w:r w:rsidRPr="00463E15">
        <w:rPr>
          <w:rFonts w:ascii="Source Sans Pro" w:eastAsia="Calibri" w:hAnsi="Source Sans Pro"/>
          <w:color w:val="000000"/>
          <w:lang w:eastAsia="en-US"/>
        </w:rPr>
        <w:t xml:space="preserve">%) no kopējā darbavietu skaita tautsaimniecībā. Augstākās kvalifikācijas darbavietu pieaugums kopumā palielinās pieprasījumu pēc darbaspēka ar augstāko izglītību. Sagaidāms, ka darbaspēka pieprasījums </w:t>
      </w:r>
      <w:r w:rsidR="00463E15" w:rsidRPr="00463E15">
        <w:rPr>
          <w:rFonts w:ascii="Source Sans Pro" w:eastAsia="Calibri" w:hAnsi="Source Sans Pro"/>
          <w:color w:val="000000"/>
          <w:lang w:eastAsia="en-US"/>
        </w:rPr>
        <w:t xml:space="preserve">pēc speciālistiem </w:t>
      </w:r>
      <w:r w:rsidRPr="00463E15">
        <w:rPr>
          <w:rFonts w:ascii="Source Sans Pro" w:eastAsia="Calibri" w:hAnsi="Source Sans Pro"/>
          <w:color w:val="000000"/>
          <w:lang w:eastAsia="en-US"/>
        </w:rPr>
        <w:t xml:space="preserve">ar augstāko izglītību varētu palielināties </w:t>
      </w:r>
      <w:r w:rsidR="00463E15" w:rsidRPr="00463E15">
        <w:rPr>
          <w:rFonts w:ascii="Source Sans Pro" w:eastAsia="Calibri" w:hAnsi="Source Sans Pro"/>
          <w:color w:val="000000"/>
          <w:lang w:eastAsia="en-US"/>
        </w:rPr>
        <w:t>no aptuveni 398 tūkst. 2030.</w:t>
      </w:r>
      <w:r w:rsidR="00D352AF">
        <w:rPr>
          <w:rFonts w:ascii="Source Sans Pro" w:eastAsia="Calibri" w:hAnsi="Source Sans Pro"/>
          <w:color w:val="000000"/>
          <w:lang w:eastAsia="en-US"/>
        </w:rPr>
        <w:t> </w:t>
      </w:r>
      <w:r w:rsidR="00463E15" w:rsidRPr="00463E15">
        <w:rPr>
          <w:rFonts w:ascii="Source Sans Pro" w:eastAsia="Calibri" w:hAnsi="Source Sans Pro"/>
          <w:color w:val="000000"/>
          <w:lang w:eastAsia="en-US"/>
        </w:rPr>
        <w:t>gadā līdz 418 tūkst. 2040.</w:t>
      </w:r>
      <w:r w:rsidR="00D352AF">
        <w:rPr>
          <w:rFonts w:ascii="Source Sans Pro" w:eastAsia="Calibri" w:hAnsi="Source Sans Pro"/>
          <w:color w:val="000000"/>
          <w:lang w:eastAsia="en-US"/>
        </w:rPr>
        <w:t> </w:t>
      </w:r>
      <w:r w:rsidR="00463E15" w:rsidRPr="00463E15">
        <w:rPr>
          <w:rFonts w:ascii="Source Sans Pro" w:eastAsia="Calibri" w:hAnsi="Source Sans Pro"/>
          <w:color w:val="000000"/>
          <w:lang w:eastAsia="en-US"/>
        </w:rPr>
        <w:t>gadā.</w:t>
      </w:r>
      <w:r w:rsidRPr="00463E15">
        <w:rPr>
          <w:rFonts w:ascii="Source Sans Pro" w:eastAsia="Calibri" w:hAnsi="Source Sans Pro"/>
          <w:color w:val="000000"/>
          <w:lang w:eastAsia="en-US"/>
        </w:rPr>
        <w:t xml:space="preserve"> Vienlaikus jāņem vērā, ka gandrīz 26% no augstākās kvalifikācijas profesijām pašlaik ir nodarbināti darbinieki ar vidējo (25%) vai zemāku (1%) izglītību, tomēr šādi darbinieki nākamos gados pakāpeniski tiks aizvietoti.</w:t>
      </w:r>
    </w:p>
    <w:p w14:paraId="00088EDE" w14:textId="4BBDE2DB" w:rsidR="00F94B79" w:rsidRPr="00D829F0" w:rsidRDefault="00F94B79" w:rsidP="005E5E57">
      <w:pPr>
        <w:spacing w:after="120"/>
        <w:jc w:val="both"/>
        <w:rPr>
          <w:rFonts w:ascii="Source Sans Pro" w:hAnsi="Source Sans Pro"/>
          <w:b/>
          <w:szCs w:val="28"/>
        </w:rPr>
      </w:pPr>
      <w:r w:rsidRPr="00463E15">
        <w:rPr>
          <w:rFonts w:ascii="Source Sans Pro" w:hAnsi="Source Sans Pro"/>
          <w:b/>
          <w:color w:val="000000"/>
          <w:szCs w:val="28"/>
        </w:rPr>
        <w:t xml:space="preserve">Darbaspēka produktivitāti turpinās balstīt darbavietu automatizācija, ko paātrinās plašāka </w:t>
      </w:r>
      <w:r w:rsidR="009D2225" w:rsidRPr="00463E15">
        <w:rPr>
          <w:rFonts w:ascii="Source Sans Pro" w:hAnsi="Source Sans Pro"/>
          <w:b/>
          <w:color w:val="000000"/>
          <w:szCs w:val="28"/>
        </w:rPr>
        <w:t xml:space="preserve">MI </w:t>
      </w:r>
      <w:r w:rsidRPr="00463E15">
        <w:rPr>
          <w:rFonts w:ascii="Source Sans Pro" w:hAnsi="Source Sans Pro"/>
          <w:b/>
          <w:color w:val="000000"/>
          <w:szCs w:val="28"/>
        </w:rPr>
        <w:t>izmantošana.</w:t>
      </w:r>
      <w:r w:rsidRPr="00463E15">
        <w:rPr>
          <w:rFonts w:ascii="Source Sans Pro" w:hAnsi="Source Sans Pro"/>
          <w:color w:val="000000"/>
          <w:szCs w:val="28"/>
        </w:rPr>
        <w:t xml:space="preserve"> Ja iepriekšējās dekādēs viens no būtiskākajiem produktivitātes dzinuļiem ir bijis dažādu pakalpojumu un ražošanas procesu robotizācija un digitalizācija, tad līdz ar plašāku lielo valodu modeļu un citu MI balstītu produktu un pakalpojumu attīstību, ir aizsācies jauns tehnoloģiskais cikls. Līdzšinējās darbavietu automatizācijas tendences galvenokārt skāra vienkāršākus, manuāli veicamus un atkārtojamus darbus, kas pamatā aptvēra vidējās kvalifikācijas profesijas un darbaspēku, tomēr MI attīstība paver daudz plašākas automatizācijas iespējas, sākot ar uzlabojumiem darba organizācijā un klientu apkalpošanā līdz pat jaunu produktu un pakalpojumu radīšanai, līdz ar to skarot gandrīz visus darba tirgus segmentus. Lai arī MI attīstība ļauj turpināt efektivizēt arī manuāli veicamo darbu izpildi, tomēr atšķirībā no iepriekšējiem automatizācijas cikliem lielāka ietekme sagaidāma uz augstākās kvalifikācijas profesijām un dažādu jomu pakalpojumu darbiniekiem. </w:t>
      </w:r>
      <w:r w:rsidR="00463E15" w:rsidRPr="00463E15">
        <w:rPr>
          <w:rFonts w:ascii="Source Sans Pro" w:hAnsi="Source Sans Pro"/>
          <w:color w:val="000000"/>
          <w:szCs w:val="28"/>
        </w:rPr>
        <w:t>Augstāka MI ietekme sagaidāma profesijās, kurās dominē informācijas apstrāde, analītiskais darbs, rakstiskā komunikācija un lēmumu sagatavošana – IT speciālistu, vadītāju, biznesa un finanšu speciālistu, zinātnes un inženierzinātņu speciālistu, juristu, analītiķu un administratīvo speciālistu profesijās. Vienlaikus zemāka MI ietekme sagaidāma profesijās, kurās</w:t>
      </w:r>
      <w:r w:rsidRPr="00463E15">
        <w:rPr>
          <w:rFonts w:ascii="Source Sans Pro" w:hAnsi="Source Sans Pro"/>
          <w:color w:val="000000"/>
          <w:szCs w:val="28"/>
        </w:rPr>
        <w:t xml:space="preserve"> būtiska </w:t>
      </w:r>
      <w:r w:rsidR="00463E15" w:rsidRPr="00463E15">
        <w:rPr>
          <w:rFonts w:ascii="Source Sans Pro" w:hAnsi="Source Sans Pro"/>
          <w:color w:val="000000"/>
          <w:szCs w:val="28"/>
        </w:rPr>
        <w:t>nozīme ir fiziskam darbam, klātbūtnei, manuālām prasmēm vai tiešai aprūpei – apkopēju, palīgstrādnieku, aprūpes darbinieku profesijās, kā arī daļā transporta, būvniecības, lauksaimniecības un ražošanas profesiju.</w:t>
      </w:r>
      <w:r w:rsidRPr="00463E15">
        <w:rPr>
          <w:rFonts w:ascii="Source Sans Pro" w:hAnsi="Source Sans Pro"/>
          <w:color w:val="000000"/>
          <w:szCs w:val="28"/>
        </w:rPr>
        <w:t xml:space="preserve"> Lai gan MI ietekmē plašu darba tirgus daļu, tomēr līdz 2040.</w:t>
      </w:r>
      <w:r w:rsidR="00D352AF">
        <w:rPr>
          <w:rFonts w:ascii="Source Sans Pro" w:hAnsi="Source Sans Pro"/>
          <w:color w:val="000000"/>
          <w:szCs w:val="28"/>
        </w:rPr>
        <w:t> </w:t>
      </w:r>
      <w:r w:rsidRPr="00463E15">
        <w:rPr>
          <w:rFonts w:ascii="Source Sans Pro" w:hAnsi="Source Sans Pro"/>
          <w:color w:val="000000"/>
          <w:szCs w:val="28"/>
        </w:rPr>
        <w:t>gadam nav sagaidāma būtiskā MI ietekme uz kopējo darbavietu skaitu. Tāpat jāņem vērā, ka MI attīstība rada arī jaunas darbavietas, kas, piemēram, nodrošina MI pakalpojumus un procesu uzraudzību, līdz ar to pieaugs pieprasījums pēc speciālistiem ar prasmēm strādāt un pielietot MI ikdienas darbā.</w:t>
      </w:r>
    </w:p>
    <w:p w14:paraId="67670130" w14:textId="77777777" w:rsidR="007C6908" w:rsidRDefault="007C6908">
      <w:pPr>
        <w:spacing w:after="0"/>
        <w:rPr>
          <w:rFonts w:ascii="Source Sans Pro" w:hAnsi="Source Sans Pro"/>
          <w:b/>
          <w:color w:val="000000"/>
          <w:szCs w:val="20"/>
        </w:rPr>
      </w:pPr>
      <w:r>
        <w:rPr>
          <w:rFonts w:ascii="Source Sans Pro" w:hAnsi="Source Sans Pro"/>
          <w:b/>
          <w:color w:val="000000"/>
        </w:rPr>
        <w:br w:type="page"/>
      </w:r>
    </w:p>
    <w:p w14:paraId="635D80EF" w14:textId="535513F4" w:rsidR="00F94B79" w:rsidRPr="00D829F0" w:rsidRDefault="00F94B79" w:rsidP="005E5E57">
      <w:pPr>
        <w:pStyle w:val="EnvelopeReturn"/>
        <w:spacing w:after="120"/>
        <w:jc w:val="both"/>
        <w:rPr>
          <w:rFonts w:ascii="Source Sans Pro" w:eastAsia="Calibri" w:hAnsi="Source Sans Pro"/>
          <w:lang w:eastAsia="en-US"/>
        </w:rPr>
      </w:pPr>
      <w:r w:rsidRPr="00463E15">
        <w:rPr>
          <w:rFonts w:ascii="Source Sans Pro" w:eastAsia="Calibri" w:hAnsi="Source Sans Pro"/>
          <w:b/>
          <w:color w:val="000000"/>
          <w:lang w:eastAsia="en-US"/>
        </w:rPr>
        <w:lastRenderedPageBreak/>
        <w:t>Galvenās darba iespējas radīs aizvietojošais pieprasījums.</w:t>
      </w:r>
      <w:r w:rsidRPr="00463E15">
        <w:rPr>
          <w:rFonts w:ascii="Source Sans Pro" w:eastAsia="Calibri" w:hAnsi="Source Sans Pro"/>
          <w:color w:val="000000"/>
          <w:lang w:eastAsia="en-US"/>
        </w:rPr>
        <w:t xml:space="preserve"> Līdz 2040.</w:t>
      </w:r>
      <w:r w:rsidR="00D352AF">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gadam dēļ darbaspēka novecošanās un iziešanas no darba tirgus var atbrīvoties aptuveni </w:t>
      </w:r>
      <w:r w:rsidR="00463E15" w:rsidRPr="00463E15">
        <w:rPr>
          <w:rFonts w:ascii="Source Sans Pro" w:eastAsia="Calibri" w:hAnsi="Source Sans Pro"/>
          <w:color w:val="000000"/>
          <w:lang w:eastAsia="en-US"/>
        </w:rPr>
        <w:t>243,5</w:t>
      </w:r>
      <w:r w:rsidR="00D352AF">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tūkst. darbavietu, no kurām </w:t>
      </w:r>
      <w:r w:rsidR="00463E15" w:rsidRPr="00463E15">
        <w:rPr>
          <w:rFonts w:ascii="Source Sans Pro" w:eastAsia="Calibri" w:hAnsi="Source Sans Pro"/>
          <w:color w:val="000000"/>
          <w:lang w:eastAsia="en-US"/>
        </w:rPr>
        <w:t>gandrīz 110</w:t>
      </w:r>
      <w:r w:rsidR="00D352AF">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tūkst. vakanču veidosies augstākās kvalifikācijas profesijās, </w:t>
      </w:r>
      <w:r w:rsidR="00463E15" w:rsidRPr="00463E15">
        <w:rPr>
          <w:rFonts w:ascii="Source Sans Pro" w:eastAsia="Calibri" w:hAnsi="Source Sans Pro"/>
          <w:color w:val="000000"/>
          <w:lang w:eastAsia="en-US"/>
        </w:rPr>
        <w:t>aptuveni 107</w:t>
      </w:r>
      <w:r w:rsidRPr="00463E15">
        <w:rPr>
          <w:rFonts w:ascii="Source Sans Pro" w:eastAsia="Calibri" w:hAnsi="Source Sans Pro"/>
          <w:color w:val="000000"/>
          <w:lang w:eastAsia="en-US"/>
        </w:rPr>
        <w:t xml:space="preserve"> tūkst. vidējās kvalifikācijas profesijās, bet </w:t>
      </w:r>
      <w:r w:rsidR="00463E15" w:rsidRPr="00463E15">
        <w:rPr>
          <w:rFonts w:ascii="Source Sans Pro" w:eastAsia="Calibri" w:hAnsi="Source Sans Pro"/>
          <w:color w:val="000000"/>
          <w:lang w:eastAsia="en-US"/>
        </w:rPr>
        <w:t>gandrīz 27</w:t>
      </w:r>
      <w:r w:rsidR="00D352AF">
        <w:rPr>
          <w:rFonts w:ascii="Source Sans Pro" w:eastAsia="Calibri" w:hAnsi="Source Sans Pro"/>
          <w:color w:val="000000"/>
          <w:lang w:eastAsia="en-US"/>
        </w:rPr>
        <w:t> </w:t>
      </w:r>
      <w:r w:rsidRPr="00463E15">
        <w:rPr>
          <w:rFonts w:ascii="Source Sans Pro" w:eastAsia="Calibri" w:hAnsi="Source Sans Pro"/>
          <w:color w:val="000000"/>
          <w:lang w:eastAsia="en-US"/>
        </w:rPr>
        <w:t xml:space="preserve">tūkst. vienkāršajās profesijās. Būtiskākais aizvietojošais darbaspēka pieprasījums sagaidāms vecāko speciālistu profesijās – aptuveni </w:t>
      </w:r>
      <w:r w:rsidR="00463E15" w:rsidRPr="00463E15">
        <w:rPr>
          <w:rFonts w:ascii="Source Sans Pro" w:eastAsia="Calibri" w:hAnsi="Source Sans Pro"/>
          <w:color w:val="000000"/>
          <w:lang w:eastAsia="en-US"/>
        </w:rPr>
        <w:t>37</w:t>
      </w:r>
      <w:r w:rsidRPr="00463E15">
        <w:rPr>
          <w:rFonts w:ascii="Source Sans Pro" w:eastAsia="Calibri" w:hAnsi="Source Sans Pro"/>
          <w:color w:val="000000"/>
          <w:lang w:eastAsia="en-US"/>
        </w:rPr>
        <w:t xml:space="preserve">% no pašlaik nodarbinātajiem atbilstošajās profesijās līdz 2040. gadam varētu iziet no darba tirgus. Nozīmīgākais aizvietojošais darbaspēka pieprasījums vecāko speciālistu profesijās sagaidāms veselības aprūpes </w:t>
      </w:r>
      <w:r w:rsidR="00463E15" w:rsidRPr="00463E15">
        <w:rPr>
          <w:rFonts w:ascii="Source Sans Pro" w:eastAsia="Calibri" w:hAnsi="Source Sans Pro"/>
          <w:color w:val="000000"/>
          <w:lang w:eastAsia="en-US"/>
        </w:rPr>
        <w:t xml:space="preserve">un izglītības </w:t>
      </w:r>
      <w:r w:rsidRPr="00463E15">
        <w:rPr>
          <w:rFonts w:ascii="Source Sans Pro" w:eastAsia="Calibri" w:hAnsi="Source Sans Pro"/>
          <w:color w:val="000000"/>
          <w:lang w:eastAsia="en-US"/>
        </w:rPr>
        <w:t xml:space="preserve">jomas vecāko speciālistu profesiju apakšgrupās. Vienlaikus vidējās kvalifikācijas profesijās būtiskākais aizvietojošā darbaspēka pieprasījuma pieaugums var veidoties </w:t>
      </w:r>
      <w:r w:rsidR="00463E15" w:rsidRPr="00463E15">
        <w:rPr>
          <w:rFonts w:ascii="Source Sans Pro" w:eastAsia="Calibri" w:hAnsi="Source Sans Pro"/>
          <w:color w:val="000000"/>
          <w:lang w:eastAsia="en-US"/>
        </w:rPr>
        <w:t xml:space="preserve">pašgājēju </w:t>
      </w:r>
      <w:r w:rsidRPr="00463E15">
        <w:rPr>
          <w:rFonts w:ascii="Source Sans Pro" w:eastAsia="Calibri" w:hAnsi="Source Sans Pro"/>
          <w:color w:val="000000"/>
          <w:lang w:eastAsia="en-US"/>
        </w:rPr>
        <w:t>mašīnu un iekārtu vadītāju un operatoru, individuālās aprūpes darbinieku, rūpniecisko iekārtu operatoru, pārtikas produktu pārstrādes un kokapstrādes strādnieku, lauksaimniecības, kā arī apsardzes pakalpojumu jomas darbinieku profesijās. Kopumā aizvietojošais pieprasījums līdz 2040.</w:t>
      </w:r>
      <w:r w:rsidR="00D352AF">
        <w:rPr>
          <w:rFonts w:ascii="Source Sans Pro" w:eastAsia="Calibri" w:hAnsi="Source Sans Pro"/>
          <w:color w:val="000000"/>
          <w:lang w:eastAsia="en-US"/>
        </w:rPr>
        <w:t> </w:t>
      </w:r>
      <w:r w:rsidRPr="00463E15">
        <w:rPr>
          <w:rFonts w:ascii="Source Sans Pro" w:eastAsia="Calibri" w:hAnsi="Source Sans Pro"/>
          <w:color w:val="000000"/>
          <w:lang w:eastAsia="en-US"/>
        </w:rPr>
        <w:t>gadam varētu veidot gandrīz 70% no kopējā vakanču skaita darba tirgū.</w:t>
      </w:r>
    </w:p>
    <w:p w14:paraId="51218F93" w14:textId="180282A3" w:rsidR="00F94B79" w:rsidRPr="00D829F0" w:rsidRDefault="00F94B79" w:rsidP="005E5E57">
      <w:pPr>
        <w:pStyle w:val="EnvelopeReturn"/>
        <w:spacing w:after="120"/>
        <w:jc w:val="both"/>
        <w:rPr>
          <w:rFonts w:ascii="Source Sans Pro" w:eastAsia="Calibri" w:hAnsi="Source Sans Pro"/>
          <w:color w:val="262626" w:themeColor="text1" w:themeTint="D9"/>
          <w:szCs w:val="28"/>
          <w:lang w:eastAsia="en-US"/>
        </w:rPr>
      </w:pPr>
    </w:p>
    <w:p w14:paraId="66B0A802" w14:textId="77777777" w:rsidR="007C6908" w:rsidRPr="00D829F0" w:rsidRDefault="007C6908" w:rsidP="005E5E57">
      <w:pPr>
        <w:pStyle w:val="EnvelopeReturn"/>
        <w:spacing w:after="120"/>
        <w:jc w:val="both"/>
        <w:rPr>
          <w:rFonts w:ascii="Source Sans Pro" w:eastAsia="Calibri" w:hAnsi="Source Sans Pro"/>
          <w:color w:val="262626" w:themeColor="text1" w:themeTint="D9"/>
          <w:szCs w:val="28"/>
          <w:lang w:eastAsia="en-US"/>
        </w:rPr>
      </w:pPr>
    </w:p>
    <w:p w14:paraId="7A760AFA" w14:textId="77777777" w:rsidR="00977392" w:rsidRPr="00A55174" w:rsidRDefault="00977392" w:rsidP="00F458B3">
      <w:pPr>
        <w:tabs>
          <w:tab w:val="left" w:pos="284"/>
        </w:tabs>
        <w:spacing w:after="120"/>
        <w:jc w:val="both"/>
        <w:rPr>
          <w:rFonts w:ascii="Aptos Narrow" w:hAnsi="Aptos Narrow"/>
          <w:b/>
          <w:color w:val="003E4C"/>
          <w:sz w:val="28"/>
          <w:szCs w:val="28"/>
        </w:rPr>
      </w:pPr>
      <w:r w:rsidRPr="00A55174">
        <w:rPr>
          <w:rFonts w:ascii="Aptos Narrow" w:hAnsi="Aptos Narrow"/>
          <w:b/>
          <w:color w:val="003E4C"/>
          <w:sz w:val="28"/>
          <w:szCs w:val="28"/>
        </w:rPr>
        <w:t>III</w:t>
      </w:r>
      <w:r w:rsidRPr="00A55174">
        <w:rPr>
          <w:rFonts w:ascii="Aptos Narrow" w:hAnsi="Aptos Narrow"/>
          <w:b/>
          <w:color w:val="003E4C"/>
          <w:sz w:val="28"/>
          <w:szCs w:val="28"/>
        </w:rPr>
        <w:tab/>
        <w:t>GALVENĀS DARBA TIRGUS NEATBILSTĪBAS</w:t>
      </w:r>
    </w:p>
    <w:p w14:paraId="1D90070B" w14:textId="12B4305D" w:rsidR="00977392" w:rsidRPr="00D829F0" w:rsidRDefault="002E0923" w:rsidP="00977392">
      <w:pPr>
        <w:pStyle w:val="EnvelopeReturn"/>
        <w:spacing w:after="120"/>
        <w:jc w:val="both"/>
        <w:rPr>
          <w:rFonts w:ascii="Source Sans Pro" w:hAnsi="Source Sans Pro"/>
        </w:rPr>
      </w:pPr>
      <w:r w:rsidRPr="002E0923">
        <w:rPr>
          <w:rFonts w:ascii="Source Sans Pro" w:hAnsi="Source Sans Pro"/>
          <w:b/>
          <w:color w:val="000000"/>
        </w:rPr>
        <w:t>Augstākās</w:t>
      </w:r>
      <w:r w:rsidR="00977392" w:rsidRPr="002E0923">
        <w:rPr>
          <w:rFonts w:ascii="Source Sans Pro" w:hAnsi="Source Sans Pro"/>
          <w:b/>
          <w:color w:val="000000"/>
        </w:rPr>
        <w:t xml:space="preserve"> izglītības piedāvājuma strukturālās izmaiņas ir lēnas, būtiska problēma </w:t>
      </w:r>
      <w:r w:rsidRPr="002E0923">
        <w:rPr>
          <w:rFonts w:ascii="Source Sans Pro" w:hAnsi="Source Sans Pro"/>
          <w:b/>
          <w:color w:val="000000"/>
        </w:rPr>
        <w:t>saglabājas</w:t>
      </w:r>
      <w:r w:rsidR="00977392" w:rsidRPr="002E0923">
        <w:rPr>
          <w:rFonts w:ascii="Source Sans Pro" w:hAnsi="Source Sans Pro"/>
          <w:b/>
          <w:color w:val="000000"/>
        </w:rPr>
        <w:t xml:space="preserve"> studējošo atbirums STEM virzienos.</w:t>
      </w:r>
      <w:r w:rsidR="00977392" w:rsidRPr="002E0923">
        <w:rPr>
          <w:rFonts w:ascii="Source Sans Pro" w:hAnsi="Source Sans Pro"/>
          <w:color w:val="000000"/>
        </w:rPr>
        <w:t xml:space="preserve"> </w:t>
      </w:r>
      <w:r w:rsidRPr="002E0923">
        <w:rPr>
          <w:rFonts w:ascii="Source Sans Pro" w:hAnsi="Source Sans Pro"/>
          <w:color w:val="000000"/>
        </w:rPr>
        <w:t>Lai gan valsts finansēto studiju vietu īpatsvars pēdējos gados ir palielinājies (2025. gadā aptuveni 59% no studijas uzsākušajiem studēja par valsts budžeta līdzekļiem, STEM virzienos – 60%), būtiski uzlabojumi augstākās izglītības piedāvājuma struktūrā notiek lēni. STEM virzienos (dabaszinātņu, matemātikas un informācijas tehnoloģiju, kā arī inženierzinātņu, ražošanas un būvniecības tematiskajās grupās) 2025.</w:t>
      </w:r>
      <w:r w:rsidR="00D352AF">
        <w:rPr>
          <w:rFonts w:ascii="Source Sans Pro" w:hAnsi="Source Sans Pro"/>
          <w:color w:val="000000"/>
        </w:rPr>
        <w:t> </w:t>
      </w:r>
      <w:r w:rsidRPr="002E0923">
        <w:rPr>
          <w:rFonts w:ascii="Source Sans Pro" w:hAnsi="Source Sans Pro"/>
          <w:color w:val="000000"/>
        </w:rPr>
        <w:t>gadā tika uzņemti 24,4% no kopējā uzņemto studentu skaita, kas ir vairāk nekā 2024.</w:t>
      </w:r>
      <w:r w:rsidR="00D352AF">
        <w:rPr>
          <w:rFonts w:ascii="Source Sans Pro" w:hAnsi="Source Sans Pro"/>
          <w:color w:val="000000"/>
        </w:rPr>
        <w:t> </w:t>
      </w:r>
      <w:r w:rsidRPr="002E0923">
        <w:rPr>
          <w:rFonts w:ascii="Source Sans Pro" w:hAnsi="Source Sans Pro"/>
          <w:color w:val="000000"/>
        </w:rPr>
        <w:t>gadā, bet joprojām mazāk nekā 2015.</w:t>
      </w:r>
      <w:r w:rsidR="00D352AF">
        <w:rPr>
          <w:rFonts w:ascii="Source Sans Pro" w:hAnsi="Source Sans Pro"/>
          <w:color w:val="000000"/>
        </w:rPr>
        <w:t> </w:t>
      </w:r>
      <w:r w:rsidRPr="002E0923">
        <w:rPr>
          <w:rFonts w:ascii="Source Sans Pro" w:hAnsi="Source Sans Pro"/>
          <w:color w:val="000000"/>
        </w:rPr>
        <w:t>gadā. Vienlaikus sociālo zinātņu tematiskajā jomā uzņemto studentu īpatsvars 2025.</w:t>
      </w:r>
      <w:r w:rsidR="00D352AF">
        <w:rPr>
          <w:rFonts w:ascii="Source Sans Pro" w:hAnsi="Source Sans Pro"/>
          <w:color w:val="000000"/>
        </w:rPr>
        <w:t> </w:t>
      </w:r>
      <w:r w:rsidRPr="002E0923">
        <w:rPr>
          <w:rFonts w:ascii="Source Sans Pro" w:hAnsi="Source Sans Pro"/>
          <w:color w:val="000000"/>
        </w:rPr>
        <w:t>gadā sasniedza 38,5%, kas ir augstākais rādītājs kopš 2013.</w:t>
      </w:r>
      <w:r w:rsidR="00D352AF">
        <w:rPr>
          <w:rFonts w:ascii="Source Sans Pro" w:hAnsi="Source Sans Pro"/>
          <w:color w:val="000000"/>
        </w:rPr>
        <w:t> </w:t>
      </w:r>
      <w:r w:rsidRPr="002E0923">
        <w:rPr>
          <w:rFonts w:ascii="Source Sans Pro" w:hAnsi="Source Sans Pro"/>
          <w:color w:val="000000"/>
        </w:rPr>
        <w:t>gada. Pozitīva tendence vērojama dabaszinātņu, matemātikas un informācijas tehnoloģiju absolventu īpatsvarā, kas pieaudzis no 6,6% 2020.</w:t>
      </w:r>
      <w:r w:rsidR="00D352AF">
        <w:rPr>
          <w:rFonts w:ascii="Source Sans Pro" w:hAnsi="Source Sans Pro"/>
          <w:color w:val="000000"/>
        </w:rPr>
        <w:t> </w:t>
      </w:r>
      <w:r w:rsidRPr="002E0923">
        <w:rPr>
          <w:rFonts w:ascii="Source Sans Pro" w:hAnsi="Source Sans Pro"/>
          <w:color w:val="000000"/>
        </w:rPr>
        <w:t>gadā līdz 11,5% 2025.</w:t>
      </w:r>
      <w:r w:rsidR="00D352AF">
        <w:rPr>
          <w:rFonts w:ascii="Source Sans Pro" w:hAnsi="Source Sans Pro"/>
          <w:color w:val="000000"/>
        </w:rPr>
        <w:t> </w:t>
      </w:r>
      <w:r w:rsidRPr="002E0923">
        <w:rPr>
          <w:rFonts w:ascii="Source Sans Pro" w:hAnsi="Source Sans Pro"/>
          <w:color w:val="000000"/>
        </w:rPr>
        <w:t>gadā, pietuvojoties 2027.</w:t>
      </w:r>
      <w:r w:rsidR="00D352AF">
        <w:rPr>
          <w:rFonts w:ascii="Source Sans Pro" w:hAnsi="Source Sans Pro"/>
          <w:color w:val="000000"/>
        </w:rPr>
        <w:t> </w:t>
      </w:r>
      <w:r w:rsidRPr="002E0923">
        <w:rPr>
          <w:rFonts w:ascii="Source Sans Pro" w:hAnsi="Source Sans Pro"/>
          <w:color w:val="000000"/>
        </w:rPr>
        <w:t xml:space="preserve">gadam izvirzītajam 12% mērķim. </w:t>
      </w:r>
      <w:r w:rsidR="00977392" w:rsidRPr="002E0923">
        <w:rPr>
          <w:rFonts w:ascii="Source Sans Pro" w:hAnsi="Source Sans Pro"/>
          <w:color w:val="000000"/>
        </w:rPr>
        <w:t xml:space="preserve">Tāpat būtiska problēma joprojām </w:t>
      </w:r>
      <w:r w:rsidRPr="002E0923">
        <w:rPr>
          <w:rFonts w:ascii="Source Sans Pro" w:hAnsi="Source Sans Pro"/>
          <w:color w:val="000000"/>
        </w:rPr>
        <w:t>saglabājas augstais studējošo atbirums STEM virzienos – aptuveni 28% no studējošiem STEM izglītības programmās ik gadu izkrīt no studijām, kas būtiski ierobežo potenciālo darbaspēka pieaugumu šajās jomās.</w:t>
      </w:r>
      <w:r w:rsidR="00977392" w:rsidRPr="002E0923">
        <w:rPr>
          <w:rFonts w:ascii="Source Sans Pro" w:hAnsi="Source Sans Pro"/>
          <w:color w:val="000000"/>
        </w:rPr>
        <w:t xml:space="preserve"> Ņemot vērā minētās tendences, gan vidējā, gan ilgtermiņā joprojām </w:t>
      </w:r>
      <w:r w:rsidRPr="002E0923">
        <w:rPr>
          <w:rFonts w:ascii="Source Sans Pro" w:hAnsi="Source Sans Pro"/>
          <w:color w:val="000000"/>
        </w:rPr>
        <w:t>saglabājas</w:t>
      </w:r>
      <w:r w:rsidR="00977392" w:rsidRPr="002E0923">
        <w:rPr>
          <w:rFonts w:ascii="Source Sans Pro" w:hAnsi="Source Sans Pro"/>
          <w:color w:val="000000"/>
        </w:rPr>
        <w:t xml:space="preserve"> augsti nepietiekamības riski pēc darbaspēka ar augstāko izglītību STEM virzienos.</w:t>
      </w:r>
    </w:p>
    <w:p w14:paraId="396AEBF7" w14:textId="77C0CCB3" w:rsidR="00977392" w:rsidRPr="00D829F0" w:rsidRDefault="002E0923" w:rsidP="00977392">
      <w:pPr>
        <w:pStyle w:val="EnvelopeReturn"/>
        <w:spacing w:after="120"/>
        <w:jc w:val="both"/>
        <w:rPr>
          <w:rFonts w:ascii="Source Sans Pro" w:hAnsi="Source Sans Pro"/>
        </w:rPr>
      </w:pPr>
      <w:r w:rsidRPr="002E0923">
        <w:rPr>
          <w:rFonts w:ascii="Source Sans Pro" w:hAnsi="Source Sans Pro"/>
          <w:b/>
          <w:color w:val="000000"/>
        </w:rPr>
        <w:t>Saglabājas</w:t>
      </w:r>
      <w:r w:rsidR="00977392" w:rsidRPr="002E0923">
        <w:rPr>
          <w:rFonts w:ascii="Source Sans Pro" w:hAnsi="Source Sans Pro"/>
          <w:b/>
          <w:color w:val="000000"/>
        </w:rPr>
        <w:t xml:space="preserve"> augsts vidējās kvalifikācijas darbaspēka ar profesionālo izglītību nepietiekamības risks.</w:t>
      </w:r>
      <w:r w:rsidR="00977392" w:rsidRPr="002E0923">
        <w:rPr>
          <w:rFonts w:ascii="Source Sans Pro" w:hAnsi="Source Sans Pro"/>
          <w:color w:val="000000"/>
        </w:rPr>
        <w:t xml:space="preserve"> </w:t>
      </w:r>
      <w:r w:rsidRPr="002E0923">
        <w:rPr>
          <w:rFonts w:ascii="Source Sans Pro" w:hAnsi="Source Sans Pro"/>
          <w:color w:val="000000"/>
        </w:rPr>
        <w:t xml:space="preserve">Profesionālās izglītības iestādēs uzņemto izglītojamo skaits pēdējos gados saglabājas aptuveni vienā līmenī, kas joprojām ir būtiski mazāk nekā nepieciešams, lai nodrošinātu vidējās kvalifikācijas darbaspēka atražošanu – lai saglabātu atbilstošās kvalifikācijas darbaspēka piedāvājumu esošajā līmenī, profesionālajā izglītībā būtu jāuzņem vismaz divreiz vairāk audzēkņu nekā pašlaik. Turklāt pamatskolu </w:t>
      </w:r>
      <w:r w:rsidR="00977392" w:rsidRPr="002E0923">
        <w:rPr>
          <w:rFonts w:ascii="Source Sans Pro" w:hAnsi="Source Sans Pro"/>
          <w:color w:val="000000"/>
        </w:rPr>
        <w:t>absolventu īpatsvars, kas turpina mācības profesionālajā izglītībā</w:t>
      </w:r>
      <w:r w:rsidRPr="002E0923">
        <w:rPr>
          <w:rFonts w:ascii="Source Sans Pro" w:hAnsi="Source Sans Pro"/>
          <w:color w:val="000000"/>
        </w:rPr>
        <w:t>, 2025.</w:t>
      </w:r>
      <w:r w:rsidR="00D352AF">
        <w:rPr>
          <w:rFonts w:ascii="Source Sans Pro" w:hAnsi="Source Sans Pro"/>
          <w:color w:val="000000"/>
        </w:rPr>
        <w:t> </w:t>
      </w:r>
      <w:r w:rsidRPr="002E0923">
        <w:rPr>
          <w:rFonts w:ascii="Source Sans Pro" w:hAnsi="Source Sans Pro"/>
          <w:color w:val="000000"/>
        </w:rPr>
        <w:t>gadā samazinājās līdz 33,3% (2024.</w:t>
      </w:r>
      <w:r w:rsidR="00D352AF">
        <w:rPr>
          <w:rFonts w:ascii="Source Sans Pro" w:hAnsi="Source Sans Pro"/>
          <w:color w:val="000000"/>
        </w:rPr>
        <w:t> </w:t>
      </w:r>
      <w:r w:rsidRPr="002E0923">
        <w:rPr>
          <w:rFonts w:ascii="Source Sans Pro" w:hAnsi="Source Sans Pro"/>
          <w:color w:val="000000"/>
        </w:rPr>
        <w:t>gadā – 34,4%), attālinoties no izvirzītā mērķa – 45% līdz 2027.</w:t>
      </w:r>
      <w:r w:rsidR="00D352AF">
        <w:rPr>
          <w:rFonts w:ascii="Source Sans Pro" w:hAnsi="Source Sans Pro"/>
          <w:color w:val="000000"/>
        </w:rPr>
        <w:t> </w:t>
      </w:r>
      <w:r w:rsidRPr="002E0923">
        <w:rPr>
          <w:rFonts w:ascii="Source Sans Pro" w:hAnsi="Source Sans Pro"/>
          <w:color w:val="000000"/>
        </w:rPr>
        <w:t>gadam. Arī vidusskolu absolventu interese par profesionālo izglītību turpina samazināties – 2025.</w:t>
      </w:r>
      <w:r w:rsidR="00D352AF">
        <w:rPr>
          <w:rFonts w:ascii="Source Sans Pro" w:hAnsi="Source Sans Pro"/>
          <w:color w:val="000000"/>
        </w:rPr>
        <w:t> </w:t>
      </w:r>
      <w:r w:rsidRPr="002E0923">
        <w:rPr>
          <w:rFonts w:ascii="Source Sans Pro" w:hAnsi="Source Sans Pro"/>
          <w:color w:val="000000"/>
        </w:rPr>
        <w:t>gadā mācības profesionālās izglītības iestādēs turpināja tikai 2,4% vidusskolu absolventu. Līdz ar to profesionālo izglītību ieguvušo skaits saglabājas</w:t>
      </w:r>
      <w:r w:rsidR="00977392" w:rsidRPr="002E0923">
        <w:rPr>
          <w:rFonts w:ascii="Source Sans Pro" w:hAnsi="Source Sans Pro"/>
          <w:color w:val="000000"/>
        </w:rPr>
        <w:t xml:space="preserve"> būtiski mazāks nekā būtu nepieciešams, lai nodrošinātu vidējās kvalifikācijas darbaspēka vajadzības gan pašlaik, gan nākotnē.</w:t>
      </w:r>
    </w:p>
    <w:p w14:paraId="55EB3AB2" w14:textId="5D8BB83E" w:rsidR="00977392" w:rsidRPr="00D829F0" w:rsidRDefault="00977392" w:rsidP="00977392">
      <w:pPr>
        <w:pStyle w:val="EnvelopeReturn"/>
        <w:spacing w:after="120"/>
        <w:jc w:val="both"/>
        <w:rPr>
          <w:rFonts w:ascii="Source Sans Pro" w:hAnsi="Source Sans Pro"/>
        </w:rPr>
      </w:pPr>
      <w:r w:rsidRPr="002E0923">
        <w:rPr>
          <w:rFonts w:ascii="Source Sans Pro" w:hAnsi="Source Sans Pro"/>
          <w:b/>
          <w:color w:val="000000"/>
        </w:rPr>
        <w:t>Pieaug jauniešu īpatsvars, kas nonāk darba tirgū bez konkrētas specialitātes un prasmēm.</w:t>
      </w:r>
      <w:r w:rsidRPr="002E0923">
        <w:rPr>
          <w:rFonts w:ascii="Source Sans Pro" w:hAnsi="Source Sans Pro"/>
          <w:color w:val="000000"/>
        </w:rPr>
        <w:t xml:space="preserve"> Kopš 2020.</w:t>
      </w:r>
      <w:r w:rsidR="00D352AF">
        <w:rPr>
          <w:rFonts w:ascii="Source Sans Pro" w:hAnsi="Source Sans Pro"/>
          <w:color w:val="000000"/>
        </w:rPr>
        <w:t> </w:t>
      </w:r>
      <w:r w:rsidR="002E0923" w:rsidRPr="002E0923">
        <w:rPr>
          <w:rFonts w:ascii="Source Sans Pro" w:hAnsi="Source Sans Pro"/>
          <w:color w:val="000000"/>
        </w:rPr>
        <w:t>gada ir vērojama tendence pieaugt</w:t>
      </w:r>
      <w:r w:rsidRPr="002E0923">
        <w:rPr>
          <w:rFonts w:ascii="Source Sans Pro" w:hAnsi="Source Sans Pro"/>
          <w:color w:val="000000"/>
        </w:rPr>
        <w:t xml:space="preserve"> jauniešu </w:t>
      </w:r>
      <w:r w:rsidR="002E0923" w:rsidRPr="002E0923">
        <w:rPr>
          <w:rFonts w:ascii="Source Sans Pro" w:hAnsi="Source Sans Pro"/>
          <w:color w:val="000000"/>
        </w:rPr>
        <w:t>īpatsvaram</w:t>
      </w:r>
      <w:r w:rsidRPr="002E0923">
        <w:rPr>
          <w:rFonts w:ascii="Source Sans Pro" w:hAnsi="Source Sans Pro"/>
          <w:color w:val="000000"/>
        </w:rPr>
        <w:t xml:space="preserve">, kas pēc pamatizglītības beigšanas neturpina izglītības gaitas nākamajā izglītības posmā, tādejādi jau agrīni izkrītot no izglītības procesa un papildinot iedzīvotāju grupu ar zemu izglītības līmeni. Šādu jauniešu īpatsvars </w:t>
      </w:r>
      <w:r w:rsidR="002E0923" w:rsidRPr="002E0923">
        <w:rPr>
          <w:rFonts w:ascii="Source Sans Pro" w:hAnsi="Source Sans Pro"/>
          <w:color w:val="000000"/>
        </w:rPr>
        <w:t>2025</w:t>
      </w:r>
      <w:r w:rsidRPr="002E0923">
        <w:rPr>
          <w:rFonts w:ascii="Source Sans Pro" w:hAnsi="Source Sans Pro"/>
          <w:color w:val="000000"/>
        </w:rPr>
        <w:t>.</w:t>
      </w:r>
      <w:r w:rsidR="00D352AF">
        <w:rPr>
          <w:rFonts w:ascii="Source Sans Pro" w:hAnsi="Source Sans Pro"/>
          <w:color w:val="000000"/>
        </w:rPr>
        <w:t> </w:t>
      </w:r>
      <w:r w:rsidRPr="002E0923">
        <w:rPr>
          <w:rFonts w:ascii="Source Sans Pro" w:hAnsi="Source Sans Pro"/>
          <w:color w:val="000000"/>
        </w:rPr>
        <w:t>gadā veidoja 6,</w:t>
      </w:r>
      <w:r w:rsidR="002E0923" w:rsidRPr="002E0923">
        <w:rPr>
          <w:rFonts w:ascii="Source Sans Pro" w:hAnsi="Source Sans Pro"/>
          <w:color w:val="000000"/>
        </w:rPr>
        <w:t>6</w:t>
      </w:r>
      <w:r w:rsidRPr="002E0923">
        <w:rPr>
          <w:rFonts w:ascii="Source Sans Pro" w:hAnsi="Source Sans Pro"/>
          <w:color w:val="000000"/>
        </w:rPr>
        <w:t xml:space="preserve">% no visiem pamatizglītības posmu beigušajiem, kas ir </w:t>
      </w:r>
      <w:r w:rsidR="002E0923" w:rsidRPr="002E0923">
        <w:rPr>
          <w:rFonts w:ascii="Source Sans Pro" w:hAnsi="Source Sans Pro"/>
          <w:color w:val="000000"/>
        </w:rPr>
        <w:t>par 2,5 procentpunktiem augstāks</w:t>
      </w:r>
      <w:r w:rsidRPr="002E0923">
        <w:rPr>
          <w:rFonts w:ascii="Source Sans Pro" w:hAnsi="Source Sans Pro"/>
          <w:color w:val="000000"/>
        </w:rPr>
        <w:t xml:space="preserve"> rādītājs </w:t>
      </w:r>
      <w:r w:rsidR="002E0923" w:rsidRPr="002E0923">
        <w:rPr>
          <w:rFonts w:ascii="Source Sans Pro" w:hAnsi="Source Sans Pro"/>
          <w:color w:val="000000"/>
        </w:rPr>
        <w:t>nekā 2020.</w:t>
      </w:r>
      <w:r w:rsidR="00D352AF">
        <w:rPr>
          <w:rFonts w:ascii="Source Sans Pro" w:hAnsi="Source Sans Pro"/>
          <w:color w:val="000000"/>
        </w:rPr>
        <w:t> </w:t>
      </w:r>
      <w:r w:rsidR="002E0923" w:rsidRPr="002E0923">
        <w:rPr>
          <w:rFonts w:ascii="Source Sans Pro" w:hAnsi="Source Sans Pro"/>
          <w:color w:val="000000"/>
        </w:rPr>
        <w:t>gadā (4,1%), kad tika sasniegts zemākais rādītājs pēdējo 10 gadu laikā. 2024.</w:t>
      </w:r>
      <w:r w:rsidR="00D352AF">
        <w:rPr>
          <w:rFonts w:ascii="Source Sans Pro" w:hAnsi="Source Sans Pro"/>
          <w:color w:val="000000"/>
        </w:rPr>
        <w:t> </w:t>
      </w:r>
      <w:r w:rsidR="002E0923" w:rsidRPr="002E0923">
        <w:rPr>
          <w:rFonts w:ascii="Source Sans Pro" w:hAnsi="Source Sans Pro"/>
          <w:color w:val="000000"/>
        </w:rPr>
        <w:t>gadā šis rādītājs sasniedz</w:t>
      </w:r>
      <w:r w:rsidR="007B54B6">
        <w:rPr>
          <w:rFonts w:ascii="Source Sans Pro" w:hAnsi="Source Sans Pro"/>
          <w:color w:val="000000"/>
        </w:rPr>
        <w:t>a</w:t>
      </w:r>
      <w:r w:rsidR="002E0923" w:rsidRPr="002E0923">
        <w:rPr>
          <w:rFonts w:ascii="Source Sans Pro" w:hAnsi="Source Sans Pro"/>
          <w:color w:val="000000"/>
        </w:rPr>
        <w:t xml:space="preserve"> vēsturiski augstāko līmeni - 8,9% no pamatskolu beigušajiem neturpināja mācības tālākos izglītības posmos. Tāpat pēdējos gados </w:t>
      </w:r>
      <w:r w:rsidRPr="002E0923">
        <w:rPr>
          <w:rFonts w:ascii="Source Sans Pro" w:hAnsi="Source Sans Pro"/>
          <w:color w:val="000000"/>
        </w:rPr>
        <w:t xml:space="preserve">būtiski ir pieaudzis to jauniešu īpatsvars, kuri </w:t>
      </w:r>
      <w:r w:rsidR="002E0923" w:rsidRPr="002E0923">
        <w:rPr>
          <w:rFonts w:ascii="Source Sans Pro" w:hAnsi="Source Sans Pro"/>
          <w:color w:val="000000"/>
        </w:rPr>
        <w:t>pēc vispārējās vidējās izglītības posma</w:t>
      </w:r>
      <w:r w:rsidRPr="002E0923">
        <w:rPr>
          <w:rFonts w:ascii="Source Sans Pro" w:hAnsi="Source Sans Pro"/>
          <w:color w:val="000000"/>
        </w:rPr>
        <w:t xml:space="preserve"> beigšanas neturpināja izglītības gaitas - </w:t>
      </w:r>
      <w:r w:rsidR="002E0923" w:rsidRPr="002E0923">
        <w:rPr>
          <w:rFonts w:ascii="Source Sans Pro" w:hAnsi="Source Sans Pro"/>
          <w:color w:val="000000"/>
        </w:rPr>
        <w:t>2025.</w:t>
      </w:r>
      <w:r w:rsidR="00D352AF">
        <w:rPr>
          <w:rFonts w:ascii="Source Sans Pro" w:hAnsi="Source Sans Pro"/>
          <w:color w:val="000000"/>
        </w:rPr>
        <w:t> </w:t>
      </w:r>
      <w:r w:rsidRPr="002E0923">
        <w:rPr>
          <w:rFonts w:ascii="Source Sans Pro" w:hAnsi="Source Sans Pro"/>
          <w:color w:val="000000"/>
        </w:rPr>
        <w:t xml:space="preserve">gadā šādu jauniešu īpatsvars veidoja </w:t>
      </w:r>
      <w:r w:rsidR="002E0923" w:rsidRPr="002E0923">
        <w:rPr>
          <w:rFonts w:ascii="Source Sans Pro" w:hAnsi="Source Sans Pro"/>
          <w:color w:val="000000"/>
        </w:rPr>
        <w:t>41,4</w:t>
      </w:r>
      <w:r w:rsidRPr="002E0923">
        <w:rPr>
          <w:rFonts w:ascii="Source Sans Pro" w:hAnsi="Source Sans Pro"/>
          <w:color w:val="000000"/>
        </w:rPr>
        <w:t xml:space="preserve">%, savukārt </w:t>
      </w:r>
      <w:r w:rsidR="002E0923" w:rsidRPr="002E0923">
        <w:rPr>
          <w:rFonts w:ascii="Source Sans Pro" w:hAnsi="Source Sans Pro"/>
          <w:color w:val="000000"/>
        </w:rPr>
        <w:t>2024.</w:t>
      </w:r>
      <w:r w:rsidR="00D352AF">
        <w:rPr>
          <w:rFonts w:ascii="Source Sans Pro" w:hAnsi="Source Sans Pro"/>
          <w:color w:val="000000"/>
        </w:rPr>
        <w:t> </w:t>
      </w:r>
      <w:r w:rsidRPr="002E0923">
        <w:rPr>
          <w:rFonts w:ascii="Source Sans Pro" w:hAnsi="Source Sans Pro"/>
          <w:color w:val="000000"/>
        </w:rPr>
        <w:t xml:space="preserve">gadā rādītājs </w:t>
      </w:r>
      <w:r w:rsidR="002E0923" w:rsidRPr="002E0923">
        <w:rPr>
          <w:rFonts w:ascii="Source Sans Pro" w:hAnsi="Source Sans Pro"/>
          <w:color w:val="000000"/>
        </w:rPr>
        <w:t xml:space="preserve">sasniedza </w:t>
      </w:r>
      <w:r w:rsidRPr="002E0923">
        <w:rPr>
          <w:rFonts w:ascii="Source Sans Pro" w:hAnsi="Source Sans Pro"/>
          <w:color w:val="000000"/>
        </w:rPr>
        <w:t>42,</w:t>
      </w:r>
      <w:r w:rsidR="002E0923" w:rsidRPr="002E0923">
        <w:rPr>
          <w:rFonts w:ascii="Source Sans Pro" w:hAnsi="Source Sans Pro"/>
          <w:color w:val="000000"/>
        </w:rPr>
        <w:t>4%,</w:t>
      </w:r>
      <w:r w:rsidRPr="002E0923">
        <w:rPr>
          <w:rFonts w:ascii="Source Sans Pro" w:hAnsi="Source Sans Pro"/>
          <w:color w:val="000000"/>
        </w:rPr>
        <w:t xml:space="preserve"> kas </w:t>
      </w:r>
      <w:r w:rsidR="002E0923" w:rsidRPr="002E0923">
        <w:rPr>
          <w:rFonts w:ascii="Source Sans Pro" w:hAnsi="Source Sans Pro"/>
          <w:color w:val="000000"/>
        </w:rPr>
        <w:t xml:space="preserve">arī </w:t>
      </w:r>
      <w:r w:rsidRPr="002E0923">
        <w:rPr>
          <w:rFonts w:ascii="Source Sans Pro" w:hAnsi="Source Sans Pro"/>
          <w:color w:val="000000"/>
        </w:rPr>
        <w:t>ir bijis līdz šim vēsturiski augstākais rādītājs</w:t>
      </w:r>
      <w:r w:rsidR="002E0923" w:rsidRPr="002E0923">
        <w:rPr>
          <w:rFonts w:ascii="Source Sans Pro" w:hAnsi="Source Sans Pro"/>
          <w:color w:val="000000"/>
        </w:rPr>
        <w:t xml:space="preserve"> pēdējo 30 gadu laikā.</w:t>
      </w:r>
      <w:r w:rsidRPr="002E0923">
        <w:rPr>
          <w:rFonts w:ascii="Source Sans Pro" w:hAnsi="Source Sans Pro"/>
          <w:color w:val="000000"/>
        </w:rPr>
        <w:t xml:space="preserve"> Ņemot vērā arī izglītojamo atbiruma rādītājus dažādos izglītības posmos, </w:t>
      </w:r>
      <w:r w:rsidR="002E0923" w:rsidRPr="002E0923">
        <w:rPr>
          <w:rFonts w:ascii="Source Sans Pro" w:hAnsi="Source Sans Pro"/>
          <w:color w:val="000000"/>
        </w:rPr>
        <w:t xml:space="preserve">gandrīz </w:t>
      </w:r>
      <w:r w:rsidRPr="002E0923">
        <w:rPr>
          <w:rFonts w:ascii="Source Sans Pro" w:hAnsi="Source Sans Pro"/>
          <w:color w:val="000000"/>
        </w:rPr>
        <w:t>1/</w:t>
      </w:r>
      <w:r w:rsidR="002E0923" w:rsidRPr="002E0923">
        <w:rPr>
          <w:rFonts w:ascii="Source Sans Pro" w:hAnsi="Source Sans Pro"/>
          <w:color w:val="000000"/>
        </w:rPr>
        <w:t>2</w:t>
      </w:r>
      <w:r w:rsidRPr="002E0923">
        <w:rPr>
          <w:rFonts w:ascii="Source Sans Pro" w:hAnsi="Source Sans Pro"/>
          <w:color w:val="000000"/>
        </w:rPr>
        <w:t xml:space="preserve"> no jauniešiem darba tirgū nonāk ar vidējo vispārējo, pamatizglītību vai zemāku izglītību, savukārt pieprasījums pēc šāda darbaspēka nākamajos gados samazināsies.</w:t>
      </w:r>
    </w:p>
    <w:p w14:paraId="4B20561E" w14:textId="77777777" w:rsidR="007C6908" w:rsidRDefault="007C6908">
      <w:pPr>
        <w:spacing w:after="0"/>
        <w:rPr>
          <w:rFonts w:ascii="Source Sans Pro" w:hAnsi="Source Sans Pro"/>
          <w:b/>
          <w:color w:val="000000"/>
        </w:rPr>
      </w:pPr>
      <w:r>
        <w:rPr>
          <w:rFonts w:ascii="Source Sans Pro" w:hAnsi="Source Sans Pro"/>
          <w:b/>
          <w:color w:val="000000"/>
        </w:rPr>
        <w:br w:type="page"/>
      </w:r>
    </w:p>
    <w:p w14:paraId="3C37A1F2" w14:textId="63766A17" w:rsidR="00977392" w:rsidRPr="00D829F0" w:rsidRDefault="00977392" w:rsidP="00977392">
      <w:pPr>
        <w:spacing w:after="120"/>
        <w:jc w:val="both"/>
        <w:rPr>
          <w:rFonts w:ascii="Source Sans Pro" w:hAnsi="Source Sans Pro"/>
        </w:rPr>
      </w:pPr>
      <w:r w:rsidRPr="002E0923">
        <w:rPr>
          <w:rFonts w:ascii="Source Sans Pro" w:hAnsi="Source Sans Pro"/>
          <w:b/>
          <w:color w:val="000000"/>
        </w:rPr>
        <w:lastRenderedPageBreak/>
        <w:t>Palielinās pieaugušo iesaiste izglītības procesā, tomēr pieaugušo izglītības piedāvājums nesasniedz mērķa grupas.</w:t>
      </w:r>
      <w:r w:rsidRPr="002E0923">
        <w:rPr>
          <w:rFonts w:ascii="Source Sans Pro" w:hAnsi="Source Sans Pro"/>
          <w:color w:val="000000"/>
        </w:rPr>
        <w:t xml:space="preserve"> Ņemot vērā demogrāfiskos procesus, kā arī tradicionālo izglītojamo plūsmu samazināšanos, būtiska loma darba tirgus disproporciju mazināšanā ir pieaugušo izglītības piedāvājumam. </w:t>
      </w:r>
      <w:r w:rsidR="002E0923" w:rsidRPr="002E0923">
        <w:rPr>
          <w:rFonts w:ascii="Source Sans Pro" w:hAnsi="Source Sans Pro"/>
          <w:color w:val="000000"/>
        </w:rPr>
        <w:t>2025.</w:t>
      </w:r>
      <w:r w:rsidR="00D352AF">
        <w:rPr>
          <w:rFonts w:ascii="Source Sans Pro" w:hAnsi="Source Sans Pro"/>
          <w:color w:val="000000"/>
        </w:rPr>
        <w:t> </w:t>
      </w:r>
      <w:r w:rsidR="002E0923" w:rsidRPr="002E0923">
        <w:rPr>
          <w:rFonts w:ascii="Source Sans Pro" w:hAnsi="Source Sans Pro"/>
          <w:color w:val="000000"/>
        </w:rPr>
        <w:t>gadā pieaugušo izglītības aktivitātēs bija iesaistīti 11,4% Latvijas iedzīvotāju vecumā no 25 līdz 64 gadiem, kas ir par 4,8 procentpunktiem vairāk nekā 2020.</w:t>
      </w:r>
      <w:r w:rsidR="00D352AF">
        <w:rPr>
          <w:rFonts w:ascii="Source Sans Pro" w:hAnsi="Source Sans Pro"/>
          <w:color w:val="000000"/>
        </w:rPr>
        <w:t> </w:t>
      </w:r>
      <w:r w:rsidR="002E0923" w:rsidRPr="002E0923">
        <w:rPr>
          <w:rFonts w:ascii="Source Sans Pro" w:hAnsi="Source Sans Pro"/>
          <w:color w:val="000000"/>
        </w:rPr>
        <w:t>gadā, tomēr rādītājs joprojām atpaliek no ES vidējā līmeņa par 2,3</w:t>
      </w:r>
      <w:r w:rsidR="00D352AF">
        <w:rPr>
          <w:rFonts w:ascii="Source Sans Pro" w:hAnsi="Source Sans Pro"/>
          <w:color w:val="000000"/>
        </w:rPr>
        <w:t> </w:t>
      </w:r>
      <w:r w:rsidR="002E0923" w:rsidRPr="002E0923">
        <w:rPr>
          <w:rFonts w:ascii="Source Sans Pro" w:hAnsi="Source Sans Pro"/>
          <w:color w:val="000000"/>
        </w:rPr>
        <w:t>procentpunktiem. Vienlaikus esošais pieaugušo izglītības piedāvājums nepietiekami sasniedz iedzīvotājus ar zemāku izglītības līmeni – 2025.</w:t>
      </w:r>
      <w:r w:rsidR="00D352AF">
        <w:rPr>
          <w:rFonts w:ascii="Source Sans Pro" w:hAnsi="Source Sans Pro"/>
          <w:color w:val="000000"/>
        </w:rPr>
        <w:t> </w:t>
      </w:r>
      <w:r w:rsidR="002E0923" w:rsidRPr="002E0923">
        <w:rPr>
          <w:rFonts w:ascii="Source Sans Pro" w:hAnsi="Source Sans Pro"/>
          <w:color w:val="000000"/>
        </w:rPr>
        <w:t>gadā pieaugušo izglītības pasākumos iesaistījās 20,1% iedzīvotāju ar augstāko izglītību, bet tikai 6,5% iedzīvotāju ar vispārējo vidējo izglītību un 5,8% iedzīvotāju ar arodizglītību vai profesionālo vidējo izglītību.</w:t>
      </w:r>
    </w:p>
    <w:p w14:paraId="3D4C8E3E" w14:textId="48102FA9" w:rsidR="00977392" w:rsidRPr="00D829F0" w:rsidRDefault="00977392" w:rsidP="00977392">
      <w:pPr>
        <w:spacing w:after="120"/>
        <w:jc w:val="both"/>
        <w:rPr>
          <w:rFonts w:ascii="Source Sans Pro" w:hAnsi="Source Sans Pro"/>
        </w:rPr>
      </w:pPr>
      <w:r w:rsidRPr="002E0923">
        <w:rPr>
          <w:rFonts w:ascii="Source Sans Pro" w:hAnsi="Source Sans Pro"/>
          <w:b/>
          <w:color w:val="000000"/>
        </w:rPr>
        <w:t>Lielākajai daļai īstenoto pasākumu ietekme uz darba tirgu ir lēna un mērogs nav pietiekams.</w:t>
      </w:r>
      <w:r w:rsidRPr="002E0923">
        <w:rPr>
          <w:rFonts w:ascii="Source Sans Pro" w:hAnsi="Source Sans Pro"/>
          <w:color w:val="000000"/>
        </w:rPr>
        <w:t xml:space="preserve"> Lai arī atsevišķos darba tirgus segmentos ir vērojami zināmi uzlabojumi, tomēr būtiskākie darba tirgus neatbilstību riski saglabājās augsti. Tikmēr vairumam izglītības pasākumu ietekme uz darba tirgu ir lēna un redzamas izmaiņas var būt vērojamas tikai pēc 5-10 gadiem. Tāpat pasākumu efektivitāti uz tradicionālajiem izglītības/darbaspēka sagatavošanas kanāliem samazina demogrāfiskie procesi – jaunieš</w:t>
      </w:r>
      <w:r w:rsidR="008F23DE">
        <w:rPr>
          <w:rFonts w:ascii="Source Sans Pro" w:hAnsi="Source Sans Pro"/>
          <w:color w:val="000000"/>
        </w:rPr>
        <w:t>u</w:t>
      </w:r>
      <w:r w:rsidRPr="002E0923">
        <w:rPr>
          <w:rFonts w:ascii="Source Sans Pro" w:hAnsi="Source Sans Pro"/>
          <w:color w:val="000000"/>
        </w:rPr>
        <w:t xml:space="preserve"> skaitliskais samazinājums izglītības sistēmā. Ņemot vērā sabiedrības novecošanos, nozīmīga loma prasmju pieprasījuma un piedāvājuma neatbilstību risināšanā saglabājās efektīvai pieaugušo izglītībai, tomēr pieaugušo izglītība nevar pilnībā aizstāt tradicionālo izglītības ceļu, jo īpaši augstākas kvalifikācijas speciālistu sagatavošanā, līdz ar to prioritāte joprojām saglabājās tradicionālā izglītības piedāvājuma tuvināšana darba tirgus vajadzībām gan pēc struktūras, gan apjoma. Ņemot vērā to, būtiski ir mazināt jaunieši agrīnu iziešanu/atbirumu no izglītības sistēmas, kā arī nodrošināt izglītojamo sagatavošanas jomās ar augstāku pienesumu un nākotnes potenciālu darba tirgū.</w:t>
      </w:r>
    </w:p>
    <w:p w14:paraId="3CF9A562" w14:textId="126FB9DA" w:rsidR="00977392" w:rsidRPr="00D829F0" w:rsidRDefault="00977392" w:rsidP="00977392">
      <w:pPr>
        <w:spacing w:after="120"/>
        <w:jc w:val="both"/>
        <w:rPr>
          <w:rFonts w:ascii="Source Sans Pro" w:hAnsi="Source Sans Pro"/>
        </w:rPr>
      </w:pPr>
      <w:r w:rsidRPr="002E0923">
        <w:rPr>
          <w:rFonts w:ascii="Source Sans Pro" w:hAnsi="Source Sans Pro"/>
          <w:b/>
          <w:color w:val="000000"/>
        </w:rPr>
        <w:t>Darba tirgus nesabalansētības pastiprina reģionālās atšķirības.</w:t>
      </w:r>
      <w:r w:rsidRPr="002E0923">
        <w:rPr>
          <w:rFonts w:ascii="Source Sans Pro" w:hAnsi="Source Sans Pro"/>
          <w:color w:val="000000"/>
        </w:rPr>
        <w:t xml:space="preserve"> Nevienmērīgā reģionālā izaugsme lielā mērā nosaka to, ka darbavietas un darba iespējas galvenokārt veidojās un koncentrējās ekonomiski aktīvākajos Latvijas reģionos – galvenokārt Rīgas aglomerācijā, savukārt lielākais darba meklētāju skaits (brīvās darbaspēka rezerves) joprojām saglabājās mazāk attīstītos reģionos, piemēram, Latgales reģionā. Vienlaikus ekonomikas mērķu sasniegšanai kritiska nozīme ir efektīvai vietējā darbaspēka pieejamībai, līdz ar to būtiski ir ne tikai palielināt darbaspēka reģionālo mobilitāti jeb spēju operatīvi mainīt darba un dzīves vietu, bet arī nodrošināt plašākas investīcijas un darba iespējas mazāk ekonomiski aktīvos Latvijas reģionos.</w:t>
      </w:r>
    </w:p>
    <w:p w14:paraId="504A77AB" w14:textId="45B9E86C" w:rsidR="00977392" w:rsidRPr="00D829F0" w:rsidRDefault="00977392" w:rsidP="00977392">
      <w:pPr>
        <w:pStyle w:val="EnvelopeReturn"/>
        <w:spacing w:after="120"/>
        <w:jc w:val="both"/>
        <w:rPr>
          <w:rFonts w:ascii="Source Sans Pro" w:eastAsia="Calibri" w:hAnsi="Source Sans Pro"/>
          <w:b/>
          <w:szCs w:val="22"/>
          <w:lang w:eastAsia="en-US"/>
        </w:rPr>
      </w:pPr>
      <w:r w:rsidRPr="002E0923">
        <w:rPr>
          <w:rFonts w:ascii="Source Sans Pro" w:eastAsia="Calibri" w:hAnsi="Source Sans Pro"/>
          <w:b/>
          <w:color w:val="000000"/>
          <w:szCs w:val="22"/>
          <w:lang w:eastAsia="en-US"/>
        </w:rPr>
        <w:t>Darbaspēka produktivitātes ziņā Latvija joprojām būtiski atpaliek no Eiropas vidējā līmeņa.</w:t>
      </w:r>
      <w:r w:rsidRPr="002E0923">
        <w:rPr>
          <w:rFonts w:ascii="Source Sans Pro" w:eastAsia="Calibri" w:hAnsi="Source Sans Pro"/>
          <w:color w:val="000000"/>
          <w:szCs w:val="22"/>
          <w:lang w:eastAsia="en-US"/>
        </w:rPr>
        <w:t xml:space="preserve"> </w:t>
      </w:r>
      <w:r w:rsidR="002E0923" w:rsidRPr="002E0923">
        <w:rPr>
          <w:rFonts w:ascii="Source Sans Pro" w:eastAsia="Calibri" w:hAnsi="Source Sans Pro"/>
          <w:color w:val="000000"/>
          <w:szCs w:val="22"/>
          <w:lang w:eastAsia="en-US"/>
        </w:rPr>
        <w:t>2025.</w:t>
      </w:r>
      <w:r w:rsidR="00D352AF">
        <w:rPr>
          <w:rFonts w:ascii="Source Sans Pro" w:eastAsia="Calibri" w:hAnsi="Source Sans Pro"/>
          <w:color w:val="000000"/>
          <w:szCs w:val="22"/>
          <w:lang w:eastAsia="en-US"/>
        </w:rPr>
        <w:t> </w:t>
      </w:r>
      <w:r w:rsidRPr="002E0923">
        <w:rPr>
          <w:rFonts w:ascii="Source Sans Pro" w:eastAsia="Calibri" w:hAnsi="Source Sans Pro"/>
          <w:color w:val="000000"/>
          <w:szCs w:val="22"/>
          <w:lang w:eastAsia="en-US"/>
        </w:rPr>
        <w:t xml:space="preserve">gadā produktivitāte (IKP uz vienu nodarbināto) Latvijas tautsaimniecībā kopumā sasniedza </w:t>
      </w:r>
      <w:r w:rsidR="002E0923" w:rsidRPr="002E0923">
        <w:rPr>
          <w:rFonts w:ascii="Source Sans Pro" w:eastAsia="Calibri" w:hAnsi="Source Sans Pro"/>
          <w:color w:val="000000"/>
          <w:szCs w:val="22"/>
          <w:lang w:eastAsia="en-US"/>
        </w:rPr>
        <w:t>gandrīz 56% no ES</w:t>
      </w:r>
      <w:r w:rsidRPr="002E0923">
        <w:rPr>
          <w:rFonts w:ascii="Source Sans Pro" w:eastAsia="Calibri" w:hAnsi="Source Sans Pro"/>
          <w:color w:val="000000"/>
          <w:szCs w:val="22"/>
          <w:lang w:eastAsia="en-US"/>
        </w:rPr>
        <w:t xml:space="preserve"> vidējā līmeņa</w:t>
      </w:r>
      <w:r w:rsidR="002E0923" w:rsidRPr="002E0923">
        <w:rPr>
          <w:rFonts w:ascii="Source Sans Pro" w:eastAsia="Calibri" w:hAnsi="Source Sans Pro"/>
          <w:color w:val="000000"/>
          <w:szCs w:val="22"/>
          <w:lang w:eastAsia="en-US"/>
        </w:rPr>
        <w:t xml:space="preserve"> (70,4% pēc pirktspējas paritātes). Lai gan konverģence ar ES vidējo produktivitātes līmeni turpinās, tās tempi kļūst lēnāki, ko ietekmē ar vien augstāka produktivitātes pieauguma bāze. Vienlaikus</w:t>
      </w:r>
      <w:r w:rsidRPr="002E0923">
        <w:rPr>
          <w:rFonts w:ascii="Source Sans Pro" w:eastAsia="Calibri" w:hAnsi="Source Sans Pro"/>
          <w:color w:val="000000"/>
          <w:szCs w:val="22"/>
          <w:lang w:eastAsia="en-US"/>
        </w:rPr>
        <w:t xml:space="preserve"> noturīgi augsts joprojām </w:t>
      </w:r>
      <w:r w:rsidR="002E0923" w:rsidRPr="002E0923">
        <w:rPr>
          <w:rFonts w:ascii="Source Sans Pro" w:eastAsia="Calibri" w:hAnsi="Source Sans Pro"/>
          <w:color w:val="000000"/>
          <w:szCs w:val="22"/>
          <w:lang w:eastAsia="en-US"/>
        </w:rPr>
        <w:t>saglabājas</w:t>
      </w:r>
      <w:r w:rsidRPr="002E0923">
        <w:rPr>
          <w:rFonts w:ascii="Source Sans Pro" w:eastAsia="Calibri" w:hAnsi="Source Sans Pro"/>
          <w:color w:val="000000"/>
          <w:szCs w:val="22"/>
          <w:lang w:eastAsia="en-US"/>
        </w:rPr>
        <w:t xml:space="preserve"> darbaspēka izmaksu pieaugums. </w:t>
      </w:r>
      <w:r w:rsidR="002E0923" w:rsidRPr="002E0923">
        <w:rPr>
          <w:rFonts w:ascii="Source Sans Pro" w:eastAsia="Calibri" w:hAnsi="Source Sans Pro"/>
          <w:color w:val="000000"/>
          <w:szCs w:val="22"/>
          <w:lang w:eastAsia="en-US"/>
        </w:rPr>
        <w:t>Periodā no 2021. līdz 2025.</w:t>
      </w:r>
      <w:r w:rsidR="00E75692">
        <w:rPr>
          <w:rFonts w:ascii="Source Sans Pro" w:eastAsia="Calibri" w:hAnsi="Source Sans Pro"/>
          <w:color w:val="000000"/>
          <w:szCs w:val="22"/>
          <w:lang w:eastAsia="en-US"/>
        </w:rPr>
        <w:t> </w:t>
      </w:r>
      <w:r w:rsidRPr="002E0923">
        <w:rPr>
          <w:rFonts w:ascii="Source Sans Pro" w:eastAsia="Calibri" w:hAnsi="Source Sans Pro"/>
          <w:color w:val="000000"/>
          <w:szCs w:val="22"/>
          <w:lang w:eastAsia="en-US"/>
        </w:rPr>
        <w:t xml:space="preserve">gadam darbaspēka izmaksas </w:t>
      </w:r>
      <w:r w:rsidR="002E0923" w:rsidRPr="002E0923">
        <w:rPr>
          <w:rFonts w:ascii="Source Sans Pro" w:eastAsia="Calibri" w:hAnsi="Source Sans Pro"/>
          <w:color w:val="000000"/>
          <w:szCs w:val="22"/>
          <w:lang w:eastAsia="en-US"/>
        </w:rPr>
        <w:t>Latvijā ir pieaugušas par 43,3%, kamēr produktivitāte – tikai par 3,1</w:t>
      </w:r>
      <w:r w:rsidRPr="002E0923">
        <w:rPr>
          <w:rFonts w:ascii="Source Sans Pro" w:eastAsia="Calibri" w:hAnsi="Source Sans Pro"/>
          <w:color w:val="000000"/>
          <w:szCs w:val="22"/>
          <w:lang w:eastAsia="en-US"/>
        </w:rPr>
        <w:t xml:space="preserve">%, tādējādi </w:t>
      </w:r>
      <w:r w:rsidR="002E0923" w:rsidRPr="002E0923">
        <w:rPr>
          <w:rFonts w:ascii="Source Sans Pro" w:eastAsia="Calibri" w:hAnsi="Source Sans Pro"/>
          <w:color w:val="000000"/>
          <w:szCs w:val="22"/>
          <w:lang w:eastAsia="en-US"/>
        </w:rPr>
        <w:t xml:space="preserve">nominālais vienības darbaspēka izmaksu (ULC) indekss šajā periodā palielinājās par 38,9%, pārsniedzot gan ES vidējo līmeni, gan ES makroekonomiskās nelīdzsvarotības novēršanas procedūras brīdinājuma slieksni. Šādas tendences liecina, ka </w:t>
      </w:r>
      <w:r w:rsidRPr="002E0923">
        <w:rPr>
          <w:rFonts w:ascii="Source Sans Pro" w:eastAsia="Calibri" w:hAnsi="Source Sans Pro"/>
          <w:color w:val="000000"/>
          <w:szCs w:val="22"/>
          <w:lang w:eastAsia="en-US"/>
        </w:rPr>
        <w:t>Latvija strauji zaudē savas konkurētspējas priekšrocības zemu izmaksu tirgus segmentos. Darba samaksa ir nozīmīgs izmaksu konkurētspējas faktors, tāpēc darba samaksas pieaugumam jābūt līdzsvarotam ar produktivitātes kāpumu, pretējā gadījumā tiek zaudēta konkurētspēja tirgojamās nozarēs, kas rezultātā nenodrošina noturīgu kopējo ienākumu (labklājības) pieaugumu.</w:t>
      </w:r>
    </w:p>
    <w:p w14:paraId="53DDB782" w14:textId="618C6585" w:rsidR="00977392" w:rsidRPr="00D829F0" w:rsidRDefault="00977392" w:rsidP="00977392">
      <w:pPr>
        <w:spacing w:after="120"/>
        <w:jc w:val="both"/>
        <w:rPr>
          <w:rFonts w:ascii="Source Sans Pro" w:hAnsi="Source Sans Pro"/>
        </w:rPr>
      </w:pPr>
      <w:r w:rsidRPr="002E0923">
        <w:rPr>
          <w:rFonts w:ascii="Source Sans Pro" w:hAnsi="Source Sans Pro"/>
          <w:color w:val="000000"/>
        </w:rPr>
        <w:t>Atbilstoši vidēja un ilgtermiņa darba tirgus prognozēm, paredzamas šādas būtiskākās darba tirgus disproporcijas:</w:t>
      </w:r>
    </w:p>
    <w:p w14:paraId="7BD5CEA3" w14:textId="7E85FA66" w:rsidR="00FC1AED" w:rsidRDefault="00977392" w:rsidP="00977392">
      <w:pPr>
        <w:numPr>
          <w:ilvl w:val="0"/>
          <w:numId w:val="18"/>
        </w:numPr>
        <w:tabs>
          <w:tab w:val="clear" w:pos="720"/>
          <w:tab w:val="num" w:pos="426"/>
        </w:tabs>
        <w:spacing w:after="120" w:line="259" w:lineRule="auto"/>
        <w:ind w:left="426" w:hanging="426"/>
        <w:jc w:val="both"/>
        <w:rPr>
          <w:rFonts w:ascii="Source Sans Pro" w:hAnsi="Source Sans Pro"/>
          <w:color w:val="000000"/>
        </w:rPr>
      </w:pPr>
      <w:r w:rsidRPr="002E0923">
        <w:rPr>
          <w:rFonts w:ascii="Source Sans Pro" w:hAnsi="Source Sans Pro"/>
          <w:b/>
          <w:color w:val="000000"/>
        </w:rPr>
        <w:t>Iztrūkums pēc augstākās kvalifikācijas dabaszinātņu, IKT un inženierzinātņu speciālistiem.</w:t>
      </w:r>
      <w:r w:rsidRPr="002E0923">
        <w:rPr>
          <w:rFonts w:ascii="Source Sans Pro" w:hAnsi="Source Sans Pro"/>
          <w:color w:val="000000"/>
        </w:rPr>
        <w:t xml:space="preserve"> Līdz 2030.</w:t>
      </w:r>
      <w:r w:rsidR="00E75692">
        <w:rPr>
          <w:rFonts w:ascii="Source Sans Pro" w:hAnsi="Source Sans Pro"/>
          <w:color w:val="000000"/>
        </w:rPr>
        <w:t> </w:t>
      </w:r>
      <w:r w:rsidRPr="002E0923">
        <w:rPr>
          <w:rFonts w:ascii="Source Sans Pro" w:hAnsi="Source Sans Pro"/>
          <w:color w:val="000000"/>
        </w:rPr>
        <w:t xml:space="preserve">gadam iztrūkums pēc augstākās kvalifikācijas speciālistiem STEM virzienos var pieaugt līdz </w:t>
      </w:r>
      <w:r w:rsidR="002E0923" w:rsidRPr="002E0923">
        <w:rPr>
          <w:rFonts w:ascii="Source Sans Pro" w:hAnsi="Source Sans Pro"/>
          <w:color w:val="000000"/>
        </w:rPr>
        <w:t>7,7</w:t>
      </w:r>
      <w:r w:rsidR="00E75692">
        <w:rPr>
          <w:rFonts w:ascii="Source Sans Pro" w:hAnsi="Source Sans Pro"/>
          <w:color w:val="000000"/>
        </w:rPr>
        <w:t> </w:t>
      </w:r>
      <w:r w:rsidRPr="002E0923">
        <w:rPr>
          <w:rFonts w:ascii="Source Sans Pro" w:hAnsi="Source Sans Pro"/>
          <w:color w:val="000000"/>
        </w:rPr>
        <w:t xml:space="preserve">tūkst. </w:t>
      </w:r>
      <w:r w:rsidR="002E0923" w:rsidRPr="002E0923">
        <w:rPr>
          <w:rFonts w:ascii="Source Sans Pro" w:hAnsi="Source Sans Pro"/>
          <w:color w:val="000000"/>
        </w:rPr>
        <w:t>(t.sk. dabaszinātņu, matemātikas un informācijas tehnoloģiju tematiskajā grupā – 3,9</w:t>
      </w:r>
      <w:r w:rsidR="00E75692">
        <w:rPr>
          <w:rFonts w:ascii="Source Sans Pro" w:hAnsi="Source Sans Pro"/>
          <w:color w:val="000000"/>
        </w:rPr>
        <w:t> </w:t>
      </w:r>
      <w:r w:rsidR="002E0923" w:rsidRPr="002E0923">
        <w:rPr>
          <w:rFonts w:ascii="Source Sans Pro" w:hAnsi="Source Sans Pro"/>
          <w:color w:val="000000"/>
        </w:rPr>
        <w:t>tūkst., inženierzinātņu, ražošanas un būvniecības tematiskajā grupā – nepilni 3,8</w:t>
      </w:r>
      <w:r w:rsidR="009E522B">
        <w:rPr>
          <w:rFonts w:ascii="Source Sans Pro" w:hAnsi="Source Sans Pro"/>
          <w:color w:val="000000"/>
        </w:rPr>
        <w:t> </w:t>
      </w:r>
      <w:r w:rsidR="002E0923" w:rsidRPr="002E0923">
        <w:rPr>
          <w:rFonts w:ascii="Source Sans Pro" w:hAnsi="Source Sans Pro"/>
          <w:color w:val="000000"/>
        </w:rPr>
        <w:t xml:space="preserve">tūkst.). </w:t>
      </w:r>
      <w:r w:rsidRPr="002E0923">
        <w:rPr>
          <w:rFonts w:ascii="Source Sans Pro" w:hAnsi="Source Sans Pro"/>
          <w:color w:val="000000"/>
        </w:rPr>
        <w:t xml:space="preserve">Salīdzinot ar </w:t>
      </w:r>
      <w:r w:rsidR="002E0923" w:rsidRPr="002E0923">
        <w:rPr>
          <w:rFonts w:ascii="Source Sans Pro" w:hAnsi="Source Sans Pro"/>
          <w:color w:val="000000"/>
        </w:rPr>
        <w:t>2024</w:t>
      </w:r>
      <w:r w:rsidRPr="002E0923">
        <w:rPr>
          <w:rFonts w:ascii="Source Sans Pro" w:hAnsi="Source Sans Pro"/>
          <w:color w:val="000000"/>
        </w:rPr>
        <w:t>.</w:t>
      </w:r>
      <w:r w:rsidR="009E522B">
        <w:rPr>
          <w:rFonts w:ascii="Source Sans Pro" w:hAnsi="Source Sans Pro"/>
          <w:color w:val="000000"/>
        </w:rPr>
        <w:t> </w:t>
      </w:r>
      <w:r w:rsidRPr="002E0923">
        <w:rPr>
          <w:rFonts w:ascii="Source Sans Pro" w:hAnsi="Source Sans Pro"/>
          <w:color w:val="000000"/>
        </w:rPr>
        <w:t xml:space="preserve">gada prognozēm, prognozētais iztrūkums </w:t>
      </w:r>
      <w:r w:rsidR="002E0923" w:rsidRPr="002E0923">
        <w:rPr>
          <w:rFonts w:ascii="Source Sans Pro" w:hAnsi="Source Sans Pro"/>
          <w:color w:val="000000"/>
        </w:rPr>
        <w:t>samazinājies</w:t>
      </w:r>
      <w:r w:rsidRPr="002E0923">
        <w:rPr>
          <w:rFonts w:ascii="Source Sans Pro" w:hAnsi="Source Sans Pro"/>
          <w:color w:val="000000"/>
        </w:rPr>
        <w:t xml:space="preserve"> par </w:t>
      </w:r>
      <w:r w:rsidR="002E0923" w:rsidRPr="002E0923">
        <w:rPr>
          <w:rFonts w:ascii="Source Sans Pro" w:hAnsi="Source Sans Pro"/>
          <w:color w:val="000000"/>
        </w:rPr>
        <w:t>aptuveni 2,3</w:t>
      </w:r>
      <w:r w:rsidR="009E522B">
        <w:rPr>
          <w:rFonts w:ascii="Source Sans Pro" w:hAnsi="Source Sans Pro"/>
          <w:color w:val="000000"/>
        </w:rPr>
        <w:t> </w:t>
      </w:r>
      <w:r w:rsidRPr="002E0923">
        <w:rPr>
          <w:rFonts w:ascii="Source Sans Pro" w:hAnsi="Source Sans Pro"/>
          <w:color w:val="000000"/>
        </w:rPr>
        <w:t>tūkst. (iepriekš ~</w:t>
      </w:r>
      <w:r w:rsidR="002E0923" w:rsidRPr="002E0923">
        <w:rPr>
          <w:rFonts w:ascii="Source Sans Pro" w:hAnsi="Source Sans Pro"/>
          <w:color w:val="000000"/>
        </w:rPr>
        <w:t>10</w:t>
      </w:r>
      <w:r w:rsidR="009E522B">
        <w:rPr>
          <w:rFonts w:ascii="Source Sans Pro" w:hAnsi="Source Sans Pro"/>
          <w:color w:val="000000"/>
        </w:rPr>
        <w:t> </w:t>
      </w:r>
      <w:r w:rsidRPr="002E0923">
        <w:rPr>
          <w:rFonts w:ascii="Source Sans Pro" w:hAnsi="Source Sans Pro"/>
          <w:color w:val="000000"/>
        </w:rPr>
        <w:t>tūkst. 2030.</w:t>
      </w:r>
      <w:r w:rsidR="009E522B">
        <w:rPr>
          <w:rFonts w:ascii="Source Sans Pro" w:hAnsi="Source Sans Pro"/>
          <w:color w:val="000000"/>
        </w:rPr>
        <w:t> </w:t>
      </w:r>
      <w:r w:rsidRPr="002E0923">
        <w:rPr>
          <w:rFonts w:ascii="Source Sans Pro" w:hAnsi="Source Sans Pro"/>
          <w:color w:val="000000"/>
        </w:rPr>
        <w:t>gadā);</w:t>
      </w:r>
    </w:p>
    <w:p w14:paraId="74E40CA5" w14:textId="77777777" w:rsidR="00FC1AED" w:rsidRDefault="00FC1AED">
      <w:pPr>
        <w:spacing w:after="0"/>
        <w:rPr>
          <w:rFonts w:ascii="Source Sans Pro" w:hAnsi="Source Sans Pro"/>
          <w:color w:val="000000"/>
        </w:rPr>
      </w:pPr>
      <w:r>
        <w:rPr>
          <w:rFonts w:ascii="Source Sans Pro" w:hAnsi="Source Sans Pro"/>
          <w:color w:val="000000"/>
        </w:rPr>
        <w:br w:type="page"/>
      </w:r>
    </w:p>
    <w:p w14:paraId="5465504E" w14:textId="08B3B7F9" w:rsidR="00977392" w:rsidRPr="00D829F0" w:rsidRDefault="00977392" w:rsidP="00977392">
      <w:pPr>
        <w:numPr>
          <w:ilvl w:val="0"/>
          <w:numId w:val="18"/>
        </w:numPr>
        <w:tabs>
          <w:tab w:val="clear" w:pos="720"/>
          <w:tab w:val="num" w:pos="426"/>
        </w:tabs>
        <w:spacing w:after="120" w:line="259" w:lineRule="auto"/>
        <w:ind w:left="426" w:hanging="426"/>
        <w:jc w:val="both"/>
        <w:rPr>
          <w:rFonts w:ascii="Source Sans Pro" w:hAnsi="Source Sans Pro"/>
        </w:rPr>
      </w:pPr>
      <w:r w:rsidRPr="002E0923">
        <w:rPr>
          <w:rFonts w:ascii="Source Sans Pro" w:hAnsi="Source Sans Pro"/>
          <w:b/>
          <w:color w:val="000000"/>
        </w:rPr>
        <w:lastRenderedPageBreak/>
        <w:t>Augstākās kvalifikācijas darbaspēka pārpalikums ar izglītību sociālās, komerczinātnēs un humanitāras zinātnēs.</w:t>
      </w:r>
      <w:r w:rsidRPr="002E0923">
        <w:rPr>
          <w:rFonts w:ascii="Source Sans Pro" w:hAnsi="Source Sans Pro"/>
          <w:color w:val="000000"/>
        </w:rPr>
        <w:t xml:space="preserve"> Līdz 2030.</w:t>
      </w:r>
      <w:r w:rsidR="009E522B">
        <w:rPr>
          <w:rFonts w:ascii="Source Sans Pro" w:hAnsi="Source Sans Pro"/>
          <w:color w:val="000000"/>
        </w:rPr>
        <w:t> </w:t>
      </w:r>
      <w:r w:rsidRPr="002E0923">
        <w:rPr>
          <w:rFonts w:ascii="Source Sans Pro" w:hAnsi="Source Sans Pro"/>
          <w:color w:val="000000"/>
        </w:rPr>
        <w:t>gadam darbaspēka pārpalikums ar augstāko izglītību sociālo, komerczinību un humanitāro zinātņu tematiskajās jomās var sasniegt ~</w:t>
      </w:r>
      <w:r w:rsidR="002E0923" w:rsidRPr="002E0923">
        <w:rPr>
          <w:rFonts w:ascii="Source Sans Pro" w:hAnsi="Source Sans Pro"/>
          <w:color w:val="000000"/>
        </w:rPr>
        <w:t>9,1</w:t>
      </w:r>
      <w:r w:rsidR="009E522B">
        <w:rPr>
          <w:rFonts w:ascii="Source Sans Pro" w:hAnsi="Source Sans Pro"/>
          <w:color w:val="000000"/>
        </w:rPr>
        <w:t> </w:t>
      </w:r>
      <w:r w:rsidRPr="002E0923">
        <w:rPr>
          <w:rFonts w:ascii="Source Sans Pro" w:hAnsi="Source Sans Pro"/>
          <w:color w:val="000000"/>
        </w:rPr>
        <w:t xml:space="preserve">tūkst. Salīdzinot ar </w:t>
      </w:r>
      <w:r w:rsidR="002E0923" w:rsidRPr="002E0923">
        <w:rPr>
          <w:rFonts w:ascii="Source Sans Pro" w:hAnsi="Source Sans Pro"/>
          <w:color w:val="000000"/>
        </w:rPr>
        <w:t>2024</w:t>
      </w:r>
      <w:r w:rsidRPr="002E0923">
        <w:rPr>
          <w:rFonts w:ascii="Source Sans Pro" w:hAnsi="Source Sans Pro"/>
          <w:color w:val="000000"/>
        </w:rPr>
        <w:t>.</w:t>
      </w:r>
      <w:r w:rsidR="009E522B">
        <w:rPr>
          <w:rFonts w:ascii="Source Sans Pro" w:hAnsi="Source Sans Pro"/>
          <w:color w:val="000000"/>
        </w:rPr>
        <w:t> </w:t>
      </w:r>
      <w:r w:rsidRPr="002E0923">
        <w:rPr>
          <w:rFonts w:ascii="Source Sans Pro" w:hAnsi="Source Sans Pro"/>
          <w:color w:val="000000"/>
        </w:rPr>
        <w:t xml:space="preserve">gada prognozēm, prognozētais pārpalikums samazinājies </w:t>
      </w:r>
      <w:r w:rsidR="002E0923" w:rsidRPr="002E0923">
        <w:rPr>
          <w:rFonts w:ascii="Source Sans Pro" w:hAnsi="Source Sans Pro"/>
          <w:color w:val="000000"/>
        </w:rPr>
        <w:t>par aptuveni 3,4</w:t>
      </w:r>
      <w:r w:rsidR="009E522B">
        <w:rPr>
          <w:rFonts w:ascii="Source Sans Pro" w:hAnsi="Source Sans Pro"/>
          <w:color w:val="000000"/>
        </w:rPr>
        <w:t> </w:t>
      </w:r>
      <w:r w:rsidR="002E0923" w:rsidRPr="002E0923">
        <w:rPr>
          <w:rFonts w:ascii="Source Sans Pro" w:hAnsi="Source Sans Pro"/>
          <w:color w:val="000000"/>
        </w:rPr>
        <w:t xml:space="preserve">tūkst. </w:t>
      </w:r>
      <w:r w:rsidRPr="002E0923">
        <w:rPr>
          <w:rFonts w:ascii="Source Sans Pro" w:hAnsi="Source Sans Pro"/>
          <w:color w:val="000000"/>
        </w:rPr>
        <w:t>(iepriekš ~</w:t>
      </w:r>
      <w:r w:rsidR="002E0923" w:rsidRPr="002E0923">
        <w:rPr>
          <w:rFonts w:ascii="Source Sans Pro" w:hAnsi="Source Sans Pro"/>
          <w:color w:val="000000"/>
        </w:rPr>
        <w:t>12</w:t>
      </w:r>
      <w:r w:rsidRPr="002E0923">
        <w:rPr>
          <w:rFonts w:ascii="Source Sans Pro" w:hAnsi="Source Sans Pro"/>
          <w:color w:val="000000"/>
        </w:rPr>
        <w:t>,5</w:t>
      </w:r>
      <w:r w:rsidR="009E522B">
        <w:rPr>
          <w:rFonts w:ascii="Source Sans Pro" w:hAnsi="Source Sans Pro"/>
          <w:color w:val="000000"/>
        </w:rPr>
        <w:t> </w:t>
      </w:r>
      <w:r w:rsidRPr="002E0923">
        <w:rPr>
          <w:rFonts w:ascii="Source Sans Pro" w:hAnsi="Source Sans Pro"/>
          <w:color w:val="000000"/>
        </w:rPr>
        <w:t>tūkst. 2030.</w:t>
      </w:r>
      <w:r w:rsidR="009E522B">
        <w:rPr>
          <w:rFonts w:ascii="Source Sans Pro" w:hAnsi="Source Sans Pro"/>
          <w:color w:val="000000"/>
        </w:rPr>
        <w:t> </w:t>
      </w:r>
      <w:r w:rsidRPr="002E0923">
        <w:rPr>
          <w:rFonts w:ascii="Source Sans Pro" w:hAnsi="Source Sans Pro"/>
          <w:color w:val="000000"/>
        </w:rPr>
        <w:t>gadā);</w:t>
      </w:r>
    </w:p>
    <w:p w14:paraId="4DC69B60" w14:textId="4455DA09" w:rsidR="00977392" w:rsidRPr="00D829F0" w:rsidRDefault="00977392" w:rsidP="00977392">
      <w:pPr>
        <w:numPr>
          <w:ilvl w:val="0"/>
          <w:numId w:val="18"/>
        </w:numPr>
        <w:tabs>
          <w:tab w:val="clear" w:pos="720"/>
          <w:tab w:val="num" w:pos="426"/>
        </w:tabs>
        <w:spacing w:after="120" w:line="259" w:lineRule="auto"/>
        <w:ind w:left="426" w:hanging="426"/>
        <w:jc w:val="both"/>
        <w:rPr>
          <w:rFonts w:ascii="Source Sans Pro" w:hAnsi="Source Sans Pro"/>
        </w:rPr>
      </w:pPr>
      <w:r w:rsidRPr="002E0923">
        <w:rPr>
          <w:rFonts w:ascii="Source Sans Pro" w:hAnsi="Source Sans Pro"/>
          <w:b/>
          <w:color w:val="000000"/>
        </w:rPr>
        <w:t>Iztrūkums pēc darbaspēka ar profesionālo vidējo izglītību.</w:t>
      </w:r>
      <w:r w:rsidRPr="002E0923">
        <w:rPr>
          <w:rFonts w:ascii="Source Sans Pro" w:hAnsi="Source Sans Pro"/>
          <w:color w:val="000000"/>
        </w:rPr>
        <w:t xml:space="preserve"> Vidējā termiņā var veidoties darbaspēka iztrūkums ar profesionālo vidējo izglītību (~</w:t>
      </w:r>
      <w:r w:rsidR="002E0923" w:rsidRPr="002E0923">
        <w:rPr>
          <w:rFonts w:ascii="Source Sans Pro" w:hAnsi="Source Sans Pro"/>
          <w:color w:val="000000"/>
        </w:rPr>
        <w:t>34</w:t>
      </w:r>
      <w:r w:rsidR="009E522B">
        <w:rPr>
          <w:rFonts w:ascii="Source Sans Pro" w:hAnsi="Source Sans Pro"/>
          <w:color w:val="000000"/>
        </w:rPr>
        <w:t> </w:t>
      </w:r>
      <w:r w:rsidR="002E0923" w:rsidRPr="002E0923">
        <w:rPr>
          <w:rFonts w:ascii="Source Sans Pro" w:hAnsi="Source Sans Pro"/>
          <w:color w:val="000000"/>
        </w:rPr>
        <w:t>tūkst. 2030.</w:t>
      </w:r>
      <w:r w:rsidR="009E522B">
        <w:rPr>
          <w:rFonts w:ascii="Source Sans Pro" w:hAnsi="Source Sans Pro"/>
          <w:color w:val="000000"/>
        </w:rPr>
        <w:t> </w:t>
      </w:r>
      <w:r w:rsidR="002E0923" w:rsidRPr="002E0923">
        <w:rPr>
          <w:rFonts w:ascii="Source Sans Pro" w:hAnsi="Source Sans Pro"/>
          <w:color w:val="000000"/>
        </w:rPr>
        <w:t>gadā),</w:t>
      </w:r>
      <w:r w:rsidRPr="002E0923">
        <w:rPr>
          <w:rFonts w:ascii="Source Sans Pro" w:hAnsi="Source Sans Pro"/>
          <w:color w:val="000000"/>
        </w:rPr>
        <w:t xml:space="preserve"> pie tam iztrūkums būs vērojams praktiski visās izglītības tematiskajās grupās, it īpaši inženierzinātnēs un ražošanā</w:t>
      </w:r>
      <w:r w:rsidR="002E0923" w:rsidRPr="002E0923">
        <w:rPr>
          <w:rFonts w:ascii="Source Sans Pro" w:hAnsi="Source Sans Pro"/>
          <w:color w:val="000000"/>
        </w:rPr>
        <w:t xml:space="preserve"> (~24</w:t>
      </w:r>
      <w:r w:rsidR="009E522B">
        <w:rPr>
          <w:rFonts w:ascii="Source Sans Pro" w:hAnsi="Source Sans Pro"/>
          <w:color w:val="000000"/>
        </w:rPr>
        <w:t> </w:t>
      </w:r>
      <w:r w:rsidR="002E0923" w:rsidRPr="002E0923">
        <w:rPr>
          <w:rFonts w:ascii="Source Sans Pro" w:hAnsi="Source Sans Pro"/>
          <w:color w:val="000000"/>
        </w:rPr>
        <w:t>tūkst.).</w:t>
      </w:r>
      <w:r w:rsidRPr="002E0923">
        <w:rPr>
          <w:rFonts w:ascii="Source Sans Pro" w:hAnsi="Source Sans Pro"/>
          <w:color w:val="000000"/>
        </w:rPr>
        <w:t xml:space="preserve"> Salīdzinot ar </w:t>
      </w:r>
      <w:r w:rsidR="002E0923" w:rsidRPr="002E0923">
        <w:rPr>
          <w:rFonts w:ascii="Source Sans Pro" w:hAnsi="Source Sans Pro"/>
          <w:color w:val="000000"/>
        </w:rPr>
        <w:t>2024</w:t>
      </w:r>
      <w:r w:rsidRPr="002E0923">
        <w:rPr>
          <w:rFonts w:ascii="Source Sans Pro" w:hAnsi="Source Sans Pro"/>
          <w:color w:val="000000"/>
        </w:rPr>
        <w:t>.</w:t>
      </w:r>
      <w:r w:rsidR="009E522B">
        <w:rPr>
          <w:rFonts w:ascii="Source Sans Pro" w:hAnsi="Source Sans Pro"/>
          <w:color w:val="000000"/>
        </w:rPr>
        <w:t> </w:t>
      </w:r>
      <w:r w:rsidRPr="002E0923">
        <w:rPr>
          <w:rFonts w:ascii="Source Sans Pro" w:hAnsi="Source Sans Pro"/>
          <w:color w:val="000000"/>
        </w:rPr>
        <w:t xml:space="preserve">gada prognozēm, prognozētais iztrūkums samazinājies par </w:t>
      </w:r>
      <w:r w:rsidR="002E0923" w:rsidRPr="002E0923">
        <w:rPr>
          <w:rFonts w:ascii="Source Sans Pro" w:hAnsi="Source Sans Pro"/>
          <w:color w:val="000000"/>
        </w:rPr>
        <w:t>aptuveni 12</w:t>
      </w:r>
      <w:r w:rsidR="009E522B">
        <w:rPr>
          <w:rFonts w:ascii="Source Sans Pro" w:hAnsi="Source Sans Pro"/>
          <w:color w:val="000000"/>
        </w:rPr>
        <w:t> </w:t>
      </w:r>
      <w:r w:rsidRPr="002E0923">
        <w:rPr>
          <w:rFonts w:ascii="Source Sans Pro" w:hAnsi="Source Sans Pro"/>
          <w:color w:val="000000"/>
        </w:rPr>
        <w:t>tūkst. (iepriekš ~</w:t>
      </w:r>
      <w:r w:rsidR="002E0923" w:rsidRPr="002E0923">
        <w:rPr>
          <w:rFonts w:ascii="Source Sans Pro" w:hAnsi="Source Sans Pro"/>
          <w:color w:val="000000"/>
        </w:rPr>
        <w:t>45,7</w:t>
      </w:r>
      <w:r w:rsidR="009E522B">
        <w:rPr>
          <w:rFonts w:ascii="Source Sans Pro" w:hAnsi="Source Sans Pro"/>
          <w:color w:val="000000"/>
        </w:rPr>
        <w:t> </w:t>
      </w:r>
      <w:r w:rsidRPr="002E0923">
        <w:rPr>
          <w:rFonts w:ascii="Source Sans Pro" w:hAnsi="Source Sans Pro"/>
          <w:color w:val="000000"/>
        </w:rPr>
        <w:t>tūkst. 2030.</w:t>
      </w:r>
      <w:r w:rsidR="009E522B">
        <w:rPr>
          <w:rFonts w:ascii="Source Sans Pro" w:hAnsi="Source Sans Pro"/>
          <w:color w:val="000000"/>
        </w:rPr>
        <w:t> </w:t>
      </w:r>
      <w:r w:rsidRPr="002E0923">
        <w:rPr>
          <w:rFonts w:ascii="Source Sans Pro" w:hAnsi="Source Sans Pro"/>
          <w:color w:val="000000"/>
        </w:rPr>
        <w:t>gadā);</w:t>
      </w:r>
    </w:p>
    <w:p w14:paraId="57437FF3" w14:textId="6D2582E8" w:rsidR="00977392" w:rsidRPr="00D829F0" w:rsidRDefault="00977392" w:rsidP="00977392">
      <w:pPr>
        <w:numPr>
          <w:ilvl w:val="0"/>
          <w:numId w:val="18"/>
        </w:numPr>
        <w:tabs>
          <w:tab w:val="clear" w:pos="720"/>
          <w:tab w:val="num" w:pos="426"/>
        </w:tabs>
        <w:spacing w:after="120" w:line="259" w:lineRule="auto"/>
        <w:ind w:left="426" w:hanging="426"/>
        <w:jc w:val="both"/>
        <w:rPr>
          <w:rFonts w:ascii="Source Sans Pro" w:hAnsi="Source Sans Pro"/>
        </w:rPr>
      </w:pPr>
      <w:r w:rsidRPr="002E0923">
        <w:rPr>
          <w:rFonts w:ascii="Source Sans Pro" w:hAnsi="Source Sans Pro"/>
          <w:b/>
          <w:color w:val="000000"/>
        </w:rPr>
        <w:t>Darbaspēka pārpalikums ar vidējo vispārējo izglītību, pamatizglītību un zemāku izglītības līmeni.</w:t>
      </w:r>
      <w:r w:rsidRPr="002E0923">
        <w:rPr>
          <w:rFonts w:ascii="Source Sans Pro" w:hAnsi="Source Sans Pro"/>
          <w:color w:val="000000"/>
        </w:rPr>
        <w:t xml:space="preserve"> Sagaidāms, ka vidējā termiņā palielināsies darbaspēka pārpalikums ar vidējo vispārējo izglītību, pamatizglītību un zemāku izglītības līmeni. Līdz 2030.</w:t>
      </w:r>
      <w:r w:rsidR="009E522B">
        <w:rPr>
          <w:rFonts w:ascii="Source Sans Pro" w:hAnsi="Source Sans Pro"/>
          <w:color w:val="000000"/>
        </w:rPr>
        <w:t> </w:t>
      </w:r>
      <w:r w:rsidRPr="002E0923">
        <w:rPr>
          <w:rFonts w:ascii="Source Sans Pro" w:hAnsi="Source Sans Pro"/>
          <w:color w:val="000000"/>
        </w:rPr>
        <w:t>gadam šāda darbaspēka pārpalikums var sasniegt ~</w:t>
      </w:r>
      <w:r w:rsidR="002E0923" w:rsidRPr="002E0923">
        <w:rPr>
          <w:rFonts w:ascii="Source Sans Pro" w:hAnsi="Source Sans Pro"/>
          <w:color w:val="000000"/>
        </w:rPr>
        <w:t>79</w:t>
      </w:r>
      <w:r w:rsidR="009E522B">
        <w:rPr>
          <w:rFonts w:ascii="Source Sans Pro" w:hAnsi="Source Sans Pro"/>
          <w:color w:val="000000"/>
        </w:rPr>
        <w:t> </w:t>
      </w:r>
      <w:r w:rsidRPr="002E0923">
        <w:rPr>
          <w:rFonts w:ascii="Source Sans Pro" w:hAnsi="Source Sans Pro"/>
          <w:color w:val="000000"/>
        </w:rPr>
        <w:t>tūkst. (ar vidējo vispārējo izglītību ~</w:t>
      </w:r>
      <w:r w:rsidR="002E0923" w:rsidRPr="002E0923">
        <w:rPr>
          <w:rFonts w:ascii="Source Sans Pro" w:hAnsi="Source Sans Pro"/>
          <w:color w:val="000000"/>
        </w:rPr>
        <w:t>27</w:t>
      </w:r>
      <w:r w:rsidR="009E522B">
        <w:rPr>
          <w:rFonts w:ascii="Source Sans Pro" w:hAnsi="Source Sans Pro"/>
          <w:color w:val="000000"/>
        </w:rPr>
        <w:t> </w:t>
      </w:r>
      <w:r w:rsidRPr="002E0923">
        <w:rPr>
          <w:rFonts w:ascii="Source Sans Pro" w:hAnsi="Source Sans Pro"/>
          <w:color w:val="000000"/>
        </w:rPr>
        <w:t xml:space="preserve">tūkst., ar pamatizglītību un zemāku </w:t>
      </w:r>
      <w:r w:rsidR="002E0923" w:rsidRPr="002E0923">
        <w:rPr>
          <w:rFonts w:ascii="Source Sans Pro" w:hAnsi="Source Sans Pro"/>
          <w:color w:val="000000"/>
        </w:rPr>
        <w:t>– vairāk nekā 52</w:t>
      </w:r>
      <w:r w:rsidRPr="002E0923">
        <w:rPr>
          <w:rFonts w:ascii="Source Sans Pro" w:hAnsi="Source Sans Pro"/>
          <w:color w:val="000000"/>
        </w:rPr>
        <w:t xml:space="preserve"> tūkst.). Salīdzinot ar </w:t>
      </w:r>
      <w:r w:rsidR="002E0923" w:rsidRPr="002E0923">
        <w:rPr>
          <w:rFonts w:ascii="Source Sans Pro" w:hAnsi="Source Sans Pro"/>
          <w:color w:val="000000"/>
        </w:rPr>
        <w:t>2024</w:t>
      </w:r>
      <w:r w:rsidRPr="002E0923">
        <w:rPr>
          <w:rFonts w:ascii="Source Sans Pro" w:hAnsi="Source Sans Pro"/>
          <w:color w:val="000000"/>
        </w:rPr>
        <w:t>.</w:t>
      </w:r>
      <w:r w:rsidR="009E522B">
        <w:rPr>
          <w:rFonts w:ascii="Source Sans Pro" w:hAnsi="Source Sans Pro"/>
          <w:color w:val="000000"/>
        </w:rPr>
        <w:t> </w:t>
      </w:r>
      <w:r w:rsidRPr="002E0923">
        <w:rPr>
          <w:rFonts w:ascii="Source Sans Pro" w:hAnsi="Source Sans Pro"/>
          <w:color w:val="000000"/>
        </w:rPr>
        <w:t xml:space="preserve">gada prognozēm, prognozētais pārpalikums samazinājies par aptuveni </w:t>
      </w:r>
      <w:r w:rsidR="002E0923" w:rsidRPr="002E0923">
        <w:rPr>
          <w:rFonts w:ascii="Source Sans Pro" w:hAnsi="Source Sans Pro"/>
          <w:color w:val="000000"/>
        </w:rPr>
        <w:t>11</w:t>
      </w:r>
      <w:r w:rsidRPr="002E0923">
        <w:rPr>
          <w:rFonts w:ascii="Source Sans Pro" w:hAnsi="Source Sans Pro"/>
          <w:color w:val="000000"/>
        </w:rPr>
        <w:t xml:space="preserve"> tūkst. (iepriekš ~</w:t>
      </w:r>
      <w:r w:rsidR="002E0923" w:rsidRPr="002E0923">
        <w:rPr>
          <w:rFonts w:ascii="Source Sans Pro" w:hAnsi="Source Sans Pro"/>
          <w:color w:val="000000"/>
        </w:rPr>
        <w:t>90</w:t>
      </w:r>
      <w:r w:rsidRPr="002E0923">
        <w:rPr>
          <w:rFonts w:ascii="Source Sans Pro" w:hAnsi="Source Sans Pro"/>
          <w:color w:val="000000"/>
        </w:rPr>
        <w:t xml:space="preserve"> tūkst. 2030.</w:t>
      </w:r>
      <w:r w:rsidR="009E522B">
        <w:rPr>
          <w:rFonts w:ascii="Source Sans Pro" w:hAnsi="Source Sans Pro"/>
          <w:color w:val="000000"/>
        </w:rPr>
        <w:t> </w:t>
      </w:r>
      <w:r w:rsidRPr="002E0923">
        <w:rPr>
          <w:rFonts w:ascii="Source Sans Pro" w:hAnsi="Source Sans Pro"/>
          <w:color w:val="000000"/>
        </w:rPr>
        <w:t>gadā).</w:t>
      </w:r>
    </w:p>
    <w:p w14:paraId="53907175" w14:textId="77777777" w:rsidR="00977392" w:rsidRPr="00D829F0" w:rsidRDefault="00977392" w:rsidP="00977392">
      <w:pPr>
        <w:pStyle w:val="EnvelopeReturn"/>
        <w:spacing w:after="120"/>
        <w:jc w:val="both"/>
        <w:rPr>
          <w:rFonts w:ascii="Source Sans Pro" w:hAnsi="Source Sans Pro"/>
          <w:szCs w:val="28"/>
        </w:rPr>
      </w:pPr>
    </w:p>
    <w:p w14:paraId="675D69B9" w14:textId="77777777" w:rsidR="00977392" w:rsidRPr="00D829F0" w:rsidRDefault="00977392" w:rsidP="00977392">
      <w:pPr>
        <w:pStyle w:val="EnvelopeReturn"/>
        <w:spacing w:after="120"/>
        <w:jc w:val="both"/>
        <w:rPr>
          <w:rFonts w:ascii="Source Sans Pro" w:hAnsi="Source Sans Pro"/>
          <w:szCs w:val="28"/>
        </w:rPr>
      </w:pPr>
      <w:r w:rsidRPr="00D829F0">
        <w:rPr>
          <w:rFonts w:ascii="Source Sans Pro" w:hAnsi="Source Sans Pro"/>
          <w:szCs w:val="28"/>
        </w:rPr>
        <w:t xml:space="preserve">Minētās </w:t>
      </w:r>
      <w:r w:rsidRPr="00D829F0">
        <w:rPr>
          <w:rFonts w:ascii="Source Sans Pro" w:hAnsi="Source Sans Pro"/>
          <w:b/>
          <w:szCs w:val="28"/>
        </w:rPr>
        <w:t>darba tirgus disproporcijas var saasināt negatīvās demogrāfijas tendences un darba tirgus reģionālās atšķirības</w:t>
      </w:r>
      <w:r w:rsidRPr="00D829F0">
        <w:rPr>
          <w:rFonts w:ascii="Source Sans Pro" w:hAnsi="Source Sans Pro"/>
          <w:szCs w:val="28"/>
        </w:rPr>
        <w:t>.</w:t>
      </w:r>
    </w:p>
    <w:p w14:paraId="114DEEE2" w14:textId="77777777" w:rsidR="00977392" w:rsidRPr="00D829F0" w:rsidRDefault="00977392" w:rsidP="005E5E57">
      <w:pPr>
        <w:pStyle w:val="EnvelopeReturn"/>
        <w:spacing w:after="120"/>
        <w:jc w:val="both"/>
        <w:rPr>
          <w:rFonts w:ascii="Source Sans Pro" w:eastAsia="Calibri" w:hAnsi="Source Sans Pro"/>
          <w:color w:val="262626" w:themeColor="text1" w:themeTint="D9"/>
          <w:szCs w:val="28"/>
          <w:lang w:eastAsia="en-US"/>
        </w:rPr>
      </w:pPr>
    </w:p>
    <w:p w14:paraId="0AD791C8" w14:textId="77777777" w:rsidR="007C6908" w:rsidRPr="00D829F0" w:rsidRDefault="007C6908" w:rsidP="005E5E57">
      <w:pPr>
        <w:pStyle w:val="EnvelopeReturn"/>
        <w:spacing w:after="120"/>
        <w:jc w:val="both"/>
        <w:rPr>
          <w:rFonts w:ascii="Source Sans Pro" w:eastAsia="Calibri" w:hAnsi="Source Sans Pro"/>
          <w:color w:val="262626" w:themeColor="text1" w:themeTint="D9"/>
          <w:szCs w:val="28"/>
          <w:lang w:eastAsia="en-US"/>
        </w:rPr>
      </w:pPr>
    </w:p>
    <w:p w14:paraId="0F8DD931" w14:textId="226C682A" w:rsidR="00F94B79" w:rsidRPr="00797B4A" w:rsidRDefault="005E5E57" w:rsidP="00F458B3">
      <w:pPr>
        <w:tabs>
          <w:tab w:val="left" w:pos="284"/>
        </w:tabs>
        <w:spacing w:after="120"/>
        <w:jc w:val="both"/>
        <w:rPr>
          <w:rFonts w:ascii="Aptos Narrow" w:hAnsi="Aptos Narrow"/>
          <w:b/>
          <w:color w:val="003E4C"/>
          <w:sz w:val="28"/>
          <w:szCs w:val="28"/>
        </w:rPr>
      </w:pPr>
      <w:r w:rsidRPr="00797B4A">
        <w:rPr>
          <w:rFonts w:ascii="Aptos Narrow" w:hAnsi="Aptos Narrow"/>
          <w:b/>
          <w:color w:val="003E4C"/>
          <w:sz w:val="28"/>
          <w:szCs w:val="28"/>
        </w:rPr>
        <w:t>I</w:t>
      </w:r>
      <w:r w:rsidR="00487A3E" w:rsidRPr="00797B4A">
        <w:rPr>
          <w:rFonts w:ascii="Aptos Narrow" w:hAnsi="Aptos Narrow"/>
          <w:b/>
          <w:color w:val="003E4C"/>
          <w:sz w:val="28"/>
          <w:szCs w:val="28"/>
        </w:rPr>
        <w:t>V</w:t>
      </w:r>
      <w:r w:rsidRPr="00797B4A">
        <w:rPr>
          <w:rFonts w:ascii="Aptos Narrow" w:hAnsi="Aptos Narrow"/>
          <w:b/>
          <w:color w:val="003E4C"/>
          <w:sz w:val="28"/>
          <w:szCs w:val="28"/>
        </w:rPr>
        <w:tab/>
      </w:r>
      <w:r w:rsidR="00F94B79" w:rsidRPr="00797B4A">
        <w:rPr>
          <w:rFonts w:ascii="Aptos Narrow" w:hAnsi="Aptos Narrow"/>
          <w:b/>
          <w:color w:val="003E4C"/>
          <w:sz w:val="28"/>
          <w:szCs w:val="28"/>
        </w:rPr>
        <w:t>REKOMENDĀCIJAS DARBA TIRGUS NEATBILSTĪBU MAZINĀŠANAI</w:t>
      </w:r>
    </w:p>
    <w:p w14:paraId="39083AE1" w14:textId="4552566C" w:rsidR="00653B38" w:rsidRPr="00797B4A" w:rsidRDefault="00653B38" w:rsidP="00653B38">
      <w:pPr>
        <w:spacing w:after="120"/>
        <w:jc w:val="both"/>
        <w:rPr>
          <w:rFonts w:ascii="Source Sans Pro" w:eastAsia="Times New Roman" w:hAnsi="Source Sans Pro"/>
          <w:szCs w:val="20"/>
          <w:lang w:eastAsia="lv-LV"/>
        </w:rPr>
      </w:pPr>
      <w:r w:rsidRPr="00797B4A">
        <w:rPr>
          <w:rFonts w:ascii="Source Sans Pro" w:eastAsia="Times New Roman" w:hAnsi="Source Sans Pro"/>
          <w:szCs w:val="20"/>
          <w:lang w:eastAsia="lv-LV"/>
        </w:rPr>
        <w:t>Iepriekšējos gados īstenotie nodarbinātības veicināšanas un prasmju attīstības pasākumi kopumā ir devuši labvēlīgu ietekmi uz iedzīvotāju nodarbinātību un prasmju atbilstību</w:t>
      </w:r>
      <w:r w:rsidR="006F21E9" w:rsidRPr="00797B4A">
        <w:rPr>
          <w:rFonts w:ascii="Source Sans Pro" w:eastAsia="Times New Roman" w:hAnsi="Source Sans Pro"/>
          <w:szCs w:val="20"/>
          <w:lang w:eastAsia="lv-LV"/>
        </w:rPr>
        <w:t xml:space="preserve"> darba tirgus vajadzībām – salīdzinājumā ar 2024. gada prognozēm sagaidāmās darba tirgus neatbilstības ir samazinājušās</w:t>
      </w:r>
      <w:r w:rsidR="0059545D" w:rsidRPr="00797B4A">
        <w:rPr>
          <w:rFonts w:ascii="Source Sans Pro" w:eastAsia="Times New Roman" w:hAnsi="Source Sans Pro"/>
          <w:szCs w:val="20"/>
          <w:lang w:eastAsia="lv-LV"/>
        </w:rPr>
        <w:t>.</w:t>
      </w:r>
      <w:r w:rsidRPr="00797B4A">
        <w:rPr>
          <w:rFonts w:ascii="Source Sans Pro" w:eastAsia="Times New Roman" w:hAnsi="Source Sans Pro"/>
          <w:szCs w:val="20"/>
          <w:lang w:eastAsia="lv-LV"/>
        </w:rPr>
        <w:t xml:space="preserve"> </w:t>
      </w:r>
      <w:r w:rsidR="0059545D" w:rsidRPr="00797B4A">
        <w:rPr>
          <w:rFonts w:ascii="Source Sans Pro" w:eastAsia="Times New Roman" w:hAnsi="Source Sans Pro"/>
          <w:szCs w:val="20"/>
          <w:lang w:eastAsia="lv-LV"/>
        </w:rPr>
        <w:t>Tomēr aktualizētās darba tirgus prognozes līdz 2040. gadam apliecina, ka galvenās strukturālās neatbilstības saglabāsies aktuālas arī vidējā un ilgtermiņā – noturīgs iztrūkums pēc augstākās kvalifikācijas STEM, jo īpaši IKT, speciālistiem un pēc vidējās kvalifikācijas darbaspēka ar profesionālo izglītību, vienlaikus veidojoties pārpalikumam darbaspēkam ar zemu izglītības līmeni, kā arī augstākās izglītības sociālo, komerczinību un humanitāro zinātņu jomās. Šīs neatbilstības pastiprina sabiedrības novecošanās, darbspējīgo iedzīvotāju skaita samazināšanās un darba tirgus reģionālās atšķirības. Vienlaikus izglītības</w:t>
      </w:r>
      <w:r w:rsidRPr="00797B4A">
        <w:rPr>
          <w:rFonts w:ascii="Source Sans Pro" w:eastAsia="Times New Roman" w:hAnsi="Source Sans Pro"/>
          <w:szCs w:val="20"/>
          <w:lang w:eastAsia="lv-LV"/>
        </w:rPr>
        <w:t xml:space="preserve"> pasākumu ietekme bieži vien ir lēna un ietekmes mērogs nepietiekams, savukārt pieaugušo izglītības sniegtās iespējas netiek pietiekami izmantotas</w:t>
      </w:r>
      <w:r w:rsidR="005D4D98" w:rsidRPr="00797B4A">
        <w:rPr>
          <w:rFonts w:ascii="Source Sans Pro" w:eastAsia="Times New Roman" w:hAnsi="Source Sans Pro"/>
          <w:szCs w:val="20"/>
          <w:lang w:eastAsia="lv-LV"/>
        </w:rPr>
        <w:t>,</w:t>
      </w:r>
      <w:r w:rsidRPr="00797B4A">
        <w:rPr>
          <w:rFonts w:ascii="Source Sans Pro" w:eastAsia="Times New Roman" w:hAnsi="Source Sans Pro"/>
          <w:szCs w:val="20"/>
          <w:lang w:eastAsia="lv-LV"/>
        </w:rPr>
        <w:t xml:space="preserve"> nesasniedzot galvenās mērķa grupas – iedzīvotājus ar zemu izglītības līmeni un bez kvalifikācijas. </w:t>
      </w:r>
      <w:r w:rsidR="0059545D" w:rsidRPr="00797B4A">
        <w:rPr>
          <w:rFonts w:ascii="Source Sans Pro" w:eastAsia="Times New Roman" w:hAnsi="Source Sans Pro"/>
          <w:szCs w:val="20"/>
          <w:lang w:eastAsia="lv-LV"/>
        </w:rPr>
        <w:t>Tādēļ darba tirgus disproporciju mazināšanai nepieciešama mērķtiecīga un savstarpēji saskaņota rīcība produktivitātes paaugstināšanas, prasmju attīstības un darbaspēka piesaistes jomā.</w:t>
      </w:r>
      <w:r w:rsidRPr="00797B4A">
        <w:rPr>
          <w:rFonts w:ascii="Source Sans Pro" w:eastAsia="Times New Roman" w:hAnsi="Source Sans Pro"/>
          <w:szCs w:val="20"/>
          <w:lang w:eastAsia="lv-LV"/>
        </w:rPr>
        <w:t xml:space="preserve"> </w:t>
      </w:r>
    </w:p>
    <w:p w14:paraId="2CE08425" w14:textId="54A72FBD" w:rsidR="00271952" w:rsidRDefault="006F21E9" w:rsidP="005E5E57">
      <w:pPr>
        <w:spacing w:after="120"/>
        <w:jc w:val="both"/>
        <w:rPr>
          <w:rFonts w:ascii="Source Sans Pro" w:hAnsi="Source Sans Pro"/>
          <w:color w:val="262626" w:themeColor="text1" w:themeTint="D9"/>
        </w:rPr>
      </w:pPr>
      <w:r w:rsidRPr="006F21E9">
        <w:rPr>
          <w:rFonts w:ascii="Source Sans Pro" w:hAnsi="Source Sans Pro"/>
          <w:color w:val="262626" w:themeColor="text1" w:themeTint="D9"/>
        </w:rPr>
        <w:t>Šie</w:t>
      </w:r>
      <w:r w:rsidR="00F94B79" w:rsidRPr="00D829F0">
        <w:rPr>
          <w:rFonts w:ascii="Source Sans Pro" w:hAnsi="Source Sans Pro"/>
          <w:color w:val="262626" w:themeColor="text1" w:themeTint="D9"/>
        </w:rPr>
        <w:t xml:space="preserve"> </w:t>
      </w:r>
      <w:r w:rsidR="004570F0" w:rsidRPr="00D829F0">
        <w:rPr>
          <w:rFonts w:ascii="Source Sans Pro" w:hAnsi="Source Sans Pro"/>
          <w:color w:val="262626" w:themeColor="text1" w:themeTint="D9"/>
        </w:rPr>
        <w:t>jautājumi</w:t>
      </w:r>
      <w:r w:rsidR="00F94B79" w:rsidRPr="00D829F0">
        <w:rPr>
          <w:rFonts w:ascii="Source Sans Pro" w:hAnsi="Source Sans Pro"/>
          <w:color w:val="262626" w:themeColor="text1" w:themeTint="D9"/>
        </w:rPr>
        <w:t xml:space="preserve"> ir jārisina kompleksi. Piemēram, ir grūti palielināt studējošo skaitu dabas zinātnēs un inženierzinātnēs, ja jau pamatizglītībā un vidējā izglītībā skolēniem ir vājas zināšanas un maza interese par eksaktajiem mācību priekšmetiem. Tāpat jāņem vērā, ka iespējamie risinājumi augstāk</w:t>
      </w:r>
      <w:r w:rsidR="000D4EC9">
        <w:rPr>
          <w:rFonts w:ascii="Source Sans Pro" w:hAnsi="Source Sans Pro"/>
          <w:color w:val="262626" w:themeColor="text1" w:themeTint="D9"/>
        </w:rPr>
        <w:t>aj</w:t>
      </w:r>
      <w:r w:rsidR="00F94B79" w:rsidRPr="00D829F0">
        <w:rPr>
          <w:rFonts w:ascii="Source Sans Pro" w:hAnsi="Source Sans Pro"/>
          <w:color w:val="262626" w:themeColor="text1" w:themeTint="D9"/>
        </w:rPr>
        <w:t>ā izglītībā, vidējā</w:t>
      </w:r>
      <w:r w:rsidR="003E74A4">
        <w:rPr>
          <w:rFonts w:ascii="Source Sans Pro" w:hAnsi="Source Sans Pro"/>
          <w:color w:val="262626" w:themeColor="text1" w:themeTint="D9"/>
        </w:rPr>
        <w:t xml:space="preserve"> vispār</w:t>
      </w:r>
      <w:r w:rsidR="000D4EC9">
        <w:rPr>
          <w:rFonts w:ascii="Source Sans Pro" w:hAnsi="Source Sans Pro"/>
          <w:color w:val="262626" w:themeColor="text1" w:themeTint="D9"/>
        </w:rPr>
        <w:t>ē</w:t>
      </w:r>
      <w:r w:rsidR="003E74A4">
        <w:rPr>
          <w:rFonts w:ascii="Source Sans Pro" w:hAnsi="Source Sans Pro"/>
          <w:color w:val="262626" w:themeColor="text1" w:themeTint="D9"/>
        </w:rPr>
        <w:t>jā u</w:t>
      </w:r>
      <w:r w:rsidR="000D4EC9">
        <w:rPr>
          <w:rFonts w:ascii="Source Sans Pro" w:hAnsi="Source Sans Pro"/>
          <w:color w:val="262626" w:themeColor="text1" w:themeTint="D9"/>
        </w:rPr>
        <w:t>n</w:t>
      </w:r>
      <w:r w:rsidR="00F94B79" w:rsidRPr="00D829F0">
        <w:rPr>
          <w:rFonts w:ascii="Source Sans Pro" w:hAnsi="Source Sans Pro"/>
          <w:color w:val="262626" w:themeColor="text1" w:themeTint="D9"/>
        </w:rPr>
        <w:t xml:space="preserve"> profesionālā izglītībā un pamatizglītībā jūtamu ietekmi dos tikai ilgtermiņā. Izmaiņas formāl</w:t>
      </w:r>
      <w:r w:rsidR="00DE63C1">
        <w:rPr>
          <w:rFonts w:ascii="Source Sans Pro" w:hAnsi="Source Sans Pro"/>
          <w:color w:val="262626" w:themeColor="text1" w:themeTint="D9"/>
        </w:rPr>
        <w:t>ajā</w:t>
      </w:r>
      <w:r w:rsidR="00F94B79" w:rsidRPr="00D829F0">
        <w:rPr>
          <w:rFonts w:ascii="Source Sans Pro" w:hAnsi="Source Sans Pro"/>
          <w:color w:val="262626" w:themeColor="text1" w:themeTint="D9"/>
        </w:rPr>
        <w:t xml:space="preserve"> izglītībā atstāj relatīvi mazu ietekmi uz vidēja termiņa problēmām. Tāpēc profesionāl</w:t>
      </w:r>
      <w:r w:rsidR="00DE63C1">
        <w:rPr>
          <w:rFonts w:ascii="Source Sans Pro" w:hAnsi="Source Sans Pro"/>
          <w:color w:val="262626" w:themeColor="text1" w:themeTint="D9"/>
        </w:rPr>
        <w:t>o</w:t>
      </w:r>
      <w:r w:rsidR="00802FFA">
        <w:rPr>
          <w:rFonts w:ascii="Source Sans Pro" w:hAnsi="Source Sans Pro"/>
          <w:color w:val="262626" w:themeColor="text1" w:themeTint="D9"/>
        </w:rPr>
        <w:t xml:space="preserve"> prasmju</w:t>
      </w:r>
      <w:r w:rsidR="00F94B79" w:rsidRPr="00D829F0">
        <w:rPr>
          <w:rFonts w:ascii="Source Sans Pro" w:hAnsi="Source Sans Pro"/>
          <w:color w:val="262626" w:themeColor="text1" w:themeTint="D9"/>
        </w:rPr>
        <w:t xml:space="preserve"> kvalitātes uzlabošanai un darba tirgus disproporciju mazināšanai nozīmīga loma ir efektīvām pieaugušo mācībām un tālākizglītībai. Būtiski ir palielināt iedzīvotāju ar pamatizglītību un vispārējo vidējo izglītību iesaisti pieaugušo izglītības pasākumos</w:t>
      </w:r>
      <w:r w:rsidR="00951473" w:rsidRPr="00951473">
        <w:rPr>
          <w:rFonts w:ascii="Source Sans Pro" w:hAnsi="Source Sans Pro"/>
          <w:color w:val="262626" w:themeColor="text1" w:themeTint="D9"/>
        </w:rPr>
        <w:t>, nodrošinot viņu vajadzībām un darba tirgus pieprasījumam atbilstošas izglītības programmas</w:t>
      </w:r>
      <w:r w:rsidR="00F94B79" w:rsidRPr="00D829F0">
        <w:rPr>
          <w:rFonts w:ascii="Source Sans Pro" w:hAnsi="Source Sans Pro"/>
          <w:color w:val="262626" w:themeColor="text1" w:themeTint="D9"/>
        </w:rPr>
        <w:t xml:space="preserve">. Šādi iedzīvotāji bieži vien ir ekonomiski neaktīvi – bez darba vietas, kā arī nav reģistrējušies kā darba meklētāji. Kvalitatīva tālākizglītības piedāvājuma nodrošināšanā pieaugušajiem nozīmīga loma ir </w:t>
      </w:r>
      <w:r w:rsidR="00271952" w:rsidRPr="00271952">
        <w:rPr>
          <w:rFonts w:ascii="Source Sans Pro" w:hAnsi="Source Sans Pro"/>
          <w:color w:val="262626" w:themeColor="text1" w:themeTint="D9"/>
        </w:rPr>
        <w:t>darba tirgus vajadzībām atbilstoša izglītības piedāvājuma veidošana un izglītības procesa kvalitātes uzraudzība</w:t>
      </w:r>
      <w:r w:rsidR="00342C66">
        <w:rPr>
          <w:rFonts w:ascii="Source Sans Pro" w:hAnsi="Source Sans Pro"/>
          <w:color w:val="262626" w:themeColor="text1" w:themeTint="D9"/>
        </w:rPr>
        <w:t>.</w:t>
      </w:r>
    </w:p>
    <w:p w14:paraId="404B4456" w14:textId="59262037" w:rsidR="00F94B79" w:rsidRPr="00D829F0" w:rsidRDefault="00F94B79" w:rsidP="005E5E57">
      <w:pPr>
        <w:spacing w:after="120"/>
        <w:jc w:val="both"/>
        <w:rPr>
          <w:rFonts w:ascii="Source Sans Pro" w:hAnsi="Source Sans Pro"/>
          <w:szCs w:val="28"/>
        </w:rPr>
      </w:pPr>
      <w:r w:rsidRPr="00D829F0">
        <w:rPr>
          <w:rFonts w:ascii="Source Sans Pro" w:hAnsi="Source Sans Pro"/>
          <w:szCs w:val="28"/>
        </w:rPr>
        <w:t>Jāatzīmē, ka liela daļa no pasākumiem, kas vērsti uz darba tirgus piedāvājuma sabalansēšanu jau pašlaik tiek īstenoti, tomēr bieži vien tie nav savstarpēji saskaņoti un strukturēti atbilstoši mērķim. Lai mazinātu nākotnē sagaidāmās neatbilstības darba tirgū, ir nepieciešams pievērst pastiprinātu uzmanību šādās jomās:</w:t>
      </w:r>
    </w:p>
    <w:p w14:paraId="26AEB92C" w14:textId="77777777" w:rsidR="007A7F6C" w:rsidRPr="00D829F0" w:rsidRDefault="007A7F6C" w:rsidP="005E5E57">
      <w:pPr>
        <w:spacing w:after="120"/>
        <w:jc w:val="both"/>
        <w:rPr>
          <w:rFonts w:ascii="Source Sans Pro" w:hAnsi="Source Sans Pro"/>
          <w:szCs w:val="28"/>
        </w:rPr>
      </w:pPr>
    </w:p>
    <w:p w14:paraId="7B3A2AF6" w14:textId="3CBC7FE6" w:rsidR="00750CFB" w:rsidRPr="00D829F0" w:rsidRDefault="00750CFB" w:rsidP="005E5E57">
      <w:pPr>
        <w:numPr>
          <w:ilvl w:val="0"/>
          <w:numId w:val="8"/>
        </w:numPr>
        <w:spacing w:after="120" w:line="259" w:lineRule="auto"/>
        <w:jc w:val="both"/>
        <w:rPr>
          <w:rFonts w:ascii="Source Sans Pro" w:hAnsi="Source Sans Pro"/>
        </w:rPr>
      </w:pPr>
      <w:r w:rsidRPr="00D829F0">
        <w:rPr>
          <w:rFonts w:ascii="Source Sans Pro" w:hAnsi="Source Sans Pro"/>
          <w:b/>
        </w:rPr>
        <w:lastRenderedPageBreak/>
        <w:t>Augstākās kvalifikācijas darbaspēka ar STEM izglītību, jo īpaši IKT virzienos iztrūkuma mazināšana:</w:t>
      </w:r>
      <w:r w:rsidRPr="00D829F0">
        <w:rPr>
          <w:rFonts w:ascii="Source Sans Pro" w:hAnsi="Source Sans Pro"/>
        </w:rPr>
        <w:t> </w:t>
      </w:r>
    </w:p>
    <w:p w14:paraId="68A44DD7" w14:textId="377AFB21" w:rsidR="00750CFB" w:rsidRPr="00D829F0" w:rsidRDefault="00750CFB" w:rsidP="005E5E57">
      <w:pPr>
        <w:numPr>
          <w:ilvl w:val="0"/>
          <w:numId w:val="10"/>
        </w:numPr>
        <w:spacing w:after="120" w:line="259" w:lineRule="auto"/>
        <w:jc w:val="both"/>
        <w:rPr>
          <w:rFonts w:ascii="Source Sans Pro" w:hAnsi="Source Sans Pro"/>
        </w:rPr>
      </w:pPr>
      <w:r w:rsidRPr="00D829F0">
        <w:rPr>
          <w:rFonts w:ascii="Source Sans Pro" w:hAnsi="Source Sans Pro"/>
        </w:rPr>
        <w:t>studējošo atbiruma mazināšana – matemātikas un dabaszinātņu, kā arī IKT mācību jomas apguves kvalitātes stiprināšana vispārējā un profesionālā izglītībā preventīvai studentu atbiruma mazināšanai augstskolās</w:t>
      </w:r>
      <w:r w:rsidR="00A9008C" w:rsidRPr="00D829F0">
        <w:rPr>
          <w:rFonts w:ascii="Source Sans Pro" w:hAnsi="Source Sans Pro"/>
        </w:rPr>
        <w:t>,</w:t>
      </w:r>
      <w:r w:rsidRPr="00D829F0">
        <w:rPr>
          <w:rFonts w:ascii="Source Sans Pro" w:hAnsi="Source Sans Pro"/>
        </w:rPr>
        <w:t xml:space="preserve"> uzņemamo studentu atlases sistēmas pilnveide; </w:t>
      </w:r>
    </w:p>
    <w:p w14:paraId="024B10B8" w14:textId="77777777" w:rsidR="00750CFB" w:rsidRPr="00D829F0" w:rsidRDefault="00750CFB" w:rsidP="005E5E57">
      <w:pPr>
        <w:numPr>
          <w:ilvl w:val="0"/>
          <w:numId w:val="11"/>
        </w:numPr>
        <w:spacing w:after="120" w:line="259" w:lineRule="auto"/>
        <w:jc w:val="both"/>
        <w:rPr>
          <w:rFonts w:ascii="Source Sans Pro" w:hAnsi="Source Sans Pro"/>
        </w:rPr>
      </w:pPr>
      <w:r w:rsidRPr="00D829F0">
        <w:rPr>
          <w:rFonts w:ascii="Source Sans Pro" w:hAnsi="Source Sans Pro"/>
        </w:rPr>
        <w:t>karjeras atbalsta sistēmas stiprināšana jauniešiem, motivējot tos studijām STEM jomās, t.sk. informatīvo kampaņu veidošana un metodisko materiālu izstrāde karjeras konsultantiem; </w:t>
      </w:r>
    </w:p>
    <w:p w14:paraId="14CD1918" w14:textId="62B38B0E" w:rsidR="00750CFB" w:rsidRPr="00D829F0" w:rsidRDefault="00750CFB" w:rsidP="005E5E57">
      <w:pPr>
        <w:numPr>
          <w:ilvl w:val="0"/>
          <w:numId w:val="12"/>
        </w:numPr>
        <w:spacing w:after="120" w:line="259" w:lineRule="auto"/>
        <w:jc w:val="both"/>
        <w:rPr>
          <w:rFonts w:ascii="Source Sans Pro" w:hAnsi="Source Sans Pro"/>
        </w:rPr>
      </w:pPr>
      <w:r w:rsidRPr="00D829F0">
        <w:rPr>
          <w:rFonts w:ascii="Source Sans Pro" w:hAnsi="Source Sans Pro"/>
        </w:rPr>
        <w:t>STEM izglītības kvalitātes stiprināšana –</w:t>
      </w:r>
      <w:r w:rsidR="007749BA" w:rsidRPr="00D829F0">
        <w:rPr>
          <w:rFonts w:ascii="Source Sans Pro" w:hAnsi="Source Sans Pro"/>
        </w:rPr>
        <w:t xml:space="preserve"> </w:t>
      </w:r>
      <w:r w:rsidRPr="00D829F0">
        <w:rPr>
          <w:rFonts w:ascii="Source Sans Pro" w:hAnsi="Source Sans Pro"/>
        </w:rPr>
        <w:t>studiju vietu nodrošinājuma palielināšana, modulāru programmu piedāvājuma ieviešana</w:t>
      </w:r>
      <w:r w:rsidR="007A679C" w:rsidRPr="00D829F0">
        <w:rPr>
          <w:rFonts w:ascii="Source Sans Pro" w:hAnsi="Source Sans Pro"/>
        </w:rPr>
        <w:t xml:space="preserve"> un mikrokvalifikāciju attīstība;</w:t>
      </w:r>
      <w:r w:rsidRPr="00D829F0">
        <w:rPr>
          <w:rFonts w:ascii="Source Sans Pro" w:hAnsi="Source Sans Pro"/>
        </w:rPr>
        <w:t>  </w:t>
      </w:r>
    </w:p>
    <w:p w14:paraId="1B4874AE" w14:textId="367797CA" w:rsidR="00750CFB" w:rsidRPr="00D829F0" w:rsidRDefault="00750CFB" w:rsidP="005E5E57">
      <w:pPr>
        <w:numPr>
          <w:ilvl w:val="0"/>
          <w:numId w:val="13"/>
        </w:numPr>
        <w:spacing w:after="120" w:line="259" w:lineRule="auto"/>
        <w:jc w:val="both"/>
        <w:rPr>
          <w:rFonts w:ascii="Source Sans Pro" w:hAnsi="Source Sans Pro"/>
        </w:rPr>
      </w:pPr>
      <w:r w:rsidRPr="00D829F0">
        <w:rPr>
          <w:rFonts w:ascii="Source Sans Pro" w:hAnsi="Source Sans Pro"/>
        </w:rPr>
        <w:t>akadēmiskā personāla atjaunotne un kompetenču stiprināšana STEM, t.sk. IKT virzienos – akadēmiskā personāla kvalifikācijas kritēriju paaugstināšana, t.sk. izstrādājot kritērijus akadēmiskā amata pretendentu un akadēmiskā personāla kompetenču novērtēšanai, akadēmiskā personāla nodarbinātības un atalgojuma nosacījumu pilnveide, nepārtraukta akadēmiskā personāla profesionālās pilnveides nodrošināšana, stiprinot digitālo kompetenci, doktorantu plašāka iesaiste akadēmiskā un pētnieciskā darbā, kā arī doktora grāda iegūšana optimālā laikā (trīs līdz četru gadu laikā), vienlaikus samazinot doktorantu atbirumu; </w:t>
      </w:r>
    </w:p>
    <w:p w14:paraId="45B10237" w14:textId="0C610E17" w:rsidR="00750CFB" w:rsidRPr="00D829F0" w:rsidRDefault="00750CFB" w:rsidP="005E5E57">
      <w:pPr>
        <w:numPr>
          <w:ilvl w:val="0"/>
          <w:numId w:val="14"/>
        </w:numPr>
        <w:spacing w:after="120" w:line="259" w:lineRule="auto"/>
        <w:jc w:val="both"/>
        <w:rPr>
          <w:rFonts w:ascii="Source Sans Pro" w:hAnsi="Source Sans Pro"/>
        </w:rPr>
      </w:pPr>
      <w:r w:rsidRPr="00D829F0">
        <w:rPr>
          <w:rFonts w:ascii="Source Sans Pro" w:hAnsi="Source Sans Pro"/>
        </w:rPr>
        <w:t>caurviju kompetenču attīstīšana un stiprināšana STEM un IKT jomās, īpaši uzņēmējdarbības, inovētspējas, sociālo un komunikāciju kompetenču attīstīšana studiju procesā</w:t>
      </w:r>
      <w:r w:rsidR="005B1A0E" w:rsidRPr="005B1A0E">
        <w:rPr>
          <w:rFonts w:ascii="Source Sans Pro" w:hAnsi="Source Sans Pro"/>
        </w:rPr>
        <w:t>, tikpat nozīmīgi ir iekļaut STEM un IKT kā caurviju prasmes humanitārajos  studiju virzienos</w:t>
      </w:r>
      <w:r w:rsidRPr="00D829F0">
        <w:rPr>
          <w:rFonts w:ascii="Source Sans Pro" w:hAnsi="Source Sans Pro"/>
        </w:rPr>
        <w:t>; </w:t>
      </w:r>
    </w:p>
    <w:p w14:paraId="32AECB01" w14:textId="158456DF" w:rsidR="00750CFB" w:rsidRPr="00D829F0" w:rsidRDefault="00750CFB" w:rsidP="005E5E57">
      <w:pPr>
        <w:numPr>
          <w:ilvl w:val="0"/>
          <w:numId w:val="15"/>
        </w:numPr>
        <w:spacing w:after="120" w:line="259" w:lineRule="auto"/>
        <w:jc w:val="both"/>
        <w:rPr>
          <w:rFonts w:ascii="Source Sans Pro" w:hAnsi="Source Sans Pro"/>
        </w:rPr>
      </w:pPr>
      <w:r w:rsidRPr="00D829F0">
        <w:rPr>
          <w:rFonts w:ascii="Source Sans Pro" w:hAnsi="Source Sans Pro"/>
        </w:rPr>
        <w:t>STEM, t.sk. IKT</w:t>
      </w:r>
      <w:r w:rsidR="004C13FB">
        <w:rPr>
          <w:rFonts w:ascii="Source Sans Pro" w:hAnsi="Source Sans Pro"/>
        </w:rPr>
        <w:t>,</w:t>
      </w:r>
      <w:r w:rsidRPr="00D829F0">
        <w:rPr>
          <w:rFonts w:ascii="Source Sans Pro" w:hAnsi="Source Sans Pro"/>
        </w:rPr>
        <w:t xml:space="preserve"> studiju programmu piedāvājuma aktualizēšana atbilstoši nozares attīstības vajadzībām, kā arī DVB mācību ieviešana studiju procesā, veicināt darba devēju iesaisti resursu efektīvā izmantošanā augstākajā izglītībā, studiju programmu fragmentācijas mazināšanā un nodrošināt augstskolas stratēģiskai specializācijai atbilstošu spēcīgu un pētniecībā balstītu studiju programmu attīstību un eksportspēju; </w:t>
      </w:r>
    </w:p>
    <w:p w14:paraId="04898D4F" w14:textId="05C97FC9" w:rsidR="003A2F6A" w:rsidRPr="003A2F6A" w:rsidRDefault="003A2F6A" w:rsidP="003A2F6A">
      <w:pPr>
        <w:numPr>
          <w:ilvl w:val="0"/>
          <w:numId w:val="15"/>
        </w:numPr>
        <w:spacing w:after="120" w:line="259" w:lineRule="auto"/>
        <w:jc w:val="both"/>
        <w:rPr>
          <w:rFonts w:ascii="Source Sans Pro" w:hAnsi="Source Sans Pro"/>
        </w:rPr>
      </w:pPr>
      <w:r w:rsidRPr="00265AA9">
        <w:rPr>
          <w:rFonts w:ascii="Source Sans Pro" w:hAnsi="Source Sans Pro"/>
        </w:rPr>
        <w:t>pieaugušo izglītības piedāvājuma STEM jomā un jo īpaši IKT virzienos paplašināšana augstākās izglītības iestādēs – zināšanu atjaunošana un padziļināšana iegūtajā specialitātē, pārkvalifikācijas iespējas cilvēkiem ar augstāko izglītību; </w:t>
      </w:r>
    </w:p>
    <w:p w14:paraId="76AEA2BA" w14:textId="4A5157C8" w:rsidR="00750CFB" w:rsidRPr="00D829F0" w:rsidRDefault="003167E6" w:rsidP="005E5E57">
      <w:pPr>
        <w:numPr>
          <w:ilvl w:val="0"/>
          <w:numId w:val="16"/>
        </w:numPr>
        <w:spacing w:after="120" w:line="259" w:lineRule="auto"/>
        <w:jc w:val="both"/>
        <w:rPr>
          <w:rFonts w:ascii="Source Sans Pro" w:hAnsi="Source Sans Pro"/>
        </w:rPr>
      </w:pPr>
      <w:r>
        <w:rPr>
          <w:rFonts w:ascii="Source Sans Pro" w:hAnsi="Source Sans Pro"/>
          <w14:ligatures w14:val="standardContextual"/>
        </w:rPr>
        <w:t>ci</w:t>
      </w:r>
      <w:r w:rsidR="001C5BBB" w:rsidRPr="001C5BBB">
        <w:rPr>
          <w:rFonts w:ascii="Source Sans Pro" w:hAnsi="Source Sans Pro"/>
          <w14:ligatures w14:val="standardContextual"/>
        </w:rPr>
        <w:t>ešāka</w:t>
      </w:r>
      <w:r w:rsidR="00DC119C">
        <w:rPr>
          <w:rFonts w:ascii="Source Sans Pro" w:hAnsi="Source Sans Pro"/>
          <w14:ligatures w14:val="standardContextual"/>
        </w:rPr>
        <w:t>s</w:t>
      </w:r>
      <w:r w:rsidR="001C5BBB" w:rsidRPr="001C5BBB">
        <w:rPr>
          <w:rFonts w:ascii="Source Sans Pro" w:hAnsi="Source Sans Pro"/>
          <w14:ligatures w14:val="standardContextual"/>
        </w:rPr>
        <w:t xml:space="preserve"> sadarbība</w:t>
      </w:r>
      <w:r>
        <w:rPr>
          <w:rFonts w:ascii="Source Sans Pro" w:hAnsi="Source Sans Pro"/>
          <w14:ligatures w14:val="standardContextual"/>
        </w:rPr>
        <w:t>s</w:t>
      </w:r>
      <w:r w:rsidR="00DC119C">
        <w:rPr>
          <w:rFonts w:ascii="Source Sans Pro" w:hAnsi="Source Sans Pro"/>
          <w14:ligatures w14:val="standardContextual"/>
        </w:rPr>
        <w:t xml:space="preserve"> veidošana</w:t>
      </w:r>
      <w:r w:rsidR="001C5BBB" w:rsidRPr="001C5BBB">
        <w:rPr>
          <w:rFonts w:ascii="Source Sans Pro" w:hAnsi="Source Sans Pro"/>
          <w14:ligatures w14:val="standardContextual"/>
        </w:rPr>
        <w:t xml:space="preserve"> ar uzņēmējiem prakses vietu nodrošināšanā un prakses procesu sasaistei ar izglītības saturu</w:t>
      </w:r>
      <w:r w:rsidR="00750CFB" w:rsidRPr="00D829F0">
        <w:rPr>
          <w:rFonts w:ascii="Source Sans Pro" w:hAnsi="Source Sans Pro"/>
        </w:rPr>
        <w:t>; </w:t>
      </w:r>
    </w:p>
    <w:p w14:paraId="24A5B0B5" w14:textId="77777777" w:rsidR="00750CFB" w:rsidRPr="00D829F0" w:rsidRDefault="00750CFB" w:rsidP="005E5E57">
      <w:pPr>
        <w:numPr>
          <w:ilvl w:val="0"/>
          <w:numId w:val="17"/>
        </w:numPr>
        <w:spacing w:after="120" w:line="259" w:lineRule="auto"/>
        <w:jc w:val="both"/>
        <w:rPr>
          <w:rFonts w:ascii="Source Sans Pro" w:hAnsi="Source Sans Pro"/>
        </w:rPr>
      </w:pPr>
      <w:r w:rsidRPr="00D829F0">
        <w:rPr>
          <w:rFonts w:ascii="Source Sans Pro" w:hAnsi="Source Sans Pro"/>
        </w:rPr>
        <w:t>stipendiju sistēmas pilnveide, tai skaitā paredzot atbalstu atsevišķām sociālā riska grupām (piemēram, atbalsts studējošiem vecākiem, studējošiem no trūcīgām un sociāli mazāk aizsargātām ģimenēm); </w:t>
      </w:r>
    </w:p>
    <w:p w14:paraId="0378E267" w14:textId="3727BA7E" w:rsidR="00750CFB" w:rsidRPr="00D829F0" w:rsidRDefault="00750CFB" w:rsidP="005E5E57">
      <w:pPr>
        <w:numPr>
          <w:ilvl w:val="0"/>
          <w:numId w:val="18"/>
        </w:numPr>
        <w:spacing w:after="120" w:line="259" w:lineRule="auto"/>
        <w:jc w:val="both"/>
        <w:rPr>
          <w:rFonts w:ascii="Source Sans Pro" w:hAnsi="Source Sans Pro"/>
        </w:rPr>
      </w:pPr>
      <w:r w:rsidRPr="00D829F0">
        <w:rPr>
          <w:rFonts w:ascii="Source Sans Pro" w:hAnsi="Source Sans Pro"/>
        </w:rPr>
        <w:t>studējošo kredītu pieejamības paplašināšana</w:t>
      </w:r>
      <w:r w:rsidR="007A679C" w:rsidRPr="00D829F0">
        <w:rPr>
          <w:rFonts w:ascii="Source Sans Pro" w:hAnsi="Source Sans Pro"/>
        </w:rPr>
        <w:t>, t.sk.</w:t>
      </w:r>
      <w:r w:rsidRPr="00D829F0">
        <w:rPr>
          <w:rFonts w:ascii="Source Sans Pro" w:hAnsi="Source Sans Pro"/>
        </w:rPr>
        <w:t xml:space="preserve"> STEM</w:t>
      </w:r>
      <w:r w:rsidR="00BA1B07">
        <w:rPr>
          <w:rFonts w:ascii="Source Sans Pro" w:hAnsi="Source Sans Pro"/>
        </w:rPr>
        <w:t xml:space="preserve"> </w:t>
      </w:r>
      <w:r w:rsidR="007A679C" w:rsidRPr="00D829F0">
        <w:rPr>
          <w:rFonts w:ascii="Source Sans Pro" w:hAnsi="Source Sans Pro"/>
        </w:rPr>
        <w:t xml:space="preserve">un </w:t>
      </w:r>
      <w:r w:rsidRPr="00D829F0">
        <w:rPr>
          <w:rFonts w:ascii="Source Sans Pro" w:hAnsi="Source Sans Pro"/>
        </w:rPr>
        <w:t>IKT virzienos; </w:t>
      </w:r>
    </w:p>
    <w:p w14:paraId="4F924A4E" w14:textId="7A3F4EA7" w:rsidR="00750CFB" w:rsidRPr="00D829F0" w:rsidRDefault="00750CFB" w:rsidP="005E5E57">
      <w:pPr>
        <w:numPr>
          <w:ilvl w:val="0"/>
          <w:numId w:val="19"/>
        </w:numPr>
        <w:spacing w:after="120" w:line="259" w:lineRule="auto"/>
        <w:jc w:val="both"/>
        <w:rPr>
          <w:rFonts w:ascii="Source Sans Pro" w:hAnsi="Source Sans Pro"/>
        </w:rPr>
      </w:pPr>
      <w:r w:rsidRPr="00D829F0">
        <w:rPr>
          <w:rFonts w:ascii="Source Sans Pro" w:hAnsi="Source Sans Pro"/>
        </w:rPr>
        <w:t>atbalsta programmas STEM, t.sk. IKT virzienos izglītības pieejamības nodrošināšana cilvēkiem ar invaliditāti. </w:t>
      </w:r>
    </w:p>
    <w:p w14:paraId="3A3977B7" w14:textId="54F8D98B" w:rsidR="00FC1AED" w:rsidRDefault="00750CFB" w:rsidP="005E5E57">
      <w:pPr>
        <w:spacing w:after="120"/>
        <w:jc w:val="both"/>
        <w:rPr>
          <w:rFonts w:ascii="Source Sans Pro" w:hAnsi="Source Sans Pro"/>
        </w:rPr>
      </w:pPr>
      <w:r w:rsidRPr="00D829F0">
        <w:rPr>
          <w:rFonts w:ascii="Source Sans Pro" w:hAnsi="Source Sans Pro"/>
        </w:rPr>
        <w:t> </w:t>
      </w:r>
    </w:p>
    <w:p w14:paraId="69BE7ADE" w14:textId="77777777" w:rsidR="00FC1AED" w:rsidRDefault="00FC1AED">
      <w:pPr>
        <w:spacing w:after="0"/>
        <w:rPr>
          <w:rFonts w:ascii="Source Sans Pro" w:hAnsi="Source Sans Pro"/>
        </w:rPr>
      </w:pPr>
      <w:r>
        <w:rPr>
          <w:rFonts w:ascii="Source Sans Pro" w:hAnsi="Source Sans Pro"/>
        </w:rPr>
        <w:br w:type="page"/>
      </w:r>
    </w:p>
    <w:p w14:paraId="49B2781A" w14:textId="77777777" w:rsidR="00750CFB" w:rsidRPr="00D829F0" w:rsidRDefault="00750CFB" w:rsidP="005E5E57">
      <w:pPr>
        <w:numPr>
          <w:ilvl w:val="0"/>
          <w:numId w:val="20"/>
        </w:numPr>
        <w:spacing w:after="120" w:line="259" w:lineRule="auto"/>
        <w:jc w:val="both"/>
        <w:rPr>
          <w:rFonts w:ascii="Source Sans Pro" w:hAnsi="Source Sans Pro"/>
        </w:rPr>
      </w:pPr>
      <w:r w:rsidRPr="00D829F0">
        <w:rPr>
          <w:rFonts w:ascii="Source Sans Pro" w:hAnsi="Source Sans Pro"/>
          <w:b/>
        </w:rPr>
        <w:lastRenderedPageBreak/>
        <w:t>Vidējās kvalifikācijas darbaspēka iztrūkuma mazināšana:</w:t>
      </w:r>
      <w:r w:rsidRPr="00D829F0">
        <w:rPr>
          <w:rFonts w:ascii="Source Sans Pro" w:hAnsi="Source Sans Pro"/>
        </w:rPr>
        <w:t> </w:t>
      </w:r>
    </w:p>
    <w:p w14:paraId="5EB6685E" w14:textId="2D857D8B" w:rsidR="00750CFB" w:rsidRPr="00D829F0" w:rsidRDefault="00B022B8" w:rsidP="005E5E57">
      <w:pPr>
        <w:numPr>
          <w:ilvl w:val="0"/>
          <w:numId w:val="21"/>
        </w:numPr>
        <w:spacing w:after="120" w:line="259" w:lineRule="auto"/>
        <w:jc w:val="both"/>
        <w:rPr>
          <w:rFonts w:ascii="Source Sans Pro" w:hAnsi="Source Sans Pro"/>
        </w:rPr>
      </w:pPr>
      <w:r w:rsidRPr="79B15946">
        <w:rPr>
          <w:rFonts w:ascii="Source Sans Pro" w:hAnsi="Source Sans Pro"/>
        </w:rPr>
        <w:t>profesionālās izglītības programm</w:t>
      </w:r>
      <w:r w:rsidR="716ACB96" w:rsidRPr="79B15946">
        <w:rPr>
          <w:rFonts w:ascii="Source Sans Pro" w:hAnsi="Source Sans Pro"/>
        </w:rPr>
        <w:t>u pārstrukturēšana, veidojot kompaktākas kvalifikācijas un plašāku specializāciju,</w:t>
      </w:r>
      <w:r w:rsidR="00750CFB" w:rsidRPr="79B15946">
        <w:rPr>
          <w:rFonts w:ascii="Source Sans Pro" w:hAnsi="Source Sans Pro"/>
        </w:rPr>
        <w:t xml:space="preserve"> </w:t>
      </w:r>
      <w:r w:rsidR="00750CFB" w:rsidRPr="00D829F0">
        <w:rPr>
          <w:rFonts w:ascii="Source Sans Pro" w:hAnsi="Source Sans Pro"/>
        </w:rPr>
        <w:t>it īpaši</w:t>
      </w:r>
      <w:r w:rsidRPr="00D829F0">
        <w:rPr>
          <w:rFonts w:ascii="Source Sans Pro" w:hAnsi="Source Sans Pro"/>
        </w:rPr>
        <w:t xml:space="preserve"> tajās profesionālās izglītības programmās, kas atbilst</w:t>
      </w:r>
      <w:r w:rsidR="00750CFB" w:rsidRPr="00D829F0">
        <w:rPr>
          <w:rFonts w:ascii="Source Sans Pro" w:hAnsi="Source Sans Pro"/>
        </w:rPr>
        <w:t xml:space="preserve"> būvniecības, mehānikas un metālapstrādes, mašīnbūves, kokapstrādes un poligrāfijas izstrādājumu izgatavošanas, kā arī transporta pakalpojumu </w:t>
      </w:r>
      <w:r w:rsidRPr="00D829F0">
        <w:rPr>
          <w:rFonts w:ascii="Source Sans Pro" w:hAnsi="Source Sans Pro"/>
        </w:rPr>
        <w:t>nozarēm</w:t>
      </w:r>
      <w:r w:rsidR="00750CFB" w:rsidRPr="00D829F0">
        <w:rPr>
          <w:rFonts w:ascii="Source Sans Pro" w:hAnsi="Source Sans Pro"/>
        </w:rPr>
        <w:t>;  </w:t>
      </w:r>
    </w:p>
    <w:p w14:paraId="149D4944" w14:textId="118E48C8" w:rsidR="00750CFB" w:rsidRPr="00D829F0" w:rsidRDefault="7C014605" w:rsidP="005E5E57">
      <w:pPr>
        <w:numPr>
          <w:ilvl w:val="0"/>
          <w:numId w:val="23"/>
        </w:numPr>
        <w:spacing w:after="120" w:line="259" w:lineRule="auto"/>
        <w:jc w:val="both"/>
        <w:rPr>
          <w:rFonts w:ascii="Source Sans Pro" w:hAnsi="Source Sans Pro"/>
        </w:rPr>
      </w:pPr>
      <w:r w:rsidRPr="4D00153C">
        <w:rPr>
          <w:rFonts w:ascii="Source Sans Pro" w:hAnsi="Source Sans Pro"/>
        </w:rPr>
        <w:t>izvērtēt prakses, DVB un duālās izglītības pieeju atšķirības, identificēt to kopīgos un atšķirīgos elementus, kā  arī izstrādāt un ieviest pieeju šo mācību formu plānošanai un īstenošanai un nodrošināt saskaņotu mācību procesu</w:t>
      </w:r>
      <w:r w:rsidR="008975C7" w:rsidRPr="4D00153C">
        <w:rPr>
          <w:rFonts w:ascii="Source Sans Pro" w:hAnsi="Source Sans Pro"/>
        </w:rPr>
        <w:t>;</w:t>
      </w:r>
    </w:p>
    <w:p w14:paraId="71106641" w14:textId="70143E4C" w:rsidR="00750CFB" w:rsidRPr="00D829F0" w:rsidRDefault="00750CFB" w:rsidP="005E5E57">
      <w:pPr>
        <w:numPr>
          <w:ilvl w:val="0"/>
          <w:numId w:val="24"/>
        </w:numPr>
        <w:spacing w:after="120" w:line="259" w:lineRule="auto"/>
        <w:jc w:val="both"/>
        <w:rPr>
          <w:rFonts w:ascii="Source Sans Pro" w:hAnsi="Source Sans Pro"/>
        </w:rPr>
      </w:pPr>
      <w:r w:rsidRPr="00D829F0">
        <w:rPr>
          <w:rFonts w:ascii="Source Sans Pro" w:hAnsi="Source Sans Pro"/>
        </w:rPr>
        <w:t xml:space="preserve">profesionālo izglītības iestāžu absolventu tālāku studiju vecināšana augstākajā izglītībā – jāstiprina sinerģija starp profesionālās vidējās izglītības programmām un </w:t>
      </w:r>
      <w:r w:rsidR="00E95632" w:rsidRPr="00D829F0">
        <w:rPr>
          <w:rFonts w:ascii="Source Sans Pro" w:hAnsi="Source Sans Pro"/>
        </w:rPr>
        <w:t>pirmā cikla</w:t>
      </w:r>
      <w:r w:rsidRPr="00D829F0">
        <w:rPr>
          <w:rFonts w:ascii="Source Sans Pro" w:hAnsi="Source Sans Pro"/>
        </w:rPr>
        <w:t xml:space="preserve"> profesionālās augstākās izglītības studiju programmām koledžās, kā arī starp koledžu studiju programmām un atbilstošām bakalaura studiju programmām augstskolās; </w:t>
      </w:r>
    </w:p>
    <w:p w14:paraId="1B998490" w14:textId="7BD898B1" w:rsidR="00750CFB" w:rsidRPr="00D9731E" w:rsidRDefault="00750CFB" w:rsidP="486E810E">
      <w:pPr>
        <w:numPr>
          <w:ilvl w:val="0"/>
          <w:numId w:val="25"/>
        </w:numPr>
        <w:spacing w:after="120" w:line="259" w:lineRule="auto"/>
        <w:jc w:val="both"/>
        <w:rPr>
          <w:rFonts w:ascii="Source Sans Pro" w:eastAsia="Source Sans Pro" w:hAnsi="Source Sans Pro" w:cs="Source Sans Pro"/>
          <w:szCs w:val="20"/>
        </w:rPr>
      </w:pPr>
      <w:r w:rsidRPr="486E810E">
        <w:rPr>
          <w:rFonts w:ascii="Source Sans Pro" w:hAnsi="Source Sans Pro"/>
        </w:rPr>
        <w:t xml:space="preserve">pieaugušo izglītības piedāvājuma </w:t>
      </w:r>
      <w:r w:rsidR="690A1D94" w:rsidRPr="486E810E">
        <w:rPr>
          <w:rFonts w:ascii="Source Sans Pro" w:hAnsi="Source Sans Pro"/>
        </w:rPr>
        <w:t xml:space="preserve">izveide, </w:t>
      </w:r>
      <w:r w:rsidR="690A1D94" w:rsidRPr="79B15946">
        <w:rPr>
          <w:rFonts w:ascii="Source Sans Pro" w:eastAsia="Source Sans Pro" w:hAnsi="Source Sans Pro" w:cs="Source Sans Pro"/>
          <w:color w:val="262626" w:themeColor="text1" w:themeTint="D9"/>
          <w:szCs w:val="20"/>
        </w:rPr>
        <w:t>nodrošinot pieaugušo</w:t>
      </w:r>
      <w:r w:rsidR="33EB491D" w:rsidRPr="79B15946">
        <w:rPr>
          <w:rFonts w:ascii="Source Sans Pro" w:eastAsia="Source Sans Pro" w:hAnsi="Source Sans Pro" w:cs="Source Sans Pro"/>
          <w:color w:val="262626" w:themeColor="text1" w:themeTint="D9"/>
          <w:szCs w:val="20"/>
        </w:rPr>
        <w:t>, īpaši ar</w:t>
      </w:r>
      <w:r w:rsidR="2BE2FD1B" w:rsidRPr="486E810E">
        <w:rPr>
          <w:rFonts w:ascii="Source Sans Pro" w:hAnsi="Source Sans Pro"/>
        </w:rPr>
        <w:t xml:space="preserve"> vispārējo vidējo izglītību un pamatizglītību</w:t>
      </w:r>
      <w:r w:rsidR="774B2CA2" w:rsidRPr="486E810E">
        <w:rPr>
          <w:rFonts w:ascii="Source Sans Pro" w:hAnsi="Source Sans Pro"/>
        </w:rPr>
        <w:t xml:space="preserve">, </w:t>
      </w:r>
      <w:r w:rsidR="690A1D94" w:rsidRPr="79B15946">
        <w:rPr>
          <w:rFonts w:ascii="Source Sans Pro" w:eastAsia="Source Sans Pro" w:hAnsi="Source Sans Pro" w:cs="Source Sans Pro"/>
          <w:color w:val="262626" w:themeColor="text1" w:themeTint="D9"/>
          <w:szCs w:val="20"/>
        </w:rPr>
        <w:t>vajadzībām un darba tirgus pieprasījumam atbilstošas izglītības programmas</w:t>
      </w:r>
      <w:r w:rsidR="6521FFD9" w:rsidRPr="00D9731E">
        <w:rPr>
          <w:rFonts w:ascii="Source Sans Pro" w:eastAsia="Source Sans Pro" w:hAnsi="Source Sans Pro" w:cs="Source Sans Pro"/>
          <w:color w:val="262626" w:themeColor="text1" w:themeTint="D9"/>
          <w:szCs w:val="20"/>
        </w:rPr>
        <w:t>;</w:t>
      </w:r>
    </w:p>
    <w:p w14:paraId="4BF5F654" w14:textId="62481180" w:rsidR="00750CFB" w:rsidRPr="00D829F0" w:rsidRDefault="00750CFB" w:rsidP="005E5E57">
      <w:pPr>
        <w:numPr>
          <w:ilvl w:val="0"/>
          <w:numId w:val="26"/>
        </w:numPr>
        <w:spacing w:after="120" w:line="259" w:lineRule="auto"/>
        <w:jc w:val="both"/>
        <w:rPr>
          <w:rFonts w:ascii="Source Sans Pro" w:hAnsi="Source Sans Pro"/>
        </w:rPr>
      </w:pPr>
      <w:r w:rsidRPr="08E0C80E">
        <w:rPr>
          <w:rFonts w:ascii="Source Sans Pro" w:hAnsi="Source Sans Pro"/>
        </w:rPr>
        <w:t>N</w:t>
      </w:r>
      <w:r w:rsidR="7B7A0DE0" w:rsidRPr="08E0C80E">
        <w:rPr>
          <w:rFonts w:ascii="Source Sans Pro" w:hAnsi="Source Sans Pro"/>
        </w:rPr>
        <w:t>ozaru ekspertu padomju (</w:t>
      </w:r>
      <w:r w:rsidRPr="00D829F0">
        <w:rPr>
          <w:rFonts w:ascii="Source Sans Pro" w:hAnsi="Source Sans Pro"/>
        </w:rPr>
        <w:t>NEP</w:t>
      </w:r>
      <w:r w:rsidR="7B7A0DE0" w:rsidRPr="08E0C80E">
        <w:rPr>
          <w:rFonts w:ascii="Source Sans Pro" w:hAnsi="Source Sans Pro"/>
        </w:rPr>
        <w:t>)</w:t>
      </w:r>
      <w:r w:rsidRPr="00D829F0">
        <w:rPr>
          <w:rFonts w:ascii="Source Sans Pro" w:hAnsi="Source Sans Pro"/>
        </w:rPr>
        <w:t xml:space="preserve"> kapacitātes stiprināšana, tostarp sastāva un funkciju pārskatīšana</w:t>
      </w:r>
      <w:r w:rsidR="7CD5544A" w:rsidRPr="79B15946">
        <w:rPr>
          <w:rFonts w:ascii="Source Sans Pro" w:hAnsi="Source Sans Pro"/>
        </w:rPr>
        <w:t>;</w:t>
      </w:r>
    </w:p>
    <w:p w14:paraId="35F7E176" w14:textId="3B8510CD" w:rsidR="00750CFB" w:rsidRPr="00D829F0" w:rsidRDefault="00750CFB" w:rsidP="005E5E57">
      <w:pPr>
        <w:numPr>
          <w:ilvl w:val="0"/>
          <w:numId w:val="27"/>
        </w:numPr>
        <w:spacing w:after="120" w:line="259" w:lineRule="auto"/>
        <w:jc w:val="both"/>
        <w:rPr>
          <w:rFonts w:ascii="Source Sans Pro" w:hAnsi="Source Sans Pro"/>
        </w:rPr>
      </w:pPr>
      <w:r w:rsidRPr="00D829F0">
        <w:rPr>
          <w:rFonts w:ascii="Source Sans Pro" w:hAnsi="Source Sans Pro"/>
        </w:rPr>
        <w:t xml:space="preserve">profesionālās izglītības iestāžu konventu </w:t>
      </w:r>
      <w:r w:rsidR="2440C563" w:rsidRPr="79B15946">
        <w:rPr>
          <w:rFonts w:ascii="Source Sans Pro" w:eastAsia="Source Sans Pro" w:hAnsi="Source Sans Pro" w:cs="Source Sans Pro"/>
          <w:szCs w:val="20"/>
        </w:rPr>
        <w:t>lomas stiprināšana, t.sk. nodrošinot</w:t>
      </w:r>
      <w:r w:rsidRPr="79B15946">
        <w:rPr>
          <w:rFonts w:ascii="Source Sans Pro" w:eastAsia="Source Sans Pro" w:hAnsi="Source Sans Pro" w:cs="Source Sans Pro"/>
          <w:szCs w:val="20"/>
        </w:rPr>
        <w:t xml:space="preserve"> </w:t>
      </w:r>
      <w:r w:rsidRPr="00D829F0">
        <w:rPr>
          <w:rFonts w:ascii="Source Sans Pro" w:hAnsi="Source Sans Pro"/>
        </w:rPr>
        <w:t xml:space="preserve">reģionālā līmeņa </w:t>
      </w:r>
      <w:r w:rsidRPr="79B15946">
        <w:rPr>
          <w:rFonts w:ascii="Source Sans Pro" w:hAnsi="Source Sans Pro"/>
        </w:rPr>
        <w:t>pārstāvīb</w:t>
      </w:r>
      <w:r w:rsidR="6E7761AA" w:rsidRPr="79B15946">
        <w:rPr>
          <w:rFonts w:ascii="Source Sans Pro" w:hAnsi="Source Sans Pro"/>
        </w:rPr>
        <w:t>u</w:t>
      </w:r>
      <w:r w:rsidRPr="00D829F0">
        <w:rPr>
          <w:rFonts w:ascii="Source Sans Pro" w:hAnsi="Source Sans Pro"/>
        </w:rPr>
        <w:t>. </w:t>
      </w:r>
    </w:p>
    <w:p w14:paraId="3DC73B71" w14:textId="79560BD4" w:rsidR="00750CFB" w:rsidRPr="00D829F0" w:rsidRDefault="00750CFB" w:rsidP="005E5E57">
      <w:pPr>
        <w:numPr>
          <w:ilvl w:val="0"/>
          <w:numId w:val="28"/>
        </w:numPr>
        <w:spacing w:after="120" w:line="259" w:lineRule="auto"/>
        <w:jc w:val="both"/>
        <w:rPr>
          <w:rFonts w:ascii="Source Sans Pro" w:hAnsi="Source Sans Pro"/>
        </w:rPr>
      </w:pPr>
      <w:r w:rsidRPr="00D829F0">
        <w:rPr>
          <w:rFonts w:ascii="Source Sans Pro" w:hAnsi="Source Sans Pro"/>
          <w:b/>
        </w:rPr>
        <w:t xml:space="preserve">Darbaspēka ar zemu </w:t>
      </w:r>
      <w:r w:rsidR="002F0F6C" w:rsidRPr="00D829F0">
        <w:rPr>
          <w:rFonts w:ascii="Source Sans Pro" w:hAnsi="Source Sans Pro"/>
          <w:b/>
        </w:rPr>
        <w:t xml:space="preserve">izglītības līmeni </w:t>
      </w:r>
      <w:r w:rsidRPr="00D829F0">
        <w:rPr>
          <w:rFonts w:ascii="Source Sans Pro" w:hAnsi="Source Sans Pro"/>
          <w:b/>
        </w:rPr>
        <w:t>īpatsvara mazināšana:</w:t>
      </w:r>
      <w:r w:rsidRPr="00D829F0">
        <w:rPr>
          <w:rFonts w:ascii="Source Sans Pro" w:hAnsi="Source Sans Pro"/>
        </w:rPr>
        <w:t> </w:t>
      </w:r>
    </w:p>
    <w:p w14:paraId="1F403F16" w14:textId="3890CF89" w:rsidR="00750CFB" w:rsidRPr="00D829F0" w:rsidRDefault="00750CFB" w:rsidP="005E5E57">
      <w:pPr>
        <w:numPr>
          <w:ilvl w:val="0"/>
          <w:numId w:val="29"/>
        </w:numPr>
        <w:spacing w:after="120" w:line="259" w:lineRule="auto"/>
        <w:jc w:val="both"/>
        <w:rPr>
          <w:rFonts w:ascii="Source Sans Pro" w:hAnsi="Source Sans Pro"/>
        </w:rPr>
      </w:pPr>
      <w:r w:rsidRPr="00D829F0">
        <w:rPr>
          <w:rFonts w:ascii="Source Sans Pro" w:hAnsi="Source Sans Pro"/>
        </w:rPr>
        <w:t xml:space="preserve">jauniešu, kas nonāk darba tirgū bez konkrētas </w:t>
      </w:r>
      <w:r w:rsidR="00E95632" w:rsidRPr="00D829F0">
        <w:rPr>
          <w:rFonts w:ascii="Source Sans Pro" w:hAnsi="Source Sans Pro"/>
        </w:rPr>
        <w:t xml:space="preserve">profesionālās kvalifikācijas </w:t>
      </w:r>
      <w:r w:rsidRPr="00D829F0">
        <w:rPr>
          <w:rFonts w:ascii="Source Sans Pro" w:hAnsi="Source Sans Pro"/>
        </w:rPr>
        <w:t>un prasmēm</w:t>
      </w:r>
      <w:r w:rsidR="005C4726" w:rsidRPr="00D829F0">
        <w:rPr>
          <w:rFonts w:ascii="Source Sans Pro" w:hAnsi="Source Sans Pro"/>
        </w:rPr>
        <w:t>,</w:t>
      </w:r>
      <w:r w:rsidR="2F76A5C5" w:rsidRPr="1A349D11">
        <w:rPr>
          <w:rFonts w:ascii="Source Sans Pro" w:hAnsi="Source Sans Pro"/>
        </w:rPr>
        <w:t xml:space="preserve"> </w:t>
      </w:r>
      <w:r w:rsidR="002F0F6C" w:rsidRPr="00D829F0">
        <w:rPr>
          <w:rFonts w:ascii="Source Sans Pro" w:hAnsi="Source Sans Pro"/>
        </w:rPr>
        <w:t>tostarp</w:t>
      </w:r>
      <w:r w:rsidR="005935A2" w:rsidRPr="00D829F0">
        <w:rPr>
          <w:rFonts w:ascii="Source Sans Pro" w:hAnsi="Source Sans Pro"/>
        </w:rPr>
        <w:t xml:space="preserve"> </w:t>
      </w:r>
      <w:r w:rsidRPr="00D829F0">
        <w:rPr>
          <w:rFonts w:ascii="Source Sans Pro" w:hAnsi="Source Sans Pro"/>
        </w:rPr>
        <w:t xml:space="preserve"> izglītojamo</w:t>
      </w:r>
      <w:r w:rsidR="008E31E2" w:rsidRPr="00D829F0">
        <w:rPr>
          <w:rFonts w:ascii="Source Sans Pro" w:hAnsi="Source Sans Pro"/>
        </w:rPr>
        <w:t xml:space="preserve">, </w:t>
      </w:r>
      <w:r w:rsidRPr="00D829F0">
        <w:rPr>
          <w:rFonts w:ascii="Source Sans Pro" w:hAnsi="Source Sans Pro"/>
        </w:rPr>
        <w:t xml:space="preserve">kas priekšlaicīgi pārtrauc </w:t>
      </w:r>
      <w:r w:rsidR="005935A2" w:rsidRPr="00D829F0">
        <w:rPr>
          <w:rFonts w:ascii="Source Sans Pro" w:hAnsi="Source Sans Pro"/>
        </w:rPr>
        <w:t xml:space="preserve">mācības visos izglītības posmos </w:t>
      </w:r>
      <w:r w:rsidRPr="00D829F0">
        <w:rPr>
          <w:rFonts w:ascii="Source Sans Pro" w:hAnsi="Source Sans Pro"/>
        </w:rPr>
        <w:t>vai neturpina mācības pēc pamatizglītības un vispārējās vidējās izglītības</w:t>
      </w:r>
      <w:r w:rsidR="005935A2" w:rsidRPr="00D829F0">
        <w:rPr>
          <w:rFonts w:ascii="Source Sans Pro" w:hAnsi="Source Sans Pro"/>
        </w:rPr>
        <w:t xml:space="preserve"> iegūšanas</w:t>
      </w:r>
      <w:r w:rsidR="005E5D04" w:rsidRPr="00D829F0">
        <w:rPr>
          <w:rFonts w:ascii="Source Sans Pro" w:hAnsi="Source Sans Pro"/>
        </w:rPr>
        <w:t xml:space="preserve"> skaita samazināšana</w:t>
      </w:r>
      <w:r w:rsidRPr="00D829F0">
        <w:rPr>
          <w:rFonts w:ascii="Source Sans Pro" w:hAnsi="Source Sans Pro"/>
        </w:rPr>
        <w:t>; </w:t>
      </w:r>
    </w:p>
    <w:p w14:paraId="7EC0F68C" w14:textId="77E9F1A0" w:rsidR="00750CFB" w:rsidRPr="00D829F0" w:rsidRDefault="00750CFB" w:rsidP="005E5E57">
      <w:pPr>
        <w:numPr>
          <w:ilvl w:val="0"/>
          <w:numId w:val="30"/>
        </w:numPr>
        <w:spacing w:after="120" w:line="259" w:lineRule="auto"/>
        <w:jc w:val="both"/>
        <w:rPr>
          <w:rFonts w:ascii="Source Sans Pro" w:hAnsi="Source Sans Pro"/>
        </w:rPr>
      </w:pPr>
      <w:r w:rsidRPr="00D829F0">
        <w:rPr>
          <w:rFonts w:ascii="Source Sans Pro" w:hAnsi="Source Sans Pro"/>
        </w:rPr>
        <w:t xml:space="preserve">mērķēti pieaugušo izglītības pasākumi iedzīvotājiem ar </w:t>
      </w:r>
      <w:r w:rsidR="05A43DC2" w:rsidRPr="1A349D11">
        <w:rPr>
          <w:rFonts w:ascii="Source Sans Pro" w:hAnsi="Source Sans Pro"/>
        </w:rPr>
        <w:t>zemām prasmēm</w:t>
      </w:r>
      <w:r w:rsidRPr="00D829F0">
        <w:rPr>
          <w:rFonts w:ascii="Source Sans Pro" w:hAnsi="Source Sans Pro"/>
        </w:rPr>
        <w:t>, neatkarīgi no to ekonomiskās aktivitātes statusa; </w:t>
      </w:r>
    </w:p>
    <w:p w14:paraId="4BBF449B" w14:textId="1F5F1BC3" w:rsidR="00750CFB" w:rsidRPr="00D829F0" w:rsidRDefault="00750CFB" w:rsidP="005E5E57">
      <w:pPr>
        <w:numPr>
          <w:ilvl w:val="0"/>
          <w:numId w:val="31"/>
        </w:numPr>
        <w:spacing w:after="120" w:line="259" w:lineRule="auto"/>
        <w:jc w:val="both"/>
        <w:rPr>
          <w:rFonts w:ascii="Source Sans Pro" w:hAnsi="Source Sans Pro"/>
        </w:rPr>
      </w:pPr>
      <w:r w:rsidRPr="00D829F0">
        <w:rPr>
          <w:rFonts w:ascii="Source Sans Pro" w:hAnsi="Source Sans Pro"/>
        </w:rPr>
        <w:t xml:space="preserve">motivācijas paaugstināšanas pasākumi </w:t>
      </w:r>
      <w:r w:rsidR="000B23D7" w:rsidRPr="00D829F0">
        <w:rPr>
          <w:rFonts w:ascii="Source Sans Pro" w:hAnsi="Source Sans Pro"/>
        </w:rPr>
        <w:t xml:space="preserve">cilvēkiem </w:t>
      </w:r>
      <w:r w:rsidRPr="00D829F0">
        <w:rPr>
          <w:rFonts w:ascii="Source Sans Pro" w:hAnsi="Source Sans Pro"/>
        </w:rPr>
        <w:t>ar zemu izglītību</w:t>
      </w:r>
      <w:r w:rsidR="7FDC8DB2" w:rsidRPr="0B60CE7C">
        <w:rPr>
          <w:rFonts w:ascii="Source Sans Pro" w:hAnsi="Source Sans Pro"/>
        </w:rPr>
        <w:t>, veicinot iesaisti</w:t>
      </w:r>
      <w:r w:rsidRPr="00D829F0">
        <w:rPr>
          <w:rFonts w:ascii="Source Sans Pro" w:hAnsi="Source Sans Pro"/>
        </w:rPr>
        <w:t xml:space="preserve"> izglītības procesā</w:t>
      </w:r>
      <w:r w:rsidR="08CE6F2A" w:rsidRPr="0B60CE7C">
        <w:rPr>
          <w:rFonts w:ascii="Source Sans Pro" w:hAnsi="Source Sans Pro"/>
        </w:rPr>
        <w:t xml:space="preserve"> </w:t>
      </w:r>
      <w:r w:rsidR="08CE6F2A" w:rsidRPr="067B15F4">
        <w:rPr>
          <w:rFonts w:ascii="Source Sans Pro" w:hAnsi="Source Sans Pro"/>
        </w:rPr>
        <w:t>un darba tirgū</w:t>
      </w:r>
      <w:r w:rsidR="08CE6F2A" w:rsidRPr="11E6834F">
        <w:rPr>
          <w:rFonts w:ascii="Source Sans Pro" w:hAnsi="Source Sans Pro"/>
        </w:rPr>
        <w:t>,</w:t>
      </w:r>
      <w:r w:rsidR="08CE6F2A" w:rsidRPr="067B15F4">
        <w:rPr>
          <w:rFonts w:ascii="Source Sans Pro" w:hAnsi="Source Sans Pro"/>
        </w:rPr>
        <w:t xml:space="preserve"> t.sk</w:t>
      </w:r>
      <w:r w:rsidR="08CE6F2A" w:rsidRPr="11E6834F">
        <w:rPr>
          <w:rFonts w:ascii="Source Sans Pro" w:hAnsi="Source Sans Pro"/>
        </w:rPr>
        <w:t>.</w:t>
      </w:r>
      <w:r w:rsidRPr="00D829F0">
        <w:rPr>
          <w:rFonts w:ascii="Source Sans Pro" w:hAnsi="Source Sans Pro"/>
        </w:rPr>
        <w:t xml:space="preserve"> </w:t>
      </w:r>
      <w:r w:rsidRPr="6E7F03A2">
        <w:rPr>
          <w:rFonts w:ascii="Source Sans Pro" w:hAnsi="Source Sans Pro"/>
        </w:rPr>
        <w:t>saglabā</w:t>
      </w:r>
      <w:r w:rsidR="0E4A1662" w:rsidRPr="6E7F03A2">
        <w:rPr>
          <w:rFonts w:ascii="Source Sans Pro" w:hAnsi="Source Sans Pro"/>
        </w:rPr>
        <w:t>jot</w:t>
      </w:r>
      <w:r w:rsidRPr="00D829F0">
        <w:rPr>
          <w:rFonts w:ascii="Source Sans Pro" w:hAnsi="Source Sans Pro"/>
        </w:rPr>
        <w:t xml:space="preserve"> un </w:t>
      </w:r>
      <w:r w:rsidRPr="6E7F03A2">
        <w:rPr>
          <w:rFonts w:ascii="Source Sans Pro" w:hAnsi="Source Sans Pro"/>
        </w:rPr>
        <w:t>paplašin</w:t>
      </w:r>
      <w:r w:rsidR="540FE0E5" w:rsidRPr="6E7F03A2">
        <w:rPr>
          <w:rFonts w:ascii="Source Sans Pro" w:hAnsi="Source Sans Pro"/>
        </w:rPr>
        <w:t>ot</w:t>
      </w:r>
      <w:r w:rsidRPr="00D829F0">
        <w:rPr>
          <w:rFonts w:ascii="Source Sans Pro" w:hAnsi="Source Sans Pro"/>
        </w:rPr>
        <w:t xml:space="preserve"> esošo atbalstu mazkvalificēto dalībai izglītībā, piemēram, stipendijas, mobilitātes pabalsti, apgādībā esošu ģimenes locekļu pieskatīšanas pakalpojumi; </w:t>
      </w:r>
    </w:p>
    <w:p w14:paraId="0D28DB55" w14:textId="425D30ED" w:rsidR="00F7372B" w:rsidRPr="00D829F0" w:rsidRDefault="59CC8C18" w:rsidP="005E5E57">
      <w:pPr>
        <w:numPr>
          <w:ilvl w:val="0"/>
          <w:numId w:val="32"/>
        </w:numPr>
        <w:spacing w:after="120" w:line="259" w:lineRule="auto"/>
        <w:jc w:val="both"/>
        <w:rPr>
          <w:rFonts w:ascii="Source Sans Pro" w:hAnsi="Source Sans Pro"/>
        </w:rPr>
      </w:pPr>
      <w:r w:rsidRPr="414D26DC">
        <w:rPr>
          <w:rFonts w:ascii="Source Sans Pro" w:hAnsi="Source Sans Pro"/>
        </w:rPr>
        <w:t>k</w:t>
      </w:r>
      <w:r w:rsidR="0C225DBF" w:rsidRPr="414D26DC">
        <w:rPr>
          <w:rFonts w:ascii="Source Sans Pro" w:hAnsi="Source Sans Pro"/>
        </w:rPr>
        <w:t xml:space="preserve">arjeras </w:t>
      </w:r>
      <w:r w:rsidR="00750CFB" w:rsidRPr="414D26DC">
        <w:rPr>
          <w:rFonts w:ascii="Source Sans Pro" w:hAnsi="Source Sans Pro"/>
        </w:rPr>
        <w:t xml:space="preserve">konsultāciju pieejamības paplašināšana iedzīvotājiem ar </w:t>
      </w:r>
      <w:r w:rsidR="53580C45" w:rsidRPr="414D26DC">
        <w:rPr>
          <w:rFonts w:ascii="Source Sans Pro" w:hAnsi="Source Sans Pro"/>
        </w:rPr>
        <w:t>zemām prasmēm</w:t>
      </w:r>
      <w:r w:rsidR="00750CFB" w:rsidRPr="414D26DC">
        <w:rPr>
          <w:rFonts w:ascii="Source Sans Pro" w:hAnsi="Source Sans Pro"/>
        </w:rPr>
        <w:t xml:space="preserve">, t.sk. </w:t>
      </w:r>
      <w:r w:rsidR="38B34E62" w:rsidRPr="414D26DC">
        <w:rPr>
          <w:rFonts w:ascii="Source Sans Pro" w:eastAsia="Source Sans Pro" w:hAnsi="Source Sans Pro" w:cs="Source Sans Pro"/>
          <w:szCs w:val="20"/>
        </w:rPr>
        <w:t xml:space="preserve">veicinot ekonomiski neaktīvo personu iesaisti </w:t>
      </w:r>
      <w:r w:rsidR="5D4C8BC5" w:rsidRPr="414D26DC">
        <w:rPr>
          <w:rFonts w:ascii="Source Sans Pro" w:eastAsia="Source Sans Pro" w:hAnsi="Source Sans Pro" w:cs="Source Sans Pro"/>
          <w:szCs w:val="20"/>
        </w:rPr>
        <w:t>(</w:t>
      </w:r>
      <w:r w:rsidR="00750CFB" w:rsidRPr="414D26DC">
        <w:rPr>
          <w:rFonts w:ascii="Source Sans Pro" w:hAnsi="Source Sans Pro"/>
        </w:rPr>
        <w:t>mērķa grupu uzrunāšana, kas nav reģistrējušies NVA</w:t>
      </w:r>
      <w:r w:rsidR="54A29A03" w:rsidRPr="414D26DC">
        <w:rPr>
          <w:rFonts w:ascii="Source Sans Pro" w:hAnsi="Source Sans Pro"/>
        </w:rPr>
        <w:t>)</w:t>
      </w:r>
      <w:r w:rsidR="0075524A" w:rsidRPr="414D26DC">
        <w:rPr>
          <w:rFonts w:ascii="Source Sans Pro" w:hAnsi="Source Sans Pro"/>
        </w:rPr>
        <w:t>;</w:t>
      </w:r>
    </w:p>
    <w:p w14:paraId="03B7CFF2" w14:textId="7A0934AB" w:rsidR="00750CFB" w:rsidRPr="00D829F0" w:rsidRDefault="00F7372B" w:rsidP="005E5E57">
      <w:pPr>
        <w:numPr>
          <w:ilvl w:val="0"/>
          <w:numId w:val="32"/>
        </w:numPr>
        <w:spacing w:after="120" w:line="259" w:lineRule="auto"/>
        <w:jc w:val="both"/>
        <w:rPr>
          <w:rFonts w:ascii="Source Sans Pro" w:hAnsi="Source Sans Pro"/>
        </w:rPr>
      </w:pPr>
      <w:r w:rsidRPr="414D26DC">
        <w:rPr>
          <w:rFonts w:ascii="Source Sans Pro" w:hAnsi="Source Sans Pro"/>
        </w:rPr>
        <w:t xml:space="preserve">darba devēju/nozaru </w:t>
      </w:r>
      <w:r w:rsidR="003D5D26" w:rsidRPr="414D26DC">
        <w:rPr>
          <w:rFonts w:ascii="Source Sans Pro" w:hAnsi="Source Sans Pro"/>
        </w:rPr>
        <w:t xml:space="preserve">plašāka </w:t>
      </w:r>
      <w:r w:rsidRPr="414D26DC">
        <w:rPr>
          <w:rFonts w:ascii="Source Sans Pro" w:hAnsi="Source Sans Pro"/>
        </w:rPr>
        <w:t xml:space="preserve">iesaiste nodarbināto </w:t>
      </w:r>
      <w:r w:rsidR="78B6E321" w:rsidRPr="414D26DC">
        <w:rPr>
          <w:rFonts w:ascii="Source Sans Pro" w:eastAsia="Source Sans Pro" w:hAnsi="Source Sans Pro" w:cs="Source Sans Pro"/>
          <w:szCs w:val="20"/>
        </w:rPr>
        <w:t>prasmju pilnveides (</w:t>
      </w:r>
      <w:r w:rsidRPr="414D26DC">
        <w:rPr>
          <w:rFonts w:ascii="Source Sans Pro" w:hAnsi="Source Sans Pro"/>
        </w:rPr>
        <w:t>kvalifikācijas paaugstināšanas</w:t>
      </w:r>
      <w:r w:rsidR="61430470" w:rsidRPr="414D26DC">
        <w:rPr>
          <w:rFonts w:ascii="Source Sans Pro" w:hAnsi="Source Sans Pro"/>
        </w:rPr>
        <w:t>)</w:t>
      </w:r>
      <w:r w:rsidRPr="414D26DC">
        <w:rPr>
          <w:rFonts w:ascii="Source Sans Pro" w:hAnsi="Source Sans Pro"/>
        </w:rPr>
        <w:t xml:space="preserve"> </w:t>
      </w:r>
      <w:r w:rsidR="003D5D26" w:rsidRPr="414D26DC">
        <w:rPr>
          <w:rFonts w:ascii="Source Sans Pro" w:hAnsi="Source Sans Pro"/>
        </w:rPr>
        <w:t>pasākumos, p</w:t>
      </w:r>
      <w:r w:rsidR="0504E4B6" w:rsidRPr="414D26DC">
        <w:rPr>
          <w:rFonts w:ascii="Source Sans Pro" w:hAnsi="Source Sans Pro"/>
        </w:rPr>
        <w:t>aplašinot</w:t>
      </w:r>
      <w:r w:rsidR="003D5D26" w:rsidRPr="414D26DC">
        <w:rPr>
          <w:rFonts w:ascii="Source Sans Pro" w:hAnsi="Source Sans Pro"/>
        </w:rPr>
        <w:t xml:space="preserve"> mācību atbalsta instrumentu</w:t>
      </w:r>
      <w:r w:rsidR="66E7C4BA" w:rsidRPr="414D26DC">
        <w:rPr>
          <w:rFonts w:ascii="Source Sans Pro" w:hAnsi="Source Sans Pro"/>
        </w:rPr>
        <w:t>s</w:t>
      </w:r>
      <w:r w:rsidR="003D5D26" w:rsidRPr="414D26DC">
        <w:rPr>
          <w:rFonts w:ascii="Source Sans Pro" w:hAnsi="Source Sans Pro"/>
        </w:rPr>
        <w:t xml:space="preserve"> uzņēmumos, </w:t>
      </w:r>
      <w:r w:rsidR="0F4FEDC0" w:rsidRPr="414D26DC">
        <w:rPr>
          <w:rFonts w:ascii="Source Sans Pro" w:hAnsi="Source Sans Pro"/>
        </w:rPr>
        <w:t>veicinot mācību iespējas darba laikā, t.sk. īstenojot citus DVB prasmju attīstības risinājumus</w:t>
      </w:r>
      <w:r w:rsidR="04AC36D8" w:rsidRPr="414D26DC">
        <w:rPr>
          <w:rFonts w:ascii="Source Sans Pro" w:hAnsi="Source Sans Pro"/>
        </w:rPr>
        <w:t>, u.c</w:t>
      </w:r>
      <w:r w:rsidR="003D5D26" w:rsidRPr="414D26DC">
        <w:rPr>
          <w:rFonts w:ascii="Source Sans Pro" w:hAnsi="Source Sans Pro"/>
        </w:rPr>
        <w:t>.</w:t>
      </w:r>
    </w:p>
    <w:p w14:paraId="3F57B53E" w14:textId="10B3955F" w:rsidR="00FC1AED" w:rsidRDefault="00FC1AED">
      <w:pPr>
        <w:spacing w:after="0"/>
        <w:rPr>
          <w:rFonts w:ascii="Source Sans Pro" w:hAnsi="Source Sans Pro"/>
        </w:rPr>
      </w:pPr>
      <w:r>
        <w:rPr>
          <w:rFonts w:ascii="Source Sans Pro" w:hAnsi="Source Sans Pro"/>
        </w:rPr>
        <w:br w:type="page"/>
      </w:r>
    </w:p>
    <w:p w14:paraId="3DB11E07" w14:textId="77777777" w:rsidR="00750CFB" w:rsidRPr="00D829F0" w:rsidRDefault="00750CFB" w:rsidP="005E5E57">
      <w:pPr>
        <w:numPr>
          <w:ilvl w:val="0"/>
          <w:numId w:val="33"/>
        </w:numPr>
        <w:spacing w:after="120" w:line="259" w:lineRule="auto"/>
        <w:jc w:val="both"/>
        <w:rPr>
          <w:rFonts w:ascii="Source Sans Pro" w:hAnsi="Source Sans Pro"/>
        </w:rPr>
      </w:pPr>
      <w:r w:rsidRPr="00D829F0">
        <w:rPr>
          <w:rFonts w:ascii="Source Sans Pro" w:hAnsi="Source Sans Pro"/>
          <w:b/>
        </w:rPr>
        <w:lastRenderedPageBreak/>
        <w:t>Horizontālie pasākumi darbaspēka iztrūkuma mazināšanai</w:t>
      </w:r>
      <w:r w:rsidRPr="00D829F0">
        <w:rPr>
          <w:rFonts w:ascii="Source Sans Pro" w:hAnsi="Source Sans Pro"/>
        </w:rPr>
        <w:t> </w:t>
      </w:r>
    </w:p>
    <w:p w14:paraId="4ED9C557" w14:textId="774F5B70" w:rsidR="00750CFB" w:rsidRPr="00D829F0" w:rsidRDefault="00750CFB" w:rsidP="005E5E57">
      <w:pPr>
        <w:numPr>
          <w:ilvl w:val="0"/>
          <w:numId w:val="34"/>
        </w:numPr>
        <w:spacing w:after="120" w:line="259" w:lineRule="auto"/>
        <w:jc w:val="both"/>
        <w:rPr>
          <w:rFonts w:ascii="Source Sans Pro" w:hAnsi="Source Sans Pro"/>
        </w:rPr>
      </w:pPr>
      <w:r w:rsidRPr="00D829F0">
        <w:rPr>
          <w:rFonts w:ascii="Source Sans Pro" w:hAnsi="Source Sans Pro"/>
          <w:b/>
          <w:i/>
        </w:rPr>
        <w:t>Izglītības sistēmas kapacitātes stiprināšana</w:t>
      </w:r>
      <w:r w:rsidRPr="00D829F0">
        <w:rPr>
          <w:rFonts w:ascii="Source Sans Pro" w:hAnsi="Source Sans Pro"/>
        </w:rPr>
        <w:t> </w:t>
      </w:r>
    </w:p>
    <w:p w14:paraId="1374696F" w14:textId="693A4538" w:rsidR="00750CFB" w:rsidRPr="00D829F0" w:rsidRDefault="008E31E2" w:rsidP="005E5E57">
      <w:pPr>
        <w:numPr>
          <w:ilvl w:val="0"/>
          <w:numId w:val="35"/>
        </w:numPr>
        <w:spacing w:after="120" w:line="259" w:lineRule="auto"/>
        <w:jc w:val="both"/>
        <w:rPr>
          <w:rFonts w:ascii="Source Sans Pro" w:hAnsi="Source Sans Pro"/>
        </w:rPr>
      </w:pPr>
      <w:r w:rsidRPr="414D26DC">
        <w:rPr>
          <w:rFonts w:ascii="Source Sans Pro" w:hAnsi="Source Sans Pro"/>
        </w:rPr>
        <w:t>turpināt pedagogu atalgojuma sistēm</w:t>
      </w:r>
      <w:r w:rsidR="00BB1B9E" w:rsidRPr="414D26DC">
        <w:rPr>
          <w:rFonts w:ascii="Source Sans Pro" w:hAnsi="Source Sans Pro"/>
        </w:rPr>
        <w:t>as attīstību</w:t>
      </w:r>
      <w:r w:rsidRPr="414D26DC">
        <w:rPr>
          <w:rFonts w:ascii="Source Sans Pro" w:hAnsi="Source Sans Pro"/>
        </w:rPr>
        <w:t>,</w:t>
      </w:r>
      <w:r w:rsidR="00BB1B9E" w:rsidRPr="414D26DC">
        <w:rPr>
          <w:rFonts w:ascii="Source Sans Pro" w:hAnsi="Source Sans Pro"/>
        </w:rPr>
        <w:t xml:space="preserve"> lai nodrošinātu atalgojuma konkurētspēju</w:t>
      </w:r>
      <w:r w:rsidR="617F6178" w:rsidRPr="414D26DC">
        <w:rPr>
          <w:rFonts w:ascii="Source Sans Pro" w:hAnsi="Source Sans Pro"/>
        </w:rPr>
        <w:t xml:space="preserve"> ar  kvalificētu speciālistu atalgojumu citās nozarēs</w:t>
      </w:r>
      <w:r w:rsidR="00BB1B9E" w:rsidRPr="414D26DC">
        <w:rPr>
          <w:rFonts w:ascii="Source Sans Pro" w:hAnsi="Source Sans Pro"/>
        </w:rPr>
        <w:t xml:space="preserve"> un </w:t>
      </w:r>
      <w:r w:rsidR="049EA724" w:rsidRPr="414D26DC">
        <w:rPr>
          <w:rFonts w:ascii="Source Sans Pro" w:hAnsi="Source Sans Pro"/>
        </w:rPr>
        <w:t xml:space="preserve">celtu </w:t>
      </w:r>
      <w:r w:rsidR="00BB1B9E" w:rsidRPr="414D26DC">
        <w:rPr>
          <w:rFonts w:ascii="Source Sans Pro" w:hAnsi="Source Sans Pro"/>
        </w:rPr>
        <w:t>profesijas prestižu darba tirgū</w:t>
      </w:r>
      <w:r w:rsidRPr="414D26DC">
        <w:rPr>
          <w:rFonts w:ascii="Source Sans Pro" w:hAnsi="Source Sans Pro"/>
        </w:rPr>
        <w:t>; </w:t>
      </w:r>
    </w:p>
    <w:p w14:paraId="73FD7E18" w14:textId="77777777" w:rsidR="00750CFB" w:rsidRPr="00D829F0" w:rsidRDefault="00750CFB" w:rsidP="005E5E57">
      <w:pPr>
        <w:numPr>
          <w:ilvl w:val="0"/>
          <w:numId w:val="36"/>
        </w:numPr>
        <w:spacing w:after="120" w:line="259" w:lineRule="auto"/>
        <w:jc w:val="both"/>
        <w:rPr>
          <w:rFonts w:ascii="Source Sans Pro" w:hAnsi="Source Sans Pro"/>
        </w:rPr>
      </w:pPr>
      <w:r w:rsidRPr="00D829F0">
        <w:rPr>
          <w:rFonts w:ascii="Source Sans Pro" w:hAnsi="Source Sans Pro"/>
        </w:rPr>
        <w:t>nodrošinot pilnvērtīgu finansējumu izglītības iestāžu atbalsta personālam (karjeras konsultantiem, skolas psihologiem u.c.); </w:t>
      </w:r>
    </w:p>
    <w:p w14:paraId="062B5245" w14:textId="2D18C2B3" w:rsidR="00750CFB" w:rsidRPr="00D829F0" w:rsidRDefault="00750CFB" w:rsidP="005E5E57">
      <w:pPr>
        <w:numPr>
          <w:ilvl w:val="0"/>
          <w:numId w:val="37"/>
        </w:numPr>
        <w:spacing w:after="120" w:line="259" w:lineRule="auto"/>
        <w:jc w:val="both"/>
        <w:rPr>
          <w:rFonts w:ascii="Source Sans Pro" w:hAnsi="Source Sans Pro"/>
        </w:rPr>
      </w:pPr>
      <w:r w:rsidRPr="00D829F0">
        <w:rPr>
          <w:rFonts w:ascii="Source Sans Pro" w:hAnsi="Source Sans Pro"/>
        </w:rPr>
        <w:t xml:space="preserve">turpināt nostiprināt izglītības kvalitāti visos izglītības sistēmas posmos, t.sk. mazinot izglītības kvalitātes plaisu starp reģioniem un </w:t>
      </w:r>
      <w:r w:rsidR="00BB1B9E" w:rsidRPr="00D829F0">
        <w:rPr>
          <w:rFonts w:ascii="Source Sans Pro" w:hAnsi="Source Sans Pro"/>
        </w:rPr>
        <w:t>valstspilsētām</w:t>
      </w:r>
      <w:r w:rsidRPr="00D829F0">
        <w:rPr>
          <w:rFonts w:ascii="Source Sans Pro" w:hAnsi="Source Sans Pro"/>
        </w:rPr>
        <w:t>;</w:t>
      </w:r>
    </w:p>
    <w:p w14:paraId="488DD665" w14:textId="37E7E6D1" w:rsidR="00B566DE" w:rsidRPr="00D829F0" w:rsidRDefault="005D0464" w:rsidP="007A7F6C">
      <w:pPr>
        <w:numPr>
          <w:ilvl w:val="0"/>
          <w:numId w:val="37"/>
        </w:numPr>
        <w:spacing w:after="120" w:line="259" w:lineRule="auto"/>
        <w:jc w:val="both"/>
        <w:rPr>
          <w:rFonts w:ascii="Source Sans Pro" w:hAnsi="Source Sans Pro"/>
        </w:rPr>
      </w:pPr>
      <w:r w:rsidRPr="00D829F0">
        <w:rPr>
          <w:rFonts w:ascii="Source Sans Pro" w:hAnsi="Source Sans Pro"/>
        </w:rPr>
        <w:t>n</w:t>
      </w:r>
      <w:r w:rsidR="00331F30" w:rsidRPr="00D829F0">
        <w:rPr>
          <w:rFonts w:ascii="Source Sans Pro" w:hAnsi="Source Sans Pro"/>
        </w:rPr>
        <w:t>odrošināt atbilstošu finansējumu saskaņā ar aktuālajiem izdevumiem profesionālās izglītības programmu īstenošanai un valsts finansēto vietu skaita palielināšanai mērķa 50:50 proporcijas sasniegšanai</w:t>
      </w:r>
      <w:r w:rsidR="00A10567" w:rsidRPr="00D829F0">
        <w:rPr>
          <w:rFonts w:ascii="Source Sans Pro" w:hAnsi="Source Sans Pro"/>
        </w:rPr>
        <w:t>.</w:t>
      </w:r>
    </w:p>
    <w:p w14:paraId="46FFE314" w14:textId="77777777" w:rsidR="00750CFB" w:rsidRPr="00D829F0" w:rsidRDefault="00750CFB" w:rsidP="005E5E57">
      <w:pPr>
        <w:numPr>
          <w:ilvl w:val="0"/>
          <w:numId w:val="38"/>
        </w:numPr>
        <w:spacing w:after="120" w:line="259" w:lineRule="auto"/>
        <w:jc w:val="both"/>
        <w:rPr>
          <w:rFonts w:ascii="Source Sans Pro" w:hAnsi="Source Sans Pro"/>
        </w:rPr>
      </w:pPr>
      <w:r w:rsidRPr="00D829F0">
        <w:rPr>
          <w:rFonts w:ascii="Source Sans Pro" w:hAnsi="Source Sans Pro"/>
          <w:b/>
          <w:i/>
        </w:rPr>
        <w:t>Demogrāfijas tendenču negatīvās ietekmes mazināšana uz darbaspēka piedāvājumu</w:t>
      </w:r>
      <w:r w:rsidRPr="00D829F0">
        <w:rPr>
          <w:rFonts w:ascii="Source Sans Pro" w:hAnsi="Source Sans Pro"/>
        </w:rPr>
        <w:t> </w:t>
      </w:r>
    </w:p>
    <w:p w14:paraId="61B75114" w14:textId="6CFF0876" w:rsidR="00750CFB" w:rsidRPr="00D829F0" w:rsidRDefault="00750CFB" w:rsidP="005E5E57">
      <w:pPr>
        <w:numPr>
          <w:ilvl w:val="0"/>
          <w:numId w:val="39"/>
        </w:numPr>
        <w:spacing w:after="120" w:line="259" w:lineRule="auto"/>
        <w:jc w:val="both"/>
        <w:rPr>
          <w:rFonts w:ascii="Source Sans Pro" w:hAnsi="Source Sans Pro"/>
        </w:rPr>
      </w:pPr>
      <w:r w:rsidRPr="00D829F0">
        <w:rPr>
          <w:rFonts w:ascii="Source Sans Pro" w:hAnsi="Source Sans Pro"/>
        </w:rPr>
        <w:t>iedzīvotāju ataudzes veicināšana – valsts atbalsts 2 un vairāk bērnu ģimenēm (ģimenes valsts pabalsta palielināšana, atbalsts publisko pakalpojumu pieejamībai); </w:t>
      </w:r>
    </w:p>
    <w:p w14:paraId="50AE4BCC" w14:textId="77777777" w:rsidR="00750CFB" w:rsidRPr="00D829F0" w:rsidRDefault="00750CFB" w:rsidP="005E5E57">
      <w:pPr>
        <w:numPr>
          <w:ilvl w:val="0"/>
          <w:numId w:val="40"/>
        </w:numPr>
        <w:spacing w:after="120" w:line="259" w:lineRule="auto"/>
        <w:jc w:val="both"/>
        <w:rPr>
          <w:rFonts w:ascii="Source Sans Pro" w:hAnsi="Source Sans Pro"/>
        </w:rPr>
      </w:pPr>
      <w:r w:rsidRPr="00D829F0">
        <w:rPr>
          <w:rFonts w:ascii="Source Sans Pro" w:hAnsi="Source Sans Pro"/>
        </w:rPr>
        <w:t>remigrācijas atbalsta pasākumi – uzturēt reģionālo remigrācijas koordinatoru tīklu, kas sniedz informāciju un palīdz atgriezties Latvijā emigrējušajām ģimenēm; </w:t>
      </w:r>
    </w:p>
    <w:p w14:paraId="499EC1A7" w14:textId="38801F7A" w:rsidR="00750CFB" w:rsidRPr="00D829F0" w:rsidRDefault="00750CFB" w:rsidP="005E5E57">
      <w:pPr>
        <w:numPr>
          <w:ilvl w:val="0"/>
          <w:numId w:val="41"/>
        </w:numPr>
        <w:spacing w:after="120" w:line="259" w:lineRule="auto"/>
        <w:jc w:val="both"/>
        <w:rPr>
          <w:rFonts w:ascii="Source Sans Pro" w:hAnsi="Source Sans Pro"/>
        </w:rPr>
      </w:pPr>
      <w:r w:rsidRPr="0DC755EA">
        <w:rPr>
          <w:rFonts w:ascii="Source Sans Pro" w:hAnsi="Source Sans Pro"/>
        </w:rPr>
        <w:t>pasākumi iedzīvotāju ekonomiskās aktivitātes celšanai – atbalsts iedzīvotājiem ar</w:t>
      </w:r>
      <w:r w:rsidR="7B491148" w:rsidRPr="0DC755EA">
        <w:rPr>
          <w:rFonts w:ascii="Source Sans Pro" w:hAnsi="Source Sans Pro"/>
        </w:rPr>
        <w:t xml:space="preserve"> zemu</w:t>
      </w:r>
      <w:r w:rsidRPr="0DC755EA">
        <w:rPr>
          <w:rFonts w:ascii="Source Sans Pro" w:hAnsi="Source Sans Pro"/>
        </w:rPr>
        <w:t xml:space="preserve"> izglītības līmeni, kas nav reģistrēti NVA, bezdarbnieku apmācības pie darba devēja, reģionālas mobilitātes atbalsts; </w:t>
      </w:r>
    </w:p>
    <w:p w14:paraId="6A77F6C3" w14:textId="77777777" w:rsidR="00750CFB" w:rsidRPr="00D829F0" w:rsidRDefault="00750CFB" w:rsidP="005E5E57">
      <w:pPr>
        <w:numPr>
          <w:ilvl w:val="0"/>
          <w:numId w:val="42"/>
        </w:numPr>
        <w:spacing w:after="120" w:line="259" w:lineRule="auto"/>
        <w:jc w:val="both"/>
        <w:rPr>
          <w:rFonts w:ascii="Source Sans Pro" w:hAnsi="Source Sans Pro"/>
        </w:rPr>
      </w:pPr>
      <w:r w:rsidRPr="00D829F0">
        <w:rPr>
          <w:rFonts w:ascii="Source Sans Pro" w:hAnsi="Source Sans Pro"/>
        </w:rPr>
        <w:t>mērķēti pasākumi ātrai bēgļu integrācijai Latvijas darba tirgū un iesaistei nodarbinātībā – vienas pieturas kontaktpunkta noteikšana; </w:t>
      </w:r>
    </w:p>
    <w:p w14:paraId="1742818A" w14:textId="3483A2C8" w:rsidR="00750CFB" w:rsidRPr="00D829F0" w:rsidRDefault="00750CFB" w:rsidP="005E5E57">
      <w:pPr>
        <w:numPr>
          <w:ilvl w:val="0"/>
          <w:numId w:val="42"/>
        </w:numPr>
        <w:spacing w:after="120" w:line="259" w:lineRule="auto"/>
        <w:jc w:val="both"/>
        <w:rPr>
          <w:rFonts w:ascii="Source Sans Pro" w:hAnsi="Source Sans Pro"/>
        </w:rPr>
      </w:pPr>
      <w:r w:rsidRPr="0DC755EA">
        <w:rPr>
          <w:rFonts w:ascii="Source Sans Pro" w:hAnsi="Source Sans Pro"/>
        </w:rPr>
        <w:t>stimulējošu atbalsta mehānismu izstrāde senioru (pensijas vecum</w:t>
      </w:r>
      <w:r w:rsidR="2F3D64A5" w:rsidRPr="0DC755EA">
        <w:rPr>
          <w:rFonts w:ascii="Source Sans Pro" w:hAnsi="Source Sans Pro"/>
        </w:rPr>
        <w:t>a iedzīvotāju</w:t>
      </w:r>
      <w:r w:rsidRPr="0DC755EA">
        <w:rPr>
          <w:rFonts w:ascii="Source Sans Pro" w:hAnsi="Source Sans Pro"/>
        </w:rPr>
        <w:t>) iekļaušanās darba tirgū atbalstam;</w:t>
      </w:r>
    </w:p>
    <w:p w14:paraId="6D7057C8" w14:textId="40232FD9" w:rsidR="00750CFB" w:rsidRPr="00D829F0" w:rsidRDefault="00750CFB" w:rsidP="005E5E57">
      <w:pPr>
        <w:numPr>
          <w:ilvl w:val="0"/>
          <w:numId w:val="42"/>
        </w:numPr>
        <w:spacing w:after="120" w:line="259" w:lineRule="auto"/>
        <w:jc w:val="both"/>
        <w:rPr>
          <w:rFonts w:ascii="Source Sans Pro" w:hAnsi="Source Sans Pro"/>
        </w:rPr>
      </w:pPr>
      <w:r w:rsidRPr="00D829F0">
        <w:rPr>
          <w:rFonts w:ascii="Source Sans Pro" w:hAnsi="Source Sans Pro"/>
        </w:rPr>
        <w:t xml:space="preserve">izdienas pensiju sistēmas </w:t>
      </w:r>
      <w:r w:rsidR="00EA3E36">
        <w:rPr>
          <w:rFonts w:ascii="Source Sans Pro" w:hAnsi="Source Sans Pro"/>
        </w:rPr>
        <w:t>pilnveide</w:t>
      </w:r>
      <w:r w:rsidRPr="00D829F0">
        <w:rPr>
          <w:rFonts w:ascii="Source Sans Pro" w:hAnsi="Source Sans Pro"/>
        </w:rPr>
        <w:t>, tostarp izvērtējot izdienas pensiju kategorijas un pamatotību, izlīdzsvarojot aktīvās darba dzīves periodu ar iespējām palikt darba tirgū ilgāk;</w:t>
      </w:r>
    </w:p>
    <w:p w14:paraId="09E48CE5" w14:textId="1E12796D" w:rsidR="00750CFB" w:rsidRPr="00D829F0" w:rsidRDefault="00750CFB" w:rsidP="005E5E57">
      <w:pPr>
        <w:numPr>
          <w:ilvl w:val="0"/>
          <w:numId w:val="42"/>
        </w:numPr>
        <w:spacing w:after="120" w:line="259" w:lineRule="auto"/>
        <w:jc w:val="both"/>
        <w:rPr>
          <w:rFonts w:ascii="Source Sans Pro" w:hAnsi="Source Sans Pro"/>
        </w:rPr>
      </w:pPr>
      <w:r w:rsidRPr="0DC755EA">
        <w:rPr>
          <w:rFonts w:ascii="Source Sans Pro" w:hAnsi="Source Sans Pro"/>
        </w:rPr>
        <w:t xml:space="preserve">vienkāršotas darbaspēka piesaistes procedūras investīciju un eksportējošiem uzņēmumiem ārvalstu darbaspēka piesaistei izstrāde – samazinot administratīvo slogu un paātrinot administratīvos saskaņošanas procesus. </w:t>
      </w:r>
      <w:r w:rsidR="7A17BFE2" w:rsidRPr="0DC755EA">
        <w:rPr>
          <w:rFonts w:ascii="Source Sans Pro" w:hAnsi="Source Sans Pro"/>
        </w:rPr>
        <w:t>Vienlaikus ievērot, ka</w:t>
      </w:r>
      <w:r w:rsidR="6A60CBDD" w:rsidRPr="0DC755EA">
        <w:rPr>
          <w:rFonts w:ascii="Source Sans Pro" w:hAnsi="Source Sans Pro"/>
        </w:rPr>
        <w:t xml:space="preserve"> </w:t>
      </w:r>
      <w:r w:rsidRPr="0DC755EA">
        <w:rPr>
          <w:rFonts w:ascii="Source Sans Pro" w:hAnsi="Source Sans Pro"/>
        </w:rPr>
        <w:t>ārvalstu darbaspēka piesaiste ir tikai īstermiņa risinājums tiem komersantiem, kuri Latvijā nerod savām vajadzībām atbilstošu darbaspēku;</w:t>
      </w:r>
    </w:p>
    <w:p w14:paraId="1FFDDCC6" w14:textId="77777777" w:rsidR="00750CFB" w:rsidRPr="00D829F0" w:rsidRDefault="00750CFB" w:rsidP="005E5E57">
      <w:pPr>
        <w:numPr>
          <w:ilvl w:val="0"/>
          <w:numId w:val="42"/>
        </w:numPr>
        <w:spacing w:after="120" w:line="259" w:lineRule="auto"/>
        <w:jc w:val="both"/>
        <w:rPr>
          <w:rFonts w:ascii="Source Sans Pro" w:hAnsi="Source Sans Pro"/>
        </w:rPr>
      </w:pPr>
      <w:r w:rsidRPr="00D829F0">
        <w:rPr>
          <w:rFonts w:ascii="Source Sans Pro" w:hAnsi="Source Sans Pro"/>
        </w:rPr>
        <w:t>mērķēti pasākumi personu ar kredītparādu saistībām iesaistei legālajā nodarbinātībā, tādējādi veicinot šo personu oficiālu nodarbinātību;</w:t>
      </w:r>
    </w:p>
    <w:p w14:paraId="0BB3B18D" w14:textId="77777777" w:rsidR="00750CFB" w:rsidRPr="00D829F0" w:rsidRDefault="00750CFB" w:rsidP="005E5E57">
      <w:pPr>
        <w:numPr>
          <w:ilvl w:val="0"/>
          <w:numId w:val="42"/>
        </w:numPr>
        <w:spacing w:after="120" w:line="259" w:lineRule="auto"/>
        <w:jc w:val="both"/>
        <w:rPr>
          <w:rFonts w:ascii="Source Sans Pro" w:hAnsi="Source Sans Pro"/>
        </w:rPr>
      </w:pPr>
      <w:r w:rsidRPr="00D829F0">
        <w:rPr>
          <w:rFonts w:ascii="Source Sans Pro" w:hAnsi="Source Sans Pro"/>
        </w:rPr>
        <w:t>mērķēti pasākumi, lai veicinātu Latvijā studējošu ārvalstu studentu oficiālu nodarbinātību un ilgtspējīgu integrāciju darba tirgū</w:t>
      </w:r>
      <w:r w:rsidR="00881C7C" w:rsidRPr="00D829F0">
        <w:rPr>
          <w:rFonts w:ascii="Source Sans Pro" w:hAnsi="Source Sans Pro"/>
        </w:rPr>
        <w:t>, atbilstoši studiju jomai</w:t>
      </w:r>
      <w:r w:rsidRPr="00D829F0">
        <w:rPr>
          <w:rFonts w:ascii="Source Sans Pro" w:hAnsi="Source Sans Pro"/>
        </w:rPr>
        <w:t>;</w:t>
      </w:r>
    </w:p>
    <w:p w14:paraId="630FB4A2" w14:textId="29B5CD17" w:rsidR="00B55BEE" w:rsidRDefault="00D92EA2" w:rsidP="005E5E57">
      <w:pPr>
        <w:numPr>
          <w:ilvl w:val="0"/>
          <w:numId w:val="42"/>
        </w:numPr>
        <w:spacing w:after="120" w:line="259" w:lineRule="auto"/>
        <w:jc w:val="both"/>
        <w:rPr>
          <w:rFonts w:ascii="Source Sans Pro" w:hAnsi="Source Sans Pro"/>
        </w:rPr>
      </w:pPr>
      <w:r>
        <w:rPr>
          <w:rFonts w:ascii="Source Sans Pro" w:hAnsi="Source Sans Pro"/>
        </w:rPr>
        <w:t xml:space="preserve">pasākumi </w:t>
      </w:r>
      <w:r w:rsidR="005538BC" w:rsidRPr="005538BC">
        <w:rPr>
          <w:rFonts w:ascii="Source Sans Pro" w:hAnsi="Source Sans Pro"/>
        </w:rPr>
        <w:t>faktiski nodarbināto, bet oficiāli nereģistrēto personu – gan platformu ekonomikā (piemēram, Bolt, Wolt) strādājošo, gan Latvijā nodarbinātā ārvalstu darbaspēka – iesaistei legālajā nodarbinātībā un reģistrācij</w:t>
      </w:r>
      <w:r>
        <w:rPr>
          <w:rFonts w:ascii="Source Sans Pro" w:hAnsi="Source Sans Pro"/>
        </w:rPr>
        <w:t>as veicināšanai – mazinot ēnu ekonomiku un pilnīgāk atspoguļojot faktisko darbaspēka piedāvājumu;</w:t>
      </w:r>
    </w:p>
    <w:p w14:paraId="67CD1E88" w14:textId="035DB0E5" w:rsidR="007A7F6C" w:rsidRPr="00D829F0" w:rsidRDefault="00750CFB" w:rsidP="007A7F6C">
      <w:pPr>
        <w:numPr>
          <w:ilvl w:val="0"/>
          <w:numId w:val="43"/>
        </w:numPr>
        <w:spacing w:after="120" w:line="259" w:lineRule="auto"/>
        <w:jc w:val="both"/>
        <w:rPr>
          <w:rFonts w:ascii="Source Sans Pro" w:hAnsi="Source Sans Pro"/>
        </w:rPr>
      </w:pPr>
      <w:r w:rsidRPr="00D829F0">
        <w:rPr>
          <w:rFonts w:ascii="Source Sans Pro" w:hAnsi="Source Sans Pro"/>
        </w:rPr>
        <w:t>viedā darbaspēka migrācija – atvieglota augsti kvalificētu speciālistu piesaiste jomās, kur vērojams vietējā darbaspēka un atbilstošo prasmju iztrūkums</w:t>
      </w:r>
      <w:r w:rsidR="009770C0">
        <w:rPr>
          <w:rFonts w:ascii="Source Sans Pro" w:hAnsi="Source Sans Pro"/>
        </w:rPr>
        <w:t>;</w:t>
      </w:r>
    </w:p>
    <w:p w14:paraId="5318EC65" w14:textId="77777777" w:rsidR="00750CFB" w:rsidRPr="00D829F0" w:rsidRDefault="00750CFB" w:rsidP="005E5E57">
      <w:pPr>
        <w:numPr>
          <w:ilvl w:val="0"/>
          <w:numId w:val="44"/>
        </w:numPr>
        <w:spacing w:after="120" w:line="259" w:lineRule="auto"/>
        <w:jc w:val="both"/>
        <w:rPr>
          <w:rFonts w:ascii="Source Sans Pro" w:hAnsi="Source Sans Pro"/>
        </w:rPr>
      </w:pPr>
      <w:r w:rsidRPr="00D829F0">
        <w:rPr>
          <w:rFonts w:ascii="Source Sans Pro" w:hAnsi="Source Sans Pro"/>
          <w:b/>
          <w:i/>
        </w:rPr>
        <w:t>Darba tirgus reģionālo atšķirību mazināšana</w:t>
      </w:r>
      <w:r w:rsidRPr="00D829F0">
        <w:rPr>
          <w:rFonts w:ascii="Source Sans Pro" w:hAnsi="Source Sans Pro"/>
        </w:rPr>
        <w:t> </w:t>
      </w:r>
    </w:p>
    <w:p w14:paraId="7E31C81D" w14:textId="2EA93094" w:rsidR="00750CFB" w:rsidRPr="00D829F0" w:rsidRDefault="00750CFB" w:rsidP="005E5E57">
      <w:pPr>
        <w:numPr>
          <w:ilvl w:val="0"/>
          <w:numId w:val="45"/>
        </w:numPr>
        <w:spacing w:after="120" w:line="259" w:lineRule="auto"/>
        <w:jc w:val="both"/>
        <w:rPr>
          <w:rFonts w:ascii="Source Sans Pro" w:hAnsi="Source Sans Pro"/>
        </w:rPr>
      </w:pPr>
      <w:r w:rsidRPr="0DC755EA">
        <w:rPr>
          <w:rFonts w:ascii="Source Sans Pro" w:hAnsi="Source Sans Pro"/>
        </w:rPr>
        <w:t>mobilitātes atbalsts aktīvo nodarbinātības pasākumu ietvaros – transporta un īres kompensācijas  mobilitātes veicināšanai; </w:t>
      </w:r>
    </w:p>
    <w:p w14:paraId="56D6F02D" w14:textId="022E3F93" w:rsidR="00750CFB" w:rsidRPr="00D829F0" w:rsidRDefault="00750CFB" w:rsidP="005E5E57">
      <w:pPr>
        <w:numPr>
          <w:ilvl w:val="0"/>
          <w:numId w:val="46"/>
        </w:numPr>
        <w:spacing w:after="120" w:line="259" w:lineRule="auto"/>
        <w:jc w:val="both"/>
        <w:rPr>
          <w:rFonts w:ascii="Source Sans Pro" w:hAnsi="Source Sans Pro"/>
        </w:rPr>
      </w:pPr>
      <w:r w:rsidRPr="00D829F0">
        <w:rPr>
          <w:rFonts w:ascii="Source Sans Pro" w:hAnsi="Source Sans Pro"/>
        </w:rPr>
        <w:t xml:space="preserve">investīciju un kohēzijas politikas </w:t>
      </w:r>
      <w:r w:rsidR="00881C7C" w:rsidRPr="00D829F0">
        <w:rPr>
          <w:rFonts w:ascii="Source Sans Pro" w:hAnsi="Source Sans Pro"/>
        </w:rPr>
        <w:t>aktīvāka izmantošana</w:t>
      </w:r>
      <w:r w:rsidRPr="00D829F0">
        <w:rPr>
          <w:rFonts w:ascii="Source Sans Pro" w:hAnsi="Source Sans Pro"/>
        </w:rPr>
        <w:t xml:space="preserve"> vājāk </w:t>
      </w:r>
      <w:r w:rsidR="008E31E2" w:rsidRPr="00D829F0">
        <w:rPr>
          <w:rFonts w:ascii="Source Sans Pro" w:hAnsi="Source Sans Pro"/>
        </w:rPr>
        <w:t>attīstīt</w:t>
      </w:r>
      <w:r w:rsidR="00881C7C" w:rsidRPr="00D829F0">
        <w:rPr>
          <w:rFonts w:ascii="Source Sans Pro" w:hAnsi="Source Sans Pro"/>
        </w:rPr>
        <w:t>ajos</w:t>
      </w:r>
      <w:r w:rsidR="008E31E2" w:rsidRPr="00D829F0">
        <w:rPr>
          <w:rFonts w:ascii="Source Sans Pro" w:hAnsi="Source Sans Pro"/>
        </w:rPr>
        <w:t xml:space="preserve"> reģion</w:t>
      </w:r>
      <w:r w:rsidR="00881C7C" w:rsidRPr="00D829F0">
        <w:rPr>
          <w:rFonts w:ascii="Source Sans Pro" w:hAnsi="Source Sans Pro"/>
        </w:rPr>
        <w:t>os</w:t>
      </w:r>
      <w:r w:rsidRPr="00D829F0">
        <w:rPr>
          <w:rFonts w:ascii="Source Sans Pro" w:hAnsi="Source Sans Pro"/>
        </w:rPr>
        <w:t>, tādejādi veicinot darbavietu un nodarbinātības iespēju veidošanos teritorijās ar augstāku bezdarbu; </w:t>
      </w:r>
    </w:p>
    <w:p w14:paraId="0EC8E111" w14:textId="4B213A9F" w:rsidR="00750CFB" w:rsidRPr="00D829F0" w:rsidRDefault="00750CFB" w:rsidP="005E5E57">
      <w:pPr>
        <w:numPr>
          <w:ilvl w:val="0"/>
          <w:numId w:val="47"/>
        </w:numPr>
        <w:spacing w:after="120" w:line="259" w:lineRule="auto"/>
        <w:jc w:val="both"/>
        <w:rPr>
          <w:rFonts w:ascii="Source Sans Pro" w:hAnsi="Source Sans Pro"/>
        </w:rPr>
      </w:pPr>
      <w:r w:rsidRPr="00D829F0">
        <w:rPr>
          <w:rFonts w:ascii="Source Sans Pro" w:hAnsi="Source Sans Pro"/>
        </w:rPr>
        <w:lastRenderedPageBreak/>
        <w:t xml:space="preserve">darbaspēka pieejamības nodrošināšana teritorijās ar pieaugošu nodarbinātību – mājokļu garantiju programmas pilnveide, </w:t>
      </w:r>
      <w:r w:rsidR="00850657" w:rsidRPr="00D829F0">
        <w:rPr>
          <w:rFonts w:ascii="Source Sans Pro" w:hAnsi="Source Sans Pro"/>
        </w:rPr>
        <w:t>a</w:t>
      </w:r>
      <w:r w:rsidR="008E31E2" w:rsidRPr="00D829F0">
        <w:rPr>
          <w:rFonts w:ascii="Source Sans Pro" w:hAnsi="Source Sans Pro"/>
        </w:rPr>
        <w:t>tbalsta</w:t>
      </w:r>
      <w:r w:rsidRPr="00D829F0">
        <w:rPr>
          <w:rFonts w:ascii="Source Sans Pro" w:hAnsi="Source Sans Pro"/>
        </w:rPr>
        <w:t xml:space="preserve"> programma īres namu būvniecībai </w:t>
      </w:r>
      <w:r w:rsidR="00850657" w:rsidRPr="00D829F0">
        <w:rPr>
          <w:rFonts w:ascii="Source Sans Pro" w:hAnsi="Source Sans Pro"/>
        </w:rPr>
        <w:t>ekonomiskās aktivitātes centros</w:t>
      </w:r>
      <w:r w:rsidRPr="00D829F0">
        <w:rPr>
          <w:rFonts w:ascii="Source Sans Pro" w:hAnsi="Source Sans Pro"/>
        </w:rPr>
        <w:t>. </w:t>
      </w:r>
    </w:p>
    <w:p w14:paraId="4B6F002C" w14:textId="77777777" w:rsidR="00750CFB" w:rsidRPr="00D829F0" w:rsidRDefault="00750CFB" w:rsidP="005E5E57">
      <w:pPr>
        <w:numPr>
          <w:ilvl w:val="0"/>
          <w:numId w:val="48"/>
        </w:numPr>
        <w:spacing w:after="120" w:line="259" w:lineRule="auto"/>
        <w:jc w:val="both"/>
        <w:rPr>
          <w:rFonts w:ascii="Source Sans Pro" w:hAnsi="Source Sans Pro"/>
        </w:rPr>
      </w:pPr>
      <w:r w:rsidRPr="00D829F0">
        <w:rPr>
          <w:rFonts w:ascii="Source Sans Pro" w:hAnsi="Source Sans Pro"/>
          <w:b/>
          <w:i/>
        </w:rPr>
        <w:t>Pieaugušo izglītības attīstība:</w:t>
      </w:r>
      <w:r w:rsidRPr="00D829F0">
        <w:rPr>
          <w:rFonts w:ascii="Source Sans Pro" w:hAnsi="Source Sans Pro"/>
        </w:rPr>
        <w:t> </w:t>
      </w:r>
    </w:p>
    <w:p w14:paraId="7C667E42" w14:textId="5141D1AE" w:rsidR="00750CFB" w:rsidRPr="00D829F0" w:rsidRDefault="00750CFB" w:rsidP="005E5E57">
      <w:pPr>
        <w:numPr>
          <w:ilvl w:val="0"/>
          <w:numId w:val="49"/>
        </w:numPr>
        <w:spacing w:after="120" w:line="259" w:lineRule="auto"/>
        <w:jc w:val="both"/>
        <w:rPr>
          <w:rFonts w:ascii="Source Sans Pro" w:hAnsi="Source Sans Pro"/>
        </w:rPr>
      </w:pPr>
      <w:r w:rsidRPr="00D829F0">
        <w:rPr>
          <w:rFonts w:ascii="Source Sans Pro" w:hAnsi="Source Sans Pro"/>
        </w:rPr>
        <w:t xml:space="preserve">elastīga un uz darba tirgus vajadzībām balstīta pieaugušo izglītības </w:t>
      </w:r>
      <w:r w:rsidR="004766F4">
        <w:rPr>
          <w:rFonts w:ascii="Source Sans Pro" w:hAnsi="Source Sans Pro"/>
        </w:rPr>
        <w:t>piedāvājuma nodrošināšana</w:t>
      </w:r>
      <w:r w:rsidRPr="00D829F0">
        <w:rPr>
          <w:rFonts w:ascii="Source Sans Pro" w:hAnsi="Source Sans Pro"/>
        </w:rPr>
        <w:t xml:space="preserve"> – </w:t>
      </w:r>
      <w:r w:rsidR="001E0E68" w:rsidRPr="001E0E68">
        <w:rPr>
          <w:rFonts w:ascii="Source Sans Pro" w:hAnsi="Source Sans Pro"/>
        </w:rPr>
        <w:t>izglītības saturu un apjomu prioritāri balstot darba devēju un nozaru pieprasījumā un prognozētajās darba tirgus prasmju vajadzībās, vienlaikus nodrošinot atbalstu</w:t>
      </w:r>
      <w:r w:rsidRPr="00D829F0">
        <w:rPr>
          <w:rFonts w:ascii="Source Sans Pro" w:hAnsi="Source Sans Pro"/>
        </w:rPr>
        <w:t xml:space="preserve"> dažādām mērķa grupām</w:t>
      </w:r>
      <w:r w:rsidR="001E0E68" w:rsidRPr="001E0E68">
        <w:rPr>
          <w:rFonts w:ascii="Source Sans Pro" w:hAnsi="Source Sans Pro"/>
        </w:rPr>
        <w:t xml:space="preserve"> un</w:t>
      </w:r>
      <w:r w:rsidRPr="00D829F0">
        <w:rPr>
          <w:rFonts w:ascii="Source Sans Pro" w:hAnsi="Source Sans Pro"/>
        </w:rPr>
        <w:t xml:space="preserve"> katras sasniegšanai un motivēšanai izmantojot atbilstošāku pieeju (individuālajās vajadzībās balstīta pieaugušo izglītība, karjeras atbalsta konsultācijas/ mentorings, mācības pēc darba devēju un nozaru pieprasījuma); </w:t>
      </w:r>
    </w:p>
    <w:p w14:paraId="0306A7DC" w14:textId="4DD3C65D" w:rsidR="00750CFB" w:rsidRPr="00D829F0" w:rsidRDefault="00975D1C" w:rsidP="005E5E57">
      <w:pPr>
        <w:numPr>
          <w:ilvl w:val="0"/>
          <w:numId w:val="50"/>
        </w:numPr>
        <w:spacing w:after="120" w:line="259" w:lineRule="auto"/>
        <w:jc w:val="both"/>
        <w:rPr>
          <w:rFonts w:ascii="Source Sans Pro" w:hAnsi="Source Sans Pro"/>
        </w:rPr>
      </w:pPr>
      <w:r w:rsidRPr="0DC755EA">
        <w:rPr>
          <w:rFonts w:ascii="Source Sans Pro" w:hAnsi="Source Sans Pro"/>
        </w:rPr>
        <w:t xml:space="preserve">izskatīt iespēju </w:t>
      </w:r>
      <w:r w:rsidR="00750CFB" w:rsidRPr="0DC755EA">
        <w:rPr>
          <w:rFonts w:ascii="Source Sans Pro" w:hAnsi="Source Sans Pro"/>
        </w:rPr>
        <w:t xml:space="preserve">ilgtspējīga pieaugušo izglītības finansēšanas modeļa </w:t>
      </w:r>
      <w:r w:rsidR="008E31E2" w:rsidRPr="0DC755EA">
        <w:rPr>
          <w:rFonts w:ascii="Source Sans Pro" w:hAnsi="Source Sans Pro"/>
        </w:rPr>
        <w:t>izveide</w:t>
      </w:r>
      <w:r w:rsidRPr="0DC755EA">
        <w:rPr>
          <w:rFonts w:ascii="Source Sans Pro" w:hAnsi="Source Sans Pro"/>
        </w:rPr>
        <w:t>i</w:t>
      </w:r>
      <w:r w:rsidR="00750CFB" w:rsidRPr="0DC755EA">
        <w:rPr>
          <w:rFonts w:ascii="Source Sans Pro" w:hAnsi="Source Sans Pro"/>
        </w:rPr>
        <w:t>, pilotprojekta veidā izskatīt iespēju nozaru vajadzībām izveidot mācību fondu, kurā veic iemaksas arī darba devēji un, kas tālāk kalpotu trūkstošo speciālistu sagatavošanai; </w:t>
      </w:r>
    </w:p>
    <w:p w14:paraId="31625C65" w14:textId="793D3B7C" w:rsidR="00750CFB" w:rsidRPr="00D829F0" w:rsidRDefault="00750CFB" w:rsidP="005E5E57">
      <w:pPr>
        <w:numPr>
          <w:ilvl w:val="0"/>
          <w:numId w:val="51"/>
        </w:numPr>
        <w:spacing w:after="120" w:line="259" w:lineRule="auto"/>
        <w:jc w:val="both"/>
        <w:rPr>
          <w:rFonts w:ascii="Source Sans Pro" w:hAnsi="Source Sans Pro"/>
        </w:rPr>
      </w:pPr>
      <w:r w:rsidRPr="00D829F0">
        <w:rPr>
          <w:rFonts w:ascii="Source Sans Pro" w:hAnsi="Source Sans Pro"/>
        </w:rPr>
        <w:t>turpināt ieviest nepārtrauktu izglītošanās kultūru sabiedrībā</w:t>
      </w:r>
      <w:r w:rsidR="00F7372B" w:rsidRPr="00D829F0">
        <w:rPr>
          <w:rFonts w:ascii="Source Sans Pro" w:hAnsi="Source Sans Pro"/>
        </w:rPr>
        <w:t>, t.sk. uzņēmumos</w:t>
      </w:r>
      <w:r w:rsidRPr="00D829F0">
        <w:rPr>
          <w:rFonts w:ascii="Source Sans Pro" w:hAnsi="Source Sans Pro"/>
        </w:rPr>
        <w:t>, tādejādi nodrošinot iedzīvotāju prasmju atjaunošanos, pārkvalifikāciju un attīstību atbilstoši aktuālajām darba tirgus vajadzībām;</w:t>
      </w:r>
    </w:p>
    <w:p w14:paraId="257F4E62" w14:textId="4C400009" w:rsidR="00750CFB" w:rsidRPr="00D829F0" w:rsidRDefault="00750CFB" w:rsidP="005E5E57">
      <w:pPr>
        <w:numPr>
          <w:ilvl w:val="0"/>
          <w:numId w:val="51"/>
        </w:numPr>
        <w:spacing w:after="120" w:line="259" w:lineRule="auto"/>
        <w:jc w:val="both"/>
        <w:rPr>
          <w:rFonts w:ascii="Source Sans Pro" w:hAnsi="Source Sans Pro"/>
        </w:rPr>
      </w:pPr>
      <w:r w:rsidRPr="0DC755EA">
        <w:rPr>
          <w:rFonts w:ascii="Source Sans Pro" w:hAnsi="Source Sans Pro"/>
        </w:rPr>
        <w:t xml:space="preserve">nodrošināt iedzīvotājiem digitālo prasmju pilnveidošanu, kā arī iespēju uzņēmumiem saņemt atbalstu digitālo prasmju mācību veikšanai, jo īpaši par digitalizācijas un </w:t>
      </w:r>
      <w:r w:rsidR="00605184" w:rsidRPr="0DC755EA">
        <w:rPr>
          <w:rFonts w:ascii="Source Sans Pro" w:hAnsi="Source Sans Pro"/>
        </w:rPr>
        <w:t>MI</w:t>
      </w:r>
      <w:r w:rsidRPr="0DC755EA">
        <w:rPr>
          <w:rFonts w:ascii="Source Sans Pro" w:hAnsi="Source Sans Pro"/>
        </w:rPr>
        <w:t xml:space="preserve"> risinājumiem</w:t>
      </w:r>
      <w:r w:rsidR="3E40CB16" w:rsidRPr="0DC755EA">
        <w:rPr>
          <w:rFonts w:ascii="Source Sans Pro" w:hAnsi="Source Sans Pro"/>
        </w:rPr>
        <w:t>;</w:t>
      </w:r>
    </w:p>
    <w:p w14:paraId="037EF55F" w14:textId="44D8ABE9" w:rsidR="3E40CB16" w:rsidRDefault="3E40CB16" w:rsidP="0DC755EA">
      <w:pPr>
        <w:numPr>
          <w:ilvl w:val="0"/>
          <w:numId w:val="51"/>
        </w:numPr>
        <w:spacing w:after="120" w:line="259" w:lineRule="auto"/>
        <w:jc w:val="both"/>
        <w:rPr>
          <w:rFonts w:ascii="Source Sans Pro" w:hAnsi="Source Sans Pro"/>
        </w:rPr>
      </w:pPr>
      <w:r w:rsidRPr="0DC755EA">
        <w:rPr>
          <w:rFonts w:ascii="Source Sans Pro" w:hAnsi="Source Sans Pro"/>
        </w:rPr>
        <w:t>veicināt vienotas informācijas un konsultatīvā atbalsta sistēmas attīstību, nodrošinot iedzīvotājiem un darba devējiem pārskatāmu informāciju par pieejamajām mācību iespējām, karjeras attīstības atbalstu un prasmju pilnveides iespējām.</w:t>
      </w:r>
    </w:p>
    <w:p w14:paraId="2797E823" w14:textId="77777777" w:rsidR="00644EFE" w:rsidRDefault="00644EFE" w:rsidP="00644EFE">
      <w:pPr>
        <w:spacing w:after="120"/>
        <w:rPr>
          <w:rFonts w:ascii="Source Sans Pro" w:hAnsi="Source Sans Pro"/>
          <w:b/>
          <w:bCs/>
        </w:rPr>
      </w:pPr>
    </w:p>
    <w:p w14:paraId="78FCAAD7" w14:textId="047C0E98" w:rsidR="00750CFB" w:rsidRPr="00D829F0" w:rsidRDefault="00750CFB" w:rsidP="00A805D9">
      <w:pPr>
        <w:spacing w:after="120"/>
        <w:jc w:val="both"/>
        <w:rPr>
          <w:rFonts w:ascii="Source Sans Pro" w:hAnsi="Source Sans Pro"/>
          <w:b/>
          <w:bCs/>
        </w:rPr>
      </w:pPr>
      <w:r w:rsidRPr="0DC755EA">
        <w:rPr>
          <w:rFonts w:ascii="Source Sans Pro" w:hAnsi="Source Sans Pro"/>
          <w:b/>
          <w:bCs/>
        </w:rPr>
        <w:t>Vienlaikus, lai nodrošinātu ātrāku darbaspēka piedāvājuma pielāgošanos nākotnes darba tirgus vajadzībām,  būtiski ir stiprināt ražotāju konkurētspēju un veicināt tautsaimniecības pārstrukturizāciju no zemas uz vidēju un augstu tehnoloģiju nozarēm, kā arī veicināt ārvalstu investīciju piesaisti</w:t>
      </w:r>
      <w:r w:rsidR="0030224A" w:rsidRPr="0DC755EA">
        <w:rPr>
          <w:rFonts w:ascii="Source Sans Pro" w:hAnsi="Source Sans Pro"/>
          <w:b/>
          <w:bCs/>
        </w:rPr>
        <w:t>.</w:t>
      </w:r>
    </w:p>
    <w:p w14:paraId="79C4AADF" w14:textId="77777777" w:rsidR="00F94B79" w:rsidRDefault="00F94B79" w:rsidP="009D51A5">
      <w:pPr>
        <w:tabs>
          <w:tab w:val="right" w:pos="14742"/>
        </w:tabs>
        <w:spacing w:after="120"/>
        <w:rPr>
          <w:rFonts w:ascii="Source Sans Pro" w:hAnsi="Source Sans Pro"/>
          <w:szCs w:val="24"/>
        </w:rPr>
      </w:pPr>
    </w:p>
    <w:p w14:paraId="58AF0043" w14:textId="77777777" w:rsidR="008107C9" w:rsidRDefault="008107C9" w:rsidP="009D51A5">
      <w:pPr>
        <w:tabs>
          <w:tab w:val="right" w:pos="14742"/>
        </w:tabs>
        <w:spacing w:after="120"/>
        <w:rPr>
          <w:rFonts w:ascii="Source Sans Pro" w:hAnsi="Source Sans Pro"/>
          <w:szCs w:val="24"/>
        </w:rPr>
      </w:pPr>
    </w:p>
    <w:p w14:paraId="2BCED3F4" w14:textId="77777777" w:rsidR="008107C9" w:rsidRDefault="008107C9" w:rsidP="009D51A5">
      <w:pPr>
        <w:tabs>
          <w:tab w:val="right" w:pos="14742"/>
        </w:tabs>
        <w:spacing w:after="120"/>
        <w:rPr>
          <w:rFonts w:ascii="Source Sans Pro" w:hAnsi="Source Sans Pro"/>
          <w:szCs w:val="24"/>
        </w:rPr>
      </w:pPr>
    </w:p>
    <w:p w14:paraId="559D717E" w14:textId="77777777" w:rsidR="008107C9" w:rsidRPr="00D829F0" w:rsidRDefault="008107C9" w:rsidP="009D51A5">
      <w:pPr>
        <w:tabs>
          <w:tab w:val="right" w:pos="14742"/>
        </w:tabs>
        <w:spacing w:after="120"/>
        <w:rPr>
          <w:rFonts w:ascii="Source Sans Pro" w:hAnsi="Source Sans Pro"/>
          <w:szCs w:val="24"/>
        </w:rPr>
      </w:pPr>
    </w:p>
    <w:p w14:paraId="08DC1803" w14:textId="4E06A52B" w:rsidR="0064770E" w:rsidRPr="00D829F0" w:rsidRDefault="00F94B79" w:rsidP="009D51A5">
      <w:pPr>
        <w:tabs>
          <w:tab w:val="right" w:pos="14742"/>
        </w:tabs>
        <w:spacing w:after="120"/>
        <w:rPr>
          <w:rFonts w:ascii="Source Sans Pro" w:hAnsi="Source Sans Pro"/>
          <w:szCs w:val="24"/>
        </w:rPr>
      </w:pPr>
      <w:r w:rsidRPr="00D829F0">
        <w:rPr>
          <w:rFonts w:ascii="Source Sans Pro" w:hAnsi="Source Sans Pro"/>
          <w:szCs w:val="24"/>
        </w:rPr>
        <w:t>Ekonomikas ministrs</w:t>
      </w:r>
      <w:r w:rsidRPr="00D829F0">
        <w:rPr>
          <w:rFonts w:ascii="Source Sans Pro" w:hAnsi="Source Sans Pro"/>
          <w:szCs w:val="24"/>
        </w:rPr>
        <w:tab/>
      </w:r>
      <w:r w:rsidR="007E2089" w:rsidRPr="00D829F0">
        <w:rPr>
          <w:rFonts w:ascii="Source Sans Pro" w:hAnsi="Source Sans Pro"/>
          <w:szCs w:val="24"/>
        </w:rPr>
        <w:t>V.Valainis</w:t>
      </w:r>
    </w:p>
    <w:sectPr w:rsidR="0064770E" w:rsidRPr="00D829F0" w:rsidSect="00044A89">
      <w:headerReference w:type="even" r:id="rId211"/>
      <w:headerReference w:type="default" r:id="rId212"/>
      <w:footerReference w:type="even" r:id="rId213"/>
      <w:footerReference w:type="default" r:id="rId214"/>
      <w:headerReference w:type="first" r:id="rId215"/>
      <w:footerReference w:type="first" r:id="rId216"/>
      <w:footnotePr>
        <w:numRestart w:val="eachPage"/>
      </w:footnotePr>
      <w:pgSz w:w="11906" w:h="16838" w:code="9"/>
      <w:pgMar w:top="1134" w:right="1134" w:bottom="1134" w:left="1701" w:header="567" w:footer="68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C7A7C" w14:textId="77777777" w:rsidR="00D17247" w:rsidRDefault="00D17247"/>
  </w:endnote>
  <w:endnote w:type="continuationSeparator" w:id="0">
    <w:p w14:paraId="2AF381A2" w14:textId="77777777" w:rsidR="00D17247" w:rsidRDefault="00D17247" w:rsidP="00826C45">
      <w:pPr>
        <w:spacing w:after="0"/>
      </w:pPr>
      <w:r>
        <w:continuationSeparator/>
      </w:r>
    </w:p>
    <w:p w14:paraId="5AC0FA78" w14:textId="77777777" w:rsidR="00D17247" w:rsidRDefault="00D17247"/>
  </w:endnote>
  <w:endnote w:type="continuationNotice" w:id="1">
    <w:p w14:paraId="48E2A08C" w14:textId="77777777" w:rsidR="00D17247" w:rsidRDefault="00D17247">
      <w:pPr>
        <w:spacing w:after="0"/>
      </w:pPr>
    </w:p>
  </w:endnote>
  <w:endnote w:id="2">
    <w:p w14:paraId="445C307C" w14:textId="6C8FB0C5" w:rsidR="00B83D7D" w:rsidRPr="00644EFE" w:rsidRDefault="00B83D7D" w:rsidP="0064770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PF Square Sans Pro">
    <w:altName w:val="Arial"/>
    <w:panose1 w:val="00000000000000000000"/>
    <w:charset w:val="00"/>
    <w:family w:val="swiss"/>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Verdana">
    <w:panose1 w:val="020B0604030504040204"/>
    <w:charset w:val="BA"/>
    <w:family w:val="swiss"/>
    <w:pitch w:val="variable"/>
    <w:sig w:usb0="A00006FF" w:usb1="4000205B" w:usb2="00000010" w:usb3="00000000" w:csb0="0000019F" w:csb1="00000000"/>
  </w:font>
  <w:font w:name="Segoe UI Light">
    <w:panose1 w:val="020B0502040204020203"/>
    <w:charset w:val="BA"/>
    <w:family w:val="swiss"/>
    <w:pitch w:val="variable"/>
    <w:sig w:usb0="E4002EFF" w:usb1="C000E47F" w:usb2="00000009" w:usb3="00000000" w:csb0="0000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Pro Cond Light">
    <w:charset w:val="00"/>
    <w:family w:val="swiss"/>
    <w:pitch w:val="variable"/>
    <w:sig w:usb0="80000287" w:usb1="0000004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Arial Nova Cond">
    <w:charset w:val="00"/>
    <w:family w:val="swiss"/>
    <w:pitch w:val="variable"/>
    <w:sig w:usb0="0000028F" w:usb1="00000002"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Microsoft GothicNeo Light">
    <w:charset w:val="81"/>
    <w:family w:val="swiss"/>
    <w:pitch w:val="variable"/>
    <w:sig w:usb0="800002BF" w:usb1="29D7A47B" w:usb2="00000010" w:usb3="00000000" w:csb0="0029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5F29" w14:textId="77777777" w:rsidR="004479C8" w:rsidRDefault="004479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5C80" w14:textId="1B5483E1" w:rsidR="00B83D7D" w:rsidRDefault="00D17247">
    <w:pPr>
      <w:pStyle w:val="Footer"/>
      <w:jc w:val="right"/>
    </w:pPr>
    <w:sdt>
      <w:sdtPr>
        <w:id w:val="1332638435"/>
        <w:docPartObj>
          <w:docPartGallery w:val="Page Numbers (Bottom of Page)"/>
          <w:docPartUnique/>
        </w:docPartObj>
      </w:sdtPr>
      <w:sdtEndPr/>
      <w:sdtContent>
        <w:r w:rsidR="00C77EEC">
          <w:fldChar w:fldCharType="begin"/>
        </w:r>
        <w:r w:rsidR="00C77EEC">
          <w:instrText xml:space="preserve"> PAGE   \* MERGEFORMAT </w:instrText>
        </w:r>
        <w:r w:rsidR="00C77EEC">
          <w:fldChar w:fldCharType="separate"/>
        </w:r>
        <w:r w:rsidR="00C77EEC">
          <w:t>2</w:t>
        </w:r>
        <w:r w:rsidR="00C77EEC">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E9FE" w14:textId="6716AA38" w:rsidR="00B83D7D" w:rsidRPr="00D829F0" w:rsidRDefault="00B83D7D">
    <w:pPr>
      <w:pStyle w:val="Footer"/>
      <w:jc w:val="right"/>
      <w:rPr>
        <w:rFonts w:ascii="Source Sans Pro" w:hAnsi="Source Sans Pro"/>
      </w:rPr>
    </w:pPr>
  </w:p>
  <w:p w14:paraId="64AE075A" w14:textId="77777777" w:rsidR="00B83D7D" w:rsidRPr="00D829F0" w:rsidRDefault="00B83D7D">
    <w:pPr>
      <w:pStyle w:val="Footer"/>
      <w:rPr>
        <w:rFonts w:ascii="Source Sans Pro" w:hAnsi="Source Sans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49F6C" w14:textId="77777777" w:rsidR="00D17247" w:rsidRDefault="00D17247" w:rsidP="00C20CFD">
      <w:pPr>
        <w:spacing w:after="0"/>
      </w:pPr>
      <w:r>
        <w:separator/>
      </w:r>
    </w:p>
  </w:footnote>
  <w:footnote w:type="continuationSeparator" w:id="0">
    <w:p w14:paraId="46013581" w14:textId="77777777" w:rsidR="00D17247" w:rsidRDefault="00D17247" w:rsidP="00826C45">
      <w:pPr>
        <w:spacing w:after="0"/>
      </w:pPr>
      <w:r>
        <w:continuationSeparator/>
      </w:r>
    </w:p>
    <w:p w14:paraId="376E685C" w14:textId="77777777" w:rsidR="00D17247" w:rsidRDefault="00D17247"/>
  </w:footnote>
  <w:footnote w:type="continuationNotice" w:id="1">
    <w:p w14:paraId="08599BEC" w14:textId="77777777" w:rsidR="00D17247" w:rsidRDefault="00D17247">
      <w:pPr>
        <w:spacing w:after="0"/>
      </w:pPr>
    </w:p>
  </w:footnote>
  <w:footnote w:id="2">
    <w:p w14:paraId="331B745E" w14:textId="32D86F6F" w:rsidR="00B83D7D" w:rsidRPr="00D829F0" w:rsidRDefault="00B83D7D" w:rsidP="00A607A6">
      <w:pPr>
        <w:pStyle w:val="FootnoteText"/>
        <w:rPr>
          <w:rFonts w:ascii="Source Sans Pro" w:hAnsi="Source Sans Pro"/>
          <w:sz w:val="16"/>
          <w:szCs w:val="16"/>
        </w:rPr>
      </w:pPr>
      <w:r w:rsidRPr="00D829F0">
        <w:rPr>
          <w:rStyle w:val="FootnoteReference"/>
          <w:rFonts w:ascii="Source Sans Pro" w:hAnsi="Source Sans Pro"/>
          <w:sz w:val="16"/>
          <w:szCs w:val="16"/>
        </w:rPr>
        <w:footnoteRef/>
      </w:r>
      <w:r w:rsidRPr="00D829F0">
        <w:rPr>
          <w:rFonts w:ascii="Source Sans Pro" w:hAnsi="Source Sans Pro"/>
          <w:sz w:val="16"/>
          <w:szCs w:val="16"/>
        </w:rPr>
        <w:t xml:space="preserve"> CSP </w:t>
      </w:r>
      <w:r w:rsidRPr="00D829F0">
        <w:rPr>
          <w:rFonts w:ascii="Source Sans Pro" w:hAnsi="Source Sans Pro"/>
          <w:sz w:val="16"/>
          <w:szCs w:val="16"/>
          <w:lang w:val="lv-LV"/>
        </w:rPr>
        <w:t>definīcija</w:t>
      </w:r>
      <w:r w:rsidRPr="00D829F0">
        <w:rPr>
          <w:rFonts w:ascii="Source Sans Pro" w:hAnsi="Source Sans Pro"/>
          <w:sz w:val="16"/>
          <w:szCs w:val="16"/>
        </w:rPr>
        <w:t xml:space="preserve">: </w:t>
      </w:r>
      <w:hyperlink r:id="rId1" w:history="1">
        <w:r w:rsidRPr="00D829F0">
          <w:rPr>
            <w:rStyle w:val="Hyperlink"/>
            <w:rFonts w:ascii="Source Sans Pro" w:hAnsi="Source Sans Pro"/>
            <w:sz w:val="16"/>
            <w:szCs w:val="16"/>
          </w:rPr>
          <w:t>https://stat.gov.lv/lv/metadati/2878-aiznemtas-un-brivas-darbvietas</w:t>
        </w:r>
      </w:hyperlink>
      <w:r w:rsidRPr="00D829F0">
        <w:rPr>
          <w:rFonts w:ascii="Source Sans Pro" w:hAnsi="Source Sans Pro"/>
          <w:sz w:val="16"/>
          <w:szCs w:val="16"/>
        </w:rPr>
        <w:t xml:space="preserve"> </w:t>
      </w:r>
    </w:p>
  </w:footnote>
  <w:footnote w:id="3">
    <w:p w14:paraId="316E916F" w14:textId="2C9FE5A8" w:rsidR="00B83D7D" w:rsidRPr="00D829F0" w:rsidRDefault="00B83D7D">
      <w:pPr>
        <w:pStyle w:val="FootnoteText"/>
        <w:rPr>
          <w:rFonts w:ascii="Source Sans Pro" w:hAnsi="Source Sans Pro"/>
          <w:sz w:val="16"/>
          <w:szCs w:val="16"/>
          <w:lang w:val="lv-LV"/>
        </w:rPr>
      </w:pPr>
      <w:r w:rsidRPr="00D829F0">
        <w:rPr>
          <w:rStyle w:val="FootnoteReference"/>
          <w:rFonts w:ascii="Source Sans Pro" w:hAnsi="Source Sans Pro"/>
          <w:sz w:val="16"/>
          <w:szCs w:val="16"/>
        </w:rPr>
        <w:footnoteRef/>
      </w:r>
      <w:r w:rsidRPr="00D829F0">
        <w:rPr>
          <w:rFonts w:ascii="Source Sans Pro" w:hAnsi="Source Sans Pro"/>
          <w:sz w:val="16"/>
          <w:szCs w:val="16"/>
          <w:lang w:val="lv-LV"/>
        </w:rPr>
        <w:t xml:space="preserve"> CSP apsekojums “</w:t>
      </w:r>
      <w:hyperlink r:id="rId2" w:tgtFrame="_blank" w:history="1">
        <w:r w:rsidRPr="00D829F0">
          <w:rPr>
            <w:rFonts w:ascii="Source Sans Pro" w:hAnsi="Source Sans Pro"/>
            <w:sz w:val="16"/>
            <w:szCs w:val="16"/>
            <w:lang w:val="lv-LV"/>
          </w:rPr>
          <w:t>Arodizglītība uzņēmumos” - 2020.gada apsekojuma dati</w:t>
        </w:r>
      </w:hyperlink>
    </w:p>
  </w:footnote>
  <w:footnote w:id="4">
    <w:p w14:paraId="6F16969F" w14:textId="77777777" w:rsidR="00AA19C1" w:rsidRPr="00D829F0" w:rsidRDefault="00AA19C1" w:rsidP="00AA19C1">
      <w:pPr>
        <w:pStyle w:val="FootnoteText"/>
        <w:rPr>
          <w:rFonts w:ascii="Source Sans Pro" w:hAnsi="Source Sans Pro" w:cs="Calibri Light"/>
          <w:color w:val="0000FF" w:themeColor="hyperlink"/>
          <w:sz w:val="16"/>
          <w:szCs w:val="16"/>
          <w:u w:val="single"/>
          <w:lang w:val="lv-LV"/>
        </w:rPr>
      </w:pPr>
      <w:r w:rsidRPr="00D829F0">
        <w:rPr>
          <w:rStyle w:val="FootnoteReference"/>
          <w:rFonts w:ascii="Source Sans Pro" w:hAnsi="Source Sans Pro" w:cs="Calibri Light"/>
          <w:sz w:val="16"/>
          <w:szCs w:val="16"/>
        </w:rPr>
        <w:footnoteRef/>
      </w:r>
      <w:r w:rsidRPr="00D829F0">
        <w:rPr>
          <w:rStyle w:val="FootnoteReference"/>
          <w:rFonts w:ascii="Source Sans Pro" w:hAnsi="Source Sans Pro"/>
          <w:sz w:val="16"/>
          <w:szCs w:val="16"/>
          <w:lang w:val="lv-LV"/>
        </w:rPr>
        <w:t xml:space="preserve"> </w:t>
      </w:r>
      <w:r w:rsidRPr="00D829F0">
        <w:rPr>
          <w:rFonts w:ascii="Source Sans Pro" w:hAnsi="Source Sans Pro"/>
          <w:sz w:val="16"/>
          <w:szCs w:val="16"/>
          <w:lang w:val="lv-LV"/>
        </w:rPr>
        <w:t xml:space="preserve">  </w:t>
      </w:r>
      <w:r w:rsidRPr="00D829F0">
        <w:rPr>
          <w:rStyle w:val="Hyperlink"/>
          <w:rFonts w:ascii="Source Sans Pro" w:hAnsi="Source Sans Pro" w:cs="Calibri Light"/>
          <w:sz w:val="16"/>
          <w:szCs w:val="16"/>
          <w:lang w:val="lv-LV"/>
        </w:rPr>
        <w:t>https://tapportals.mk.gov.lv/legal_acts/3ee763e4-6022-41f5-a3d9-3055fdf261cb</w:t>
      </w:r>
    </w:p>
  </w:footnote>
  <w:footnote w:id="5">
    <w:p w14:paraId="10046BEC" w14:textId="77777777" w:rsidR="00AA19C1" w:rsidRPr="00D829F0" w:rsidRDefault="00AA19C1" w:rsidP="00AA19C1">
      <w:pPr>
        <w:pStyle w:val="FootnoteText"/>
        <w:ind w:left="142" w:hanging="142"/>
        <w:rPr>
          <w:rFonts w:ascii="Source Sans Pro" w:hAnsi="Source Sans Pro" w:cs="Calibri Light"/>
          <w:sz w:val="16"/>
          <w:szCs w:val="16"/>
          <w:lang w:val="lv-LV"/>
        </w:rPr>
      </w:pPr>
      <w:r w:rsidRPr="00D829F0">
        <w:rPr>
          <w:rStyle w:val="FootnoteReference"/>
          <w:rFonts w:ascii="Source Sans Pro" w:hAnsi="Source Sans Pro" w:cs="Calibri Light"/>
          <w:sz w:val="16"/>
          <w:szCs w:val="16"/>
        </w:rPr>
        <w:footnoteRef/>
      </w:r>
      <w:r w:rsidRPr="00D829F0">
        <w:rPr>
          <w:rFonts w:ascii="Source Sans Pro" w:hAnsi="Source Sans Pro" w:cs="Calibri Light"/>
          <w:sz w:val="16"/>
          <w:szCs w:val="16"/>
          <w:lang w:val="lv-LV"/>
        </w:rPr>
        <w:tab/>
      </w:r>
      <w:hyperlink r:id="rId3" w:history="1">
        <w:r w:rsidRPr="00D829F0">
          <w:rPr>
            <w:rStyle w:val="Hyperlink"/>
            <w:rFonts w:ascii="Source Sans Pro" w:hAnsi="Source Sans Pro" w:cs="Calibri Light"/>
            <w:sz w:val="16"/>
            <w:szCs w:val="16"/>
            <w:lang w:val="lv-LV"/>
          </w:rPr>
          <w:t>https://pkc.gov.lv/lv/valsts-attistibas-planosana/latvijas-ilgtspejigas-attistibas-strategija</w:t>
        </w:r>
      </w:hyperlink>
    </w:p>
  </w:footnote>
  <w:footnote w:id="6">
    <w:p w14:paraId="4D230829" w14:textId="77777777" w:rsidR="00AA19C1" w:rsidRPr="00D829F0" w:rsidRDefault="00AA19C1" w:rsidP="00AA19C1">
      <w:pPr>
        <w:pStyle w:val="FootnoteText"/>
        <w:ind w:left="142" w:hanging="142"/>
        <w:rPr>
          <w:rFonts w:ascii="Source Sans Pro" w:hAnsi="Source Sans Pro" w:cs="Calibri Light"/>
          <w:sz w:val="16"/>
          <w:szCs w:val="16"/>
          <w:lang w:val="lv-LV"/>
        </w:rPr>
      </w:pPr>
      <w:r w:rsidRPr="00D829F0">
        <w:rPr>
          <w:rStyle w:val="FootnoteReference"/>
          <w:rFonts w:ascii="Source Sans Pro" w:hAnsi="Source Sans Pro" w:cs="Calibri Light"/>
          <w:sz w:val="16"/>
          <w:szCs w:val="16"/>
        </w:rPr>
        <w:footnoteRef/>
      </w:r>
      <w:r w:rsidRPr="00D829F0">
        <w:rPr>
          <w:rFonts w:ascii="Source Sans Pro" w:hAnsi="Source Sans Pro" w:cs="Calibri Light"/>
          <w:sz w:val="16"/>
          <w:szCs w:val="16"/>
          <w:lang w:val="lv-LV"/>
        </w:rPr>
        <w:t xml:space="preserve"> </w:t>
      </w:r>
      <w:r w:rsidRPr="00D829F0">
        <w:rPr>
          <w:rFonts w:ascii="Source Sans Pro" w:hAnsi="Source Sans Pro" w:cs="Calibri Light"/>
          <w:sz w:val="16"/>
          <w:szCs w:val="16"/>
          <w:lang w:val="lv-LV"/>
        </w:rPr>
        <w:tab/>
      </w:r>
      <w:hyperlink r:id="rId4" w:history="1">
        <w:r w:rsidRPr="00D829F0">
          <w:rPr>
            <w:rStyle w:val="Hyperlink"/>
            <w:rFonts w:ascii="Source Sans Pro" w:hAnsi="Source Sans Pro" w:cs="Calibri Light"/>
            <w:sz w:val="16"/>
            <w:szCs w:val="16"/>
            <w:lang w:val="lv-LV"/>
          </w:rPr>
          <w:t>https://pkc.gov.lv/lv/nap2027</w:t>
        </w:r>
      </w:hyperlink>
    </w:p>
  </w:footnote>
  <w:footnote w:id="7">
    <w:p w14:paraId="131DD2F6" w14:textId="77777777" w:rsidR="000B604E" w:rsidRPr="00D829F0" w:rsidRDefault="000B604E" w:rsidP="000B604E">
      <w:pPr>
        <w:pStyle w:val="FootnoteText"/>
        <w:rPr>
          <w:rFonts w:ascii="Source Sans Pro" w:hAnsi="Source Sans Pro" w:cs="Calibri Light"/>
          <w:sz w:val="16"/>
          <w:szCs w:val="16"/>
          <w:lang w:val="lv-LV"/>
        </w:rPr>
      </w:pPr>
      <w:r w:rsidRPr="00D829F0">
        <w:rPr>
          <w:rStyle w:val="FootnoteReference"/>
          <w:rFonts w:ascii="Source Sans Pro" w:hAnsi="Source Sans Pro" w:cs="Calibri Light"/>
          <w:sz w:val="16"/>
          <w:szCs w:val="16"/>
        </w:rPr>
        <w:footnoteRef/>
      </w:r>
      <w:r w:rsidRPr="00D829F0">
        <w:rPr>
          <w:rFonts w:ascii="Source Sans Pro" w:hAnsi="Source Sans Pro" w:cs="Calibri Light"/>
          <w:sz w:val="16"/>
          <w:szCs w:val="16"/>
          <w:lang w:val="lv-LV"/>
        </w:rPr>
        <w:t xml:space="preserve">   </w:t>
      </w:r>
      <w:hyperlink r:id="rId5" w:history="1">
        <w:r w:rsidRPr="00D829F0">
          <w:rPr>
            <w:rStyle w:val="Hyperlink"/>
            <w:rFonts w:ascii="Source Sans Pro" w:hAnsi="Source Sans Pro" w:cs="Calibri Light"/>
            <w:sz w:val="16"/>
            <w:szCs w:val="16"/>
            <w:lang w:val="lv-LV"/>
          </w:rPr>
          <w:t>https://www.em.gov.lv/lv/industriala-politika</w:t>
        </w:r>
      </w:hyperlink>
      <w:r w:rsidRPr="00D829F0">
        <w:rPr>
          <w:rFonts w:ascii="Source Sans Pro" w:hAnsi="Source Sans Pro" w:cs="Calibri Light"/>
          <w:sz w:val="16"/>
          <w:szCs w:val="16"/>
          <w:lang w:val="lv-LV"/>
        </w:rPr>
        <w:t xml:space="preserve"> </w:t>
      </w:r>
    </w:p>
  </w:footnote>
  <w:footnote w:id="8">
    <w:p w14:paraId="5635C16D" w14:textId="77777777" w:rsidR="003356F9" w:rsidRPr="00D829F0" w:rsidRDefault="003356F9" w:rsidP="003356F9">
      <w:pPr>
        <w:pStyle w:val="FootnoteText"/>
        <w:rPr>
          <w:rFonts w:ascii="Source Sans Pro" w:hAnsi="Source Sans Pro"/>
          <w:sz w:val="16"/>
          <w:szCs w:val="16"/>
          <w:lang w:val="lv-LV"/>
        </w:rPr>
      </w:pPr>
      <w:r w:rsidRPr="00D829F0">
        <w:rPr>
          <w:rStyle w:val="FootnoteReference"/>
          <w:rFonts w:ascii="Source Sans Pro" w:hAnsi="Source Sans Pro"/>
          <w:sz w:val="16"/>
          <w:szCs w:val="16"/>
        </w:rPr>
        <w:footnoteRef/>
      </w:r>
      <w:r w:rsidRPr="00D829F0">
        <w:rPr>
          <w:rFonts w:ascii="Source Sans Pro" w:hAnsi="Source Sans Pro"/>
          <w:sz w:val="16"/>
          <w:szCs w:val="16"/>
          <w:lang w:val="lv-LV"/>
        </w:rPr>
        <w:t xml:space="preserve"> </w:t>
      </w:r>
      <w:hyperlink r:id="rId6" w:history="1">
        <w:r w:rsidRPr="00D829F0">
          <w:rPr>
            <w:rStyle w:val="Hyperlink"/>
            <w:rFonts w:ascii="Source Sans Pro" w:hAnsi="Source Sans Pro"/>
            <w:sz w:val="16"/>
            <w:szCs w:val="16"/>
            <w:lang w:val="lv-LV"/>
          </w:rPr>
          <w:t>https://www.researchgate.net/publication/273515631_The_Grand_Challenges_in_Smart_Materials_Researc</w:t>
        </w:r>
      </w:hyperlink>
    </w:p>
  </w:footnote>
  <w:footnote w:id="9">
    <w:p w14:paraId="674A5713" w14:textId="77777777" w:rsidR="003356F9" w:rsidRPr="00D829F0" w:rsidRDefault="003356F9" w:rsidP="003356F9">
      <w:pPr>
        <w:pStyle w:val="FootnoteText"/>
        <w:ind w:left="142" w:hanging="142"/>
        <w:rPr>
          <w:rFonts w:ascii="Source Sans Pro" w:hAnsi="Source Sans Pro" w:cs="Calibri Light"/>
          <w:sz w:val="16"/>
          <w:szCs w:val="16"/>
          <w:lang w:val="lv-LV"/>
        </w:rPr>
      </w:pPr>
      <w:r w:rsidRPr="00D829F0">
        <w:rPr>
          <w:rStyle w:val="FootnoteReference"/>
          <w:rFonts w:ascii="Source Sans Pro" w:hAnsi="Source Sans Pro" w:cs="Calibri Light"/>
          <w:sz w:val="16"/>
          <w:szCs w:val="16"/>
        </w:rPr>
        <w:footnoteRef/>
      </w:r>
      <w:r w:rsidRPr="00D829F0">
        <w:rPr>
          <w:rFonts w:ascii="Source Sans Pro" w:hAnsi="Source Sans Pro" w:cs="Calibri Light"/>
          <w:sz w:val="16"/>
          <w:szCs w:val="16"/>
          <w:lang w:val="lv-LV"/>
        </w:rPr>
        <w:tab/>
      </w:r>
      <w:hyperlink r:id="rId7" w:history="1">
        <w:r w:rsidRPr="00D829F0">
          <w:rPr>
            <w:rStyle w:val="Hyperlink"/>
            <w:rFonts w:ascii="Source Sans Pro" w:hAnsi="Source Sans Pro" w:cs="Calibri Light"/>
            <w:sz w:val="16"/>
            <w:szCs w:val="16"/>
            <w:lang w:val="lv-LV"/>
          </w:rPr>
          <w:t>https://ec.europa.eu/info/strategy/priorities-2019-2024/european-green-deal_lv</w:t>
        </w:r>
      </w:hyperlink>
      <w:r w:rsidRPr="00D829F0">
        <w:rPr>
          <w:rFonts w:ascii="Source Sans Pro" w:hAnsi="Source Sans Pro" w:cs="Calibri Light"/>
          <w:sz w:val="16"/>
          <w:szCs w:val="16"/>
          <w:lang w:val="lv-LV"/>
        </w:rPr>
        <w:t xml:space="preserve"> </w:t>
      </w:r>
    </w:p>
  </w:footnote>
  <w:footnote w:id="10">
    <w:p w14:paraId="5F18E2BE" w14:textId="77777777" w:rsidR="003F527D" w:rsidRPr="00D829F0" w:rsidRDefault="003F527D" w:rsidP="003F527D">
      <w:pPr>
        <w:pStyle w:val="FootnoteText"/>
        <w:ind w:left="142" w:hanging="142"/>
        <w:rPr>
          <w:rFonts w:ascii="Source Sans Pro" w:hAnsi="Source Sans Pro" w:cs="Calibri Light"/>
          <w:sz w:val="16"/>
          <w:szCs w:val="16"/>
        </w:rPr>
      </w:pPr>
      <w:r w:rsidRPr="00D829F0">
        <w:rPr>
          <w:rStyle w:val="FootnoteReference"/>
          <w:rFonts w:ascii="Source Sans Pro" w:hAnsi="Source Sans Pro" w:cs="Calibri Light"/>
          <w:sz w:val="16"/>
          <w:szCs w:val="16"/>
        </w:rPr>
        <w:footnoteRef/>
      </w:r>
      <w:r w:rsidRPr="00D829F0">
        <w:rPr>
          <w:rFonts w:ascii="Source Sans Pro" w:hAnsi="Source Sans Pro" w:cs="Calibri Light"/>
          <w:sz w:val="16"/>
          <w:szCs w:val="16"/>
          <w:lang w:val="lv-LV"/>
        </w:rPr>
        <w:t xml:space="preserve"> </w:t>
      </w:r>
      <w:r w:rsidRPr="00D829F0">
        <w:rPr>
          <w:rFonts w:ascii="Source Sans Pro" w:hAnsi="Source Sans Pro" w:cs="Calibri Light"/>
          <w:sz w:val="16"/>
          <w:szCs w:val="16"/>
          <w:lang w:val="lv-LV"/>
        </w:rPr>
        <w:tab/>
        <w:t xml:space="preserve">EK paziņojums. Eiropas zaļais kurss. </w:t>
      </w:r>
      <w:r w:rsidRPr="00D829F0">
        <w:rPr>
          <w:rFonts w:ascii="Source Sans Pro" w:hAnsi="Source Sans Pro" w:cs="Calibri Light"/>
          <w:sz w:val="16"/>
          <w:szCs w:val="16"/>
        </w:rPr>
        <w:t xml:space="preserve">COM(2019) 640 final. Briselē, 11.12.2019 </w:t>
      </w:r>
      <w:hyperlink r:id="rId8" w:history="1">
        <w:r w:rsidRPr="00D829F0">
          <w:rPr>
            <w:rStyle w:val="Hyperlink"/>
            <w:rFonts w:ascii="Source Sans Pro" w:hAnsi="Source Sans Pro" w:cs="Calibri Light"/>
            <w:sz w:val="16"/>
            <w:szCs w:val="16"/>
          </w:rPr>
          <w:t>https://eur-lex.europa.eu/legal-content/LV/TXT/?qid=1588580774040&amp;uri=CELEX:52019DC0640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B3D2" w14:textId="77777777" w:rsidR="004479C8" w:rsidRDefault="00447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189B" w14:textId="77777777" w:rsidR="004479C8" w:rsidRDefault="004479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65DCAA2" w:rsidRPr="00D829F0" w14:paraId="132BCF58" w14:textId="77777777" w:rsidTr="565DCAA2">
      <w:trPr>
        <w:trHeight w:val="300"/>
      </w:trPr>
      <w:tc>
        <w:tcPr>
          <w:tcW w:w="3020" w:type="dxa"/>
        </w:tcPr>
        <w:p w14:paraId="24811DAE" w14:textId="48C7B091" w:rsidR="565DCAA2" w:rsidRDefault="565DCAA2" w:rsidP="565DCAA2">
          <w:pPr>
            <w:pStyle w:val="Header"/>
            <w:ind w:left="-115"/>
          </w:pPr>
        </w:p>
      </w:tc>
      <w:tc>
        <w:tcPr>
          <w:tcW w:w="3020" w:type="dxa"/>
        </w:tcPr>
        <w:p w14:paraId="67DDF4C9" w14:textId="083F7029" w:rsidR="565DCAA2" w:rsidRDefault="565DCAA2" w:rsidP="565DCAA2">
          <w:pPr>
            <w:pStyle w:val="Header"/>
            <w:jc w:val="center"/>
          </w:pPr>
        </w:p>
      </w:tc>
      <w:tc>
        <w:tcPr>
          <w:tcW w:w="3020" w:type="dxa"/>
        </w:tcPr>
        <w:p w14:paraId="23E20E8E" w14:textId="7EFB12B0" w:rsidR="565DCAA2" w:rsidRPr="00D829F0" w:rsidRDefault="565DCAA2" w:rsidP="565DCAA2">
          <w:pPr>
            <w:pStyle w:val="Header"/>
            <w:ind w:right="-115"/>
            <w:jc w:val="right"/>
            <w:rPr>
              <w:rFonts w:ascii="Source Sans Pro" w:hAnsi="Source Sans Pro"/>
            </w:rPr>
          </w:pPr>
        </w:p>
      </w:tc>
    </w:tr>
  </w:tbl>
  <w:p w14:paraId="7DF619B8" w14:textId="1D3FB490" w:rsidR="00C95D9E" w:rsidRPr="00D829F0" w:rsidRDefault="00C95D9E">
    <w:pPr>
      <w:pStyle w:val="Header"/>
      <w:rPr>
        <w:rFonts w:ascii="Source Sans Pro" w:hAnsi="Source Sans 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FF3"/>
    <w:multiLevelType w:val="multilevel"/>
    <w:tmpl w:val="D47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C3EAD"/>
    <w:multiLevelType w:val="multilevel"/>
    <w:tmpl w:val="649E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091096"/>
    <w:multiLevelType w:val="multilevel"/>
    <w:tmpl w:val="EB66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1360C"/>
    <w:multiLevelType w:val="hybridMultilevel"/>
    <w:tmpl w:val="3432C896"/>
    <w:lvl w:ilvl="0" w:tplc="CDEEDB60">
      <w:start w:val="1"/>
      <w:numFmt w:val="bullet"/>
      <w:lvlRestart w:val="0"/>
      <w:lvlText w:val=""/>
      <w:lvlJc w:val="left"/>
      <w:pPr>
        <w:ind w:left="0" w:firstLine="705"/>
      </w:pPr>
      <w:rPr>
        <w:u w:val="none"/>
      </w:rPr>
    </w:lvl>
    <w:lvl w:ilvl="1" w:tplc="A240186E">
      <w:start w:val="1"/>
      <w:numFmt w:val="bullet"/>
      <w:lvlRestart w:val="0"/>
      <w:lvlText w:val=""/>
      <w:lvlJc w:val="left"/>
      <w:pPr>
        <w:ind w:left="0" w:firstLine="705"/>
      </w:pPr>
      <w:rPr>
        <w:u w:val="none"/>
      </w:rPr>
    </w:lvl>
    <w:lvl w:ilvl="2" w:tplc="AE70A946">
      <w:start w:val="1"/>
      <w:numFmt w:val="bullet"/>
      <w:lvlRestart w:val="1"/>
      <w:lvlText w:val=""/>
      <w:lvlJc w:val="left"/>
      <w:pPr>
        <w:ind w:left="0" w:firstLine="705"/>
      </w:pPr>
      <w:rPr>
        <w:u w:val="none"/>
      </w:rPr>
    </w:lvl>
    <w:lvl w:ilvl="3" w:tplc="751411B8">
      <w:numFmt w:val="decimal"/>
      <w:lvlText w:val=""/>
      <w:lvlJc w:val="left"/>
    </w:lvl>
    <w:lvl w:ilvl="4" w:tplc="0C5EF86C">
      <w:numFmt w:val="decimal"/>
      <w:lvlText w:val=""/>
      <w:lvlJc w:val="left"/>
    </w:lvl>
    <w:lvl w:ilvl="5" w:tplc="098EC61A">
      <w:numFmt w:val="decimal"/>
      <w:lvlText w:val=""/>
      <w:lvlJc w:val="left"/>
    </w:lvl>
    <w:lvl w:ilvl="6" w:tplc="8F924A6C">
      <w:numFmt w:val="decimal"/>
      <w:lvlText w:val=""/>
      <w:lvlJc w:val="left"/>
    </w:lvl>
    <w:lvl w:ilvl="7" w:tplc="87F07EE0">
      <w:numFmt w:val="decimal"/>
      <w:lvlText w:val=""/>
      <w:lvlJc w:val="left"/>
    </w:lvl>
    <w:lvl w:ilvl="8" w:tplc="BEEE3D74">
      <w:numFmt w:val="decimal"/>
      <w:lvlText w:val=""/>
      <w:lvlJc w:val="left"/>
    </w:lvl>
  </w:abstractNum>
  <w:abstractNum w:abstractNumId="4" w15:restartNumberingAfterBreak="0">
    <w:nsid w:val="08A1286A"/>
    <w:multiLevelType w:val="multilevel"/>
    <w:tmpl w:val="3DB2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BF4012"/>
    <w:multiLevelType w:val="multilevel"/>
    <w:tmpl w:val="60EA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753C95"/>
    <w:multiLevelType w:val="multilevel"/>
    <w:tmpl w:val="C044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E457CE"/>
    <w:multiLevelType w:val="multilevel"/>
    <w:tmpl w:val="65D0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773453"/>
    <w:multiLevelType w:val="multilevel"/>
    <w:tmpl w:val="30B855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1B17386"/>
    <w:multiLevelType w:val="multilevel"/>
    <w:tmpl w:val="3A5E7F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29F23FC"/>
    <w:multiLevelType w:val="multilevel"/>
    <w:tmpl w:val="5D0E71A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18440BF9"/>
    <w:multiLevelType w:val="multilevel"/>
    <w:tmpl w:val="E29A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53646D"/>
    <w:multiLevelType w:val="multilevel"/>
    <w:tmpl w:val="EFCA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527CEF"/>
    <w:multiLevelType w:val="multilevel"/>
    <w:tmpl w:val="84E4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BE5CE4"/>
    <w:multiLevelType w:val="hybridMultilevel"/>
    <w:tmpl w:val="FFFFFFFF"/>
    <w:lvl w:ilvl="0" w:tplc="7D4A10BE">
      <w:start w:val="1"/>
      <w:numFmt w:val="bullet"/>
      <w:lvlText w:val=""/>
      <w:lvlJc w:val="left"/>
      <w:pPr>
        <w:ind w:left="720" w:hanging="360"/>
      </w:pPr>
      <w:rPr>
        <w:rFonts w:ascii="Wingdings" w:hAnsi="Wingdings" w:hint="default"/>
      </w:rPr>
    </w:lvl>
    <w:lvl w:ilvl="1" w:tplc="9BDE42DA">
      <w:start w:val="1"/>
      <w:numFmt w:val="bullet"/>
      <w:lvlText w:val="o"/>
      <w:lvlJc w:val="left"/>
      <w:pPr>
        <w:ind w:left="1440" w:hanging="360"/>
      </w:pPr>
      <w:rPr>
        <w:rFonts w:ascii="Courier New" w:hAnsi="Courier New" w:hint="default"/>
      </w:rPr>
    </w:lvl>
    <w:lvl w:ilvl="2" w:tplc="2DE86E50">
      <w:start w:val="1"/>
      <w:numFmt w:val="bullet"/>
      <w:lvlText w:val=""/>
      <w:lvlJc w:val="left"/>
      <w:pPr>
        <w:ind w:left="2160" w:hanging="360"/>
      </w:pPr>
      <w:rPr>
        <w:rFonts w:ascii="Wingdings" w:hAnsi="Wingdings" w:hint="default"/>
      </w:rPr>
    </w:lvl>
    <w:lvl w:ilvl="3" w:tplc="85CC67B2">
      <w:start w:val="1"/>
      <w:numFmt w:val="bullet"/>
      <w:lvlText w:val=""/>
      <w:lvlJc w:val="left"/>
      <w:pPr>
        <w:ind w:left="2880" w:hanging="360"/>
      </w:pPr>
      <w:rPr>
        <w:rFonts w:ascii="Symbol" w:hAnsi="Symbol" w:hint="default"/>
      </w:rPr>
    </w:lvl>
    <w:lvl w:ilvl="4" w:tplc="B50078DE">
      <w:start w:val="1"/>
      <w:numFmt w:val="bullet"/>
      <w:lvlText w:val="o"/>
      <w:lvlJc w:val="left"/>
      <w:pPr>
        <w:ind w:left="3600" w:hanging="360"/>
      </w:pPr>
      <w:rPr>
        <w:rFonts w:ascii="Courier New" w:hAnsi="Courier New" w:hint="default"/>
      </w:rPr>
    </w:lvl>
    <w:lvl w:ilvl="5" w:tplc="4D8EC3FE">
      <w:start w:val="1"/>
      <w:numFmt w:val="bullet"/>
      <w:lvlText w:val=""/>
      <w:lvlJc w:val="left"/>
      <w:pPr>
        <w:ind w:left="4320" w:hanging="360"/>
      </w:pPr>
      <w:rPr>
        <w:rFonts w:ascii="Wingdings" w:hAnsi="Wingdings" w:hint="default"/>
      </w:rPr>
    </w:lvl>
    <w:lvl w:ilvl="6" w:tplc="8B3CE620">
      <w:start w:val="1"/>
      <w:numFmt w:val="bullet"/>
      <w:lvlText w:val=""/>
      <w:lvlJc w:val="left"/>
      <w:pPr>
        <w:ind w:left="5040" w:hanging="360"/>
      </w:pPr>
      <w:rPr>
        <w:rFonts w:ascii="Symbol" w:hAnsi="Symbol" w:hint="default"/>
      </w:rPr>
    </w:lvl>
    <w:lvl w:ilvl="7" w:tplc="FA4CFAB6">
      <w:start w:val="1"/>
      <w:numFmt w:val="bullet"/>
      <w:lvlText w:val="o"/>
      <w:lvlJc w:val="left"/>
      <w:pPr>
        <w:ind w:left="5760" w:hanging="360"/>
      </w:pPr>
      <w:rPr>
        <w:rFonts w:ascii="Courier New" w:hAnsi="Courier New" w:hint="default"/>
      </w:rPr>
    </w:lvl>
    <w:lvl w:ilvl="8" w:tplc="D21E7432">
      <w:start w:val="1"/>
      <w:numFmt w:val="bullet"/>
      <w:lvlText w:val=""/>
      <w:lvlJc w:val="left"/>
      <w:pPr>
        <w:ind w:left="6480" w:hanging="360"/>
      </w:pPr>
      <w:rPr>
        <w:rFonts w:ascii="Wingdings" w:hAnsi="Wingdings" w:hint="default"/>
      </w:rPr>
    </w:lvl>
  </w:abstractNum>
  <w:abstractNum w:abstractNumId="15" w15:restartNumberingAfterBreak="0">
    <w:nsid w:val="24C95F1D"/>
    <w:multiLevelType w:val="multilevel"/>
    <w:tmpl w:val="29E0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BE1B55"/>
    <w:multiLevelType w:val="multilevel"/>
    <w:tmpl w:val="6796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E02B53"/>
    <w:multiLevelType w:val="multilevel"/>
    <w:tmpl w:val="ABAC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1D5FE2"/>
    <w:multiLevelType w:val="multilevel"/>
    <w:tmpl w:val="752A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823AD2"/>
    <w:multiLevelType w:val="multilevel"/>
    <w:tmpl w:val="8802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061BF1"/>
    <w:multiLevelType w:val="multilevel"/>
    <w:tmpl w:val="48A0A1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3AD2DBC"/>
    <w:multiLevelType w:val="multilevel"/>
    <w:tmpl w:val="8B4E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AF6B54"/>
    <w:multiLevelType w:val="multilevel"/>
    <w:tmpl w:val="A5F6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3269F7"/>
    <w:multiLevelType w:val="multilevel"/>
    <w:tmpl w:val="03E6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8E1182"/>
    <w:multiLevelType w:val="multilevel"/>
    <w:tmpl w:val="A4A2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8E0299"/>
    <w:multiLevelType w:val="multilevel"/>
    <w:tmpl w:val="CE50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F362E"/>
    <w:multiLevelType w:val="hybridMultilevel"/>
    <w:tmpl w:val="772AF340"/>
    <w:lvl w:ilvl="0" w:tplc="1D9C310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3A73179D"/>
    <w:multiLevelType w:val="multilevel"/>
    <w:tmpl w:val="38D4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AA5757"/>
    <w:multiLevelType w:val="multilevel"/>
    <w:tmpl w:val="DDA4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E239EB"/>
    <w:multiLevelType w:val="multilevel"/>
    <w:tmpl w:val="422E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F474E3A"/>
    <w:multiLevelType w:val="multilevel"/>
    <w:tmpl w:val="B722346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3FD9399D"/>
    <w:multiLevelType w:val="multilevel"/>
    <w:tmpl w:val="F5BC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2F122E"/>
    <w:multiLevelType w:val="multilevel"/>
    <w:tmpl w:val="25DE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175645D"/>
    <w:multiLevelType w:val="multilevel"/>
    <w:tmpl w:val="FFAA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4C20549"/>
    <w:multiLevelType w:val="hybridMultilevel"/>
    <w:tmpl w:val="CFE87760"/>
    <w:lvl w:ilvl="0" w:tplc="2C0A0684">
      <w:start w:val="1"/>
      <w:numFmt w:val="bullet"/>
      <w:lvlText w:val=""/>
      <w:lvlJc w:val="left"/>
      <w:pPr>
        <w:ind w:left="720" w:hanging="360"/>
      </w:pPr>
      <w:rPr>
        <w:rFonts w:ascii="Symbol" w:hAnsi="Symbol"/>
      </w:rPr>
    </w:lvl>
    <w:lvl w:ilvl="1" w:tplc="6862F12C">
      <w:start w:val="1"/>
      <w:numFmt w:val="bullet"/>
      <w:lvlText w:val=""/>
      <w:lvlJc w:val="left"/>
      <w:pPr>
        <w:ind w:left="720" w:hanging="360"/>
      </w:pPr>
      <w:rPr>
        <w:rFonts w:ascii="Symbol" w:hAnsi="Symbol"/>
      </w:rPr>
    </w:lvl>
    <w:lvl w:ilvl="2" w:tplc="B7DA994E">
      <w:start w:val="1"/>
      <w:numFmt w:val="bullet"/>
      <w:lvlText w:val=""/>
      <w:lvlJc w:val="left"/>
      <w:pPr>
        <w:ind w:left="720" w:hanging="360"/>
      </w:pPr>
      <w:rPr>
        <w:rFonts w:ascii="Symbol" w:hAnsi="Symbol"/>
      </w:rPr>
    </w:lvl>
    <w:lvl w:ilvl="3" w:tplc="E6A61016">
      <w:start w:val="1"/>
      <w:numFmt w:val="bullet"/>
      <w:lvlText w:val=""/>
      <w:lvlJc w:val="left"/>
      <w:pPr>
        <w:ind w:left="720" w:hanging="360"/>
      </w:pPr>
      <w:rPr>
        <w:rFonts w:ascii="Symbol" w:hAnsi="Symbol"/>
      </w:rPr>
    </w:lvl>
    <w:lvl w:ilvl="4" w:tplc="770EBB24">
      <w:start w:val="1"/>
      <w:numFmt w:val="bullet"/>
      <w:lvlText w:val=""/>
      <w:lvlJc w:val="left"/>
      <w:pPr>
        <w:ind w:left="720" w:hanging="360"/>
      </w:pPr>
      <w:rPr>
        <w:rFonts w:ascii="Symbol" w:hAnsi="Symbol"/>
      </w:rPr>
    </w:lvl>
    <w:lvl w:ilvl="5" w:tplc="0338BF20">
      <w:start w:val="1"/>
      <w:numFmt w:val="bullet"/>
      <w:lvlText w:val=""/>
      <w:lvlJc w:val="left"/>
      <w:pPr>
        <w:ind w:left="720" w:hanging="360"/>
      </w:pPr>
      <w:rPr>
        <w:rFonts w:ascii="Symbol" w:hAnsi="Symbol"/>
      </w:rPr>
    </w:lvl>
    <w:lvl w:ilvl="6" w:tplc="AE58DE58">
      <w:start w:val="1"/>
      <w:numFmt w:val="bullet"/>
      <w:lvlText w:val=""/>
      <w:lvlJc w:val="left"/>
      <w:pPr>
        <w:ind w:left="720" w:hanging="360"/>
      </w:pPr>
      <w:rPr>
        <w:rFonts w:ascii="Symbol" w:hAnsi="Symbol"/>
      </w:rPr>
    </w:lvl>
    <w:lvl w:ilvl="7" w:tplc="749E7256">
      <w:start w:val="1"/>
      <w:numFmt w:val="bullet"/>
      <w:lvlText w:val=""/>
      <w:lvlJc w:val="left"/>
      <w:pPr>
        <w:ind w:left="720" w:hanging="360"/>
      </w:pPr>
      <w:rPr>
        <w:rFonts w:ascii="Symbol" w:hAnsi="Symbol"/>
      </w:rPr>
    </w:lvl>
    <w:lvl w:ilvl="8" w:tplc="E83ABDAA">
      <w:start w:val="1"/>
      <w:numFmt w:val="bullet"/>
      <w:lvlText w:val=""/>
      <w:lvlJc w:val="left"/>
      <w:pPr>
        <w:ind w:left="720" w:hanging="360"/>
      </w:pPr>
      <w:rPr>
        <w:rFonts w:ascii="Symbol" w:hAnsi="Symbol"/>
      </w:rPr>
    </w:lvl>
  </w:abstractNum>
  <w:abstractNum w:abstractNumId="35" w15:restartNumberingAfterBreak="0">
    <w:nsid w:val="44FB11AF"/>
    <w:multiLevelType w:val="multilevel"/>
    <w:tmpl w:val="38BE27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55F0246"/>
    <w:multiLevelType w:val="hybridMultilevel"/>
    <w:tmpl w:val="F27AC7C4"/>
    <w:lvl w:ilvl="0" w:tplc="1D9C310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479C7CEF"/>
    <w:multiLevelType w:val="hybridMultilevel"/>
    <w:tmpl w:val="64C43F08"/>
    <w:lvl w:ilvl="0" w:tplc="1D9C310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4C0F204E"/>
    <w:multiLevelType w:val="multilevel"/>
    <w:tmpl w:val="2244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E962264"/>
    <w:multiLevelType w:val="multilevel"/>
    <w:tmpl w:val="1AC4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F0F3EFE"/>
    <w:multiLevelType w:val="hybridMultilevel"/>
    <w:tmpl w:val="5DE0D7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F8C6B46"/>
    <w:multiLevelType w:val="hybridMultilevel"/>
    <w:tmpl w:val="5718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BC0EE3"/>
    <w:multiLevelType w:val="multilevel"/>
    <w:tmpl w:val="BC16518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52392A76"/>
    <w:multiLevelType w:val="hybridMultilevel"/>
    <w:tmpl w:val="7782489E"/>
    <w:lvl w:ilvl="0" w:tplc="3B4C5D7A">
      <w:start w:val="1"/>
      <w:numFmt w:val="bullet"/>
      <w:lvlText w:val=""/>
      <w:lvlJc w:val="left"/>
      <w:pPr>
        <w:ind w:left="720" w:hanging="360"/>
      </w:pPr>
      <w:rPr>
        <w:rFonts w:ascii="Symbol" w:hAnsi="Symbol"/>
      </w:rPr>
    </w:lvl>
    <w:lvl w:ilvl="1" w:tplc="694C2290">
      <w:start w:val="1"/>
      <w:numFmt w:val="bullet"/>
      <w:lvlText w:val=""/>
      <w:lvlJc w:val="left"/>
      <w:pPr>
        <w:ind w:left="720" w:hanging="360"/>
      </w:pPr>
      <w:rPr>
        <w:rFonts w:ascii="Symbol" w:hAnsi="Symbol"/>
      </w:rPr>
    </w:lvl>
    <w:lvl w:ilvl="2" w:tplc="5098541E">
      <w:start w:val="1"/>
      <w:numFmt w:val="bullet"/>
      <w:lvlText w:val=""/>
      <w:lvlJc w:val="left"/>
      <w:pPr>
        <w:ind w:left="720" w:hanging="360"/>
      </w:pPr>
      <w:rPr>
        <w:rFonts w:ascii="Symbol" w:hAnsi="Symbol"/>
      </w:rPr>
    </w:lvl>
    <w:lvl w:ilvl="3" w:tplc="570CE7AA">
      <w:start w:val="1"/>
      <w:numFmt w:val="bullet"/>
      <w:lvlText w:val=""/>
      <w:lvlJc w:val="left"/>
      <w:pPr>
        <w:ind w:left="720" w:hanging="360"/>
      </w:pPr>
      <w:rPr>
        <w:rFonts w:ascii="Symbol" w:hAnsi="Symbol"/>
      </w:rPr>
    </w:lvl>
    <w:lvl w:ilvl="4" w:tplc="058AD87A">
      <w:start w:val="1"/>
      <w:numFmt w:val="bullet"/>
      <w:lvlText w:val=""/>
      <w:lvlJc w:val="left"/>
      <w:pPr>
        <w:ind w:left="720" w:hanging="360"/>
      </w:pPr>
      <w:rPr>
        <w:rFonts w:ascii="Symbol" w:hAnsi="Symbol"/>
      </w:rPr>
    </w:lvl>
    <w:lvl w:ilvl="5" w:tplc="7B0E5782">
      <w:start w:val="1"/>
      <w:numFmt w:val="bullet"/>
      <w:lvlText w:val=""/>
      <w:lvlJc w:val="left"/>
      <w:pPr>
        <w:ind w:left="720" w:hanging="360"/>
      </w:pPr>
      <w:rPr>
        <w:rFonts w:ascii="Symbol" w:hAnsi="Symbol"/>
      </w:rPr>
    </w:lvl>
    <w:lvl w:ilvl="6" w:tplc="7A103CE4">
      <w:start w:val="1"/>
      <w:numFmt w:val="bullet"/>
      <w:lvlText w:val=""/>
      <w:lvlJc w:val="left"/>
      <w:pPr>
        <w:ind w:left="720" w:hanging="360"/>
      </w:pPr>
      <w:rPr>
        <w:rFonts w:ascii="Symbol" w:hAnsi="Symbol"/>
      </w:rPr>
    </w:lvl>
    <w:lvl w:ilvl="7" w:tplc="8BA48D62">
      <w:start w:val="1"/>
      <w:numFmt w:val="bullet"/>
      <w:lvlText w:val=""/>
      <w:lvlJc w:val="left"/>
      <w:pPr>
        <w:ind w:left="720" w:hanging="360"/>
      </w:pPr>
      <w:rPr>
        <w:rFonts w:ascii="Symbol" w:hAnsi="Symbol"/>
      </w:rPr>
    </w:lvl>
    <w:lvl w:ilvl="8" w:tplc="67AA59AA">
      <w:start w:val="1"/>
      <w:numFmt w:val="bullet"/>
      <w:lvlText w:val=""/>
      <w:lvlJc w:val="left"/>
      <w:pPr>
        <w:ind w:left="720" w:hanging="360"/>
      </w:pPr>
      <w:rPr>
        <w:rFonts w:ascii="Symbol" w:hAnsi="Symbol"/>
      </w:rPr>
    </w:lvl>
  </w:abstractNum>
  <w:abstractNum w:abstractNumId="44" w15:restartNumberingAfterBreak="0">
    <w:nsid w:val="5C7839A4"/>
    <w:multiLevelType w:val="multilevel"/>
    <w:tmpl w:val="EB92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2145E43"/>
    <w:multiLevelType w:val="multilevel"/>
    <w:tmpl w:val="DE92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3113FC0"/>
    <w:multiLevelType w:val="hybridMultilevel"/>
    <w:tmpl w:val="D124076E"/>
    <w:lvl w:ilvl="0" w:tplc="0426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4AF637B"/>
    <w:multiLevelType w:val="hybridMultilevel"/>
    <w:tmpl w:val="6F2C4D16"/>
    <w:lvl w:ilvl="0" w:tplc="F104DE5C">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5792EAE"/>
    <w:multiLevelType w:val="multilevel"/>
    <w:tmpl w:val="07F8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8985BC7"/>
    <w:multiLevelType w:val="multilevel"/>
    <w:tmpl w:val="5442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BD04E44"/>
    <w:multiLevelType w:val="multilevel"/>
    <w:tmpl w:val="7936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CF41CE2"/>
    <w:multiLevelType w:val="multilevel"/>
    <w:tmpl w:val="7B1C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D0120AF"/>
    <w:multiLevelType w:val="multilevel"/>
    <w:tmpl w:val="1C1C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004085D"/>
    <w:multiLevelType w:val="hybridMultilevel"/>
    <w:tmpl w:val="F05CAB10"/>
    <w:lvl w:ilvl="0" w:tplc="1D9C310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4" w15:restartNumberingAfterBreak="0">
    <w:nsid w:val="70C172D5"/>
    <w:multiLevelType w:val="hybridMultilevel"/>
    <w:tmpl w:val="3BF234A0"/>
    <w:lvl w:ilvl="0" w:tplc="63760DAA">
      <w:start w:val="1"/>
      <w:numFmt w:val="bullet"/>
      <w:lvlText w:val=""/>
      <w:lvlJc w:val="left"/>
      <w:pPr>
        <w:ind w:left="720" w:hanging="360"/>
      </w:pPr>
      <w:rPr>
        <w:rFonts w:ascii="Symbol" w:hAnsi="Symbol"/>
      </w:rPr>
    </w:lvl>
    <w:lvl w:ilvl="1" w:tplc="6EA419F0">
      <w:start w:val="1"/>
      <w:numFmt w:val="bullet"/>
      <w:lvlText w:val=""/>
      <w:lvlJc w:val="left"/>
      <w:pPr>
        <w:ind w:left="720" w:hanging="360"/>
      </w:pPr>
      <w:rPr>
        <w:rFonts w:ascii="Symbol" w:hAnsi="Symbol"/>
      </w:rPr>
    </w:lvl>
    <w:lvl w:ilvl="2" w:tplc="79961472">
      <w:start w:val="1"/>
      <w:numFmt w:val="bullet"/>
      <w:lvlText w:val=""/>
      <w:lvlJc w:val="left"/>
      <w:pPr>
        <w:ind w:left="720" w:hanging="360"/>
      </w:pPr>
      <w:rPr>
        <w:rFonts w:ascii="Symbol" w:hAnsi="Symbol"/>
      </w:rPr>
    </w:lvl>
    <w:lvl w:ilvl="3" w:tplc="C152173E">
      <w:start w:val="1"/>
      <w:numFmt w:val="bullet"/>
      <w:lvlText w:val=""/>
      <w:lvlJc w:val="left"/>
      <w:pPr>
        <w:ind w:left="720" w:hanging="360"/>
      </w:pPr>
      <w:rPr>
        <w:rFonts w:ascii="Symbol" w:hAnsi="Symbol"/>
      </w:rPr>
    </w:lvl>
    <w:lvl w:ilvl="4" w:tplc="03289182">
      <w:start w:val="1"/>
      <w:numFmt w:val="bullet"/>
      <w:lvlText w:val=""/>
      <w:lvlJc w:val="left"/>
      <w:pPr>
        <w:ind w:left="720" w:hanging="360"/>
      </w:pPr>
      <w:rPr>
        <w:rFonts w:ascii="Symbol" w:hAnsi="Symbol"/>
      </w:rPr>
    </w:lvl>
    <w:lvl w:ilvl="5" w:tplc="B4FCB2E6">
      <w:start w:val="1"/>
      <w:numFmt w:val="bullet"/>
      <w:lvlText w:val=""/>
      <w:lvlJc w:val="left"/>
      <w:pPr>
        <w:ind w:left="720" w:hanging="360"/>
      </w:pPr>
      <w:rPr>
        <w:rFonts w:ascii="Symbol" w:hAnsi="Symbol"/>
      </w:rPr>
    </w:lvl>
    <w:lvl w:ilvl="6" w:tplc="C11E4940">
      <w:start w:val="1"/>
      <w:numFmt w:val="bullet"/>
      <w:lvlText w:val=""/>
      <w:lvlJc w:val="left"/>
      <w:pPr>
        <w:ind w:left="720" w:hanging="360"/>
      </w:pPr>
      <w:rPr>
        <w:rFonts w:ascii="Symbol" w:hAnsi="Symbol"/>
      </w:rPr>
    </w:lvl>
    <w:lvl w:ilvl="7" w:tplc="AFE69082">
      <w:start w:val="1"/>
      <w:numFmt w:val="bullet"/>
      <w:lvlText w:val=""/>
      <w:lvlJc w:val="left"/>
      <w:pPr>
        <w:ind w:left="720" w:hanging="360"/>
      </w:pPr>
      <w:rPr>
        <w:rFonts w:ascii="Symbol" w:hAnsi="Symbol"/>
      </w:rPr>
    </w:lvl>
    <w:lvl w:ilvl="8" w:tplc="4DF04264">
      <w:start w:val="1"/>
      <w:numFmt w:val="bullet"/>
      <w:lvlText w:val=""/>
      <w:lvlJc w:val="left"/>
      <w:pPr>
        <w:ind w:left="720" w:hanging="360"/>
      </w:pPr>
      <w:rPr>
        <w:rFonts w:ascii="Symbol" w:hAnsi="Symbol"/>
      </w:rPr>
    </w:lvl>
  </w:abstractNum>
  <w:abstractNum w:abstractNumId="55" w15:restartNumberingAfterBreak="0">
    <w:nsid w:val="73973678"/>
    <w:multiLevelType w:val="multilevel"/>
    <w:tmpl w:val="C64CF1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7426E0D"/>
    <w:multiLevelType w:val="multilevel"/>
    <w:tmpl w:val="5A2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742751E"/>
    <w:multiLevelType w:val="multilevel"/>
    <w:tmpl w:val="AA8A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3237338">
    <w:abstractNumId w:val="36"/>
  </w:num>
  <w:num w:numId="2" w16cid:durableId="1952662303">
    <w:abstractNumId w:val="46"/>
  </w:num>
  <w:num w:numId="3" w16cid:durableId="369572783">
    <w:abstractNumId w:val="41"/>
  </w:num>
  <w:num w:numId="4" w16cid:durableId="650132202">
    <w:abstractNumId w:val="26"/>
  </w:num>
  <w:num w:numId="5" w16cid:durableId="815341424">
    <w:abstractNumId w:val="37"/>
  </w:num>
  <w:num w:numId="6" w16cid:durableId="1353605713">
    <w:abstractNumId w:val="53"/>
  </w:num>
  <w:num w:numId="7" w16cid:durableId="752438534">
    <w:abstractNumId w:val="40"/>
  </w:num>
  <w:num w:numId="8" w16cid:durableId="1473594247">
    <w:abstractNumId w:val="8"/>
  </w:num>
  <w:num w:numId="9" w16cid:durableId="1100640124">
    <w:abstractNumId w:val="11"/>
  </w:num>
  <w:num w:numId="10" w16cid:durableId="393820465">
    <w:abstractNumId w:val="56"/>
  </w:num>
  <w:num w:numId="11" w16cid:durableId="1547641952">
    <w:abstractNumId w:val="16"/>
  </w:num>
  <w:num w:numId="12" w16cid:durableId="669913255">
    <w:abstractNumId w:val="0"/>
  </w:num>
  <w:num w:numId="13" w16cid:durableId="398871095">
    <w:abstractNumId w:val="1"/>
  </w:num>
  <w:num w:numId="14" w16cid:durableId="1397514280">
    <w:abstractNumId w:val="18"/>
  </w:num>
  <w:num w:numId="15" w16cid:durableId="738136733">
    <w:abstractNumId w:val="38"/>
  </w:num>
  <w:num w:numId="16" w16cid:durableId="1894806115">
    <w:abstractNumId w:val="2"/>
  </w:num>
  <w:num w:numId="17" w16cid:durableId="1476869724">
    <w:abstractNumId w:val="12"/>
  </w:num>
  <w:num w:numId="18" w16cid:durableId="1662733431">
    <w:abstractNumId w:val="39"/>
  </w:num>
  <w:num w:numId="19" w16cid:durableId="2062553765">
    <w:abstractNumId w:val="4"/>
  </w:num>
  <w:num w:numId="20" w16cid:durableId="2033802016">
    <w:abstractNumId w:val="42"/>
  </w:num>
  <w:num w:numId="21" w16cid:durableId="1557666768">
    <w:abstractNumId w:val="50"/>
  </w:num>
  <w:num w:numId="22" w16cid:durableId="424423928">
    <w:abstractNumId w:val="44"/>
  </w:num>
  <w:num w:numId="23" w16cid:durableId="872577582">
    <w:abstractNumId w:val="6"/>
  </w:num>
  <w:num w:numId="24" w16cid:durableId="2066291952">
    <w:abstractNumId w:val="28"/>
  </w:num>
  <w:num w:numId="25" w16cid:durableId="460463730">
    <w:abstractNumId w:val="7"/>
  </w:num>
  <w:num w:numId="26" w16cid:durableId="1535339282">
    <w:abstractNumId w:val="24"/>
  </w:num>
  <w:num w:numId="27" w16cid:durableId="1701279456">
    <w:abstractNumId w:val="15"/>
  </w:num>
  <w:num w:numId="28" w16cid:durableId="1278834246">
    <w:abstractNumId w:val="10"/>
  </w:num>
  <w:num w:numId="29" w16cid:durableId="109520386">
    <w:abstractNumId w:val="21"/>
  </w:num>
  <w:num w:numId="30" w16cid:durableId="857934207">
    <w:abstractNumId w:val="32"/>
  </w:num>
  <w:num w:numId="31" w16cid:durableId="752630667">
    <w:abstractNumId w:val="19"/>
  </w:num>
  <w:num w:numId="32" w16cid:durableId="1410956365">
    <w:abstractNumId w:val="48"/>
  </w:num>
  <w:num w:numId="33" w16cid:durableId="565265043">
    <w:abstractNumId w:val="30"/>
  </w:num>
  <w:num w:numId="34" w16cid:durableId="1668626986">
    <w:abstractNumId w:val="9"/>
  </w:num>
  <w:num w:numId="35" w16cid:durableId="405542684">
    <w:abstractNumId w:val="22"/>
  </w:num>
  <w:num w:numId="36" w16cid:durableId="27417440">
    <w:abstractNumId w:val="49"/>
  </w:num>
  <w:num w:numId="37" w16cid:durableId="1546603636">
    <w:abstractNumId w:val="31"/>
  </w:num>
  <w:num w:numId="38" w16cid:durableId="765468800">
    <w:abstractNumId w:val="55"/>
  </w:num>
  <w:num w:numId="39" w16cid:durableId="835263529">
    <w:abstractNumId w:val="27"/>
  </w:num>
  <w:num w:numId="40" w16cid:durableId="764155315">
    <w:abstractNumId w:val="33"/>
  </w:num>
  <w:num w:numId="41" w16cid:durableId="1366635628">
    <w:abstractNumId w:val="57"/>
  </w:num>
  <w:num w:numId="42" w16cid:durableId="936251933">
    <w:abstractNumId w:val="51"/>
  </w:num>
  <w:num w:numId="43" w16cid:durableId="1288929185">
    <w:abstractNumId w:val="29"/>
  </w:num>
  <w:num w:numId="44" w16cid:durableId="1185284554">
    <w:abstractNumId w:val="20"/>
  </w:num>
  <w:num w:numId="45" w16cid:durableId="2048790764">
    <w:abstractNumId w:val="52"/>
  </w:num>
  <w:num w:numId="46" w16cid:durableId="782653972">
    <w:abstractNumId w:val="45"/>
  </w:num>
  <w:num w:numId="47" w16cid:durableId="925185222">
    <w:abstractNumId w:val="5"/>
  </w:num>
  <w:num w:numId="48" w16cid:durableId="398094861">
    <w:abstractNumId w:val="35"/>
  </w:num>
  <w:num w:numId="49" w16cid:durableId="428427513">
    <w:abstractNumId w:val="23"/>
  </w:num>
  <w:num w:numId="50" w16cid:durableId="2030988297">
    <w:abstractNumId w:val="13"/>
  </w:num>
  <w:num w:numId="51" w16cid:durableId="662395154">
    <w:abstractNumId w:val="17"/>
  </w:num>
  <w:num w:numId="52" w16cid:durableId="1166433249">
    <w:abstractNumId w:val="25"/>
  </w:num>
  <w:num w:numId="53" w16cid:durableId="1200167641">
    <w:abstractNumId w:val="47"/>
  </w:num>
  <w:num w:numId="54" w16cid:durableId="1330015675">
    <w:abstractNumId w:val="3"/>
  </w:num>
  <w:num w:numId="55" w16cid:durableId="849105735">
    <w:abstractNumId w:val="34"/>
  </w:num>
  <w:num w:numId="56" w16cid:durableId="2114668521">
    <w:abstractNumId w:val="43"/>
  </w:num>
  <w:num w:numId="57" w16cid:durableId="412627433">
    <w:abstractNumId w:val="54"/>
  </w:num>
  <w:num w:numId="58" w16cid:durableId="868033058">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drawingGridHorizontalSpacing w:val="140"/>
  <w:drawingGridVerticalSpacing w:val="381"/>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C45"/>
    <w:rsid w:val="00000C37"/>
    <w:rsid w:val="00000FC1"/>
    <w:rsid w:val="0000233B"/>
    <w:rsid w:val="00002493"/>
    <w:rsid w:val="000025E5"/>
    <w:rsid w:val="00002745"/>
    <w:rsid w:val="00002892"/>
    <w:rsid w:val="000029C8"/>
    <w:rsid w:val="00002D54"/>
    <w:rsid w:val="00002F07"/>
    <w:rsid w:val="00002F72"/>
    <w:rsid w:val="00002FD5"/>
    <w:rsid w:val="00003021"/>
    <w:rsid w:val="000032AF"/>
    <w:rsid w:val="0000371C"/>
    <w:rsid w:val="000039AA"/>
    <w:rsid w:val="00003B9C"/>
    <w:rsid w:val="00004CD8"/>
    <w:rsid w:val="00005963"/>
    <w:rsid w:val="00005BF4"/>
    <w:rsid w:val="00005BF8"/>
    <w:rsid w:val="00005F7A"/>
    <w:rsid w:val="00006063"/>
    <w:rsid w:val="0000626E"/>
    <w:rsid w:val="000064F2"/>
    <w:rsid w:val="0000652E"/>
    <w:rsid w:val="0000696C"/>
    <w:rsid w:val="000069DB"/>
    <w:rsid w:val="000069DF"/>
    <w:rsid w:val="00006A50"/>
    <w:rsid w:val="00006AC6"/>
    <w:rsid w:val="000073F0"/>
    <w:rsid w:val="0000752B"/>
    <w:rsid w:val="000076D3"/>
    <w:rsid w:val="00007944"/>
    <w:rsid w:val="00007EEA"/>
    <w:rsid w:val="000107EE"/>
    <w:rsid w:val="00010811"/>
    <w:rsid w:val="00010F6F"/>
    <w:rsid w:val="00011358"/>
    <w:rsid w:val="000115DB"/>
    <w:rsid w:val="000118E8"/>
    <w:rsid w:val="000118EB"/>
    <w:rsid w:val="00011AD1"/>
    <w:rsid w:val="00011BA6"/>
    <w:rsid w:val="00012594"/>
    <w:rsid w:val="00012B12"/>
    <w:rsid w:val="00012BB6"/>
    <w:rsid w:val="00012FED"/>
    <w:rsid w:val="0001313A"/>
    <w:rsid w:val="00013760"/>
    <w:rsid w:val="00013AAF"/>
    <w:rsid w:val="00013E96"/>
    <w:rsid w:val="000142DA"/>
    <w:rsid w:val="00014334"/>
    <w:rsid w:val="00015108"/>
    <w:rsid w:val="0001584B"/>
    <w:rsid w:val="00015978"/>
    <w:rsid w:val="00015B25"/>
    <w:rsid w:val="00015BDE"/>
    <w:rsid w:val="00015DCA"/>
    <w:rsid w:val="0001630A"/>
    <w:rsid w:val="00016441"/>
    <w:rsid w:val="000165CD"/>
    <w:rsid w:val="00016DA8"/>
    <w:rsid w:val="00017529"/>
    <w:rsid w:val="00017922"/>
    <w:rsid w:val="00017B01"/>
    <w:rsid w:val="00017FDA"/>
    <w:rsid w:val="000200D2"/>
    <w:rsid w:val="00020378"/>
    <w:rsid w:val="000206DC"/>
    <w:rsid w:val="000206F9"/>
    <w:rsid w:val="00020834"/>
    <w:rsid w:val="00020962"/>
    <w:rsid w:val="00020AB2"/>
    <w:rsid w:val="00020E4D"/>
    <w:rsid w:val="00020EC7"/>
    <w:rsid w:val="00021084"/>
    <w:rsid w:val="000216AC"/>
    <w:rsid w:val="00021B0C"/>
    <w:rsid w:val="00021B95"/>
    <w:rsid w:val="000222A7"/>
    <w:rsid w:val="00022428"/>
    <w:rsid w:val="00022571"/>
    <w:rsid w:val="0002262C"/>
    <w:rsid w:val="0002288E"/>
    <w:rsid w:val="00022AD2"/>
    <w:rsid w:val="00022F92"/>
    <w:rsid w:val="00023223"/>
    <w:rsid w:val="00023AA8"/>
    <w:rsid w:val="00023CA9"/>
    <w:rsid w:val="00023DA2"/>
    <w:rsid w:val="00023F9B"/>
    <w:rsid w:val="0002400D"/>
    <w:rsid w:val="00024417"/>
    <w:rsid w:val="00024718"/>
    <w:rsid w:val="00024B8C"/>
    <w:rsid w:val="00025317"/>
    <w:rsid w:val="000258B9"/>
    <w:rsid w:val="00025CF9"/>
    <w:rsid w:val="00025E49"/>
    <w:rsid w:val="00025EA4"/>
    <w:rsid w:val="00025FE4"/>
    <w:rsid w:val="00025FF8"/>
    <w:rsid w:val="00026013"/>
    <w:rsid w:val="0002608F"/>
    <w:rsid w:val="0002612F"/>
    <w:rsid w:val="0002649D"/>
    <w:rsid w:val="000265A9"/>
    <w:rsid w:val="00026694"/>
    <w:rsid w:val="0002694C"/>
    <w:rsid w:val="000269B2"/>
    <w:rsid w:val="00026AE9"/>
    <w:rsid w:val="00026DA8"/>
    <w:rsid w:val="00026F63"/>
    <w:rsid w:val="000275D1"/>
    <w:rsid w:val="00027BF5"/>
    <w:rsid w:val="00027C28"/>
    <w:rsid w:val="00027D54"/>
    <w:rsid w:val="00030E81"/>
    <w:rsid w:val="00030E97"/>
    <w:rsid w:val="000310A9"/>
    <w:rsid w:val="000311FB"/>
    <w:rsid w:val="00031541"/>
    <w:rsid w:val="000315E3"/>
    <w:rsid w:val="00031708"/>
    <w:rsid w:val="00032404"/>
    <w:rsid w:val="00032505"/>
    <w:rsid w:val="0003251B"/>
    <w:rsid w:val="0003261A"/>
    <w:rsid w:val="00032C52"/>
    <w:rsid w:val="00033057"/>
    <w:rsid w:val="000330F1"/>
    <w:rsid w:val="000331B2"/>
    <w:rsid w:val="00033629"/>
    <w:rsid w:val="000338C9"/>
    <w:rsid w:val="00033C5C"/>
    <w:rsid w:val="00033ECE"/>
    <w:rsid w:val="0003413F"/>
    <w:rsid w:val="000342DF"/>
    <w:rsid w:val="000344D0"/>
    <w:rsid w:val="000344EA"/>
    <w:rsid w:val="000345B8"/>
    <w:rsid w:val="00034627"/>
    <w:rsid w:val="00034802"/>
    <w:rsid w:val="000349CC"/>
    <w:rsid w:val="00034A9D"/>
    <w:rsid w:val="00034C18"/>
    <w:rsid w:val="00034CD6"/>
    <w:rsid w:val="00035176"/>
    <w:rsid w:val="0003519D"/>
    <w:rsid w:val="00035737"/>
    <w:rsid w:val="0003573D"/>
    <w:rsid w:val="00035780"/>
    <w:rsid w:val="00035C7F"/>
    <w:rsid w:val="00035D4C"/>
    <w:rsid w:val="00035D66"/>
    <w:rsid w:val="000360BC"/>
    <w:rsid w:val="000363EB"/>
    <w:rsid w:val="0003646F"/>
    <w:rsid w:val="0003653B"/>
    <w:rsid w:val="00036825"/>
    <w:rsid w:val="00036F02"/>
    <w:rsid w:val="00037367"/>
    <w:rsid w:val="00037989"/>
    <w:rsid w:val="000379C0"/>
    <w:rsid w:val="000401B1"/>
    <w:rsid w:val="000402EB"/>
    <w:rsid w:val="000402FB"/>
    <w:rsid w:val="000406FA"/>
    <w:rsid w:val="0004077B"/>
    <w:rsid w:val="000409CF"/>
    <w:rsid w:val="00040A3D"/>
    <w:rsid w:val="00040ABA"/>
    <w:rsid w:val="00040DC4"/>
    <w:rsid w:val="00041716"/>
    <w:rsid w:val="000417F9"/>
    <w:rsid w:val="0004197D"/>
    <w:rsid w:val="00042F0E"/>
    <w:rsid w:val="00042F11"/>
    <w:rsid w:val="00043271"/>
    <w:rsid w:val="0004344E"/>
    <w:rsid w:val="00043693"/>
    <w:rsid w:val="00043935"/>
    <w:rsid w:val="00043A2E"/>
    <w:rsid w:val="00043D0C"/>
    <w:rsid w:val="00043D23"/>
    <w:rsid w:val="00043D7D"/>
    <w:rsid w:val="0004417C"/>
    <w:rsid w:val="000443E4"/>
    <w:rsid w:val="0004457F"/>
    <w:rsid w:val="00044642"/>
    <w:rsid w:val="00044A89"/>
    <w:rsid w:val="00044B9C"/>
    <w:rsid w:val="00044D47"/>
    <w:rsid w:val="00044DDE"/>
    <w:rsid w:val="0004517A"/>
    <w:rsid w:val="00045524"/>
    <w:rsid w:val="000455A7"/>
    <w:rsid w:val="00045A17"/>
    <w:rsid w:val="00045A9E"/>
    <w:rsid w:val="000460BA"/>
    <w:rsid w:val="00046490"/>
    <w:rsid w:val="000464B8"/>
    <w:rsid w:val="00046B8B"/>
    <w:rsid w:val="00046D2C"/>
    <w:rsid w:val="00046ED4"/>
    <w:rsid w:val="000473DE"/>
    <w:rsid w:val="0004766E"/>
    <w:rsid w:val="0004799B"/>
    <w:rsid w:val="00047C0F"/>
    <w:rsid w:val="00047C8D"/>
    <w:rsid w:val="00047DB9"/>
    <w:rsid w:val="00047FC6"/>
    <w:rsid w:val="00050765"/>
    <w:rsid w:val="0005082E"/>
    <w:rsid w:val="00051331"/>
    <w:rsid w:val="00051598"/>
    <w:rsid w:val="00051CF7"/>
    <w:rsid w:val="00051F55"/>
    <w:rsid w:val="00051FFE"/>
    <w:rsid w:val="0005200E"/>
    <w:rsid w:val="00052052"/>
    <w:rsid w:val="0005216F"/>
    <w:rsid w:val="0005229D"/>
    <w:rsid w:val="00052371"/>
    <w:rsid w:val="000523C6"/>
    <w:rsid w:val="00052518"/>
    <w:rsid w:val="0005286C"/>
    <w:rsid w:val="00052EA8"/>
    <w:rsid w:val="00053192"/>
    <w:rsid w:val="00053604"/>
    <w:rsid w:val="00053BFB"/>
    <w:rsid w:val="00053C52"/>
    <w:rsid w:val="00053D89"/>
    <w:rsid w:val="00053E51"/>
    <w:rsid w:val="000540B8"/>
    <w:rsid w:val="00054442"/>
    <w:rsid w:val="000545D7"/>
    <w:rsid w:val="000547CE"/>
    <w:rsid w:val="00054D34"/>
    <w:rsid w:val="00054DA5"/>
    <w:rsid w:val="0005504C"/>
    <w:rsid w:val="00055177"/>
    <w:rsid w:val="00055179"/>
    <w:rsid w:val="000553AA"/>
    <w:rsid w:val="000557E0"/>
    <w:rsid w:val="000557F8"/>
    <w:rsid w:val="000558B2"/>
    <w:rsid w:val="00055A00"/>
    <w:rsid w:val="00055A16"/>
    <w:rsid w:val="00055CA6"/>
    <w:rsid w:val="00055F5F"/>
    <w:rsid w:val="000560FD"/>
    <w:rsid w:val="000562A8"/>
    <w:rsid w:val="000565D8"/>
    <w:rsid w:val="00056CE4"/>
    <w:rsid w:val="000573C9"/>
    <w:rsid w:val="0005763C"/>
    <w:rsid w:val="00057825"/>
    <w:rsid w:val="00057ABE"/>
    <w:rsid w:val="00057B2A"/>
    <w:rsid w:val="00057CC5"/>
    <w:rsid w:val="00057D72"/>
    <w:rsid w:val="00057FEE"/>
    <w:rsid w:val="0006027E"/>
    <w:rsid w:val="000602CB"/>
    <w:rsid w:val="0006069A"/>
    <w:rsid w:val="000606FF"/>
    <w:rsid w:val="00060AA3"/>
    <w:rsid w:val="00060BDF"/>
    <w:rsid w:val="00060DDC"/>
    <w:rsid w:val="00060F8B"/>
    <w:rsid w:val="0006121A"/>
    <w:rsid w:val="000613C2"/>
    <w:rsid w:val="00061874"/>
    <w:rsid w:val="00061B83"/>
    <w:rsid w:val="00061C54"/>
    <w:rsid w:val="0006220C"/>
    <w:rsid w:val="0006243E"/>
    <w:rsid w:val="000629C8"/>
    <w:rsid w:val="00062A31"/>
    <w:rsid w:val="00062DF1"/>
    <w:rsid w:val="00062F16"/>
    <w:rsid w:val="00063374"/>
    <w:rsid w:val="000634D0"/>
    <w:rsid w:val="00063556"/>
    <w:rsid w:val="0006364C"/>
    <w:rsid w:val="0006387C"/>
    <w:rsid w:val="00063A4B"/>
    <w:rsid w:val="00063D7B"/>
    <w:rsid w:val="00063FAE"/>
    <w:rsid w:val="00064046"/>
    <w:rsid w:val="00064B1D"/>
    <w:rsid w:val="00064D7F"/>
    <w:rsid w:val="00065527"/>
    <w:rsid w:val="000657AF"/>
    <w:rsid w:val="0006586E"/>
    <w:rsid w:val="00065A73"/>
    <w:rsid w:val="00065C45"/>
    <w:rsid w:val="00065D21"/>
    <w:rsid w:val="00065D72"/>
    <w:rsid w:val="00065E94"/>
    <w:rsid w:val="0006672E"/>
    <w:rsid w:val="000667A6"/>
    <w:rsid w:val="00066E61"/>
    <w:rsid w:val="00067502"/>
    <w:rsid w:val="00067E4A"/>
    <w:rsid w:val="00067F83"/>
    <w:rsid w:val="000700B8"/>
    <w:rsid w:val="000702D3"/>
    <w:rsid w:val="000703A9"/>
    <w:rsid w:val="000705CE"/>
    <w:rsid w:val="00070927"/>
    <w:rsid w:val="00070CEB"/>
    <w:rsid w:val="00070EBB"/>
    <w:rsid w:val="00070F10"/>
    <w:rsid w:val="00070FFF"/>
    <w:rsid w:val="00071E83"/>
    <w:rsid w:val="00071E95"/>
    <w:rsid w:val="00072355"/>
    <w:rsid w:val="00072430"/>
    <w:rsid w:val="000729A6"/>
    <w:rsid w:val="00072D8C"/>
    <w:rsid w:val="0007309C"/>
    <w:rsid w:val="0007342C"/>
    <w:rsid w:val="00073561"/>
    <w:rsid w:val="00073746"/>
    <w:rsid w:val="000738BC"/>
    <w:rsid w:val="00073A4F"/>
    <w:rsid w:val="00073AA3"/>
    <w:rsid w:val="000747BE"/>
    <w:rsid w:val="00074AA1"/>
    <w:rsid w:val="00074B0F"/>
    <w:rsid w:val="00074CEB"/>
    <w:rsid w:val="00075048"/>
    <w:rsid w:val="00075310"/>
    <w:rsid w:val="0007539E"/>
    <w:rsid w:val="00075457"/>
    <w:rsid w:val="0007571F"/>
    <w:rsid w:val="0007598B"/>
    <w:rsid w:val="0007643F"/>
    <w:rsid w:val="00076625"/>
    <w:rsid w:val="00076F9B"/>
    <w:rsid w:val="0007717B"/>
    <w:rsid w:val="00077425"/>
    <w:rsid w:val="0007747D"/>
    <w:rsid w:val="00077742"/>
    <w:rsid w:val="000777B1"/>
    <w:rsid w:val="000777C2"/>
    <w:rsid w:val="00077B50"/>
    <w:rsid w:val="00077BD6"/>
    <w:rsid w:val="00077D18"/>
    <w:rsid w:val="000800F5"/>
    <w:rsid w:val="00080283"/>
    <w:rsid w:val="00080599"/>
    <w:rsid w:val="00080A57"/>
    <w:rsid w:val="00080A71"/>
    <w:rsid w:val="00080CD6"/>
    <w:rsid w:val="00080ED4"/>
    <w:rsid w:val="00080FDA"/>
    <w:rsid w:val="000816FF"/>
    <w:rsid w:val="000817E2"/>
    <w:rsid w:val="00081838"/>
    <w:rsid w:val="00081CB7"/>
    <w:rsid w:val="00082164"/>
    <w:rsid w:val="00082291"/>
    <w:rsid w:val="00082CEA"/>
    <w:rsid w:val="00082D6C"/>
    <w:rsid w:val="00082FD2"/>
    <w:rsid w:val="00083097"/>
    <w:rsid w:val="000830D7"/>
    <w:rsid w:val="00083940"/>
    <w:rsid w:val="00083F4C"/>
    <w:rsid w:val="0008439E"/>
    <w:rsid w:val="000847B7"/>
    <w:rsid w:val="00084A77"/>
    <w:rsid w:val="00085214"/>
    <w:rsid w:val="00085EDA"/>
    <w:rsid w:val="0008610A"/>
    <w:rsid w:val="0008610C"/>
    <w:rsid w:val="000861BC"/>
    <w:rsid w:val="00086565"/>
    <w:rsid w:val="00086A64"/>
    <w:rsid w:val="00086BB0"/>
    <w:rsid w:val="00086FA3"/>
    <w:rsid w:val="00087038"/>
    <w:rsid w:val="000873F1"/>
    <w:rsid w:val="00087636"/>
    <w:rsid w:val="00087E66"/>
    <w:rsid w:val="000901DB"/>
    <w:rsid w:val="000902E3"/>
    <w:rsid w:val="0009055D"/>
    <w:rsid w:val="000907EB"/>
    <w:rsid w:val="0009094A"/>
    <w:rsid w:val="000916AA"/>
    <w:rsid w:val="000918C0"/>
    <w:rsid w:val="00091958"/>
    <w:rsid w:val="00092509"/>
    <w:rsid w:val="000925F2"/>
    <w:rsid w:val="00092796"/>
    <w:rsid w:val="00092986"/>
    <w:rsid w:val="00092A7D"/>
    <w:rsid w:val="0009305F"/>
    <w:rsid w:val="0009314B"/>
    <w:rsid w:val="000931EC"/>
    <w:rsid w:val="0009327C"/>
    <w:rsid w:val="000934A4"/>
    <w:rsid w:val="00093692"/>
    <w:rsid w:val="00093698"/>
    <w:rsid w:val="00093729"/>
    <w:rsid w:val="00093982"/>
    <w:rsid w:val="00093B34"/>
    <w:rsid w:val="00094119"/>
    <w:rsid w:val="0009459F"/>
    <w:rsid w:val="00094626"/>
    <w:rsid w:val="00094784"/>
    <w:rsid w:val="000947D1"/>
    <w:rsid w:val="00094BE0"/>
    <w:rsid w:val="00094BF3"/>
    <w:rsid w:val="00094D86"/>
    <w:rsid w:val="00094EA1"/>
    <w:rsid w:val="00094EC1"/>
    <w:rsid w:val="00095032"/>
    <w:rsid w:val="000950B7"/>
    <w:rsid w:val="000951DB"/>
    <w:rsid w:val="00095396"/>
    <w:rsid w:val="000953E4"/>
    <w:rsid w:val="00095777"/>
    <w:rsid w:val="00095DEE"/>
    <w:rsid w:val="00095FE7"/>
    <w:rsid w:val="000963C3"/>
    <w:rsid w:val="0009666E"/>
    <w:rsid w:val="000966A8"/>
    <w:rsid w:val="00096880"/>
    <w:rsid w:val="00096DF9"/>
    <w:rsid w:val="000970A1"/>
    <w:rsid w:val="0009772D"/>
    <w:rsid w:val="0009793F"/>
    <w:rsid w:val="00097A08"/>
    <w:rsid w:val="00097BBC"/>
    <w:rsid w:val="00097BD1"/>
    <w:rsid w:val="00097EF8"/>
    <w:rsid w:val="000A0498"/>
    <w:rsid w:val="000A0511"/>
    <w:rsid w:val="000A0737"/>
    <w:rsid w:val="000A0C68"/>
    <w:rsid w:val="000A0CD7"/>
    <w:rsid w:val="000A0DAB"/>
    <w:rsid w:val="000A1010"/>
    <w:rsid w:val="000A16F4"/>
    <w:rsid w:val="000A1F99"/>
    <w:rsid w:val="000A24D8"/>
    <w:rsid w:val="000A24E7"/>
    <w:rsid w:val="000A26A6"/>
    <w:rsid w:val="000A2752"/>
    <w:rsid w:val="000A297A"/>
    <w:rsid w:val="000A2A6B"/>
    <w:rsid w:val="000A2D0F"/>
    <w:rsid w:val="000A2E5E"/>
    <w:rsid w:val="000A34BB"/>
    <w:rsid w:val="000A3AF3"/>
    <w:rsid w:val="000A4326"/>
    <w:rsid w:val="000A451B"/>
    <w:rsid w:val="000A45EE"/>
    <w:rsid w:val="000A4643"/>
    <w:rsid w:val="000A4700"/>
    <w:rsid w:val="000A4704"/>
    <w:rsid w:val="000A4C4E"/>
    <w:rsid w:val="000A50FC"/>
    <w:rsid w:val="000A51AB"/>
    <w:rsid w:val="000A5226"/>
    <w:rsid w:val="000A527B"/>
    <w:rsid w:val="000A5533"/>
    <w:rsid w:val="000A5553"/>
    <w:rsid w:val="000A57EB"/>
    <w:rsid w:val="000A59AD"/>
    <w:rsid w:val="000A5C18"/>
    <w:rsid w:val="000A5C23"/>
    <w:rsid w:val="000A6259"/>
    <w:rsid w:val="000A666F"/>
    <w:rsid w:val="000A6719"/>
    <w:rsid w:val="000A67CE"/>
    <w:rsid w:val="000A6961"/>
    <w:rsid w:val="000A6F5F"/>
    <w:rsid w:val="000A73AA"/>
    <w:rsid w:val="000A7773"/>
    <w:rsid w:val="000A7A55"/>
    <w:rsid w:val="000A7AA4"/>
    <w:rsid w:val="000A7C57"/>
    <w:rsid w:val="000A7DCD"/>
    <w:rsid w:val="000A7F24"/>
    <w:rsid w:val="000B02A9"/>
    <w:rsid w:val="000B0387"/>
    <w:rsid w:val="000B05FA"/>
    <w:rsid w:val="000B07D0"/>
    <w:rsid w:val="000B0A51"/>
    <w:rsid w:val="000B0A6B"/>
    <w:rsid w:val="000B119E"/>
    <w:rsid w:val="000B11B0"/>
    <w:rsid w:val="000B143F"/>
    <w:rsid w:val="000B1570"/>
    <w:rsid w:val="000B1618"/>
    <w:rsid w:val="000B1773"/>
    <w:rsid w:val="000B20B5"/>
    <w:rsid w:val="000B22FA"/>
    <w:rsid w:val="000B23B1"/>
    <w:rsid w:val="000B23D7"/>
    <w:rsid w:val="000B2410"/>
    <w:rsid w:val="000B252F"/>
    <w:rsid w:val="000B27B8"/>
    <w:rsid w:val="000B27CF"/>
    <w:rsid w:val="000B2803"/>
    <w:rsid w:val="000B29FB"/>
    <w:rsid w:val="000B2A1E"/>
    <w:rsid w:val="000B305D"/>
    <w:rsid w:val="000B32EE"/>
    <w:rsid w:val="000B348C"/>
    <w:rsid w:val="000B381E"/>
    <w:rsid w:val="000B388A"/>
    <w:rsid w:val="000B398B"/>
    <w:rsid w:val="000B3AE6"/>
    <w:rsid w:val="000B3C76"/>
    <w:rsid w:val="000B3DBA"/>
    <w:rsid w:val="000B3F02"/>
    <w:rsid w:val="000B406A"/>
    <w:rsid w:val="000B45D7"/>
    <w:rsid w:val="000B465B"/>
    <w:rsid w:val="000B4753"/>
    <w:rsid w:val="000B4943"/>
    <w:rsid w:val="000B4B97"/>
    <w:rsid w:val="000B4D21"/>
    <w:rsid w:val="000B5AF4"/>
    <w:rsid w:val="000B5BFF"/>
    <w:rsid w:val="000B604E"/>
    <w:rsid w:val="000B64DD"/>
    <w:rsid w:val="000B6AA5"/>
    <w:rsid w:val="000B6B77"/>
    <w:rsid w:val="000B6C1C"/>
    <w:rsid w:val="000B6D22"/>
    <w:rsid w:val="000B6D8B"/>
    <w:rsid w:val="000B6EDF"/>
    <w:rsid w:val="000B71F1"/>
    <w:rsid w:val="000B7441"/>
    <w:rsid w:val="000B79B9"/>
    <w:rsid w:val="000C0021"/>
    <w:rsid w:val="000C1272"/>
    <w:rsid w:val="000C12CB"/>
    <w:rsid w:val="000C13A7"/>
    <w:rsid w:val="000C267B"/>
    <w:rsid w:val="000C26D8"/>
    <w:rsid w:val="000C27EB"/>
    <w:rsid w:val="000C2A3D"/>
    <w:rsid w:val="000C2A8F"/>
    <w:rsid w:val="000C2D85"/>
    <w:rsid w:val="000C2F34"/>
    <w:rsid w:val="000C2FB9"/>
    <w:rsid w:val="000C328D"/>
    <w:rsid w:val="000C3ACA"/>
    <w:rsid w:val="000C3B60"/>
    <w:rsid w:val="000C3B83"/>
    <w:rsid w:val="000C3D34"/>
    <w:rsid w:val="000C4188"/>
    <w:rsid w:val="000C4627"/>
    <w:rsid w:val="000C4889"/>
    <w:rsid w:val="000C48EC"/>
    <w:rsid w:val="000C4ADC"/>
    <w:rsid w:val="000C4D0D"/>
    <w:rsid w:val="000C4FB2"/>
    <w:rsid w:val="000C50F9"/>
    <w:rsid w:val="000C5669"/>
    <w:rsid w:val="000C57DF"/>
    <w:rsid w:val="000C591A"/>
    <w:rsid w:val="000C618E"/>
    <w:rsid w:val="000C63B1"/>
    <w:rsid w:val="000C64D3"/>
    <w:rsid w:val="000C656C"/>
    <w:rsid w:val="000C6615"/>
    <w:rsid w:val="000C6A01"/>
    <w:rsid w:val="000C6B07"/>
    <w:rsid w:val="000C6D02"/>
    <w:rsid w:val="000C6F60"/>
    <w:rsid w:val="000C7067"/>
    <w:rsid w:val="000C7163"/>
    <w:rsid w:val="000C748A"/>
    <w:rsid w:val="000C766B"/>
    <w:rsid w:val="000C7ABA"/>
    <w:rsid w:val="000C7BBD"/>
    <w:rsid w:val="000C7C9B"/>
    <w:rsid w:val="000D00B2"/>
    <w:rsid w:val="000D0995"/>
    <w:rsid w:val="000D0B43"/>
    <w:rsid w:val="000D0C32"/>
    <w:rsid w:val="000D0F0E"/>
    <w:rsid w:val="000D10C2"/>
    <w:rsid w:val="000D11A8"/>
    <w:rsid w:val="000D1250"/>
    <w:rsid w:val="000D159F"/>
    <w:rsid w:val="000D1748"/>
    <w:rsid w:val="000D1AEE"/>
    <w:rsid w:val="000D1E0A"/>
    <w:rsid w:val="000D1E7B"/>
    <w:rsid w:val="000D1EFC"/>
    <w:rsid w:val="000D2159"/>
    <w:rsid w:val="000D22D5"/>
    <w:rsid w:val="000D2332"/>
    <w:rsid w:val="000D266A"/>
    <w:rsid w:val="000D2967"/>
    <w:rsid w:val="000D2C4C"/>
    <w:rsid w:val="000D2D8D"/>
    <w:rsid w:val="000D3075"/>
    <w:rsid w:val="000D33B0"/>
    <w:rsid w:val="000D3A2F"/>
    <w:rsid w:val="000D3F34"/>
    <w:rsid w:val="000D40C9"/>
    <w:rsid w:val="000D4321"/>
    <w:rsid w:val="000D4351"/>
    <w:rsid w:val="000D4496"/>
    <w:rsid w:val="000D4514"/>
    <w:rsid w:val="000D4904"/>
    <w:rsid w:val="000D4950"/>
    <w:rsid w:val="000D4BEE"/>
    <w:rsid w:val="000D4D6B"/>
    <w:rsid w:val="000D4E7D"/>
    <w:rsid w:val="000D4EC9"/>
    <w:rsid w:val="000D5134"/>
    <w:rsid w:val="000D5330"/>
    <w:rsid w:val="000D624E"/>
    <w:rsid w:val="000D6620"/>
    <w:rsid w:val="000D6B8B"/>
    <w:rsid w:val="000D6C1A"/>
    <w:rsid w:val="000D7386"/>
    <w:rsid w:val="000D77E0"/>
    <w:rsid w:val="000D7BC9"/>
    <w:rsid w:val="000E0389"/>
    <w:rsid w:val="000E04B4"/>
    <w:rsid w:val="000E08D2"/>
    <w:rsid w:val="000E0A60"/>
    <w:rsid w:val="000E0E12"/>
    <w:rsid w:val="000E0E9D"/>
    <w:rsid w:val="000E11D6"/>
    <w:rsid w:val="000E13DC"/>
    <w:rsid w:val="000E1403"/>
    <w:rsid w:val="000E184A"/>
    <w:rsid w:val="000E1A50"/>
    <w:rsid w:val="000E1E1A"/>
    <w:rsid w:val="000E21D9"/>
    <w:rsid w:val="000E2900"/>
    <w:rsid w:val="000E2B79"/>
    <w:rsid w:val="000E2CDE"/>
    <w:rsid w:val="000E2F7D"/>
    <w:rsid w:val="000E3162"/>
    <w:rsid w:val="000E3338"/>
    <w:rsid w:val="000E377A"/>
    <w:rsid w:val="000E3AB2"/>
    <w:rsid w:val="000E3D96"/>
    <w:rsid w:val="000E3ED6"/>
    <w:rsid w:val="000E3F90"/>
    <w:rsid w:val="000E4346"/>
    <w:rsid w:val="000E46CE"/>
    <w:rsid w:val="000E47EB"/>
    <w:rsid w:val="000E4F1B"/>
    <w:rsid w:val="000E509C"/>
    <w:rsid w:val="000E525B"/>
    <w:rsid w:val="000E5484"/>
    <w:rsid w:val="000E5569"/>
    <w:rsid w:val="000E574E"/>
    <w:rsid w:val="000E58D4"/>
    <w:rsid w:val="000E5937"/>
    <w:rsid w:val="000E6A07"/>
    <w:rsid w:val="000E6AE4"/>
    <w:rsid w:val="000E6D7F"/>
    <w:rsid w:val="000E6FC8"/>
    <w:rsid w:val="000E71DA"/>
    <w:rsid w:val="000E72B8"/>
    <w:rsid w:val="000E739F"/>
    <w:rsid w:val="000E76F4"/>
    <w:rsid w:val="000E7B5E"/>
    <w:rsid w:val="000F006F"/>
    <w:rsid w:val="000F00AB"/>
    <w:rsid w:val="000F00B6"/>
    <w:rsid w:val="000F0179"/>
    <w:rsid w:val="000F07B7"/>
    <w:rsid w:val="000F0D3B"/>
    <w:rsid w:val="000F0E02"/>
    <w:rsid w:val="000F10CC"/>
    <w:rsid w:val="000F146B"/>
    <w:rsid w:val="000F15D1"/>
    <w:rsid w:val="000F1734"/>
    <w:rsid w:val="000F1A21"/>
    <w:rsid w:val="000F1B37"/>
    <w:rsid w:val="000F1BAF"/>
    <w:rsid w:val="000F1C0B"/>
    <w:rsid w:val="000F1D0D"/>
    <w:rsid w:val="000F1F91"/>
    <w:rsid w:val="000F22EB"/>
    <w:rsid w:val="000F2DC6"/>
    <w:rsid w:val="000F2DF0"/>
    <w:rsid w:val="000F2E1A"/>
    <w:rsid w:val="000F3083"/>
    <w:rsid w:val="000F31FA"/>
    <w:rsid w:val="000F36F1"/>
    <w:rsid w:val="000F40A2"/>
    <w:rsid w:val="000F4691"/>
    <w:rsid w:val="000F473B"/>
    <w:rsid w:val="000F4966"/>
    <w:rsid w:val="000F4B90"/>
    <w:rsid w:val="000F4D41"/>
    <w:rsid w:val="000F4E0F"/>
    <w:rsid w:val="000F4F82"/>
    <w:rsid w:val="000F50A4"/>
    <w:rsid w:val="000F5508"/>
    <w:rsid w:val="000F582F"/>
    <w:rsid w:val="000F58CE"/>
    <w:rsid w:val="000F593A"/>
    <w:rsid w:val="000F5A3D"/>
    <w:rsid w:val="000F5A79"/>
    <w:rsid w:val="000F5C9A"/>
    <w:rsid w:val="000F5FB0"/>
    <w:rsid w:val="000F6060"/>
    <w:rsid w:val="000F612B"/>
    <w:rsid w:val="000F64FE"/>
    <w:rsid w:val="000F679D"/>
    <w:rsid w:val="000F6BD3"/>
    <w:rsid w:val="000F6E0B"/>
    <w:rsid w:val="000F6EC9"/>
    <w:rsid w:val="000F6EFE"/>
    <w:rsid w:val="000F70B3"/>
    <w:rsid w:val="000F71A3"/>
    <w:rsid w:val="000F79C3"/>
    <w:rsid w:val="000F7D66"/>
    <w:rsid w:val="0010027D"/>
    <w:rsid w:val="00100C76"/>
    <w:rsid w:val="001014E6"/>
    <w:rsid w:val="001015C3"/>
    <w:rsid w:val="00101B4E"/>
    <w:rsid w:val="00101EA1"/>
    <w:rsid w:val="00101F8F"/>
    <w:rsid w:val="00101FAA"/>
    <w:rsid w:val="00102234"/>
    <w:rsid w:val="0010278C"/>
    <w:rsid w:val="001038A8"/>
    <w:rsid w:val="0010394E"/>
    <w:rsid w:val="00103994"/>
    <w:rsid w:val="00103B84"/>
    <w:rsid w:val="00103BE1"/>
    <w:rsid w:val="00103C06"/>
    <w:rsid w:val="00103CD6"/>
    <w:rsid w:val="00103D3A"/>
    <w:rsid w:val="00103FBC"/>
    <w:rsid w:val="00104093"/>
    <w:rsid w:val="00104197"/>
    <w:rsid w:val="0010420D"/>
    <w:rsid w:val="00104610"/>
    <w:rsid w:val="00104703"/>
    <w:rsid w:val="0010487C"/>
    <w:rsid w:val="00104961"/>
    <w:rsid w:val="00104D43"/>
    <w:rsid w:val="00104DB7"/>
    <w:rsid w:val="00104F68"/>
    <w:rsid w:val="00104FE3"/>
    <w:rsid w:val="0010523A"/>
    <w:rsid w:val="001052BB"/>
    <w:rsid w:val="001055F3"/>
    <w:rsid w:val="0010569F"/>
    <w:rsid w:val="00105791"/>
    <w:rsid w:val="00105B0A"/>
    <w:rsid w:val="00105B2A"/>
    <w:rsid w:val="00105B9C"/>
    <w:rsid w:val="00105EF4"/>
    <w:rsid w:val="00106238"/>
    <w:rsid w:val="00106462"/>
    <w:rsid w:val="001065FD"/>
    <w:rsid w:val="001068FD"/>
    <w:rsid w:val="00106AF7"/>
    <w:rsid w:val="00106DA0"/>
    <w:rsid w:val="00106F5F"/>
    <w:rsid w:val="001074D7"/>
    <w:rsid w:val="00107614"/>
    <w:rsid w:val="00107728"/>
    <w:rsid w:val="00107781"/>
    <w:rsid w:val="00107863"/>
    <w:rsid w:val="00107AEF"/>
    <w:rsid w:val="00107CDB"/>
    <w:rsid w:val="001107D6"/>
    <w:rsid w:val="00110A3F"/>
    <w:rsid w:val="00110E58"/>
    <w:rsid w:val="00110F45"/>
    <w:rsid w:val="00111436"/>
    <w:rsid w:val="0011148C"/>
    <w:rsid w:val="0011148F"/>
    <w:rsid w:val="00111516"/>
    <w:rsid w:val="001118E6"/>
    <w:rsid w:val="00111A39"/>
    <w:rsid w:val="00111B05"/>
    <w:rsid w:val="00111ED7"/>
    <w:rsid w:val="001125B2"/>
    <w:rsid w:val="00112623"/>
    <w:rsid w:val="0011266B"/>
    <w:rsid w:val="00112683"/>
    <w:rsid w:val="00112844"/>
    <w:rsid w:val="00112B27"/>
    <w:rsid w:val="001133C1"/>
    <w:rsid w:val="001136AE"/>
    <w:rsid w:val="001136E5"/>
    <w:rsid w:val="00113A41"/>
    <w:rsid w:val="00113AC8"/>
    <w:rsid w:val="00113AE4"/>
    <w:rsid w:val="00113B3D"/>
    <w:rsid w:val="00113FC7"/>
    <w:rsid w:val="0011470C"/>
    <w:rsid w:val="00114869"/>
    <w:rsid w:val="00114875"/>
    <w:rsid w:val="00114E5A"/>
    <w:rsid w:val="0011544A"/>
    <w:rsid w:val="00115532"/>
    <w:rsid w:val="0011568E"/>
    <w:rsid w:val="00115BA1"/>
    <w:rsid w:val="00115CDC"/>
    <w:rsid w:val="001161A1"/>
    <w:rsid w:val="001161BC"/>
    <w:rsid w:val="0011634C"/>
    <w:rsid w:val="00116805"/>
    <w:rsid w:val="00116900"/>
    <w:rsid w:val="00116908"/>
    <w:rsid w:val="001169DC"/>
    <w:rsid w:val="00116E76"/>
    <w:rsid w:val="00116EA5"/>
    <w:rsid w:val="001170E1"/>
    <w:rsid w:val="0011719C"/>
    <w:rsid w:val="00117638"/>
    <w:rsid w:val="00117768"/>
    <w:rsid w:val="00117862"/>
    <w:rsid w:val="001179C2"/>
    <w:rsid w:val="00117A27"/>
    <w:rsid w:val="00117AEA"/>
    <w:rsid w:val="00117BEB"/>
    <w:rsid w:val="00117C85"/>
    <w:rsid w:val="00117CC4"/>
    <w:rsid w:val="00117F04"/>
    <w:rsid w:val="00120156"/>
    <w:rsid w:val="0012066C"/>
    <w:rsid w:val="001207C5"/>
    <w:rsid w:val="00120CAD"/>
    <w:rsid w:val="00120E2F"/>
    <w:rsid w:val="0012148D"/>
    <w:rsid w:val="00121BD3"/>
    <w:rsid w:val="00121E92"/>
    <w:rsid w:val="0012202B"/>
    <w:rsid w:val="0012245D"/>
    <w:rsid w:val="00122568"/>
    <w:rsid w:val="00122C9B"/>
    <w:rsid w:val="00122DE3"/>
    <w:rsid w:val="00122E2F"/>
    <w:rsid w:val="00122FDC"/>
    <w:rsid w:val="001231A4"/>
    <w:rsid w:val="001231A9"/>
    <w:rsid w:val="001237C9"/>
    <w:rsid w:val="001239D1"/>
    <w:rsid w:val="001239F9"/>
    <w:rsid w:val="00123AF7"/>
    <w:rsid w:val="00123B22"/>
    <w:rsid w:val="00123B30"/>
    <w:rsid w:val="00123D5B"/>
    <w:rsid w:val="00124384"/>
    <w:rsid w:val="001243DC"/>
    <w:rsid w:val="00124536"/>
    <w:rsid w:val="001249ED"/>
    <w:rsid w:val="00124EA2"/>
    <w:rsid w:val="00124ECC"/>
    <w:rsid w:val="00124FBF"/>
    <w:rsid w:val="00124FDA"/>
    <w:rsid w:val="0012518D"/>
    <w:rsid w:val="00125280"/>
    <w:rsid w:val="001255EE"/>
    <w:rsid w:val="00125769"/>
    <w:rsid w:val="00125DD8"/>
    <w:rsid w:val="00125E21"/>
    <w:rsid w:val="001260FC"/>
    <w:rsid w:val="0012661A"/>
    <w:rsid w:val="001268D6"/>
    <w:rsid w:val="00126913"/>
    <w:rsid w:val="00126EA0"/>
    <w:rsid w:val="00127104"/>
    <w:rsid w:val="00127840"/>
    <w:rsid w:val="00127CB2"/>
    <w:rsid w:val="00127E70"/>
    <w:rsid w:val="00130361"/>
    <w:rsid w:val="0013059A"/>
    <w:rsid w:val="001306C1"/>
    <w:rsid w:val="001306EC"/>
    <w:rsid w:val="00130938"/>
    <w:rsid w:val="001309B1"/>
    <w:rsid w:val="00130A19"/>
    <w:rsid w:val="00130C3F"/>
    <w:rsid w:val="001310D5"/>
    <w:rsid w:val="0013126D"/>
    <w:rsid w:val="0013197C"/>
    <w:rsid w:val="00132023"/>
    <w:rsid w:val="00132552"/>
    <w:rsid w:val="00132769"/>
    <w:rsid w:val="0013296D"/>
    <w:rsid w:val="001329E0"/>
    <w:rsid w:val="00132A6A"/>
    <w:rsid w:val="00132AF7"/>
    <w:rsid w:val="00132EA4"/>
    <w:rsid w:val="0013312A"/>
    <w:rsid w:val="0013330C"/>
    <w:rsid w:val="001333DA"/>
    <w:rsid w:val="0013379C"/>
    <w:rsid w:val="001337A7"/>
    <w:rsid w:val="00133BA0"/>
    <w:rsid w:val="00133C86"/>
    <w:rsid w:val="001342FC"/>
    <w:rsid w:val="00134618"/>
    <w:rsid w:val="0013499C"/>
    <w:rsid w:val="00134C3A"/>
    <w:rsid w:val="00135095"/>
    <w:rsid w:val="00135291"/>
    <w:rsid w:val="001352F0"/>
    <w:rsid w:val="00135432"/>
    <w:rsid w:val="001354D5"/>
    <w:rsid w:val="001356A5"/>
    <w:rsid w:val="00135BC2"/>
    <w:rsid w:val="00135C09"/>
    <w:rsid w:val="00135F21"/>
    <w:rsid w:val="00135FF2"/>
    <w:rsid w:val="00136007"/>
    <w:rsid w:val="00136038"/>
    <w:rsid w:val="0013604B"/>
    <w:rsid w:val="001361AF"/>
    <w:rsid w:val="00136632"/>
    <w:rsid w:val="001366B0"/>
    <w:rsid w:val="00136719"/>
    <w:rsid w:val="00136884"/>
    <w:rsid w:val="001368CB"/>
    <w:rsid w:val="00136C6F"/>
    <w:rsid w:val="00137191"/>
    <w:rsid w:val="001372B3"/>
    <w:rsid w:val="00137429"/>
    <w:rsid w:val="00137EE5"/>
    <w:rsid w:val="00140575"/>
    <w:rsid w:val="00140778"/>
    <w:rsid w:val="0014079F"/>
    <w:rsid w:val="00140879"/>
    <w:rsid w:val="00140E90"/>
    <w:rsid w:val="00141405"/>
    <w:rsid w:val="001417AB"/>
    <w:rsid w:val="00141A2B"/>
    <w:rsid w:val="00141AC0"/>
    <w:rsid w:val="00141E69"/>
    <w:rsid w:val="001421EA"/>
    <w:rsid w:val="00142273"/>
    <w:rsid w:val="00142420"/>
    <w:rsid w:val="001429D1"/>
    <w:rsid w:val="00142C36"/>
    <w:rsid w:val="00142F85"/>
    <w:rsid w:val="00142F8A"/>
    <w:rsid w:val="00143658"/>
    <w:rsid w:val="00143CE5"/>
    <w:rsid w:val="00143D37"/>
    <w:rsid w:val="00143DCE"/>
    <w:rsid w:val="0014426C"/>
    <w:rsid w:val="00144627"/>
    <w:rsid w:val="00144A2F"/>
    <w:rsid w:val="00144BE3"/>
    <w:rsid w:val="00145648"/>
    <w:rsid w:val="0014587B"/>
    <w:rsid w:val="00145BE6"/>
    <w:rsid w:val="00145CFB"/>
    <w:rsid w:val="001461E6"/>
    <w:rsid w:val="00146CA7"/>
    <w:rsid w:val="00146DCA"/>
    <w:rsid w:val="00146F68"/>
    <w:rsid w:val="00147910"/>
    <w:rsid w:val="00147A79"/>
    <w:rsid w:val="001503E4"/>
    <w:rsid w:val="00150DBA"/>
    <w:rsid w:val="00150E9D"/>
    <w:rsid w:val="00151099"/>
    <w:rsid w:val="00151391"/>
    <w:rsid w:val="0015142E"/>
    <w:rsid w:val="00151504"/>
    <w:rsid w:val="00151549"/>
    <w:rsid w:val="00151851"/>
    <w:rsid w:val="001518E3"/>
    <w:rsid w:val="00151B5B"/>
    <w:rsid w:val="001529E4"/>
    <w:rsid w:val="00152B5F"/>
    <w:rsid w:val="00152DF2"/>
    <w:rsid w:val="00153302"/>
    <w:rsid w:val="00153561"/>
    <w:rsid w:val="001535D5"/>
    <w:rsid w:val="0015374C"/>
    <w:rsid w:val="001538BB"/>
    <w:rsid w:val="00153C69"/>
    <w:rsid w:val="0015455B"/>
    <w:rsid w:val="001548CD"/>
    <w:rsid w:val="0015494F"/>
    <w:rsid w:val="00154D99"/>
    <w:rsid w:val="0015503C"/>
    <w:rsid w:val="00155137"/>
    <w:rsid w:val="0015531A"/>
    <w:rsid w:val="001555BA"/>
    <w:rsid w:val="001555C5"/>
    <w:rsid w:val="001562F0"/>
    <w:rsid w:val="00156EE6"/>
    <w:rsid w:val="00156FDA"/>
    <w:rsid w:val="001571DE"/>
    <w:rsid w:val="00157303"/>
    <w:rsid w:val="001573AA"/>
    <w:rsid w:val="00157863"/>
    <w:rsid w:val="00157A84"/>
    <w:rsid w:val="00157E9E"/>
    <w:rsid w:val="00157F54"/>
    <w:rsid w:val="0016044A"/>
    <w:rsid w:val="001607EC"/>
    <w:rsid w:val="0016098F"/>
    <w:rsid w:val="00160C8C"/>
    <w:rsid w:val="00160D66"/>
    <w:rsid w:val="00160D6E"/>
    <w:rsid w:val="00160DE3"/>
    <w:rsid w:val="00160DF5"/>
    <w:rsid w:val="00161024"/>
    <w:rsid w:val="001616E7"/>
    <w:rsid w:val="001619AE"/>
    <w:rsid w:val="00161FA1"/>
    <w:rsid w:val="0016224B"/>
    <w:rsid w:val="00162C84"/>
    <w:rsid w:val="00162D70"/>
    <w:rsid w:val="00162E99"/>
    <w:rsid w:val="001630CF"/>
    <w:rsid w:val="001637D2"/>
    <w:rsid w:val="00163DCE"/>
    <w:rsid w:val="00164033"/>
    <w:rsid w:val="001641B9"/>
    <w:rsid w:val="001641BB"/>
    <w:rsid w:val="001644DC"/>
    <w:rsid w:val="0016457F"/>
    <w:rsid w:val="001646AA"/>
    <w:rsid w:val="00164773"/>
    <w:rsid w:val="0016501B"/>
    <w:rsid w:val="00165110"/>
    <w:rsid w:val="001651D5"/>
    <w:rsid w:val="00165B84"/>
    <w:rsid w:val="00165F98"/>
    <w:rsid w:val="0016645F"/>
    <w:rsid w:val="00166D26"/>
    <w:rsid w:val="00166DE1"/>
    <w:rsid w:val="00167118"/>
    <w:rsid w:val="001674A5"/>
    <w:rsid w:val="00167501"/>
    <w:rsid w:val="00167721"/>
    <w:rsid w:val="0016797A"/>
    <w:rsid w:val="00167EB6"/>
    <w:rsid w:val="00170467"/>
    <w:rsid w:val="001704A3"/>
    <w:rsid w:val="00170507"/>
    <w:rsid w:val="0017057F"/>
    <w:rsid w:val="00170596"/>
    <w:rsid w:val="0017080E"/>
    <w:rsid w:val="00170DFC"/>
    <w:rsid w:val="00171633"/>
    <w:rsid w:val="0017182B"/>
    <w:rsid w:val="00171841"/>
    <w:rsid w:val="00171AA9"/>
    <w:rsid w:val="00172129"/>
    <w:rsid w:val="001724BC"/>
    <w:rsid w:val="00172504"/>
    <w:rsid w:val="00172594"/>
    <w:rsid w:val="0017292A"/>
    <w:rsid w:val="00172A34"/>
    <w:rsid w:val="00172C24"/>
    <w:rsid w:val="00172C2A"/>
    <w:rsid w:val="00172C5E"/>
    <w:rsid w:val="00172E16"/>
    <w:rsid w:val="00172FCC"/>
    <w:rsid w:val="001737F4"/>
    <w:rsid w:val="00173AED"/>
    <w:rsid w:val="00173B00"/>
    <w:rsid w:val="00174088"/>
    <w:rsid w:val="001744D2"/>
    <w:rsid w:val="0017450F"/>
    <w:rsid w:val="00174576"/>
    <w:rsid w:val="00174B40"/>
    <w:rsid w:val="00174ED5"/>
    <w:rsid w:val="001751C8"/>
    <w:rsid w:val="001752C8"/>
    <w:rsid w:val="001757B0"/>
    <w:rsid w:val="00175928"/>
    <w:rsid w:val="00175D60"/>
    <w:rsid w:val="00175DAA"/>
    <w:rsid w:val="00175EEF"/>
    <w:rsid w:val="00175EF2"/>
    <w:rsid w:val="0017637D"/>
    <w:rsid w:val="00176626"/>
    <w:rsid w:val="00176803"/>
    <w:rsid w:val="00176879"/>
    <w:rsid w:val="00176A68"/>
    <w:rsid w:val="00176BD4"/>
    <w:rsid w:val="00176ECD"/>
    <w:rsid w:val="00177098"/>
    <w:rsid w:val="00177246"/>
    <w:rsid w:val="001774CB"/>
    <w:rsid w:val="00177A58"/>
    <w:rsid w:val="00177B53"/>
    <w:rsid w:val="00177C1C"/>
    <w:rsid w:val="00177E5A"/>
    <w:rsid w:val="00177E9D"/>
    <w:rsid w:val="00177EEF"/>
    <w:rsid w:val="00177FC5"/>
    <w:rsid w:val="00180228"/>
    <w:rsid w:val="00180283"/>
    <w:rsid w:val="00180563"/>
    <w:rsid w:val="00180ACF"/>
    <w:rsid w:val="00180B0D"/>
    <w:rsid w:val="00180E3E"/>
    <w:rsid w:val="001812E7"/>
    <w:rsid w:val="0018134E"/>
    <w:rsid w:val="00181606"/>
    <w:rsid w:val="00181A9F"/>
    <w:rsid w:val="00181C20"/>
    <w:rsid w:val="00181D93"/>
    <w:rsid w:val="00181E1E"/>
    <w:rsid w:val="00181F4C"/>
    <w:rsid w:val="00182048"/>
    <w:rsid w:val="0018205B"/>
    <w:rsid w:val="00182147"/>
    <w:rsid w:val="001825AF"/>
    <w:rsid w:val="0018265D"/>
    <w:rsid w:val="001829CB"/>
    <w:rsid w:val="00182A46"/>
    <w:rsid w:val="00182D83"/>
    <w:rsid w:val="00183492"/>
    <w:rsid w:val="001837B3"/>
    <w:rsid w:val="00183BF5"/>
    <w:rsid w:val="0018412F"/>
    <w:rsid w:val="00184384"/>
    <w:rsid w:val="00184436"/>
    <w:rsid w:val="00184476"/>
    <w:rsid w:val="00184A1D"/>
    <w:rsid w:val="00184BD8"/>
    <w:rsid w:val="00184F0D"/>
    <w:rsid w:val="00185714"/>
    <w:rsid w:val="00185EAB"/>
    <w:rsid w:val="001862F9"/>
    <w:rsid w:val="0018659B"/>
    <w:rsid w:val="001867C7"/>
    <w:rsid w:val="00186AD3"/>
    <w:rsid w:val="00186C0C"/>
    <w:rsid w:val="00187680"/>
    <w:rsid w:val="001878C1"/>
    <w:rsid w:val="00187F01"/>
    <w:rsid w:val="00187F64"/>
    <w:rsid w:val="0019036C"/>
    <w:rsid w:val="001904ED"/>
    <w:rsid w:val="0019093B"/>
    <w:rsid w:val="00190A50"/>
    <w:rsid w:val="00190A8D"/>
    <w:rsid w:val="00190B32"/>
    <w:rsid w:val="00190BB3"/>
    <w:rsid w:val="001913D4"/>
    <w:rsid w:val="00191779"/>
    <w:rsid w:val="001919A8"/>
    <w:rsid w:val="00191A05"/>
    <w:rsid w:val="001920FF"/>
    <w:rsid w:val="001921FB"/>
    <w:rsid w:val="00192265"/>
    <w:rsid w:val="00192948"/>
    <w:rsid w:val="00192E77"/>
    <w:rsid w:val="00192ECB"/>
    <w:rsid w:val="0019304D"/>
    <w:rsid w:val="001933EC"/>
    <w:rsid w:val="00193460"/>
    <w:rsid w:val="001936F5"/>
    <w:rsid w:val="00193785"/>
    <w:rsid w:val="00193912"/>
    <w:rsid w:val="00193C03"/>
    <w:rsid w:val="00193F26"/>
    <w:rsid w:val="00193FF0"/>
    <w:rsid w:val="0019423A"/>
    <w:rsid w:val="001943D3"/>
    <w:rsid w:val="00194A49"/>
    <w:rsid w:val="00194B05"/>
    <w:rsid w:val="00194D82"/>
    <w:rsid w:val="00194E10"/>
    <w:rsid w:val="00194FF5"/>
    <w:rsid w:val="0019532E"/>
    <w:rsid w:val="00195544"/>
    <w:rsid w:val="00195708"/>
    <w:rsid w:val="001958E7"/>
    <w:rsid w:val="001959D9"/>
    <w:rsid w:val="00195A08"/>
    <w:rsid w:val="00195AE2"/>
    <w:rsid w:val="00195CF3"/>
    <w:rsid w:val="00195DC1"/>
    <w:rsid w:val="00195DE6"/>
    <w:rsid w:val="00195E20"/>
    <w:rsid w:val="00195E79"/>
    <w:rsid w:val="001962CD"/>
    <w:rsid w:val="001962D1"/>
    <w:rsid w:val="00196518"/>
    <w:rsid w:val="00196865"/>
    <w:rsid w:val="00196B15"/>
    <w:rsid w:val="00196F25"/>
    <w:rsid w:val="00197880"/>
    <w:rsid w:val="00197A45"/>
    <w:rsid w:val="00197D61"/>
    <w:rsid w:val="001A03FA"/>
    <w:rsid w:val="001A053F"/>
    <w:rsid w:val="001A0825"/>
    <w:rsid w:val="001A088B"/>
    <w:rsid w:val="001A0A80"/>
    <w:rsid w:val="001A0FBE"/>
    <w:rsid w:val="001A1283"/>
    <w:rsid w:val="001A1379"/>
    <w:rsid w:val="001A13CA"/>
    <w:rsid w:val="001A165F"/>
    <w:rsid w:val="001A17E8"/>
    <w:rsid w:val="001A1B8D"/>
    <w:rsid w:val="001A1C1B"/>
    <w:rsid w:val="001A1E08"/>
    <w:rsid w:val="001A1E17"/>
    <w:rsid w:val="001A21B0"/>
    <w:rsid w:val="001A22F6"/>
    <w:rsid w:val="001A2441"/>
    <w:rsid w:val="001A24E7"/>
    <w:rsid w:val="001A262A"/>
    <w:rsid w:val="001A26CF"/>
    <w:rsid w:val="001A2752"/>
    <w:rsid w:val="001A2ADE"/>
    <w:rsid w:val="001A2E1A"/>
    <w:rsid w:val="001A3146"/>
    <w:rsid w:val="001A31F8"/>
    <w:rsid w:val="001A3F85"/>
    <w:rsid w:val="001A4046"/>
    <w:rsid w:val="001A4182"/>
    <w:rsid w:val="001A4463"/>
    <w:rsid w:val="001A44C5"/>
    <w:rsid w:val="001A4784"/>
    <w:rsid w:val="001A4A62"/>
    <w:rsid w:val="001A4C45"/>
    <w:rsid w:val="001A505B"/>
    <w:rsid w:val="001A50A1"/>
    <w:rsid w:val="001A5203"/>
    <w:rsid w:val="001A5315"/>
    <w:rsid w:val="001A534A"/>
    <w:rsid w:val="001A56EF"/>
    <w:rsid w:val="001A59AB"/>
    <w:rsid w:val="001A5BF9"/>
    <w:rsid w:val="001A5C8E"/>
    <w:rsid w:val="001A6501"/>
    <w:rsid w:val="001A67D5"/>
    <w:rsid w:val="001A6863"/>
    <w:rsid w:val="001A6DB2"/>
    <w:rsid w:val="001A7499"/>
    <w:rsid w:val="001A759B"/>
    <w:rsid w:val="001A78A0"/>
    <w:rsid w:val="001A79BD"/>
    <w:rsid w:val="001B0194"/>
    <w:rsid w:val="001B0467"/>
    <w:rsid w:val="001B067F"/>
    <w:rsid w:val="001B0853"/>
    <w:rsid w:val="001B08E3"/>
    <w:rsid w:val="001B0D58"/>
    <w:rsid w:val="001B0E1F"/>
    <w:rsid w:val="001B12ED"/>
    <w:rsid w:val="001B18B3"/>
    <w:rsid w:val="001B1B53"/>
    <w:rsid w:val="001B1E18"/>
    <w:rsid w:val="001B2175"/>
    <w:rsid w:val="001B2638"/>
    <w:rsid w:val="001B27D2"/>
    <w:rsid w:val="001B2B9A"/>
    <w:rsid w:val="001B2F7C"/>
    <w:rsid w:val="001B32EC"/>
    <w:rsid w:val="001B3400"/>
    <w:rsid w:val="001B3D2C"/>
    <w:rsid w:val="001B429A"/>
    <w:rsid w:val="001B45F0"/>
    <w:rsid w:val="001B469A"/>
    <w:rsid w:val="001B47D9"/>
    <w:rsid w:val="001B5411"/>
    <w:rsid w:val="001B5463"/>
    <w:rsid w:val="001B55EE"/>
    <w:rsid w:val="001B5618"/>
    <w:rsid w:val="001B56F9"/>
    <w:rsid w:val="001B57D6"/>
    <w:rsid w:val="001B5851"/>
    <w:rsid w:val="001B5A2E"/>
    <w:rsid w:val="001B5BC1"/>
    <w:rsid w:val="001B5DBB"/>
    <w:rsid w:val="001B5F36"/>
    <w:rsid w:val="001B6038"/>
    <w:rsid w:val="001B6139"/>
    <w:rsid w:val="001B619A"/>
    <w:rsid w:val="001B68CD"/>
    <w:rsid w:val="001B6ACE"/>
    <w:rsid w:val="001B6B78"/>
    <w:rsid w:val="001B6D5F"/>
    <w:rsid w:val="001B6DDD"/>
    <w:rsid w:val="001B7024"/>
    <w:rsid w:val="001B7234"/>
    <w:rsid w:val="001B7515"/>
    <w:rsid w:val="001B7920"/>
    <w:rsid w:val="001B7935"/>
    <w:rsid w:val="001B7AAE"/>
    <w:rsid w:val="001B7B72"/>
    <w:rsid w:val="001B7CD6"/>
    <w:rsid w:val="001C0BD9"/>
    <w:rsid w:val="001C0CE1"/>
    <w:rsid w:val="001C1453"/>
    <w:rsid w:val="001C156B"/>
    <w:rsid w:val="001C194B"/>
    <w:rsid w:val="001C1ADB"/>
    <w:rsid w:val="001C1B59"/>
    <w:rsid w:val="001C1D84"/>
    <w:rsid w:val="001C1E8D"/>
    <w:rsid w:val="001C2179"/>
    <w:rsid w:val="001C22E9"/>
    <w:rsid w:val="001C2393"/>
    <w:rsid w:val="001C2552"/>
    <w:rsid w:val="001C28BC"/>
    <w:rsid w:val="001C2B23"/>
    <w:rsid w:val="001C2D82"/>
    <w:rsid w:val="001C2F4D"/>
    <w:rsid w:val="001C353B"/>
    <w:rsid w:val="001C353E"/>
    <w:rsid w:val="001C3B8A"/>
    <w:rsid w:val="001C46FA"/>
    <w:rsid w:val="001C47EC"/>
    <w:rsid w:val="001C4920"/>
    <w:rsid w:val="001C4987"/>
    <w:rsid w:val="001C5161"/>
    <w:rsid w:val="001C57F7"/>
    <w:rsid w:val="001C5896"/>
    <w:rsid w:val="001C5A82"/>
    <w:rsid w:val="001C5BBB"/>
    <w:rsid w:val="001C5E8F"/>
    <w:rsid w:val="001C6459"/>
    <w:rsid w:val="001C678C"/>
    <w:rsid w:val="001C6A63"/>
    <w:rsid w:val="001C71FD"/>
    <w:rsid w:val="001C78B7"/>
    <w:rsid w:val="001C7B31"/>
    <w:rsid w:val="001C7B5B"/>
    <w:rsid w:val="001C7B6A"/>
    <w:rsid w:val="001C7DED"/>
    <w:rsid w:val="001C7DF1"/>
    <w:rsid w:val="001C7FE5"/>
    <w:rsid w:val="001D008C"/>
    <w:rsid w:val="001D07F7"/>
    <w:rsid w:val="001D08C6"/>
    <w:rsid w:val="001D0B21"/>
    <w:rsid w:val="001D0FA1"/>
    <w:rsid w:val="001D133D"/>
    <w:rsid w:val="001D15C1"/>
    <w:rsid w:val="001D1638"/>
    <w:rsid w:val="001D1694"/>
    <w:rsid w:val="001D182E"/>
    <w:rsid w:val="001D18AA"/>
    <w:rsid w:val="001D18D4"/>
    <w:rsid w:val="001D1B0C"/>
    <w:rsid w:val="001D261A"/>
    <w:rsid w:val="001D26D8"/>
    <w:rsid w:val="001D27AA"/>
    <w:rsid w:val="001D2A5B"/>
    <w:rsid w:val="001D2C35"/>
    <w:rsid w:val="001D2D35"/>
    <w:rsid w:val="001D2FD5"/>
    <w:rsid w:val="001D35DE"/>
    <w:rsid w:val="001D3752"/>
    <w:rsid w:val="001D39F1"/>
    <w:rsid w:val="001D3B14"/>
    <w:rsid w:val="001D3E88"/>
    <w:rsid w:val="001D4369"/>
    <w:rsid w:val="001D442F"/>
    <w:rsid w:val="001D464E"/>
    <w:rsid w:val="001D4909"/>
    <w:rsid w:val="001D490D"/>
    <w:rsid w:val="001D527E"/>
    <w:rsid w:val="001D5372"/>
    <w:rsid w:val="001D5473"/>
    <w:rsid w:val="001D5EF9"/>
    <w:rsid w:val="001D5FC2"/>
    <w:rsid w:val="001D60B9"/>
    <w:rsid w:val="001D6552"/>
    <w:rsid w:val="001D6AAD"/>
    <w:rsid w:val="001D6B17"/>
    <w:rsid w:val="001D72A4"/>
    <w:rsid w:val="001D738F"/>
    <w:rsid w:val="001D74CF"/>
    <w:rsid w:val="001D7A78"/>
    <w:rsid w:val="001D7ACF"/>
    <w:rsid w:val="001E0173"/>
    <w:rsid w:val="001E0825"/>
    <w:rsid w:val="001E0865"/>
    <w:rsid w:val="001E0A91"/>
    <w:rsid w:val="001E0B4F"/>
    <w:rsid w:val="001E0B57"/>
    <w:rsid w:val="001E0E68"/>
    <w:rsid w:val="001E0F67"/>
    <w:rsid w:val="001E176A"/>
    <w:rsid w:val="001E20F4"/>
    <w:rsid w:val="001E2926"/>
    <w:rsid w:val="001E2DAD"/>
    <w:rsid w:val="001E2F54"/>
    <w:rsid w:val="001E3052"/>
    <w:rsid w:val="001E32B5"/>
    <w:rsid w:val="001E3477"/>
    <w:rsid w:val="001E3743"/>
    <w:rsid w:val="001E37A5"/>
    <w:rsid w:val="001E3948"/>
    <w:rsid w:val="001E3A88"/>
    <w:rsid w:val="001E3B90"/>
    <w:rsid w:val="001E3CA1"/>
    <w:rsid w:val="001E3F94"/>
    <w:rsid w:val="001E3FD6"/>
    <w:rsid w:val="001E40D2"/>
    <w:rsid w:val="001E4103"/>
    <w:rsid w:val="001E414B"/>
    <w:rsid w:val="001E45A9"/>
    <w:rsid w:val="001E47B3"/>
    <w:rsid w:val="001E4A07"/>
    <w:rsid w:val="001E4BA5"/>
    <w:rsid w:val="001E4CB1"/>
    <w:rsid w:val="001E5180"/>
    <w:rsid w:val="001E527B"/>
    <w:rsid w:val="001E52CD"/>
    <w:rsid w:val="001E549D"/>
    <w:rsid w:val="001E56F3"/>
    <w:rsid w:val="001E5756"/>
    <w:rsid w:val="001E5A52"/>
    <w:rsid w:val="001E6340"/>
    <w:rsid w:val="001E6500"/>
    <w:rsid w:val="001E6C61"/>
    <w:rsid w:val="001E6CE8"/>
    <w:rsid w:val="001E6DF2"/>
    <w:rsid w:val="001E7012"/>
    <w:rsid w:val="001E731B"/>
    <w:rsid w:val="001E7347"/>
    <w:rsid w:val="001E736C"/>
    <w:rsid w:val="001E7925"/>
    <w:rsid w:val="001E7BF9"/>
    <w:rsid w:val="001E7C07"/>
    <w:rsid w:val="001E7CB3"/>
    <w:rsid w:val="001E7EC2"/>
    <w:rsid w:val="001E8666"/>
    <w:rsid w:val="001F0114"/>
    <w:rsid w:val="001F0175"/>
    <w:rsid w:val="001F09C7"/>
    <w:rsid w:val="001F0CBF"/>
    <w:rsid w:val="001F0F46"/>
    <w:rsid w:val="001F1451"/>
    <w:rsid w:val="001F14C8"/>
    <w:rsid w:val="001F19B7"/>
    <w:rsid w:val="001F19D4"/>
    <w:rsid w:val="001F19F2"/>
    <w:rsid w:val="001F1B53"/>
    <w:rsid w:val="001F1E31"/>
    <w:rsid w:val="001F1FF2"/>
    <w:rsid w:val="001F23B3"/>
    <w:rsid w:val="001F250D"/>
    <w:rsid w:val="001F2668"/>
    <w:rsid w:val="001F2749"/>
    <w:rsid w:val="001F27E8"/>
    <w:rsid w:val="001F28C8"/>
    <w:rsid w:val="001F292A"/>
    <w:rsid w:val="001F2A04"/>
    <w:rsid w:val="001F35AD"/>
    <w:rsid w:val="001F3AB3"/>
    <w:rsid w:val="001F3BCE"/>
    <w:rsid w:val="001F3F51"/>
    <w:rsid w:val="001F3F60"/>
    <w:rsid w:val="001F3F70"/>
    <w:rsid w:val="001F4062"/>
    <w:rsid w:val="001F4651"/>
    <w:rsid w:val="001F4AEE"/>
    <w:rsid w:val="001F528C"/>
    <w:rsid w:val="001F581E"/>
    <w:rsid w:val="001F5CB9"/>
    <w:rsid w:val="001F5D24"/>
    <w:rsid w:val="001F5FE0"/>
    <w:rsid w:val="001F6201"/>
    <w:rsid w:val="001F69BA"/>
    <w:rsid w:val="001F752C"/>
    <w:rsid w:val="001F7530"/>
    <w:rsid w:val="001F769E"/>
    <w:rsid w:val="001F76FB"/>
    <w:rsid w:val="002003F0"/>
    <w:rsid w:val="002006DF"/>
    <w:rsid w:val="002006E2"/>
    <w:rsid w:val="0020090F"/>
    <w:rsid w:val="002010D7"/>
    <w:rsid w:val="0020150C"/>
    <w:rsid w:val="00201C68"/>
    <w:rsid w:val="002020C7"/>
    <w:rsid w:val="00202381"/>
    <w:rsid w:val="002023CC"/>
    <w:rsid w:val="0020243F"/>
    <w:rsid w:val="00202473"/>
    <w:rsid w:val="00202599"/>
    <w:rsid w:val="0020272C"/>
    <w:rsid w:val="002028A9"/>
    <w:rsid w:val="00202BDE"/>
    <w:rsid w:val="00202D5E"/>
    <w:rsid w:val="0020348D"/>
    <w:rsid w:val="00203909"/>
    <w:rsid w:val="00203CA5"/>
    <w:rsid w:val="00203D12"/>
    <w:rsid w:val="002043CA"/>
    <w:rsid w:val="00204552"/>
    <w:rsid w:val="002047EC"/>
    <w:rsid w:val="00204982"/>
    <w:rsid w:val="00204A50"/>
    <w:rsid w:val="00204B09"/>
    <w:rsid w:val="00205112"/>
    <w:rsid w:val="00205287"/>
    <w:rsid w:val="002053CA"/>
    <w:rsid w:val="00205856"/>
    <w:rsid w:val="00205888"/>
    <w:rsid w:val="00205A14"/>
    <w:rsid w:val="00205BC7"/>
    <w:rsid w:val="002061DE"/>
    <w:rsid w:val="002063DD"/>
    <w:rsid w:val="00206763"/>
    <w:rsid w:val="002069FB"/>
    <w:rsid w:val="00206FB3"/>
    <w:rsid w:val="0020711D"/>
    <w:rsid w:val="002072DA"/>
    <w:rsid w:val="00207386"/>
    <w:rsid w:val="002076A6"/>
    <w:rsid w:val="00207F27"/>
    <w:rsid w:val="002103AC"/>
    <w:rsid w:val="002103F7"/>
    <w:rsid w:val="002104E7"/>
    <w:rsid w:val="00210501"/>
    <w:rsid w:val="0021064C"/>
    <w:rsid w:val="002107D2"/>
    <w:rsid w:val="00210951"/>
    <w:rsid w:val="00210C23"/>
    <w:rsid w:val="00210DCF"/>
    <w:rsid w:val="00210F5B"/>
    <w:rsid w:val="0021101F"/>
    <w:rsid w:val="00211035"/>
    <w:rsid w:val="00211221"/>
    <w:rsid w:val="002113DA"/>
    <w:rsid w:val="002126F3"/>
    <w:rsid w:val="0021295C"/>
    <w:rsid w:val="00213349"/>
    <w:rsid w:val="00213462"/>
    <w:rsid w:val="002134D1"/>
    <w:rsid w:val="00213968"/>
    <w:rsid w:val="00213D98"/>
    <w:rsid w:val="00213DD8"/>
    <w:rsid w:val="00213F13"/>
    <w:rsid w:val="00214006"/>
    <w:rsid w:val="00214798"/>
    <w:rsid w:val="00214AFC"/>
    <w:rsid w:val="00214D84"/>
    <w:rsid w:val="00214F33"/>
    <w:rsid w:val="002151E9"/>
    <w:rsid w:val="00215C06"/>
    <w:rsid w:val="00215C10"/>
    <w:rsid w:val="00215C17"/>
    <w:rsid w:val="00215D42"/>
    <w:rsid w:val="00216622"/>
    <w:rsid w:val="00216827"/>
    <w:rsid w:val="00216867"/>
    <w:rsid w:val="00216915"/>
    <w:rsid w:val="00216ADC"/>
    <w:rsid w:val="00216C3F"/>
    <w:rsid w:val="00216E18"/>
    <w:rsid w:val="002178C4"/>
    <w:rsid w:val="002178D5"/>
    <w:rsid w:val="00217926"/>
    <w:rsid w:val="0021795B"/>
    <w:rsid w:val="00217D0D"/>
    <w:rsid w:val="00217EC4"/>
    <w:rsid w:val="00217F33"/>
    <w:rsid w:val="0022028C"/>
    <w:rsid w:val="0022074E"/>
    <w:rsid w:val="00220B5A"/>
    <w:rsid w:val="002211C5"/>
    <w:rsid w:val="0022122A"/>
    <w:rsid w:val="00221377"/>
    <w:rsid w:val="002215AD"/>
    <w:rsid w:val="00221825"/>
    <w:rsid w:val="00221D26"/>
    <w:rsid w:val="00221DA6"/>
    <w:rsid w:val="002227C1"/>
    <w:rsid w:val="00222BAA"/>
    <w:rsid w:val="00222C02"/>
    <w:rsid w:val="00223002"/>
    <w:rsid w:val="0022346F"/>
    <w:rsid w:val="00223488"/>
    <w:rsid w:val="002236A3"/>
    <w:rsid w:val="0022375D"/>
    <w:rsid w:val="00223A17"/>
    <w:rsid w:val="00223B70"/>
    <w:rsid w:val="00223C9A"/>
    <w:rsid w:val="00224D82"/>
    <w:rsid w:val="00224E0A"/>
    <w:rsid w:val="00225160"/>
    <w:rsid w:val="00225331"/>
    <w:rsid w:val="0022533B"/>
    <w:rsid w:val="00225840"/>
    <w:rsid w:val="00225A60"/>
    <w:rsid w:val="00225AD6"/>
    <w:rsid w:val="00225EC5"/>
    <w:rsid w:val="00225ECF"/>
    <w:rsid w:val="00226015"/>
    <w:rsid w:val="00226038"/>
    <w:rsid w:val="00226430"/>
    <w:rsid w:val="0022644F"/>
    <w:rsid w:val="0022683C"/>
    <w:rsid w:val="0022686B"/>
    <w:rsid w:val="00226B6A"/>
    <w:rsid w:val="00226C46"/>
    <w:rsid w:val="00226F7C"/>
    <w:rsid w:val="00227230"/>
    <w:rsid w:val="002279D2"/>
    <w:rsid w:val="00227F66"/>
    <w:rsid w:val="00227F9B"/>
    <w:rsid w:val="00230064"/>
    <w:rsid w:val="0023039F"/>
    <w:rsid w:val="00230458"/>
    <w:rsid w:val="00230914"/>
    <w:rsid w:val="002315F7"/>
    <w:rsid w:val="00231909"/>
    <w:rsid w:val="00231BAB"/>
    <w:rsid w:val="00231EFB"/>
    <w:rsid w:val="002323B7"/>
    <w:rsid w:val="00232506"/>
    <w:rsid w:val="00232700"/>
    <w:rsid w:val="002329DB"/>
    <w:rsid w:val="00232ABA"/>
    <w:rsid w:val="00232E26"/>
    <w:rsid w:val="0023342C"/>
    <w:rsid w:val="002335A3"/>
    <w:rsid w:val="002335B2"/>
    <w:rsid w:val="002338E7"/>
    <w:rsid w:val="00233C3E"/>
    <w:rsid w:val="00233C77"/>
    <w:rsid w:val="00233D22"/>
    <w:rsid w:val="00234390"/>
    <w:rsid w:val="002343F2"/>
    <w:rsid w:val="002347B7"/>
    <w:rsid w:val="002347C3"/>
    <w:rsid w:val="002347DC"/>
    <w:rsid w:val="0023485F"/>
    <w:rsid w:val="002348EC"/>
    <w:rsid w:val="00234A76"/>
    <w:rsid w:val="00234DF1"/>
    <w:rsid w:val="00234FF5"/>
    <w:rsid w:val="002350C9"/>
    <w:rsid w:val="0023593D"/>
    <w:rsid w:val="00235B82"/>
    <w:rsid w:val="00235C39"/>
    <w:rsid w:val="00235D14"/>
    <w:rsid w:val="002362CD"/>
    <w:rsid w:val="0023654C"/>
    <w:rsid w:val="00236763"/>
    <w:rsid w:val="00236FEA"/>
    <w:rsid w:val="00237391"/>
    <w:rsid w:val="00237D01"/>
    <w:rsid w:val="002404FE"/>
    <w:rsid w:val="0024056B"/>
    <w:rsid w:val="00240656"/>
    <w:rsid w:val="002407B4"/>
    <w:rsid w:val="002408A8"/>
    <w:rsid w:val="00240C32"/>
    <w:rsid w:val="00240DD4"/>
    <w:rsid w:val="0024101F"/>
    <w:rsid w:val="0024145B"/>
    <w:rsid w:val="0024151F"/>
    <w:rsid w:val="002417EB"/>
    <w:rsid w:val="00241911"/>
    <w:rsid w:val="00241A9F"/>
    <w:rsid w:val="00241CE7"/>
    <w:rsid w:val="00241D18"/>
    <w:rsid w:val="00241E35"/>
    <w:rsid w:val="002421B2"/>
    <w:rsid w:val="002421C1"/>
    <w:rsid w:val="00242538"/>
    <w:rsid w:val="00242992"/>
    <w:rsid w:val="00242EBF"/>
    <w:rsid w:val="0024313D"/>
    <w:rsid w:val="0024315D"/>
    <w:rsid w:val="002432EC"/>
    <w:rsid w:val="00243780"/>
    <w:rsid w:val="002438B2"/>
    <w:rsid w:val="002439A0"/>
    <w:rsid w:val="00243CF8"/>
    <w:rsid w:val="002443B9"/>
    <w:rsid w:val="002448D1"/>
    <w:rsid w:val="00244A1D"/>
    <w:rsid w:val="00244BEE"/>
    <w:rsid w:val="00244C7B"/>
    <w:rsid w:val="00245201"/>
    <w:rsid w:val="00245576"/>
    <w:rsid w:val="002457F6"/>
    <w:rsid w:val="00245AD9"/>
    <w:rsid w:val="00245E78"/>
    <w:rsid w:val="0024678C"/>
    <w:rsid w:val="00246EBC"/>
    <w:rsid w:val="002471B3"/>
    <w:rsid w:val="002471E9"/>
    <w:rsid w:val="00247731"/>
    <w:rsid w:val="00247773"/>
    <w:rsid w:val="00247ECD"/>
    <w:rsid w:val="00250146"/>
    <w:rsid w:val="002503FF"/>
    <w:rsid w:val="0025067A"/>
    <w:rsid w:val="0025081D"/>
    <w:rsid w:val="002509B8"/>
    <w:rsid w:val="002509BC"/>
    <w:rsid w:val="00250BF5"/>
    <w:rsid w:val="00250E24"/>
    <w:rsid w:val="00251D35"/>
    <w:rsid w:val="00252137"/>
    <w:rsid w:val="0025253C"/>
    <w:rsid w:val="0025272E"/>
    <w:rsid w:val="00252C7B"/>
    <w:rsid w:val="00252F09"/>
    <w:rsid w:val="002532A2"/>
    <w:rsid w:val="00253701"/>
    <w:rsid w:val="00253892"/>
    <w:rsid w:val="002538D4"/>
    <w:rsid w:val="002539FC"/>
    <w:rsid w:val="00254256"/>
    <w:rsid w:val="00254310"/>
    <w:rsid w:val="0025476E"/>
    <w:rsid w:val="0025492C"/>
    <w:rsid w:val="00254AB6"/>
    <w:rsid w:val="00254B9D"/>
    <w:rsid w:val="00255231"/>
    <w:rsid w:val="002555F6"/>
    <w:rsid w:val="00255B39"/>
    <w:rsid w:val="0025600D"/>
    <w:rsid w:val="00256157"/>
    <w:rsid w:val="00256336"/>
    <w:rsid w:val="002566AF"/>
    <w:rsid w:val="002567A3"/>
    <w:rsid w:val="00256844"/>
    <w:rsid w:val="00256C79"/>
    <w:rsid w:val="00256CEA"/>
    <w:rsid w:val="0025756B"/>
    <w:rsid w:val="00260412"/>
    <w:rsid w:val="00260B9E"/>
    <w:rsid w:val="00260D29"/>
    <w:rsid w:val="00260FAD"/>
    <w:rsid w:val="002610E8"/>
    <w:rsid w:val="00261168"/>
    <w:rsid w:val="00261191"/>
    <w:rsid w:val="002612A6"/>
    <w:rsid w:val="0026189F"/>
    <w:rsid w:val="0026217E"/>
    <w:rsid w:val="002623E2"/>
    <w:rsid w:val="00262557"/>
    <w:rsid w:val="002625D2"/>
    <w:rsid w:val="00262BCB"/>
    <w:rsid w:val="00262C71"/>
    <w:rsid w:val="00262C79"/>
    <w:rsid w:val="00262E9A"/>
    <w:rsid w:val="00262FA2"/>
    <w:rsid w:val="00262FD6"/>
    <w:rsid w:val="002634F1"/>
    <w:rsid w:val="00263971"/>
    <w:rsid w:val="00263F80"/>
    <w:rsid w:val="00264348"/>
    <w:rsid w:val="0026443B"/>
    <w:rsid w:val="0026459F"/>
    <w:rsid w:val="002645C0"/>
    <w:rsid w:val="00264762"/>
    <w:rsid w:val="00264844"/>
    <w:rsid w:val="0026492B"/>
    <w:rsid w:val="00264CAF"/>
    <w:rsid w:val="00264D63"/>
    <w:rsid w:val="00264E15"/>
    <w:rsid w:val="002658E6"/>
    <w:rsid w:val="00265AA9"/>
    <w:rsid w:val="00265AAD"/>
    <w:rsid w:val="00265B8C"/>
    <w:rsid w:val="00266252"/>
    <w:rsid w:val="00266411"/>
    <w:rsid w:val="002678EA"/>
    <w:rsid w:val="00267AA4"/>
    <w:rsid w:val="00270109"/>
    <w:rsid w:val="002705E7"/>
    <w:rsid w:val="002706BD"/>
    <w:rsid w:val="00270AF1"/>
    <w:rsid w:val="00270B40"/>
    <w:rsid w:val="00270DAE"/>
    <w:rsid w:val="00270FA7"/>
    <w:rsid w:val="00271084"/>
    <w:rsid w:val="002711F1"/>
    <w:rsid w:val="0027157B"/>
    <w:rsid w:val="002716B4"/>
    <w:rsid w:val="00271814"/>
    <w:rsid w:val="00271952"/>
    <w:rsid w:val="00271D74"/>
    <w:rsid w:val="002720E5"/>
    <w:rsid w:val="00272687"/>
    <w:rsid w:val="0027292C"/>
    <w:rsid w:val="00272B0E"/>
    <w:rsid w:val="00272CC9"/>
    <w:rsid w:val="002730A7"/>
    <w:rsid w:val="002733AF"/>
    <w:rsid w:val="00273483"/>
    <w:rsid w:val="00273598"/>
    <w:rsid w:val="002736F2"/>
    <w:rsid w:val="00273706"/>
    <w:rsid w:val="00273C19"/>
    <w:rsid w:val="00273D3B"/>
    <w:rsid w:val="00273DED"/>
    <w:rsid w:val="00273EA8"/>
    <w:rsid w:val="0027408E"/>
    <w:rsid w:val="002740CA"/>
    <w:rsid w:val="00274131"/>
    <w:rsid w:val="00274148"/>
    <w:rsid w:val="0027426C"/>
    <w:rsid w:val="00274413"/>
    <w:rsid w:val="002747DA"/>
    <w:rsid w:val="0027496B"/>
    <w:rsid w:val="00274CFB"/>
    <w:rsid w:val="00274E21"/>
    <w:rsid w:val="002752E5"/>
    <w:rsid w:val="002752FE"/>
    <w:rsid w:val="00275F13"/>
    <w:rsid w:val="0027600F"/>
    <w:rsid w:val="002761C6"/>
    <w:rsid w:val="002761D5"/>
    <w:rsid w:val="00276311"/>
    <w:rsid w:val="00276A7B"/>
    <w:rsid w:val="00276AC1"/>
    <w:rsid w:val="00277003"/>
    <w:rsid w:val="002771EA"/>
    <w:rsid w:val="00277246"/>
    <w:rsid w:val="00277334"/>
    <w:rsid w:val="00277A08"/>
    <w:rsid w:val="00277C02"/>
    <w:rsid w:val="00277E24"/>
    <w:rsid w:val="00277FCC"/>
    <w:rsid w:val="002801A0"/>
    <w:rsid w:val="00280222"/>
    <w:rsid w:val="00280323"/>
    <w:rsid w:val="0028038E"/>
    <w:rsid w:val="00280642"/>
    <w:rsid w:val="002806DF"/>
    <w:rsid w:val="00280B79"/>
    <w:rsid w:val="00280C2D"/>
    <w:rsid w:val="00280D52"/>
    <w:rsid w:val="00280F53"/>
    <w:rsid w:val="00281845"/>
    <w:rsid w:val="00281A2D"/>
    <w:rsid w:val="00281D56"/>
    <w:rsid w:val="00281DF1"/>
    <w:rsid w:val="00281E23"/>
    <w:rsid w:val="00281F12"/>
    <w:rsid w:val="00281F90"/>
    <w:rsid w:val="002834CE"/>
    <w:rsid w:val="002835B4"/>
    <w:rsid w:val="002837E4"/>
    <w:rsid w:val="0028383C"/>
    <w:rsid w:val="0028397C"/>
    <w:rsid w:val="00283A9E"/>
    <w:rsid w:val="00284019"/>
    <w:rsid w:val="002842AE"/>
    <w:rsid w:val="00284607"/>
    <w:rsid w:val="0028472B"/>
    <w:rsid w:val="0028474C"/>
    <w:rsid w:val="00284787"/>
    <w:rsid w:val="00284903"/>
    <w:rsid w:val="00284A83"/>
    <w:rsid w:val="00284BEA"/>
    <w:rsid w:val="00284C9D"/>
    <w:rsid w:val="002856FB"/>
    <w:rsid w:val="00285BB2"/>
    <w:rsid w:val="00285D30"/>
    <w:rsid w:val="00286064"/>
    <w:rsid w:val="00286224"/>
    <w:rsid w:val="00286662"/>
    <w:rsid w:val="002868F4"/>
    <w:rsid w:val="002868F7"/>
    <w:rsid w:val="002869D6"/>
    <w:rsid w:val="00287036"/>
    <w:rsid w:val="00287127"/>
    <w:rsid w:val="00287504"/>
    <w:rsid w:val="00287703"/>
    <w:rsid w:val="002877B3"/>
    <w:rsid w:val="002878B9"/>
    <w:rsid w:val="002879D2"/>
    <w:rsid w:val="00287A67"/>
    <w:rsid w:val="00287B64"/>
    <w:rsid w:val="00287E9D"/>
    <w:rsid w:val="002900DA"/>
    <w:rsid w:val="002906FD"/>
    <w:rsid w:val="00290873"/>
    <w:rsid w:val="00290965"/>
    <w:rsid w:val="002909F0"/>
    <w:rsid w:val="00290BB7"/>
    <w:rsid w:val="002910FC"/>
    <w:rsid w:val="002912AE"/>
    <w:rsid w:val="002913FA"/>
    <w:rsid w:val="0029145A"/>
    <w:rsid w:val="00291716"/>
    <w:rsid w:val="002919AF"/>
    <w:rsid w:val="00291AAB"/>
    <w:rsid w:val="00291E55"/>
    <w:rsid w:val="00292116"/>
    <w:rsid w:val="00292345"/>
    <w:rsid w:val="002924FA"/>
    <w:rsid w:val="00292578"/>
    <w:rsid w:val="0029275E"/>
    <w:rsid w:val="00292A2E"/>
    <w:rsid w:val="00292CC9"/>
    <w:rsid w:val="00292D3D"/>
    <w:rsid w:val="00292DC0"/>
    <w:rsid w:val="002930D1"/>
    <w:rsid w:val="00293103"/>
    <w:rsid w:val="0029345F"/>
    <w:rsid w:val="0029364B"/>
    <w:rsid w:val="00293A2A"/>
    <w:rsid w:val="00293C95"/>
    <w:rsid w:val="00294025"/>
    <w:rsid w:val="002941B1"/>
    <w:rsid w:val="002941D0"/>
    <w:rsid w:val="00294A12"/>
    <w:rsid w:val="00294C7A"/>
    <w:rsid w:val="00294E37"/>
    <w:rsid w:val="00295181"/>
    <w:rsid w:val="00295691"/>
    <w:rsid w:val="00295827"/>
    <w:rsid w:val="002958F9"/>
    <w:rsid w:val="00295A3C"/>
    <w:rsid w:val="00295D7D"/>
    <w:rsid w:val="00295E96"/>
    <w:rsid w:val="00295F43"/>
    <w:rsid w:val="002963A9"/>
    <w:rsid w:val="00296785"/>
    <w:rsid w:val="002968B6"/>
    <w:rsid w:val="00296D35"/>
    <w:rsid w:val="00296DF4"/>
    <w:rsid w:val="002971C1"/>
    <w:rsid w:val="00297267"/>
    <w:rsid w:val="00297453"/>
    <w:rsid w:val="002975C4"/>
    <w:rsid w:val="002975D1"/>
    <w:rsid w:val="00297ABA"/>
    <w:rsid w:val="002A0CEB"/>
    <w:rsid w:val="002A16D8"/>
    <w:rsid w:val="002A1ECB"/>
    <w:rsid w:val="002A1F1D"/>
    <w:rsid w:val="002A212B"/>
    <w:rsid w:val="002A237C"/>
    <w:rsid w:val="002A29F8"/>
    <w:rsid w:val="002A2F9B"/>
    <w:rsid w:val="002A3677"/>
    <w:rsid w:val="002A36CC"/>
    <w:rsid w:val="002A3982"/>
    <w:rsid w:val="002A3E38"/>
    <w:rsid w:val="002A44C2"/>
    <w:rsid w:val="002A49D9"/>
    <w:rsid w:val="002A4C56"/>
    <w:rsid w:val="002A4D12"/>
    <w:rsid w:val="002A5115"/>
    <w:rsid w:val="002A551F"/>
    <w:rsid w:val="002A552A"/>
    <w:rsid w:val="002A57BC"/>
    <w:rsid w:val="002A612A"/>
    <w:rsid w:val="002A6218"/>
    <w:rsid w:val="002A6283"/>
    <w:rsid w:val="002A62AA"/>
    <w:rsid w:val="002A62E3"/>
    <w:rsid w:val="002A65FC"/>
    <w:rsid w:val="002A6848"/>
    <w:rsid w:val="002A699F"/>
    <w:rsid w:val="002A6A0D"/>
    <w:rsid w:val="002A6D13"/>
    <w:rsid w:val="002A6FC2"/>
    <w:rsid w:val="002A7122"/>
    <w:rsid w:val="002A7173"/>
    <w:rsid w:val="002A717D"/>
    <w:rsid w:val="002A7264"/>
    <w:rsid w:val="002A734C"/>
    <w:rsid w:val="002A741F"/>
    <w:rsid w:val="002A75B2"/>
    <w:rsid w:val="002A78D8"/>
    <w:rsid w:val="002A7A5D"/>
    <w:rsid w:val="002B0591"/>
    <w:rsid w:val="002B0624"/>
    <w:rsid w:val="002B08A9"/>
    <w:rsid w:val="002B0A95"/>
    <w:rsid w:val="002B1461"/>
    <w:rsid w:val="002B157D"/>
    <w:rsid w:val="002B16CE"/>
    <w:rsid w:val="002B1888"/>
    <w:rsid w:val="002B1DDF"/>
    <w:rsid w:val="002B1F2E"/>
    <w:rsid w:val="002B23A6"/>
    <w:rsid w:val="002B29DA"/>
    <w:rsid w:val="002B2B23"/>
    <w:rsid w:val="002B2C2D"/>
    <w:rsid w:val="002B2D22"/>
    <w:rsid w:val="002B2D9F"/>
    <w:rsid w:val="002B2EA5"/>
    <w:rsid w:val="002B312C"/>
    <w:rsid w:val="002B3273"/>
    <w:rsid w:val="002B3523"/>
    <w:rsid w:val="002B3845"/>
    <w:rsid w:val="002B3871"/>
    <w:rsid w:val="002B38D4"/>
    <w:rsid w:val="002B3B43"/>
    <w:rsid w:val="002B3BF4"/>
    <w:rsid w:val="002B3BF9"/>
    <w:rsid w:val="002B3D30"/>
    <w:rsid w:val="002B426D"/>
    <w:rsid w:val="002B42AA"/>
    <w:rsid w:val="002B49BA"/>
    <w:rsid w:val="002B4DCF"/>
    <w:rsid w:val="002B55A3"/>
    <w:rsid w:val="002B5AB1"/>
    <w:rsid w:val="002B5BA8"/>
    <w:rsid w:val="002B5C49"/>
    <w:rsid w:val="002B5E73"/>
    <w:rsid w:val="002B5F1D"/>
    <w:rsid w:val="002B69E7"/>
    <w:rsid w:val="002B6A7C"/>
    <w:rsid w:val="002B6BAB"/>
    <w:rsid w:val="002B6C24"/>
    <w:rsid w:val="002B6CB3"/>
    <w:rsid w:val="002B6CD4"/>
    <w:rsid w:val="002B6E4A"/>
    <w:rsid w:val="002B70B3"/>
    <w:rsid w:val="002B72F8"/>
    <w:rsid w:val="002B73DD"/>
    <w:rsid w:val="002B7770"/>
    <w:rsid w:val="002B7AAF"/>
    <w:rsid w:val="002B7BE7"/>
    <w:rsid w:val="002C015C"/>
    <w:rsid w:val="002C06B0"/>
    <w:rsid w:val="002C0A2B"/>
    <w:rsid w:val="002C0F1C"/>
    <w:rsid w:val="002C1272"/>
    <w:rsid w:val="002C156F"/>
    <w:rsid w:val="002C1A53"/>
    <w:rsid w:val="002C1B51"/>
    <w:rsid w:val="002C1B96"/>
    <w:rsid w:val="002C1C3E"/>
    <w:rsid w:val="002C204E"/>
    <w:rsid w:val="002C2569"/>
    <w:rsid w:val="002C278B"/>
    <w:rsid w:val="002C295D"/>
    <w:rsid w:val="002C2AC9"/>
    <w:rsid w:val="002C2D50"/>
    <w:rsid w:val="002C301D"/>
    <w:rsid w:val="002C304B"/>
    <w:rsid w:val="002C30CC"/>
    <w:rsid w:val="002C352D"/>
    <w:rsid w:val="002C355E"/>
    <w:rsid w:val="002C356D"/>
    <w:rsid w:val="002C35C2"/>
    <w:rsid w:val="002C3711"/>
    <w:rsid w:val="002C39ED"/>
    <w:rsid w:val="002C3A78"/>
    <w:rsid w:val="002C3C71"/>
    <w:rsid w:val="002C40DE"/>
    <w:rsid w:val="002C47D7"/>
    <w:rsid w:val="002C524D"/>
    <w:rsid w:val="002C52A8"/>
    <w:rsid w:val="002C5443"/>
    <w:rsid w:val="002C571B"/>
    <w:rsid w:val="002C58FF"/>
    <w:rsid w:val="002C5A40"/>
    <w:rsid w:val="002C5CC0"/>
    <w:rsid w:val="002C649C"/>
    <w:rsid w:val="002C65BA"/>
    <w:rsid w:val="002C6B26"/>
    <w:rsid w:val="002C6ED6"/>
    <w:rsid w:val="002C71C9"/>
    <w:rsid w:val="002C726A"/>
    <w:rsid w:val="002C7338"/>
    <w:rsid w:val="002C74F9"/>
    <w:rsid w:val="002C7710"/>
    <w:rsid w:val="002C77C1"/>
    <w:rsid w:val="002C7CFB"/>
    <w:rsid w:val="002C7E30"/>
    <w:rsid w:val="002D07D2"/>
    <w:rsid w:val="002D09AD"/>
    <w:rsid w:val="002D0C54"/>
    <w:rsid w:val="002D0C5C"/>
    <w:rsid w:val="002D17B7"/>
    <w:rsid w:val="002D19AF"/>
    <w:rsid w:val="002D1EB4"/>
    <w:rsid w:val="002D20AF"/>
    <w:rsid w:val="002D21F6"/>
    <w:rsid w:val="002D2285"/>
    <w:rsid w:val="002D23B9"/>
    <w:rsid w:val="002D23E4"/>
    <w:rsid w:val="002D2BAB"/>
    <w:rsid w:val="002D314C"/>
    <w:rsid w:val="002D33B7"/>
    <w:rsid w:val="002D36B9"/>
    <w:rsid w:val="002D3B9E"/>
    <w:rsid w:val="002D43EA"/>
    <w:rsid w:val="002D457F"/>
    <w:rsid w:val="002D4A00"/>
    <w:rsid w:val="002D4D67"/>
    <w:rsid w:val="002D4DAC"/>
    <w:rsid w:val="002D508B"/>
    <w:rsid w:val="002D54E5"/>
    <w:rsid w:val="002D57F1"/>
    <w:rsid w:val="002D5A37"/>
    <w:rsid w:val="002D5BA7"/>
    <w:rsid w:val="002D6079"/>
    <w:rsid w:val="002D613C"/>
    <w:rsid w:val="002D6298"/>
    <w:rsid w:val="002D65E4"/>
    <w:rsid w:val="002D6950"/>
    <w:rsid w:val="002D6B9A"/>
    <w:rsid w:val="002D71AB"/>
    <w:rsid w:val="002D7207"/>
    <w:rsid w:val="002D7233"/>
    <w:rsid w:val="002D73F4"/>
    <w:rsid w:val="002D7449"/>
    <w:rsid w:val="002D74B9"/>
    <w:rsid w:val="002D7709"/>
    <w:rsid w:val="002D79D6"/>
    <w:rsid w:val="002D7E35"/>
    <w:rsid w:val="002E009D"/>
    <w:rsid w:val="002E0309"/>
    <w:rsid w:val="002E0577"/>
    <w:rsid w:val="002E05A7"/>
    <w:rsid w:val="002E0923"/>
    <w:rsid w:val="002E0D95"/>
    <w:rsid w:val="002E0E90"/>
    <w:rsid w:val="002E111A"/>
    <w:rsid w:val="002E1279"/>
    <w:rsid w:val="002E1294"/>
    <w:rsid w:val="002E147C"/>
    <w:rsid w:val="002E178D"/>
    <w:rsid w:val="002E18C6"/>
    <w:rsid w:val="002E19BF"/>
    <w:rsid w:val="002E1D28"/>
    <w:rsid w:val="002E234A"/>
    <w:rsid w:val="002E25A2"/>
    <w:rsid w:val="002E2750"/>
    <w:rsid w:val="002E2B90"/>
    <w:rsid w:val="002E34FE"/>
    <w:rsid w:val="002E3971"/>
    <w:rsid w:val="002E3A05"/>
    <w:rsid w:val="002E3A34"/>
    <w:rsid w:val="002E3B88"/>
    <w:rsid w:val="002E3C14"/>
    <w:rsid w:val="002E3F41"/>
    <w:rsid w:val="002E4632"/>
    <w:rsid w:val="002E4C1B"/>
    <w:rsid w:val="002E4E38"/>
    <w:rsid w:val="002E4EB4"/>
    <w:rsid w:val="002E52E3"/>
    <w:rsid w:val="002E580E"/>
    <w:rsid w:val="002E5A66"/>
    <w:rsid w:val="002E60AF"/>
    <w:rsid w:val="002E62AE"/>
    <w:rsid w:val="002E62C3"/>
    <w:rsid w:val="002E65F0"/>
    <w:rsid w:val="002E6794"/>
    <w:rsid w:val="002E689B"/>
    <w:rsid w:val="002E68AA"/>
    <w:rsid w:val="002E6B94"/>
    <w:rsid w:val="002E708D"/>
    <w:rsid w:val="002E7630"/>
    <w:rsid w:val="002E7AA6"/>
    <w:rsid w:val="002E7CF7"/>
    <w:rsid w:val="002E7DAA"/>
    <w:rsid w:val="002E7FAC"/>
    <w:rsid w:val="002F0393"/>
    <w:rsid w:val="002F05A8"/>
    <w:rsid w:val="002F08DD"/>
    <w:rsid w:val="002F0F6C"/>
    <w:rsid w:val="002F0FD6"/>
    <w:rsid w:val="002F143B"/>
    <w:rsid w:val="002F14C3"/>
    <w:rsid w:val="002F1510"/>
    <w:rsid w:val="002F18E9"/>
    <w:rsid w:val="002F1C05"/>
    <w:rsid w:val="002F1E00"/>
    <w:rsid w:val="002F1F40"/>
    <w:rsid w:val="002F2439"/>
    <w:rsid w:val="002F2BB9"/>
    <w:rsid w:val="002F2CCA"/>
    <w:rsid w:val="002F38E4"/>
    <w:rsid w:val="002F3D07"/>
    <w:rsid w:val="002F3D11"/>
    <w:rsid w:val="002F4134"/>
    <w:rsid w:val="002F4248"/>
    <w:rsid w:val="002F4335"/>
    <w:rsid w:val="002F4D4E"/>
    <w:rsid w:val="002F4D78"/>
    <w:rsid w:val="002F4E75"/>
    <w:rsid w:val="002F5350"/>
    <w:rsid w:val="002F5362"/>
    <w:rsid w:val="002F573B"/>
    <w:rsid w:val="002F5793"/>
    <w:rsid w:val="002F57BF"/>
    <w:rsid w:val="002F5807"/>
    <w:rsid w:val="002F5BD0"/>
    <w:rsid w:val="002F5BD9"/>
    <w:rsid w:val="002F6044"/>
    <w:rsid w:val="002F61CA"/>
    <w:rsid w:val="002F65A3"/>
    <w:rsid w:val="002F6721"/>
    <w:rsid w:val="002F6A42"/>
    <w:rsid w:val="002F6F95"/>
    <w:rsid w:val="002F6FFA"/>
    <w:rsid w:val="002F7426"/>
    <w:rsid w:val="002F7436"/>
    <w:rsid w:val="002F7633"/>
    <w:rsid w:val="002F76E8"/>
    <w:rsid w:val="002F7921"/>
    <w:rsid w:val="002F7AFA"/>
    <w:rsid w:val="002F7B1F"/>
    <w:rsid w:val="002F7CA5"/>
    <w:rsid w:val="002F7D00"/>
    <w:rsid w:val="002F7DC0"/>
    <w:rsid w:val="002F7EAC"/>
    <w:rsid w:val="003000D9"/>
    <w:rsid w:val="0030011C"/>
    <w:rsid w:val="003001E6"/>
    <w:rsid w:val="0030032E"/>
    <w:rsid w:val="003005F9"/>
    <w:rsid w:val="003009FD"/>
    <w:rsid w:val="00300E31"/>
    <w:rsid w:val="0030101C"/>
    <w:rsid w:val="0030177B"/>
    <w:rsid w:val="00301A4B"/>
    <w:rsid w:val="00301C3A"/>
    <w:rsid w:val="00301D9C"/>
    <w:rsid w:val="0030224A"/>
    <w:rsid w:val="00302A4C"/>
    <w:rsid w:val="00302F8C"/>
    <w:rsid w:val="00303302"/>
    <w:rsid w:val="003033EF"/>
    <w:rsid w:val="00303527"/>
    <w:rsid w:val="0030368F"/>
    <w:rsid w:val="0030377C"/>
    <w:rsid w:val="00303A95"/>
    <w:rsid w:val="00303AA1"/>
    <w:rsid w:val="00303C86"/>
    <w:rsid w:val="00303CB8"/>
    <w:rsid w:val="00303CEA"/>
    <w:rsid w:val="003041B1"/>
    <w:rsid w:val="00304302"/>
    <w:rsid w:val="003044FD"/>
    <w:rsid w:val="00304536"/>
    <w:rsid w:val="0030474F"/>
    <w:rsid w:val="00304910"/>
    <w:rsid w:val="00304BE4"/>
    <w:rsid w:val="00304F70"/>
    <w:rsid w:val="00304F79"/>
    <w:rsid w:val="00305182"/>
    <w:rsid w:val="003052BA"/>
    <w:rsid w:val="0030561A"/>
    <w:rsid w:val="003058F2"/>
    <w:rsid w:val="00305FC7"/>
    <w:rsid w:val="00306217"/>
    <w:rsid w:val="00306400"/>
    <w:rsid w:val="003065E5"/>
    <w:rsid w:val="00306A7C"/>
    <w:rsid w:val="00306D74"/>
    <w:rsid w:val="0030723C"/>
    <w:rsid w:val="00307264"/>
    <w:rsid w:val="00307269"/>
    <w:rsid w:val="003076FD"/>
    <w:rsid w:val="00307D8D"/>
    <w:rsid w:val="00307E26"/>
    <w:rsid w:val="00307E59"/>
    <w:rsid w:val="003102CE"/>
    <w:rsid w:val="00310601"/>
    <w:rsid w:val="00310CDF"/>
    <w:rsid w:val="003114EE"/>
    <w:rsid w:val="003114FC"/>
    <w:rsid w:val="00311610"/>
    <w:rsid w:val="0031183D"/>
    <w:rsid w:val="00311B61"/>
    <w:rsid w:val="00311F15"/>
    <w:rsid w:val="00311F8C"/>
    <w:rsid w:val="0031240B"/>
    <w:rsid w:val="00312605"/>
    <w:rsid w:val="003126C6"/>
    <w:rsid w:val="003126E7"/>
    <w:rsid w:val="003127A7"/>
    <w:rsid w:val="00312857"/>
    <w:rsid w:val="00312A49"/>
    <w:rsid w:val="00312CA4"/>
    <w:rsid w:val="00312DDC"/>
    <w:rsid w:val="00312DF0"/>
    <w:rsid w:val="00312FB5"/>
    <w:rsid w:val="003130CD"/>
    <w:rsid w:val="00313364"/>
    <w:rsid w:val="00313C5D"/>
    <w:rsid w:val="00313D52"/>
    <w:rsid w:val="00314208"/>
    <w:rsid w:val="0031434A"/>
    <w:rsid w:val="00314448"/>
    <w:rsid w:val="0031465D"/>
    <w:rsid w:val="0031469C"/>
    <w:rsid w:val="0031497B"/>
    <w:rsid w:val="00314A99"/>
    <w:rsid w:val="00314CE1"/>
    <w:rsid w:val="00315AE0"/>
    <w:rsid w:val="00316270"/>
    <w:rsid w:val="003163B8"/>
    <w:rsid w:val="00316413"/>
    <w:rsid w:val="003164B2"/>
    <w:rsid w:val="003167E6"/>
    <w:rsid w:val="00316955"/>
    <w:rsid w:val="00316D3D"/>
    <w:rsid w:val="0031702E"/>
    <w:rsid w:val="003174AD"/>
    <w:rsid w:val="0031773D"/>
    <w:rsid w:val="003178D5"/>
    <w:rsid w:val="00317B96"/>
    <w:rsid w:val="00317C2C"/>
    <w:rsid w:val="0032014C"/>
    <w:rsid w:val="003205AC"/>
    <w:rsid w:val="0032076D"/>
    <w:rsid w:val="003207EC"/>
    <w:rsid w:val="0032124C"/>
    <w:rsid w:val="0032132E"/>
    <w:rsid w:val="003217B4"/>
    <w:rsid w:val="003218FC"/>
    <w:rsid w:val="00321A17"/>
    <w:rsid w:val="00321CAB"/>
    <w:rsid w:val="00321F2F"/>
    <w:rsid w:val="003220CE"/>
    <w:rsid w:val="00322639"/>
    <w:rsid w:val="003229C8"/>
    <w:rsid w:val="00322C71"/>
    <w:rsid w:val="003231B3"/>
    <w:rsid w:val="00323206"/>
    <w:rsid w:val="00323258"/>
    <w:rsid w:val="0032340D"/>
    <w:rsid w:val="003235F1"/>
    <w:rsid w:val="0032384A"/>
    <w:rsid w:val="00323929"/>
    <w:rsid w:val="00323BDD"/>
    <w:rsid w:val="00323BF0"/>
    <w:rsid w:val="00323D23"/>
    <w:rsid w:val="00323F80"/>
    <w:rsid w:val="00324034"/>
    <w:rsid w:val="0032407A"/>
    <w:rsid w:val="00324480"/>
    <w:rsid w:val="00324827"/>
    <w:rsid w:val="0032519B"/>
    <w:rsid w:val="003252BE"/>
    <w:rsid w:val="003253C2"/>
    <w:rsid w:val="0032590B"/>
    <w:rsid w:val="00325E90"/>
    <w:rsid w:val="00326166"/>
    <w:rsid w:val="00326197"/>
    <w:rsid w:val="00326217"/>
    <w:rsid w:val="003263AD"/>
    <w:rsid w:val="00327085"/>
    <w:rsid w:val="00327345"/>
    <w:rsid w:val="00327549"/>
    <w:rsid w:val="0032788D"/>
    <w:rsid w:val="00327AFF"/>
    <w:rsid w:val="00327EBB"/>
    <w:rsid w:val="00330024"/>
    <w:rsid w:val="003302AA"/>
    <w:rsid w:val="00330378"/>
    <w:rsid w:val="00330671"/>
    <w:rsid w:val="003307F6"/>
    <w:rsid w:val="003308E8"/>
    <w:rsid w:val="00331109"/>
    <w:rsid w:val="00331491"/>
    <w:rsid w:val="00331571"/>
    <w:rsid w:val="003315A4"/>
    <w:rsid w:val="003316CE"/>
    <w:rsid w:val="003317EE"/>
    <w:rsid w:val="00331A07"/>
    <w:rsid w:val="00331DF0"/>
    <w:rsid w:val="00331E4E"/>
    <w:rsid w:val="00331F30"/>
    <w:rsid w:val="00332058"/>
    <w:rsid w:val="00332076"/>
    <w:rsid w:val="003321A6"/>
    <w:rsid w:val="003322D8"/>
    <w:rsid w:val="00332393"/>
    <w:rsid w:val="003326B9"/>
    <w:rsid w:val="003326D3"/>
    <w:rsid w:val="003327E4"/>
    <w:rsid w:val="00332888"/>
    <w:rsid w:val="00332BC9"/>
    <w:rsid w:val="00332E9C"/>
    <w:rsid w:val="0033323B"/>
    <w:rsid w:val="0033331A"/>
    <w:rsid w:val="00333356"/>
    <w:rsid w:val="00333C4D"/>
    <w:rsid w:val="003341D0"/>
    <w:rsid w:val="0033481B"/>
    <w:rsid w:val="00334969"/>
    <w:rsid w:val="00334CAA"/>
    <w:rsid w:val="00334DA4"/>
    <w:rsid w:val="00334F00"/>
    <w:rsid w:val="00335031"/>
    <w:rsid w:val="0033527D"/>
    <w:rsid w:val="003356F9"/>
    <w:rsid w:val="00335E10"/>
    <w:rsid w:val="0033626B"/>
    <w:rsid w:val="00336375"/>
    <w:rsid w:val="003364C4"/>
    <w:rsid w:val="003366C0"/>
    <w:rsid w:val="0033675C"/>
    <w:rsid w:val="003367C3"/>
    <w:rsid w:val="00336D3C"/>
    <w:rsid w:val="00336D98"/>
    <w:rsid w:val="00336ECE"/>
    <w:rsid w:val="00336F32"/>
    <w:rsid w:val="0033714A"/>
    <w:rsid w:val="00337437"/>
    <w:rsid w:val="003378D6"/>
    <w:rsid w:val="003379F0"/>
    <w:rsid w:val="00337BCF"/>
    <w:rsid w:val="0034003F"/>
    <w:rsid w:val="003408DE"/>
    <w:rsid w:val="00340915"/>
    <w:rsid w:val="00340CA7"/>
    <w:rsid w:val="00340EEE"/>
    <w:rsid w:val="00340F8B"/>
    <w:rsid w:val="00341645"/>
    <w:rsid w:val="0034180C"/>
    <w:rsid w:val="00342C66"/>
    <w:rsid w:val="0034337F"/>
    <w:rsid w:val="00343510"/>
    <w:rsid w:val="00343987"/>
    <w:rsid w:val="00343BAC"/>
    <w:rsid w:val="00343BF7"/>
    <w:rsid w:val="00343C57"/>
    <w:rsid w:val="00343DC3"/>
    <w:rsid w:val="00343DEB"/>
    <w:rsid w:val="00343E99"/>
    <w:rsid w:val="00343F58"/>
    <w:rsid w:val="00343F74"/>
    <w:rsid w:val="0034416B"/>
    <w:rsid w:val="003441F9"/>
    <w:rsid w:val="00345452"/>
    <w:rsid w:val="0034545F"/>
    <w:rsid w:val="003459F2"/>
    <w:rsid w:val="00345B48"/>
    <w:rsid w:val="00345EA7"/>
    <w:rsid w:val="0034618E"/>
    <w:rsid w:val="00346362"/>
    <w:rsid w:val="003463A1"/>
    <w:rsid w:val="003466E8"/>
    <w:rsid w:val="00347297"/>
    <w:rsid w:val="00347340"/>
    <w:rsid w:val="00347349"/>
    <w:rsid w:val="00347734"/>
    <w:rsid w:val="00347ACA"/>
    <w:rsid w:val="00347E0C"/>
    <w:rsid w:val="003500DB"/>
    <w:rsid w:val="003505A6"/>
    <w:rsid w:val="00350653"/>
    <w:rsid w:val="003509C6"/>
    <w:rsid w:val="003509D0"/>
    <w:rsid w:val="00350B7E"/>
    <w:rsid w:val="00351475"/>
    <w:rsid w:val="00351A2B"/>
    <w:rsid w:val="00351BC6"/>
    <w:rsid w:val="00352095"/>
    <w:rsid w:val="0035226E"/>
    <w:rsid w:val="00352536"/>
    <w:rsid w:val="00352776"/>
    <w:rsid w:val="00352788"/>
    <w:rsid w:val="003527CD"/>
    <w:rsid w:val="003528E0"/>
    <w:rsid w:val="00352AB7"/>
    <w:rsid w:val="00352F03"/>
    <w:rsid w:val="00353992"/>
    <w:rsid w:val="00353A5D"/>
    <w:rsid w:val="00353B88"/>
    <w:rsid w:val="003545F6"/>
    <w:rsid w:val="00354784"/>
    <w:rsid w:val="003547FD"/>
    <w:rsid w:val="0035508F"/>
    <w:rsid w:val="003552F3"/>
    <w:rsid w:val="003553F1"/>
    <w:rsid w:val="0035543A"/>
    <w:rsid w:val="003554A5"/>
    <w:rsid w:val="003554E0"/>
    <w:rsid w:val="003555CD"/>
    <w:rsid w:val="003559A3"/>
    <w:rsid w:val="003559F3"/>
    <w:rsid w:val="00355B9B"/>
    <w:rsid w:val="00355CE4"/>
    <w:rsid w:val="00355DB8"/>
    <w:rsid w:val="00355FF6"/>
    <w:rsid w:val="00356201"/>
    <w:rsid w:val="003562FE"/>
    <w:rsid w:val="0035632A"/>
    <w:rsid w:val="0035675C"/>
    <w:rsid w:val="00356772"/>
    <w:rsid w:val="003569D1"/>
    <w:rsid w:val="00356B2B"/>
    <w:rsid w:val="003578FE"/>
    <w:rsid w:val="00357982"/>
    <w:rsid w:val="00357C16"/>
    <w:rsid w:val="00357E3F"/>
    <w:rsid w:val="00357EA2"/>
    <w:rsid w:val="00357EC8"/>
    <w:rsid w:val="003608ED"/>
    <w:rsid w:val="00360AC1"/>
    <w:rsid w:val="00360BEF"/>
    <w:rsid w:val="00360FBB"/>
    <w:rsid w:val="003614BF"/>
    <w:rsid w:val="00361520"/>
    <w:rsid w:val="00361642"/>
    <w:rsid w:val="003616AB"/>
    <w:rsid w:val="00361731"/>
    <w:rsid w:val="003620D4"/>
    <w:rsid w:val="003621B0"/>
    <w:rsid w:val="0036244F"/>
    <w:rsid w:val="003624F1"/>
    <w:rsid w:val="00362A4F"/>
    <w:rsid w:val="00362B5E"/>
    <w:rsid w:val="00362B6A"/>
    <w:rsid w:val="00362BEC"/>
    <w:rsid w:val="003630A0"/>
    <w:rsid w:val="00363201"/>
    <w:rsid w:val="003632ED"/>
    <w:rsid w:val="0036387C"/>
    <w:rsid w:val="00363E44"/>
    <w:rsid w:val="0036431D"/>
    <w:rsid w:val="00364413"/>
    <w:rsid w:val="00364695"/>
    <w:rsid w:val="00364768"/>
    <w:rsid w:val="00364C17"/>
    <w:rsid w:val="00364D64"/>
    <w:rsid w:val="00365064"/>
    <w:rsid w:val="0036536C"/>
    <w:rsid w:val="003654C0"/>
    <w:rsid w:val="00365DFF"/>
    <w:rsid w:val="00365E4E"/>
    <w:rsid w:val="0036601F"/>
    <w:rsid w:val="00366078"/>
    <w:rsid w:val="003664FC"/>
    <w:rsid w:val="00366543"/>
    <w:rsid w:val="003665EE"/>
    <w:rsid w:val="00366716"/>
    <w:rsid w:val="00366BBB"/>
    <w:rsid w:val="00366C33"/>
    <w:rsid w:val="00366CA5"/>
    <w:rsid w:val="00366E32"/>
    <w:rsid w:val="00367003"/>
    <w:rsid w:val="003677B6"/>
    <w:rsid w:val="003679EA"/>
    <w:rsid w:val="00367C3A"/>
    <w:rsid w:val="00367D12"/>
    <w:rsid w:val="00367DDD"/>
    <w:rsid w:val="00367E78"/>
    <w:rsid w:val="00367E9D"/>
    <w:rsid w:val="0037080C"/>
    <w:rsid w:val="00370CA5"/>
    <w:rsid w:val="00370E7C"/>
    <w:rsid w:val="00370F38"/>
    <w:rsid w:val="003712BE"/>
    <w:rsid w:val="003715A2"/>
    <w:rsid w:val="003715F9"/>
    <w:rsid w:val="003717BB"/>
    <w:rsid w:val="00371939"/>
    <w:rsid w:val="00371F28"/>
    <w:rsid w:val="00371F34"/>
    <w:rsid w:val="003725F5"/>
    <w:rsid w:val="00372A5A"/>
    <w:rsid w:val="0037311D"/>
    <w:rsid w:val="003731CE"/>
    <w:rsid w:val="00373267"/>
    <w:rsid w:val="00373515"/>
    <w:rsid w:val="003737D1"/>
    <w:rsid w:val="003743A3"/>
    <w:rsid w:val="0037467C"/>
    <w:rsid w:val="00374CA7"/>
    <w:rsid w:val="00374DCA"/>
    <w:rsid w:val="00374E61"/>
    <w:rsid w:val="0037506E"/>
    <w:rsid w:val="003751AF"/>
    <w:rsid w:val="003754DD"/>
    <w:rsid w:val="0037564D"/>
    <w:rsid w:val="00375B53"/>
    <w:rsid w:val="00375B82"/>
    <w:rsid w:val="0037656E"/>
    <w:rsid w:val="00376616"/>
    <w:rsid w:val="003768BC"/>
    <w:rsid w:val="00376A4E"/>
    <w:rsid w:val="00376C32"/>
    <w:rsid w:val="00377320"/>
    <w:rsid w:val="0037733F"/>
    <w:rsid w:val="0037734D"/>
    <w:rsid w:val="003773C9"/>
    <w:rsid w:val="00377517"/>
    <w:rsid w:val="003775C0"/>
    <w:rsid w:val="00377746"/>
    <w:rsid w:val="00377B81"/>
    <w:rsid w:val="00380ACB"/>
    <w:rsid w:val="0038123D"/>
    <w:rsid w:val="00381424"/>
    <w:rsid w:val="00381626"/>
    <w:rsid w:val="003817CC"/>
    <w:rsid w:val="00381B79"/>
    <w:rsid w:val="00381C89"/>
    <w:rsid w:val="00381C96"/>
    <w:rsid w:val="003826F8"/>
    <w:rsid w:val="003827FA"/>
    <w:rsid w:val="0038284F"/>
    <w:rsid w:val="00382ABA"/>
    <w:rsid w:val="00382BE1"/>
    <w:rsid w:val="00382BFF"/>
    <w:rsid w:val="00382F47"/>
    <w:rsid w:val="00383227"/>
    <w:rsid w:val="0038356B"/>
    <w:rsid w:val="00383D25"/>
    <w:rsid w:val="0038408F"/>
    <w:rsid w:val="003840E6"/>
    <w:rsid w:val="0038474F"/>
    <w:rsid w:val="00384C94"/>
    <w:rsid w:val="00384DC1"/>
    <w:rsid w:val="00384FC8"/>
    <w:rsid w:val="003854AF"/>
    <w:rsid w:val="003856F3"/>
    <w:rsid w:val="00385781"/>
    <w:rsid w:val="00385805"/>
    <w:rsid w:val="0038589F"/>
    <w:rsid w:val="003859BB"/>
    <w:rsid w:val="00385CF2"/>
    <w:rsid w:val="00385DD9"/>
    <w:rsid w:val="00385EF6"/>
    <w:rsid w:val="00386170"/>
    <w:rsid w:val="003862C8"/>
    <w:rsid w:val="00386574"/>
    <w:rsid w:val="0038666F"/>
    <w:rsid w:val="0038672F"/>
    <w:rsid w:val="00386A43"/>
    <w:rsid w:val="00386E59"/>
    <w:rsid w:val="00386E9E"/>
    <w:rsid w:val="00386FC2"/>
    <w:rsid w:val="003871F0"/>
    <w:rsid w:val="00387672"/>
    <w:rsid w:val="003878A6"/>
    <w:rsid w:val="00387919"/>
    <w:rsid w:val="0038798E"/>
    <w:rsid w:val="00390A49"/>
    <w:rsid w:val="00390A50"/>
    <w:rsid w:val="00390C02"/>
    <w:rsid w:val="0039135B"/>
    <w:rsid w:val="003914A9"/>
    <w:rsid w:val="003915BD"/>
    <w:rsid w:val="003916D8"/>
    <w:rsid w:val="00391B0A"/>
    <w:rsid w:val="00391F39"/>
    <w:rsid w:val="00391F58"/>
    <w:rsid w:val="003920AE"/>
    <w:rsid w:val="003923F9"/>
    <w:rsid w:val="003924AE"/>
    <w:rsid w:val="00392854"/>
    <w:rsid w:val="003931D2"/>
    <w:rsid w:val="003931EF"/>
    <w:rsid w:val="00393278"/>
    <w:rsid w:val="003934B9"/>
    <w:rsid w:val="00393847"/>
    <w:rsid w:val="00393CF6"/>
    <w:rsid w:val="003941E6"/>
    <w:rsid w:val="00394293"/>
    <w:rsid w:val="00394690"/>
    <w:rsid w:val="00394A79"/>
    <w:rsid w:val="00394C07"/>
    <w:rsid w:val="00394C21"/>
    <w:rsid w:val="00394C44"/>
    <w:rsid w:val="0039581D"/>
    <w:rsid w:val="00395C37"/>
    <w:rsid w:val="00395C58"/>
    <w:rsid w:val="00395D60"/>
    <w:rsid w:val="0039617D"/>
    <w:rsid w:val="0039648E"/>
    <w:rsid w:val="00396A50"/>
    <w:rsid w:val="00396EA2"/>
    <w:rsid w:val="00396F08"/>
    <w:rsid w:val="0039722A"/>
    <w:rsid w:val="00397407"/>
    <w:rsid w:val="00397766"/>
    <w:rsid w:val="003978B0"/>
    <w:rsid w:val="00397A4E"/>
    <w:rsid w:val="00397A7B"/>
    <w:rsid w:val="00397DC4"/>
    <w:rsid w:val="00397FA5"/>
    <w:rsid w:val="003A0197"/>
    <w:rsid w:val="003A0779"/>
    <w:rsid w:val="003A082C"/>
    <w:rsid w:val="003A08BF"/>
    <w:rsid w:val="003A0BB5"/>
    <w:rsid w:val="003A1085"/>
    <w:rsid w:val="003A129A"/>
    <w:rsid w:val="003A1368"/>
    <w:rsid w:val="003A1A0C"/>
    <w:rsid w:val="003A1AD9"/>
    <w:rsid w:val="003A2379"/>
    <w:rsid w:val="003A2548"/>
    <w:rsid w:val="003A27E5"/>
    <w:rsid w:val="003A2911"/>
    <w:rsid w:val="003A2914"/>
    <w:rsid w:val="003A2964"/>
    <w:rsid w:val="003A29EB"/>
    <w:rsid w:val="003A2A89"/>
    <w:rsid w:val="003A2AC9"/>
    <w:rsid w:val="003A2C66"/>
    <w:rsid w:val="003A2DE3"/>
    <w:rsid w:val="003A2E42"/>
    <w:rsid w:val="003A2F6A"/>
    <w:rsid w:val="003A3244"/>
    <w:rsid w:val="003A3276"/>
    <w:rsid w:val="003A32F0"/>
    <w:rsid w:val="003A3435"/>
    <w:rsid w:val="003A355B"/>
    <w:rsid w:val="003A357B"/>
    <w:rsid w:val="003A37B5"/>
    <w:rsid w:val="003A4081"/>
    <w:rsid w:val="003A4728"/>
    <w:rsid w:val="003A4D21"/>
    <w:rsid w:val="003A4E4C"/>
    <w:rsid w:val="003A5287"/>
    <w:rsid w:val="003A548A"/>
    <w:rsid w:val="003A549D"/>
    <w:rsid w:val="003A56BC"/>
    <w:rsid w:val="003A5AE3"/>
    <w:rsid w:val="003A5C07"/>
    <w:rsid w:val="003A5D9F"/>
    <w:rsid w:val="003A5FEF"/>
    <w:rsid w:val="003A6151"/>
    <w:rsid w:val="003A6537"/>
    <w:rsid w:val="003A6625"/>
    <w:rsid w:val="003A668D"/>
    <w:rsid w:val="003A67CD"/>
    <w:rsid w:val="003A67FC"/>
    <w:rsid w:val="003A6BF1"/>
    <w:rsid w:val="003A7009"/>
    <w:rsid w:val="003A70B1"/>
    <w:rsid w:val="003A70B8"/>
    <w:rsid w:val="003A73C1"/>
    <w:rsid w:val="003A7628"/>
    <w:rsid w:val="003A7C0E"/>
    <w:rsid w:val="003A7DA1"/>
    <w:rsid w:val="003A7F2A"/>
    <w:rsid w:val="003B0302"/>
    <w:rsid w:val="003B0306"/>
    <w:rsid w:val="003B04DA"/>
    <w:rsid w:val="003B0517"/>
    <w:rsid w:val="003B0807"/>
    <w:rsid w:val="003B0924"/>
    <w:rsid w:val="003B118E"/>
    <w:rsid w:val="003B12C8"/>
    <w:rsid w:val="003B199D"/>
    <w:rsid w:val="003B1D2B"/>
    <w:rsid w:val="003B22E4"/>
    <w:rsid w:val="003B2F4E"/>
    <w:rsid w:val="003B30BE"/>
    <w:rsid w:val="003B3191"/>
    <w:rsid w:val="003B3353"/>
    <w:rsid w:val="003B3500"/>
    <w:rsid w:val="003B35AE"/>
    <w:rsid w:val="003B364F"/>
    <w:rsid w:val="003B389F"/>
    <w:rsid w:val="003B3A93"/>
    <w:rsid w:val="003B4262"/>
    <w:rsid w:val="003B430B"/>
    <w:rsid w:val="003B47B8"/>
    <w:rsid w:val="003B4C6B"/>
    <w:rsid w:val="003B4CDA"/>
    <w:rsid w:val="003B4DE9"/>
    <w:rsid w:val="003B4FDE"/>
    <w:rsid w:val="003B566F"/>
    <w:rsid w:val="003B57E4"/>
    <w:rsid w:val="003B5B25"/>
    <w:rsid w:val="003B5BAA"/>
    <w:rsid w:val="003B5E33"/>
    <w:rsid w:val="003B5EA8"/>
    <w:rsid w:val="003B62E4"/>
    <w:rsid w:val="003B6534"/>
    <w:rsid w:val="003B683F"/>
    <w:rsid w:val="003B6DAB"/>
    <w:rsid w:val="003B6DAE"/>
    <w:rsid w:val="003B6FF6"/>
    <w:rsid w:val="003B7CA8"/>
    <w:rsid w:val="003B7D3A"/>
    <w:rsid w:val="003B7E8D"/>
    <w:rsid w:val="003C0086"/>
    <w:rsid w:val="003C015F"/>
    <w:rsid w:val="003C043E"/>
    <w:rsid w:val="003C0524"/>
    <w:rsid w:val="003C0E32"/>
    <w:rsid w:val="003C1450"/>
    <w:rsid w:val="003C1506"/>
    <w:rsid w:val="003C165F"/>
    <w:rsid w:val="003C1B15"/>
    <w:rsid w:val="003C2033"/>
    <w:rsid w:val="003C280E"/>
    <w:rsid w:val="003C28EF"/>
    <w:rsid w:val="003C29E2"/>
    <w:rsid w:val="003C2B61"/>
    <w:rsid w:val="003C2E31"/>
    <w:rsid w:val="003C36CF"/>
    <w:rsid w:val="003C36D8"/>
    <w:rsid w:val="003C38AC"/>
    <w:rsid w:val="003C3A45"/>
    <w:rsid w:val="003C3C76"/>
    <w:rsid w:val="003C3E1E"/>
    <w:rsid w:val="003C40CB"/>
    <w:rsid w:val="003C45F4"/>
    <w:rsid w:val="003C4854"/>
    <w:rsid w:val="003C4D35"/>
    <w:rsid w:val="003C4D6B"/>
    <w:rsid w:val="003C4E70"/>
    <w:rsid w:val="003C4F22"/>
    <w:rsid w:val="003C4F6D"/>
    <w:rsid w:val="003C547A"/>
    <w:rsid w:val="003C5539"/>
    <w:rsid w:val="003C5AAA"/>
    <w:rsid w:val="003C5C08"/>
    <w:rsid w:val="003C5E21"/>
    <w:rsid w:val="003C610E"/>
    <w:rsid w:val="003C6300"/>
    <w:rsid w:val="003C6652"/>
    <w:rsid w:val="003C687C"/>
    <w:rsid w:val="003C6BA0"/>
    <w:rsid w:val="003C6E10"/>
    <w:rsid w:val="003C7513"/>
    <w:rsid w:val="003C76FF"/>
    <w:rsid w:val="003C78B2"/>
    <w:rsid w:val="003C7BCF"/>
    <w:rsid w:val="003C7DE6"/>
    <w:rsid w:val="003C7DFD"/>
    <w:rsid w:val="003C7E08"/>
    <w:rsid w:val="003C7EFD"/>
    <w:rsid w:val="003D01DC"/>
    <w:rsid w:val="003D0590"/>
    <w:rsid w:val="003D05BF"/>
    <w:rsid w:val="003D06CC"/>
    <w:rsid w:val="003D0DD4"/>
    <w:rsid w:val="003D114D"/>
    <w:rsid w:val="003D13BA"/>
    <w:rsid w:val="003D14D8"/>
    <w:rsid w:val="003D1528"/>
    <w:rsid w:val="003D153F"/>
    <w:rsid w:val="003D1F3D"/>
    <w:rsid w:val="003D2369"/>
    <w:rsid w:val="003D240A"/>
    <w:rsid w:val="003D25C8"/>
    <w:rsid w:val="003D26C6"/>
    <w:rsid w:val="003D26DE"/>
    <w:rsid w:val="003D2910"/>
    <w:rsid w:val="003D2D96"/>
    <w:rsid w:val="003D38FA"/>
    <w:rsid w:val="003D39F5"/>
    <w:rsid w:val="003D3B51"/>
    <w:rsid w:val="003D3D6F"/>
    <w:rsid w:val="003D42E5"/>
    <w:rsid w:val="003D450D"/>
    <w:rsid w:val="003D47A2"/>
    <w:rsid w:val="003D5066"/>
    <w:rsid w:val="003D539F"/>
    <w:rsid w:val="003D5501"/>
    <w:rsid w:val="003D5965"/>
    <w:rsid w:val="003D5A2E"/>
    <w:rsid w:val="003D5A56"/>
    <w:rsid w:val="003D5C6A"/>
    <w:rsid w:val="003D5C8F"/>
    <w:rsid w:val="003D5D26"/>
    <w:rsid w:val="003D6491"/>
    <w:rsid w:val="003D68C2"/>
    <w:rsid w:val="003D68F0"/>
    <w:rsid w:val="003D6BC0"/>
    <w:rsid w:val="003D6FB3"/>
    <w:rsid w:val="003D7288"/>
    <w:rsid w:val="003D731C"/>
    <w:rsid w:val="003D753D"/>
    <w:rsid w:val="003D7865"/>
    <w:rsid w:val="003D7A95"/>
    <w:rsid w:val="003D7B03"/>
    <w:rsid w:val="003D7CF6"/>
    <w:rsid w:val="003E00D3"/>
    <w:rsid w:val="003E02FB"/>
    <w:rsid w:val="003E06A5"/>
    <w:rsid w:val="003E083F"/>
    <w:rsid w:val="003E084B"/>
    <w:rsid w:val="003E09C8"/>
    <w:rsid w:val="003E0AA3"/>
    <w:rsid w:val="003E150D"/>
    <w:rsid w:val="003E16F0"/>
    <w:rsid w:val="003E22A8"/>
    <w:rsid w:val="003E2AEF"/>
    <w:rsid w:val="003E32C7"/>
    <w:rsid w:val="003E3A92"/>
    <w:rsid w:val="003E3D86"/>
    <w:rsid w:val="003E3DDB"/>
    <w:rsid w:val="003E404B"/>
    <w:rsid w:val="003E4579"/>
    <w:rsid w:val="003E4A04"/>
    <w:rsid w:val="003E4B78"/>
    <w:rsid w:val="003E4D0B"/>
    <w:rsid w:val="003E4E91"/>
    <w:rsid w:val="003E5012"/>
    <w:rsid w:val="003E51A2"/>
    <w:rsid w:val="003E5A95"/>
    <w:rsid w:val="003E5E4D"/>
    <w:rsid w:val="003E6BDF"/>
    <w:rsid w:val="003E6DAB"/>
    <w:rsid w:val="003E717F"/>
    <w:rsid w:val="003E7370"/>
    <w:rsid w:val="003E74A4"/>
    <w:rsid w:val="003E77DD"/>
    <w:rsid w:val="003E7813"/>
    <w:rsid w:val="003E7AC5"/>
    <w:rsid w:val="003E7B1E"/>
    <w:rsid w:val="003E7C79"/>
    <w:rsid w:val="003F0185"/>
    <w:rsid w:val="003F01D4"/>
    <w:rsid w:val="003F0750"/>
    <w:rsid w:val="003F0B61"/>
    <w:rsid w:val="003F0EF1"/>
    <w:rsid w:val="003F1489"/>
    <w:rsid w:val="003F161B"/>
    <w:rsid w:val="003F162C"/>
    <w:rsid w:val="003F1E95"/>
    <w:rsid w:val="003F25F9"/>
    <w:rsid w:val="003F2C47"/>
    <w:rsid w:val="003F2EBC"/>
    <w:rsid w:val="003F3433"/>
    <w:rsid w:val="003F3679"/>
    <w:rsid w:val="003F3C85"/>
    <w:rsid w:val="003F3D93"/>
    <w:rsid w:val="003F4394"/>
    <w:rsid w:val="003F46D8"/>
    <w:rsid w:val="003F4C34"/>
    <w:rsid w:val="003F4C90"/>
    <w:rsid w:val="003F5260"/>
    <w:rsid w:val="003F526D"/>
    <w:rsid w:val="003F527D"/>
    <w:rsid w:val="003F5633"/>
    <w:rsid w:val="003F56B6"/>
    <w:rsid w:val="003F5D5F"/>
    <w:rsid w:val="003F6076"/>
    <w:rsid w:val="003F631E"/>
    <w:rsid w:val="003F6BA0"/>
    <w:rsid w:val="003F6DA1"/>
    <w:rsid w:val="003F703A"/>
    <w:rsid w:val="003F708C"/>
    <w:rsid w:val="003F7526"/>
    <w:rsid w:val="003F75A7"/>
    <w:rsid w:val="003F76B9"/>
    <w:rsid w:val="003F798E"/>
    <w:rsid w:val="003F7B7D"/>
    <w:rsid w:val="003F7EA9"/>
    <w:rsid w:val="004001B2"/>
    <w:rsid w:val="004001EB"/>
    <w:rsid w:val="004002BE"/>
    <w:rsid w:val="004002C1"/>
    <w:rsid w:val="00400720"/>
    <w:rsid w:val="00400A67"/>
    <w:rsid w:val="00400CC9"/>
    <w:rsid w:val="00400E7F"/>
    <w:rsid w:val="00400EB4"/>
    <w:rsid w:val="00401979"/>
    <w:rsid w:val="00401CA3"/>
    <w:rsid w:val="00401E90"/>
    <w:rsid w:val="00401E9C"/>
    <w:rsid w:val="00402274"/>
    <w:rsid w:val="004022B9"/>
    <w:rsid w:val="0040242E"/>
    <w:rsid w:val="00402533"/>
    <w:rsid w:val="004025CA"/>
    <w:rsid w:val="004028D3"/>
    <w:rsid w:val="00402A8D"/>
    <w:rsid w:val="00402BA1"/>
    <w:rsid w:val="00402ED5"/>
    <w:rsid w:val="00403070"/>
    <w:rsid w:val="004032C4"/>
    <w:rsid w:val="00403483"/>
    <w:rsid w:val="004037D5"/>
    <w:rsid w:val="00403E28"/>
    <w:rsid w:val="00403E80"/>
    <w:rsid w:val="004047F3"/>
    <w:rsid w:val="00404CE8"/>
    <w:rsid w:val="00405230"/>
    <w:rsid w:val="00405414"/>
    <w:rsid w:val="00405857"/>
    <w:rsid w:val="00405C1F"/>
    <w:rsid w:val="00405DC3"/>
    <w:rsid w:val="00405EFC"/>
    <w:rsid w:val="0040650D"/>
    <w:rsid w:val="004066CC"/>
    <w:rsid w:val="00406782"/>
    <w:rsid w:val="00406AEB"/>
    <w:rsid w:val="00406C38"/>
    <w:rsid w:val="00406F06"/>
    <w:rsid w:val="00406FE9"/>
    <w:rsid w:val="0040723F"/>
    <w:rsid w:val="004075CB"/>
    <w:rsid w:val="0040786A"/>
    <w:rsid w:val="00407AA2"/>
    <w:rsid w:val="00407AB5"/>
    <w:rsid w:val="00407AFD"/>
    <w:rsid w:val="00407B21"/>
    <w:rsid w:val="00407B8A"/>
    <w:rsid w:val="00407DF0"/>
    <w:rsid w:val="00407FBD"/>
    <w:rsid w:val="00410266"/>
    <w:rsid w:val="00410763"/>
    <w:rsid w:val="004109D8"/>
    <w:rsid w:val="00410BB3"/>
    <w:rsid w:val="00411140"/>
    <w:rsid w:val="004111CE"/>
    <w:rsid w:val="004113B2"/>
    <w:rsid w:val="00411B06"/>
    <w:rsid w:val="0041277A"/>
    <w:rsid w:val="00412880"/>
    <w:rsid w:val="00412B92"/>
    <w:rsid w:val="00412C53"/>
    <w:rsid w:val="00412CA5"/>
    <w:rsid w:val="00412D12"/>
    <w:rsid w:val="00413322"/>
    <w:rsid w:val="0041333B"/>
    <w:rsid w:val="004134A0"/>
    <w:rsid w:val="00413619"/>
    <w:rsid w:val="00413D37"/>
    <w:rsid w:val="00413DEA"/>
    <w:rsid w:val="00413E20"/>
    <w:rsid w:val="00413EB5"/>
    <w:rsid w:val="0041428A"/>
    <w:rsid w:val="00414671"/>
    <w:rsid w:val="004146DE"/>
    <w:rsid w:val="00414704"/>
    <w:rsid w:val="00414D57"/>
    <w:rsid w:val="00414DFF"/>
    <w:rsid w:val="00415135"/>
    <w:rsid w:val="00415846"/>
    <w:rsid w:val="00415AF4"/>
    <w:rsid w:val="00415C6E"/>
    <w:rsid w:val="00415CA0"/>
    <w:rsid w:val="00416318"/>
    <w:rsid w:val="0041657F"/>
    <w:rsid w:val="00416644"/>
    <w:rsid w:val="00416686"/>
    <w:rsid w:val="004166A6"/>
    <w:rsid w:val="00416CF5"/>
    <w:rsid w:val="0041709B"/>
    <w:rsid w:val="00417159"/>
    <w:rsid w:val="0041725A"/>
    <w:rsid w:val="004172F8"/>
    <w:rsid w:val="004174A7"/>
    <w:rsid w:val="00417587"/>
    <w:rsid w:val="00417640"/>
    <w:rsid w:val="00417778"/>
    <w:rsid w:val="0041793B"/>
    <w:rsid w:val="0041794C"/>
    <w:rsid w:val="00417C2E"/>
    <w:rsid w:val="00420337"/>
    <w:rsid w:val="0042036C"/>
    <w:rsid w:val="004205C0"/>
    <w:rsid w:val="00420CBF"/>
    <w:rsid w:val="00420F9A"/>
    <w:rsid w:val="0042126C"/>
    <w:rsid w:val="0042173A"/>
    <w:rsid w:val="004218B5"/>
    <w:rsid w:val="00421B33"/>
    <w:rsid w:val="00421C5D"/>
    <w:rsid w:val="00421E05"/>
    <w:rsid w:val="00421F46"/>
    <w:rsid w:val="00422858"/>
    <w:rsid w:val="00422C77"/>
    <w:rsid w:val="00423464"/>
    <w:rsid w:val="00423677"/>
    <w:rsid w:val="00423691"/>
    <w:rsid w:val="00423F39"/>
    <w:rsid w:val="00424991"/>
    <w:rsid w:val="00424E15"/>
    <w:rsid w:val="004250C2"/>
    <w:rsid w:val="0042559D"/>
    <w:rsid w:val="00426052"/>
    <w:rsid w:val="00426548"/>
    <w:rsid w:val="00426633"/>
    <w:rsid w:val="00426984"/>
    <w:rsid w:val="00426ACD"/>
    <w:rsid w:val="00426E28"/>
    <w:rsid w:val="00426F73"/>
    <w:rsid w:val="00427199"/>
    <w:rsid w:val="004272DD"/>
    <w:rsid w:val="004273DC"/>
    <w:rsid w:val="0042759E"/>
    <w:rsid w:val="0042791A"/>
    <w:rsid w:val="00427C64"/>
    <w:rsid w:val="00427EB6"/>
    <w:rsid w:val="00427FF6"/>
    <w:rsid w:val="0043019F"/>
    <w:rsid w:val="00430483"/>
    <w:rsid w:val="00430577"/>
    <w:rsid w:val="004305AF"/>
    <w:rsid w:val="004309A4"/>
    <w:rsid w:val="00430CB8"/>
    <w:rsid w:val="0043104C"/>
    <w:rsid w:val="00431226"/>
    <w:rsid w:val="004313C6"/>
    <w:rsid w:val="0043142E"/>
    <w:rsid w:val="00431944"/>
    <w:rsid w:val="004319B0"/>
    <w:rsid w:val="00431C82"/>
    <w:rsid w:val="0043203F"/>
    <w:rsid w:val="00432431"/>
    <w:rsid w:val="00432484"/>
    <w:rsid w:val="004325EC"/>
    <w:rsid w:val="00432707"/>
    <w:rsid w:val="00432CD5"/>
    <w:rsid w:val="00432E54"/>
    <w:rsid w:val="00432FCE"/>
    <w:rsid w:val="004336A1"/>
    <w:rsid w:val="00433B5D"/>
    <w:rsid w:val="00433BC6"/>
    <w:rsid w:val="00433F82"/>
    <w:rsid w:val="0043407B"/>
    <w:rsid w:val="00434287"/>
    <w:rsid w:val="00434754"/>
    <w:rsid w:val="00434960"/>
    <w:rsid w:val="004349A0"/>
    <w:rsid w:val="00434E05"/>
    <w:rsid w:val="0043502C"/>
    <w:rsid w:val="00435040"/>
    <w:rsid w:val="00435306"/>
    <w:rsid w:val="0043535E"/>
    <w:rsid w:val="00435428"/>
    <w:rsid w:val="00435693"/>
    <w:rsid w:val="004357BE"/>
    <w:rsid w:val="004361EE"/>
    <w:rsid w:val="00436988"/>
    <w:rsid w:val="00436C91"/>
    <w:rsid w:val="004371B0"/>
    <w:rsid w:val="00437AC2"/>
    <w:rsid w:val="00437E33"/>
    <w:rsid w:val="0043EA2E"/>
    <w:rsid w:val="00440617"/>
    <w:rsid w:val="0044087C"/>
    <w:rsid w:val="00440ECF"/>
    <w:rsid w:val="0044143A"/>
    <w:rsid w:val="0044166E"/>
    <w:rsid w:val="00441953"/>
    <w:rsid w:val="0044199E"/>
    <w:rsid w:val="00441E33"/>
    <w:rsid w:val="00441FEE"/>
    <w:rsid w:val="0044218A"/>
    <w:rsid w:val="00442444"/>
    <w:rsid w:val="00442DF7"/>
    <w:rsid w:val="00442F56"/>
    <w:rsid w:val="0044317B"/>
    <w:rsid w:val="00443207"/>
    <w:rsid w:val="00443359"/>
    <w:rsid w:val="004434B3"/>
    <w:rsid w:val="004439C8"/>
    <w:rsid w:val="00443BA9"/>
    <w:rsid w:val="00443BE2"/>
    <w:rsid w:val="00443E30"/>
    <w:rsid w:val="004440BE"/>
    <w:rsid w:val="004444C8"/>
    <w:rsid w:val="00444545"/>
    <w:rsid w:val="004446B5"/>
    <w:rsid w:val="00444789"/>
    <w:rsid w:val="004448DA"/>
    <w:rsid w:val="0044497D"/>
    <w:rsid w:val="00444A27"/>
    <w:rsid w:val="00444B4C"/>
    <w:rsid w:val="00444D54"/>
    <w:rsid w:val="0044515B"/>
    <w:rsid w:val="00445391"/>
    <w:rsid w:val="004453A7"/>
    <w:rsid w:val="004453D8"/>
    <w:rsid w:val="0044560F"/>
    <w:rsid w:val="004458BE"/>
    <w:rsid w:val="004459A4"/>
    <w:rsid w:val="00445A47"/>
    <w:rsid w:val="00445B6D"/>
    <w:rsid w:val="004466B7"/>
    <w:rsid w:val="0044679D"/>
    <w:rsid w:val="00446863"/>
    <w:rsid w:val="00446BE1"/>
    <w:rsid w:val="00446C8C"/>
    <w:rsid w:val="00446CB9"/>
    <w:rsid w:val="0044791C"/>
    <w:rsid w:val="004479C8"/>
    <w:rsid w:val="00447A7D"/>
    <w:rsid w:val="00447F25"/>
    <w:rsid w:val="00450186"/>
    <w:rsid w:val="00450583"/>
    <w:rsid w:val="00450B94"/>
    <w:rsid w:val="00450C59"/>
    <w:rsid w:val="0045138F"/>
    <w:rsid w:val="00451CDF"/>
    <w:rsid w:val="00451E8B"/>
    <w:rsid w:val="0045211C"/>
    <w:rsid w:val="004524BD"/>
    <w:rsid w:val="00452CB0"/>
    <w:rsid w:val="00452DBD"/>
    <w:rsid w:val="00452E78"/>
    <w:rsid w:val="00452E7C"/>
    <w:rsid w:val="00453996"/>
    <w:rsid w:val="00453B24"/>
    <w:rsid w:val="00453C08"/>
    <w:rsid w:val="00453C10"/>
    <w:rsid w:val="00453F4E"/>
    <w:rsid w:val="00454112"/>
    <w:rsid w:val="00454316"/>
    <w:rsid w:val="00454563"/>
    <w:rsid w:val="004545A5"/>
    <w:rsid w:val="00454927"/>
    <w:rsid w:val="0045493A"/>
    <w:rsid w:val="00454B44"/>
    <w:rsid w:val="00454C3D"/>
    <w:rsid w:val="00455236"/>
    <w:rsid w:val="00455B60"/>
    <w:rsid w:val="00455E7E"/>
    <w:rsid w:val="00455EB9"/>
    <w:rsid w:val="004562DA"/>
    <w:rsid w:val="00456313"/>
    <w:rsid w:val="00456619"/>
    <w:rsid w:val="00457090"/>
    <w:rsid w:val="004570F0"/>
    <w:rsid w:val="00457196"/>
    <w:rsid w:val="004571B7"/>
    <w:rsid w:val="004571CA"/>
    <w:rsid w:val="004571E5"/>
    <w:rsid w:val="004573BD"/>
    <w:rsid w:val="00457468"/>
    <w:rsid w:val="004577F6"/>
    <w:rsid w:val="004601FF"/>
    <w:rsid w:val="00460276"/>
    <w:rsid w:val="00460375"/>
    <w:rsid w:val="0046037F"/>
    <w:rsid w:val="004607A8"/>
    <w:rsid w:val="00460E25"/>
    <w:rsid w:val="00460EAB"/>
    <w:rsid w:val="0046100D"/>
    <w:rsid w:val="004612E6"/>
    <w:rsid w:val="004614A3"/>
    <w:rsid w:val="004615C4"/>
    <w:rsid w:val="004618A7"/>
    <w:rsid w:val="00461FC1"/>
    <w:rsid w:val="00462324"/>
    <w:rsid w:val="00462681"/>
    <w:rsid w:val="00462E60"/>
    <w:rsid w:val="00463978"/>
    <w:rsid w:val="0046397F"/>
    <w:rsid w:val="00463C45"/>
    <w:rsid w:val="00463E15"/>
    <w:rsid w:val="00463EDB"/>
    <w:rsid w:val="00464008"/>
    <w:rsid w:val="00464248"/>
    <w:rsid w:val="00464355"/>
    <w:rsid w:val="00464837"/>
    <w:rsid w:val="00465387"/>
    <w:rsid w:val="0046539C"/>
    <w:rsid w:val="004654E8"/>
    <w:rsid w:val="00465507"/>
    <w:rsid w:val="0046555F"/>
    <w:rsid w:val="0046603E"/>
    <w:rsid w:val="004661BD"/>
    <w:rsid w:val="004664D6"/>
    <w:rsid w:val="00466545"/>
    <w:rsid w:val="00466671"/>
    <w:rsid w:val="0046679D"/>
    <w:rsid w:val="00466DBE"/>
    <w:rsid w:val="00466E7D"/>
    <w:rsid w:val="00467177"/>
    <w:rsid w:val="004671F6"/>
    <w:rsid w:val="004678B8"/>
    <w:rsid w:val="00467F61"/>
    <w:rsid w:val="00467FE9"/>
    <w:rsid w:val="0047012E"/>
    <w:rsid w:val="004702E1"/>
    <w:rsid w:val="00470754"/>
    <w:rsid w:val="0047116E"/>
    <w:rsid w:val="004713D6"/>
    <w:rsid w:val="00471602"/>
    <w:rsid w:val="004719F2"/>
    <w:rsid w:val="00471EEB"/>
    <w:rsid w:val="00471F2A"/>
    <w:rsid w:val="00471FB6"/>
    <w:rsid w:val="004721BC"/>
    <w:rsid w:val="00472236"/>
    <w:rsid w:val="00472849"/>
    <w:rsid w:val="004729E1"/>
    <w:rsid w:val="00472F50"/>
    <w:rsid w:val="00473F3D"/>
    <w:rsid w:val="004740D9"/>
    <w:rsid w:val="00474622"/>
    <w:rsid w:val="004747CA"/>
    <w:rsid w:val="00474ED2"/>
    <w:rsid w:val="0047509D"/>
    <w:rsid w:val="00475189"/>
    <w:rsid w:val="00475574"/>
    <w:rsid w:val="00475A0F"/>
    <w:rsid w:val="00475C06"/>
    <w:rsid w:val="00475D5E"/>
    <w:rsid w:val="00475EC6"/>
    <w:rsid w:val="0047601F"/>
    <w:rsid w:val="00476196"/>
    <w:rsid w:val="004761AA"/>
    <w:rsid w:val="00476266"/>
    <w:rsid w:val="00476641"/>
    <w:rsid w:val="004766F4"/>
    <w:rsid w:val="00476DF3"/>
    <w:rsid w:val="00476F11"/>
    <w:rsid w:val="00477036"/>
    <w:rsid w:val="00477245"/>
    <w:rsid w:val="0047724F"/>
    <w:rsid w:val="004777CD"/>
    <w:rsid w:val="00477BCC"/>
    <w:rsid w:val="00477C88"/>
    <w:rsid w:val="00480541"/>
    <w:rsid w:val="004807FA"/>
    <w:rsid w:val="004808A4"/>
    <w:rsid w:val="004808A6"/>
    <w:rsid w:val="00480C0C"/>
    <w:rsid w:val="00480DF2"/>
    <w:rsid w:val="00480E12"/>
    <w:rsid w:val="004810DC"/>
    <w:rsid w:val="004812F3"/>
    <w:rsid w:val="004813D1"/>
    <w:rsid w:val="00481620"/>
    <w:rsid w:val="00481730"/>
    <w:rsid w:val="004817F0"/>
    <w:rsid w:val="00481AD0"/>
    <w:rsid w:val="00481D11"/>
    <w:rsid w:val="00481E5D"/>
    <w:rsid w:val="00481EA3"/>
    <w:rsid w:val="00482183"/>
    <w:rsid w:val="00482317"/>
    <w:rsid w:val="004823EA"/>
    <w:rsid w:val="00482BBD"/>
    <w:rsid w:val="00482D3E"/>
    <w:rsid w:val="00483072"/>
    <w:rsid w:val="0048371D"/>
    <w:rsid w:val="00483EFD"/>
    <w:rsid w:val="0048402E"/>
    <w:rsid w:val="00484349"/>
    <w:rsid w:val="00484785"/>
    <w:rsid w:val="004847DB"/>
    <w:rsid w:val="00484B00"/>
    <w:rsid w:val="00484B86"/>
    <w:rsid w:val="00484BF0"/>
    <w:rsid w:val="00484C53"/>
    <w:rsid w:val="00484C73"/>
    <w:rsid w:val="00485451"/>
    <w:rsid w:val="004855F0"/>
    <w:rsid w:val="0048589B"/>
    <w:rsid w:val="004859E6"/>
    <w:rsid w:val="00485C8F"/>
    <w:rsid w:val="00485CF9"/>
    <w:rsid w:val="00485D83"/>
    <w:rsid w:val="00486092"/>
    <w:rsid w:val="004860AB"/>
    <w:rsid w:val="00486204"/>
    <w:rsid w:val="00486285"/>
    <w:rsid w:val="00486A52"/>
    <w:rsid w:val="004870C2"/>
    <w:rsid w:val="00487608"/>
    <w:rsid w:val="00487864"/>
    <w:rsid w:val="00487A3E"/>
    <w:rsid w:val="00487CB3"/>
    <w:rsid w:val="00487D85"/>
    <w:rsid w:val="0049001A"/>
    <w:rsid w:val="00490216"/>
    <w:rsid w:val="004902A0"/>
    <w:rsid w:val="0049052F"/>
    <w:rsid w:val="00490A8C"/>
    <w:rsid w:val="00490AAA"/>
    <w:rsid w:val="00490B57"/>
    <w:rsid w:val="00490DE6"/>
    <w:rsid w:val="00490EFD"/>
    <w:rsid w:val="00491469"/>
    <w:rsid w:val="00491790"/>
    <w:rsid w:val="00492038"/>
    <w:rsid w:val="00492160"/>
    <w:rsid w:val="00492517"/>
    <w:rsid w:val="0049270D"/>
    <w:rsid w:val="00492B57"/>
    <w:rsid w:val="00492DBA"/>
    <w:rsid w:val="004932C5"/>
    <w:rsid w:val="00493409"/>
    <w:rsid w:val="004934B2"/>
    <w:rsid w:val="00493A3B"/>
    <w:rsid w:val="0049419F"/>
    <w:rsid w:val="0049432A"/>
    <w:rsid w:val="00494343"/>
    <w:rsid w:val="0049492E"/>
    <w:rsid w:val="00494B29"/>
    <w:rsid w:val="00494B93"/>
    <w:rsid w:val="00495086"/>
    <w:rsid w:val="004952AC"/>
    <w:rsid w:val="004953CE"/>
    <w:rsid w:val="00495B7A"/>
    <w:rsid w:val="00495BDB"/>
    <w:rsid w:val="004968FA"/>
    <w:rsid w:val="0049695E"/>
    <w:rsid w:val="00496ACF"/>
    <w:rsid w:val="00496E03"/>
    <w:rsid w:val="00496ED0"/>
    <w:rsid w:val="00497044"/>
    <w:rsid w:val="004970E9"/>
    <w:rsid w:val="0049714E"/>
    <w:rsid w:val="0049733E"/>
    <w:rsid w:val="004978B8"/>
    <w:rsid w:val="00497D9E"/>
    <w:rsid w:val="004A02CB"/>
    <w:rsid w:val="004A03DD"/>
    <w:rsid w:val="004A051F"/>
    <w:rsid w:val="004A0A83"/>
    <w:rsid w:val="004A0E0C"/>
    <w:rsid w:val="004A180D"/>
    <w:rsid w:val="004A18C6"/>
    <w:rsid w:val="004A1D65"/>
    <w:rsid w:val="004A227F"/>
    <w:rsid w:val="004A25B1"/>
    <w:rsid w:val="004A2697"/>
    <w:rsid w:val="004A293C"/>
    <w:rsid w:val="004A29B2"/>
    <w:rsid w:val="004A2A59"/>
    <w:rsid w:val="004A2C74"/>
    <w:rsid w:val="004A2D9E"/>
    <w:rsid w:val="004A2E18"/>
    <w:rsid w:val="004A32C3"/>
    <w:rsid w:val="004A3438"/>
    <w:rsid w:val="004A39C0"/>
    <w:rsid w:val="004A3CB3"/>
    <w:rsid w:val="004A3D59"/>
    <w:rsid w:val="004A3E39"/>
    <w:rsid w:val="004A3E75"/>
    <w:rsid w:val="004A42C3"/>
    <w:rsid w:val="004A4328"/>
    <w:rsid w:val="004A48E7"/>
    <w:rsid w:val="004A4BC6"/>
    <w:rsid w:val="004A4D8F"/>
    <w:rsid w:val="004A4F00"/>
    <w:rsid w:val="004A546E"/>
    <w:rsid w:val="004A5758"/>
    <w:rsid w:val="004A575B"/>
    <w:rsid w:val="004A57FB"/>
    <w:rsid w:val="004A62C0"/>
    <w:rsid w:val="004A68A0"/>
    <w:rsid w:val="004A6978"/>
    <w:rsid w:val="004A69CB"/>
    <w:rsid w:val="004A69E9"/>
    <w:rsid w:val="004A6A05"/>
    <w:rsid w:val="004A6D5E"/>
    <w:rsid w:val="004A6EF2"/>
    <w:rsid w:val="004A7152"/>
    <w:rsid w:val="004A7621"/>
    <w:rsid w:val="004A7955"/>
    <w:rsid w:val="004A7956"/>
    <w:rsid w:val="004A7AB2"/>
    <w:rsid w:val="004B034B"/>
    <w:rsid w:val="004B06D5"/>
    <w:rsid w:val="004B0E82"/>
    <w:rsid w:val="004B0F92"/>
    <w:rsid w:val="004B11BE"/>
    <w:rsid w:val="004B1399"/>
    <w:rsid w:val="004B15DF"/>
    <w:rsid w:val="004B210D"/>
    <w:rsid w:val="004B21BC"/>
    <w:rsid w:val="004B2399"/>
    <w:rsid w:val="004B2401"/>
    <w:rsid w:val="004B247B"/>
    <w:rsid w:val="004B2516"/>
    <w:rsid w:val="004B26F0"/>
    <w:rsid w:val="004B298B"/>
    <w:rsid w:val="004B2B41"/>
    <w:rsid w:val="004B2BC4"/>
    <w:rsid w:val="004B2DE8"/>
    <w:rsid w:val="004B33CE"/>
    <w:rsid w:val="004B3690"/>
    <w:rsid w:val="004B38BE"/>
    <w:rsid w:val="004B39FD"/>
    <w:rsid w:val="004B3AEB"/>
    <w:rsid w:val="004B3E9E"/>
    <w:rsid w:val="004B3F4B"/>
    <w:rsid w:val="004B4263"/>
    <w:rsid w:val="004B442F"/>
    <w:rsid w:val="004B51AC"/>
    <w:rsid w:val="004B521F"/>
    <w:rsid w:val="004B52EB"/>
    <w:rsid w:val="004B54EB"/>
    <w:rsid w:val="004B5B88"/>
    <w:rsid w:val="004B5E18"/>
    <w:rsid w:val="004B5E23"/>
    <w:rsid w:val="004B5F90"/>
    <w:rsid w:val="004B697F"/>
    <w:rsid w:val="004B6A29"/>
    <w:rsid w:val="004B6DE4"/>
    <w:rsid w:val="004B7360"/>
    <w:rsid w:val="004B7729"/>
    <w:rsid w:val="004B77F6"/>
    <w:rsid w:val="004B7A2E"/>
    <w:rsid w:val="004B7CE9"/>
    <w:rsid w:val="004B7E30"/>
    <w:rsid w:val="004B7E67"/>
    <w:rsid w:val="004C068B"/>
    <w:rsid w:val="004C071D"/>
    <w:rsid w:val="004C0765"/>
    <w:rsid w:val="004C085B"/>
    <w:rsid w:val="004C0A3E"/>
    <w:rsid w:val="004C0B80"/>
    <w:rsid w:val="004C0BF3"/>
    <w:rsid w:val="004C0E74"/>
    <w:rsid w:val="004C0F43"/>
    <w:rsid w:val="004C0F76"/>
    <w:rsid w:val="004C108E"/>
    <w:rsid w:val="004C13FB"/>
    <w:rsid w:val="004C1512"/>
    <w:rsid w:val="004C181F"/>
    <w:rsid w:val="004C1A17"/>
    <w:rsid w:val="004C1C57"/>
    <w:rsid w:val="004C1CDE"/>
    <w:rsid w:val="004C205E"/>
    <w:rsid w:val="004C2350"/>
    <w:rsid w:val="004C23D5"/>
    <w:rsid w:val="004C23FF"/>
    <w:rsid w:val="004C2650"/>
    <w:rsid w:val="004C28CB"/>
    <w:rsid w:val="004C2BB3"/>
    <w:rsid w:val="004C2E3D"/>
    <w:rsid w:val="004C2E65"/>
    <w:rsid w:val="004C3480"/>
    <w:rsid w:val="004C34A0"/>
    <w:rsid w:val="004C3940"/>
    <w:rsid w:val="004C3DD1"/>
    <w:rsid w:val="004C3E53"/>
    <w:rsid w:val="004C3FDE"/>
    <w:rsid w:val="004C405B"/>
    <w:rsid w:val="004C4168"/>
    <w:rsid w:val="004C45B3"/>
    <w:rsid w:val="004C4C27"/>
    <w:rsid w:val="004C5560"/>
    <w:rsid w:val="004C55AE"/>
    <w:rsid w:val="004C6254"/>
    <w:rsid w:val="004C62CE"/>
    <w:rsid w:val="004C662C"/>
    <w:rsid w:val="004C6737"/>
    <w:rsid w:val="004C6C70"/>
    <w:rsid w:val="004C6F14"/>
    <w:rsid w:val="004C72E0"/>
    <w:rsid w:val="004C743D"/>
    <w:rsid w:val="004C7726"/>
    <w:rsid w:val="004C77D3"/>
    <w:rsid w:val="004C7928"/>
    <w:rsid w:val="004C7EE2"/>
    <w:rsid w:val="004D0317"/>
    <w:rsid w:val="004D054B"/>
    <w:rsid w:val="004D0943"/>
    <w:rsid w:val="004D099F"/>
    <w:rsid w:val="004D0D84"/>
    <w:rsid w:val="004D0F32"/>
    <w:rsid w:val="004D0F92"/>
    <w:rsid w:val="004D1347"/>
    <w:rsid w:val="004D13B5"/>
    <w:rsid w:val="004D1D8B"/>
    <w:rsid w:val="004D1FAE"/>
    <w:rsid w:val="004D2422"/>
    <w:rsid w:val="004D29AC"/>
    <w:rsid w:val="004D29CA"/>
    <w:rsid w:val="004D2A5D"/>
    <w:rsid w:val="004D2A9A"/>
    <w:rsid w:val="004D2B27"/>
    <w:rsid w:val="004D2B70"/>
    <w:rsid w:val="004D2C49"/>
    <w:rsid w:val="004D2FB4"/>
    <w:rsid w:val="004D3171"/>
    <w:rsid w:val="004D3925"/>
    <w:rsid w:val="004D3CC8"/>
    <w:rsid w:val="004D3D26"/>
    <w:rsid w:val="004D4225"/>
    <w:rsid w:val="004D435F"/>
    <w:rsid w:val="004D44A1"/>
    <w:rsid w:val="004D46CD"/>
    <w:rsid w:val="004D4B3E"/>
    <w:rsid w:val="004D4CAE"/>
    <w:rsid w:val="004D5596"/>
    <w:rsid w:val="004D5693"/>
    <w:rsid w:val="004D5D82"/>
    <w:rsid w:val="004D5E8B"/>
    <w:rsid w:val="004D5F0E"/>
    <w:rsid w:val="004D60EC"/>
    <w:rsid w:val="004D6206"/>
    <w:rsid w:val="004D63B9"/>
    <w:rsid w:val="004D6753"/>
    <w:rsid w:val="004D6813"/>
    <w:rsid w:val="004D6903"/>
    <w:rsid w:val="004D6A5D"/>
    <w:rsid w:val="004D710A"/>
    <w:rsid w:val="004D7333"/>
    <w:rsid w:val="004D7AB0"/>
    <w:rsid w:val="004D7DBB"/>
    <w:rsid w:val="004D7EDA"/>
    <w:rsid w:val="004D7FA3"/>
    <w:rsid w:val="004E0322"/>
    <w:rsid w:val="004E06A2"/>
    <w:rsid w:val="004E073C"/>
    <w:rsid w:val="004E0902"/>
    <w:rsid w:val="004E0D2A"/>
    <w:rsid w:val="004E16F2"/>
    <w:rsid w:val="004E1BF8"/>
    <w:rsid w:val="004E1EEE"/>
    <w:rsid w:val="004E234C"/>
    <w:rsid w:val="004E2409"/>
    <w:rsid w:val="004E2960"/>
    <w:rsid w:val="004E29B6"/>
    <w:rsid w:val="004E2DEF"/>
    <w:rsid w:val="004E2E8E"/>
    <w:rsid w:val="004E30BF"/>
    <w:rsid w:val="004E33DC"/>
    <w:rsid w:val="004E39F3"/>
    <w:rsid w:val="004E3B0F"/>
    <w:rsid w:val="004E3B20"/>
    <w:rsid w:val="004E4870"/>
    <w:rsid w:val="004E5504"/>
    <w:rsid w:val="004E57E4"/>
    <w:rsid w:val="004E5900"/>
    <w:rsid w:val="004E5D54"/>
    <w:rsid w:val="004E606E"/>
    <w:rsid w:val="004E65CC"/>
    <w:rsid w:val="004E6713"/>
    <w:rsid w:val="004E6731"/>
    <w:rsid w:val="004E69AD"/>
    <w:rsid w:val="004E69F9"/>
    <w:rsid w:val="004E6BBE"/>
    <w:rsid w:val="004E6EF1"/>
    <w:rsid w:val="004E766C"/>
    <w:rsid w:val="004E7F3F"/>
    <w:rsid w:val="004E7FCE"/>
    <w:rsid w:val="004F015B"/>
    <w:rsid w:val="004F0161"/>
    <w:rsid w:val="004F04FF"/>
    <w:rsid w:val="004F05CC"/>
    <w:rsid w:val="004F072D"/>
    <w:rsid w:val="004F0B15"/>
    <w:rsid w:val="004F0CAF"/>
    <w:rsid w:val="004F0F1E"/>
    <w:rsid w:val="004F1280"/>
    <w:rsid w:val="004F1A77"/>
    <w:rsid w:val="004F1BC5"/>
    <w:rsid w:val="004F2580"/>
    <w:rsid w:val="004F26D6"/>
    <w:rsid w:val="004F2850"/>
    <w:rsid w:val="004F2EDE"/>
    <w:rsid w:val="004F3463"/>
    <w:rsid w:val="004F3949"/>
    <w:rsid w:val="004F3A1F"/>
    <w:rsid w:val="004F3D27"/>
    <w:rsid w:val="004F3DF8"/>
    <w:rsid w:val="004F3FAB"/>
    <w:rsid w:val="004F3FC2"/>
    <w:rsid w:val="004F4016"/>
    <w:rsid w:val="004F4285"/>
    <w:rsid w:val="004F446F"/>
    <w:rsid w:val="004F4643"/>
    <w:rsid w:val="004F4689"/>
    <w:rsid w:val="004F48DA"/>
    <w:rsid w:val="004F4968"/>
    <w:rsid w:val="004F4C40"/>
    <w:rsid w:val="004F4F47"/>
    <w:rsid w:val="004F4F84"/>
    <w:rsid w:val="004F4FAC"/>
    <w:rsid w:val="004F5864"/>
    <w:rsid w:val="004F5AF9"/>
    <w:rsid w:val="004F5E0A"/>
    <w:rsid w:val="004F632F"/>
    <w:rsid w:val="004F64DD"/>
    <w:rsid w:val="004F65A0"/>
    <w:rsid w:val="004F69BD"/>
    <w:rsid w:val="004F6B29"/>
    <w:rsid w:val="004F6DE8"/>
    <w:rsid w:val="004F7955"/>
    <w:rsid w:val="004F7B7D"/>
    <w:rsid w:val="004F7CC5"/>
    <w:rsid w:val="00500063"/>
    <w:rsid w:val="005000C2"/>
    <w:rsid w:val="0050064C"/>
    <w:rsid w:val="00500828"/>
    <w:rsid w:val="005009A7"/>
    <w:rsid w:val="00500B9E"/>
    <w:rsid w:val="00500CEB"/>
    <w:rsid w:val="00500E3F"/>
    <w:rsid w:val="00501088"/>
    <w:rsid w:val="00501389"/>
    <w:rsid w:val="005023A2"/>
    <w:rsid w:val="00502450"/>
    <w:rsid w:val="00502BC0"/>
    <w:rsid w:val="00502D56"/>
    <w:rsid w:val="00503077"/>
    <w:rsid w:val="00503427"/>
    <w:rsid w:val="00503B3A"/>
    <w:rsid w:val="00503D44"/>
    <w:rsid w:val="00503D71"/>
    <w:rsid w:val="00503F39"/>
    <w:rsid w:val="005041A5"/>
    <w:rsid w:val="0050446C"/>
    <w:rsid w:val="00504470"/>
    <w:rsid w:val="00504BDB"/>
    <w:rsid w:val="00504BF2"/>
    <w:rsid w:val="0050531D"/>
    <w:rsid w:val="005056E2"/>
    <w:rsid w:val="0050573E"/>
    <w:rsid w:val="00505A36"/>
    <w:rsid w:val="00505CF7"/>
    <w:rsid w:val="00505FDD"/>
    <w:rsid w:val="00506B45"/>
    <w:rsid w:val="00506C24"/>
    <w:rsid w:val="00506D4B"/>
    <w:rsid w:val="00506FF7"/>
    <w:rsid w:val="00507033"/>
    <w:rsid w:val="00507073"/>
    <w:rsid w:val="00507438"/>
    <w:rsid w:val="0050756F"/>
    <w:rsid w:val="005077A6"/>
    <w:rsid w:val="0050790D"/>
    <w:rsid w:val="00507BE2"/>
    <w:rsid w:val="00510234"/>
    <w:rsid w:val="00510347"/>
    <w:rsid w:val="00510480"/>
    <w:rsid w:val="0051070B"/>
    <w:rsid w:val="0051088B"/>
    <w:rsid w:val="00510979"/>
    <w:rsid w:val="0051098F"/>
    <w:rsid w:val="00510CF4"/>
    <w:rsid w:val="00510DDD"/>
    <w:rsid w:val="00510E6D"/>
    <w:rsid w:val="00510EC8"/>
    <w:rsid w:val="005110B6"/>
    <w:rsid w:val="0051118B"/>
    <w:rsid w:val="0051123B"/>
    <w:rsid w:val="0051132E"/>
    <w:rsid w:val="005116F5"/>
    <w:rsid w:val="005116F8"/>
    <w:rsid w:val="00511D67"/>
    <w:rsid w:val="00511E8B"/>
    <w:rsid w:val="00511F56"/>
    <w:rsid w:val="00512341"/>
    <w:rsid w:val="0051262C"/>
    <w:rsid w:val="005126C6"/>
    <w:rsid w:val="005129C4"/>
    <w:rsid w:val="00512C6E"/>
    <w:rsid w:val="00512DB3"/>
    <w:rsid w:val="00512DE1"/>
    <w:rsid w:val="00512F91"/>
    <w:rsid w:val="0051358C"/>
    <w:rsid w:val="00513891"/>
    <w:rsid w:val="00513AE5"/>
    <w:rsid w:val="00513D0A"/>
    <w:rsid w:val="00513D84"/>
    <w:rsid w:val="00513E3A"/>
    <w:rsid w:val="00514380"/>
    <w:rsid w:val="00514672"/>
    <w:rsid w:val="00514FE4"/>
    <w:rsid w:val="00515715"/>
    <w:rsid w:val="00516051"/>
    <w:rsid w:val="00516075"/>
    <w:rsid w:val="00516342"/>
    <w:rsid w:val="005170AB"/>
    <w:rsid w:val="00517100"/>
    <w:rsid w:val="00517370"/>
    <w:rsid w:val="0051743F"/>
    <w:rsid w:val="0051781E"/>
    <w:rsid w:val="00517B04"/>
    <w:rsid w:val="00517CA6"/>
    <w:rsid w:val="005201A4"/>
    <w:rsid w:val="0052031C"/>
    <w:rsid w:val="0052038D"/>
    <w:rsid w:val="00520543"/>
    <w:rsid w:val="0052060B"/>
    <w:rsid w:val="005208C4"/>
    <w:rsid w:val="00520DF0"/>
    <w:rsid w:val="005210F8"/>
    <w:rsid w:val="00521971"/>
    <w:rsid w:val="005221FF"/>
    <w:rsid w:val="0052279B"/>
    <w:rsid w:val="00522826"/>
    <w:rsid w:val="005228B8"/>
    <w:rsid w:val="00522940"/>
    <w:rsid w:val="00522A3A"/>
    <w:rsid w:val="00522FEB"/>
    <w:rsid w:val="00523250"/>
    <w:rsid w:val="005232FB"/>
    <w:rsid w:val="00523441"/>
    <w:rsid w:val="0052349D"/>
    <w:rsid w:val="0052352E"/>
    <w:rsid w:val="0052360D"/>
    <w:rsid w:val="0052374A"/>
    <w:rsid w:val="00523988"/>
    <w:rsid w:val="00523E5B"/>
    <w:rsid w:val="0052420D"/>
    <w:rsid w:val="005243C5"/>
    <w:rsid w:val="00524464"/>
    <w:rsid w:val="005245A8"/>
    <w:rsid w:val="00524959"/>
    <w:rsid w:val="00524D9A"/>
    <w:rsid w:val="00524F11"/>
    <w:rsid w:val="005251FA"/>
    <w:rsid w:val="00526257"/>
    <w:rsid w:val="00526321"/>
    <w:rsid w:val="00526687"/>
    <w:rsid w:val="005266A1"/>
    <w:rsid w:val="0052712A"/>
    <w:rsid w:val="00527202"/>
    <w:rsid w:val="0052748F"/>
    <w:rsid w:val="00527827"/>
    <w:rsid w:val="0052790D"/>
    <w:rsid w:val="0052792D"/>
    <w:rsid w:val="00527A05"/>
    <w:rsid w:val="00527AD6"/>
    <w:rsid w:val="00527B61"/>
    <w:rsid w:val="00527D90"/>
    <w:rsid w:val="00527F5A"/>
    <w:rsid w:val="0053017C"/>
    <w:rsid w:val="00530245"/>
    <w:rsid w:val="00530492"/>
    <w:rsid w:val="00530794"/>
    <w:rsid w:val="00530B4C"/>
    <w:rsid w:val="00530C19"/>
    <w:rsid w:val="00530E15"/>
    <w:rsid w:val="00531008"/>
    <w:rsid w:val="00531073"/>
    <w:rsid w:val="00531668"/>
    <w:rsid w:val="0053188B"/>
    <w:rsid w:val="005318A9"/>
    <w:rsid w:val="0053196C"/>
    <w:rsid w:val="00532398"/>
    <w:rsid w:val="005323B6"/>
    <w:rsid w:val="00532C3C"/>
    <w:rsid w:val="00532EA1"/>
    <w:rsid w:val="0053305C"/>
    <w:rsid w:val="0053328F"/>
    <w:rsid w:val="00533636"/>
    <w:rsid w:val="0053380E"/>
    <w:rsid w:val="00533867"/>
    <w:rsid w:val="00533B15"/>
    <w:rsid w:val="00533B1B"/>
    <w:rsid w:val="00533EAC"/>
    <w:rsid w:val="00533F1D"/>
    <w:rsid w:val="0053401E"/>
    <w:rsid w:val="00534040"/>
    <w:rsid w:val="0053409C"/>
    <w:rsid w:val="0053436F"/>
    <w:rsid w:val="0053441D"/>
    <w:rsid w:val="0053484D"/>
    <w:rsid w:val="00534869"/>
    <w:rsid w:val="005349A2"/>
    <w:rsid w:val="005349C0"/>
    <w:rsid w:val="00534AB8"/>
    <w:rsid w:val="00534E0B"/>
    <w:rsid w:val="0053557E"/>
    <w:rsid w:val="00535BC6"/>
    <w:rsid w:val="00535DE1"/>
    <w:rsid w:val="00535FF9"/>
    <w:rsid w:val="005360EC"/>
    <w:rsid w:val="00536387"/>
    <w:rsid w:val="00536556"/>
    <w:rsid w:val="0053655F"/>
    <w:rsid w:val="005366A1"/>
    <w:rsid w:val="005372F2"/>
    <w:rsid w:val="00537397"/>
    <w:rsid w:val="00537560"/>
    <w:rsid w:val="0053797A"/>
    <w:rsid w:val="005379D8"/>
    <w:rsid w:val="00537B21"/>
    <w:rsid w:val="00537F18"/>
    <w:rsid w:val="00540050"/>
    <w:rsid w:val="00540064"/>
    <w:rsid w:val="00540276"/>
    <w:rsid w:val="005402B2"/>
    <w:rsid w:val="005402CD"/>
    <w:rsid w:val="0054047B"/>
    <w:rsid w:val="005404B3"/>
    <w:rsid w:val="00540659"/>
    <w:rsid w:val="00540847"/>
    <w:rsid w:val="00540CF6"/>
    <w:rsid w:val="0054127D"/>
    <w:rsid w:val="005414E4"/>
    <w:rsid w:val="00541BE4"/>
    <w:rsid w:val="00541CD6"/>
    <w:rsid w:val="00541DF5"/>
    <w:rsid w:val="00541E7D"/>
    <w:rsid w:val="005422AD"/>
    <w:rsid w:val="0054259D"/>
    <w:rsid w:val="00542A14"/>
    <w:rsid w:val="00542D37"/>
    <w:rsid w:val="00542E89"/>
    <w:rsid w:val="00543293"/>
    <w:rsid w:val="005433C6"/>
    <w:rsid w:val="00543463"/>
    <w:rsid w:val="0054399A"/>
    <w:rsid w:val="00543B3F"/>
    <w:rsid w:val="00543CA1"/>
    <w:rsid w:val="00543D02"/>
    <w:rsid w:val="0054419B"/>
    <w:rsid w:val="005441D6"/>
    <w:rsid w:val="00544342"/>
    <w:rsid w:val="005444E6"/>
    <w:rsid w:val="0054493D"/>
    <w:rsid w:val="00544E15"/>
    <w:rsid w:val="005450B2"/>
    <w:rsid w:val="005450E7"/>
    <w:rsid w:val="005453A0"/>
    <w:rsid w:val="0054545F"/>
    <w:rsid w:val="00545937"/>
    <w:rsid w:val="005461F4"/>
    <w:rsid w:val="00546464"/>
    <w:rsid w:val="00546C64"/>
    <w:rsid w:val="005470BD"/>
    <w:rsid w:val="0054750B"/>
    <w:rsid w:val="00547543"/>
    <w:rsid w:val="00547A9D"/>
    <w:rsid w:val="00547C04"/>
    <w:rsid w:val="00547CAB"/>
    <w:rsid w:val="00547E18"/>
    <w:rsid w:val="00550026"/>
    <w:rsid w:val="0055003E"/>
    <w:rsid w:val="005501A4"/>
    <w:rsid w:val="00551007"/>
    <w:rsid w:val="00551405"/>
    <w:rsid w:val="00551660"/>
    <w:rsid w:val="0055185C"/>
    <w:rsid w:val="00551A34"/>
    <w:rsid w:val="00551FB5"/>
    <w:rsid w:val="00552069"/>
    <w:rsid w:val="0055210E"/>
    <w:rsid w:val="00552639"/>
    <w:rsid w:val="005526B5"/>
    <w:rsid w:val="00552A39"/>
    <w:rsid w:val="00552D59"/>
    <w:rsid w:val="00552DE8"/>
    <w:rsid w:val="00552F65"/>
    <w:rsid w:val="00552FAA"/>
    <w:rsid w:val="005532A8"/>
    <w:rsid w:val="005532D8"/>
    <w:rsid w:val="005533B2"/>
    <w:rsid w:val="00553676"/>
    <w:rsid w:val="00553740"/>
    <w:rsid w:val="005538B8"/>
    <w:rsid w:val="005538BC"/>
    <w:rsid w:val="00553D94"/>
    <w:rsid w:val="00553DC4"/>
    <w:rsid w:val="005542E2"/>
    <w:rsid w:val="00554308"/>
    <w:rsid w:val="005546B4"/>
    <w:rsid w:val="00554A5D"/>
    <w:rsid w:val="00554C0E"/>
    <w:rsid w:val="00555000"/>
    <w:rsid w:val="00555292"/>
    <w:rsid w:val="005552B1"/>
    <w:rsid w:val="00555330"/>
    <w:rsid w:val="00555503"/>
    <w:rsid w:val="005557EC"/>
    <w:rsid w:val="00555CC9"/>
    <w:rsid w:val="00556322"/>
    <w:rsid w:val="0055674E"/>
    <w:rsid w:val="00556972"/>
    <w:rsid w:val="00556C16"/>
    <w:rsid w:val="00556D00"/>
    <w:rsid w:val="00556DC3"/>
    <w:rsid w:val="00556E00"/>
    <w:rsid w:val="00556E88"/>
    <w:rsid w:val="00556F69"/>
    <w:rsid w:val="0055766D"/>
    <w:rsid w:val="00557839"/>
    <w:rsid w:val="00557962"/>
    <w:rsid w:val="00557A4E"/>
    <w:rsid w:val="0056002E"/>
    <w:rsid w:val="00560342"/>
    <w:rsid w:val="0056045F"/>
    <w:rsid w:val="0056058D"/>
    <w:rsid w:val="00560637"/>
    <w:rsid w:val="005607AE"/>
    <w:rsid w:val="00561184"/>
    <w:rsid w:val="00561385"/>
    <w:rsid w:val="005613FB"/>
    <w:rsid w:val="005617E3"/>
    <w:rsid w:val="00561A40"/>
    <w:rsid w:val="00561AC1"/>
    <w:rsid w:val="00561AF3"/>
    <w:rsid w:val="005621CD"/>
    <w:rsid w:val="00562295"/>
    <w:rsid w:val="00562BCD"/>
    <w:rsid w:val="00562D2D"/>
    <w:rsid w:val="00562DF4"/>
    <w:rsid w:val="00562EF2"/>
    <w:rsid w:val="00563090"/>
    <w:rsid w:val="005633BC"/>
    <w:rsid w:val="005634D7"/>
    <w:rsid w:val="005636B3"/>
    <w:rsid w:val="005636E9"/>
    <w:rsid w:val="0056370F"/>
    <w:rsid w:val="005638E6"/>
    <w:rsid w:val="00563AC8"/>
    <w:rsid w:val="00563DE7"/>
    <w:rsid w:val="00564225"/>
    <w:rsid w:val="00564350"/>
    <w:rsid w:val="0056462F"/>
    <w:rsid w:val="00564B7B"/>
    <w:rsid w:val="00564CD8"/>
    <w:rsid w:val="00564EAC"/>
    <w:rsid w:val="00564FBB"/>
    <w:rsid w:val="005650EA"/>
    <w:rsid w:val="00565127"/>
    <w:rsid w:val="005652FE"/>
    <w:rsid w:val="005659F8"/>
    <w:rsid w:val="00565F0B"/>
    <w:rsid w:val="00565FD2"/>
    <w:rsid w:val="0056607E"/>
    <w:rsid w:val="005664E2"/>
    <w:rsid w:val="005665D4"/>
    <w:rsid w:val="00566752"/>
    <w:rsid w:val="005667F3"/>
    <w:rsid w:val="00566890"/>
    <w:rsid w:val="00566966"/>
    <w:rsid w:val="00567130"/>
    <w:rsid w:val="00567931"/>
    <w:rsid w:val="00567AAA"/>
    <w:rsid w:val="00567C87"/>
    <w:rsid w:val="00567D86"/>
    <w:rsid w:val="00567ECB"/>
    <w:rsid w:val="00567EE9"/>
    <w:rsid w:val="00570580"/>
    <w:rsid w:val="005705B9"/>
    <w:rsid w:val="00570B8A"/>
    <w:rsid w:val="00570F7E"/>
    <w:rsid w:val="005714C2"/>
    <w:rsid w:val="0057168A"/>
    <w:rsid w:val="005719EF"/>
    <w:rsid w:val="00571BFB"/>
    <w:rsid w:val="0057261C"/>
    <w:rsid w:val="0057272F"/>
    <w:rsid w:val="00572ABE"/>
    <w:rsid w:val="00573004"/>
    <w:rsid w:val="005731D6"/>
    <w:rsid w:val="005732DC"/>
    <w:rsid w:val="00573470"/>
    <w:rsid w:val="0057357D"/>
    <w:rsid w:val="005739BE"/>
    <w:rsid w:val="00573A44"/>
    <w:rsid w:val="00573C4D"/>
    <w:rsid w:val="00573D34"/>
    <w:rsid w:val="00573FC5"/>
    <w:rsid w:val="005740BE"/>
    <w:rsid w:val="005740E3"/>
    <w:rsid w:val="00574306"/>
    <w:rsid w:val="00574374"/>
    <w:rsid w:val="005743A4"/>
    <w:rsid w:val="005743F1"/>
    <w:rsid w:val="0057449D"/>
    <w:rsid w:val="00574826"/>
    <w:rsid w:val="00574AF4"/>
    <w:rsid w:val="00574B41"/>
    <w:rsid w:val="00574FB9"/>
    <w:rsid w:val="005751CA"/>
    <w:rsid w:val="00575E13"/>
    <w:rsid w:val="00575F01"/>
    <w:rsid w:val="00576194"/>
    <w:rsid w:val="005763ED"/>
    <w:rsid w:val="00576730"/>
    <w:rsid w:val="0057676C"/>
    <w:rsid w:val="005777D9"/>
    <w:rsid w:val="005778AB"/>
    <w:rsid w:val="005778C4"/>
    <w:rsid w:val="00577F67"/>
    <w:rsid w:val="0058001B"/>
    <w:rsid w:val="005802BF"/>
    <w:rsid w:val="00580563"/>
    <w:rsid w:val="0058076B"/>
    <w:rsid w:val="00580A38"/>
    <w:rsid w:val="00580B17"/>
    <w:rsid w:val="00580F07"/>
    <w:rsid w:val="00580F44"/>
    <w:rsid w:val="00580FEC"/>
    <w:rsid w:val="00581114"/>
    <w:rsid w:val="005811C4"/>
    <w:rsid w:val="005812EE"/>
    <w:rsid w:val="005812FA"/>
    <w:rsid w:val="00581481"/>
    <w:rsid w:val="005814B5"/>
    <w:rsid w:val="0058160C"/>
    <w:rsid w:val="00581867"/>
    <w:rsid w:val="00581A61"/>
    <w:rsid w:val="00581F9F"/>
    <w:rsid w:val="00582BC2"/>
    <w:rsid w:val="005836DC"/>
    <w:rsid w:val="00583977"/>
    <w:rsid w:val="00583B49"/>
    <w:rsid w:val="005841EA"/>
    <w:rsid w:val="0058487E"/>
    <w:rsid w:val="00584B6F"/>
    <w:rsid w:val="00584D20"/>
    <w:rsid w:val="00584D78"/>
    <w:rsid w:val="00584E4C"/>
    <w:rsid w:val="005851C9"/>
    <w:rsid w:val="00585430"/>
    <w:rsid w:val="005856E8"/>
    <w:rsid w:val="00585D35"/>
    <w:rsid w:val="00586067"/>
    <w:rsid w:val="0058639F"/>
    <w:rsid w:val="005864B1"/>
    <w:rsid w:val="005864F3"/>
    <w:rsid w:val="00587711"/>
    <w:rsid w:val="00587A66"/>
    <w:rsid w:val="00587AC1"/>
    <w:rsid w:val="005900FC"/>
    <w:rsid w:val="00590200"/>
    <w:rsid w:val="0059022B"/>
    <w:rsid w:val="00590535"/>
    <w:rsid w:val="00590699"/>
    <w:rsid w:val="00590991"/>
    <w:rsid w:val="00590DCB"/>
    <w:rsid w:val="005910A9"/>
    <w:rsid w:val="005912A5"/>
    <w:rsid w:val="005913D6"/>
    <w:rsid w:val="005915C8"/>
    <w:rsid w:val="005916E7"/>
    <w:rsid w:val="005918F4"/>
    <w:rsid w:val="005918F9"/>
    <w:rsid w:val="00591B9B"/>
    <w:rsid w:val="00591BC7"/>
    <w:rsid w:val="005929AD"/>
    <w:rsid w:val="00592DA6"/>
    <w:rsid w:val="00592FBF"/>
    <w:rsid w:val="0059305D"/>
    <w:rsid w:val="005930C7"/>
    <w:rsid w:val="005930E3"/>
    <w:rsid w:val="00593494"/>
    <w:rsid w:val="005934B3"/>
    <w:rsid w:val="005935A2"/>
    <w:rsid w:val="00593649"/>
    <w:rsid w:val="00593682"/>
    <w:rsid w:val="00593A0E"/>
    <w:rsid w:val="00593A5A"/>
    <w:rsid w:val="00593A5E"/>
    <w:rsid w:val="00593B54"/>
    <w:rsid w:val="00593E11"/>
    <w:rsid w:val="00594258"/>
    <w:rsid w:val="005943A4"/>
    <w:rsid w:val="005944C4"/>
    <w:rsid w:val="005945AC"/>
    <w:rsid w:val="0059466F"/>
    <w:rsid w:val="00594BF4"/>
    <w:rsid w:val="00594E12"/>
    <w:rsid w:val="00594F25"/>
    <w:rsid w:val="00594F78"/>
    <w:rsid w:val="0059527A"/>
    <w:rsid w:val="00595445"/>
    <w:rsid w:val="0059545D"/>
    <w:rsid w:val="00595AE7"/>
    <w:rsid w:val="00595AFE"/>
    <w:rsid w:val="00595DBD"/>
    <w:rsid w:val="00595E3C"/>
    <w:rsid w:val="00595E92"/>
    <w:rsid w:val="00596174"/>
    <w:rsid w:val="005961D8"/>
    <w:rsid w:val="00596951"/>
    <w:rsid w:val="00596ECF"/>
    <w:rsid w:val="00596ED8"/>
    <w:rsid w:val="0059742D"/>
    <w:rsid w:val="00597795"/>
    <w:rsid w:val="005A00CF"/>
    <w:rsid w:val="005A0166"/>
    <w:rsid w:val="005A0B23"/>
    <w:rsid w:val="005A0CFB"/>
    <w:rsid w:val="005A0FD1"/>
    <w:rsid w:val="005A10CC"/>
    <w:rsid w:val="005A1566"/>
    <w:rsid w:val="005A184F"/>
    <w:rsid w:val="005A1B5F"/>
    <w:rsid w:val="005A1BAA"/>
    <w:rsid w:val="005A1CE2"/>
    <w:rsid w:val="005A216E"/>
    <w:rsid w:val="005A21F8"/>
    <w:rsid w:val="005A284C"/>
    <w:rsid w:val="005A285D"/>
    <w:rsid w:val="005A2873"/>
    <w:rsid w:val="005A28CF"/>
    <w:rsid w:val="005A291A"/>
    <w:rsid w:val="005A2C58"/>
    <w:rsid w:val="005A324F"/>
    <w:rsid w:val="005A3514"/>
    <w:rsid w:val="005A3D10"/>
    <w:rsid w:val="005A3DFD"/>
    <w:rsid w:val="005A405E"/>
    <w:rsid w:val="005A405F"/>
    <w:rsid w:val="005A412A"/>
    <w:rsid w:val="005A432F"/>
    <w:rsid w:val="005A43F8"/>
    <w:rsid w:val="005A4ACE"/>
    <w:rsid w:val="005A4BC0"/>
    <w:rsid w:val="005A4F63"/>
    <w:rsid w:val="005A5070"/>
    <w:rsid w:val="005A513F"/>
    <w:rsid w:val="005A52D0"/>
    <w:rsid w:val="005A539D"/>
    <w:rsid w:val="005A5699"/>
    <w:rsid w:val="005A57DA"/>
    <w:rsid w:val="005A59F0"/>
    <w:rsid w:val="005A5A6D"/>
    <w:rsid w:val="005A5B9B"/>
    <w:rsid w:val="005A5BFE"/>
    <w:rsid w:val="005A661B"/>
    <w:rsid w:val="005A6841"/>
    <w:rsid w:val="005A6CBA"/>
    <w:rsid w:val="005A6FF6"/>
    <w:rsid w:val="005A713F"/>
    <w:rsid w:val="005A716C"/>
    <w:rsid w:val="005A7479"/>
    <w:rsid w:val="005A7654"/>
    <w:rsid w:val="005A7A16"/>
    <w:rsid w:val="005A7B58"/>
    <w:rsid w:val="005A7CF3"/>
    <w:rsid w:val="005B02C4"/>
    <w:rsid w:val="005B045A"/>
    <w:rsid w:val="005B088E"/>
    <w:rsid w:val="005B0B70"/>
    <w:rsid w:val="005B0EF0"/>
    <w:rsid w:val="005B115A"/>
    <w:rsid w:val="005B11BA"/>
    <w:rsid w:val="005B12D8"/>
    <w:rsid w:val="005B138A"/>
    <w:rsid w:val="005B149B"/>
    <w:rsid w:val="005B1720"/>
    <w:rsid w:val="005B1805"/>
    <w:rsid w:val="005B1A0E"/>
    <w:rsid w:val="005B1A97"/>
    <w:rsid w:val="005B1AC4"/>
    <w:rsid w:val="005B1BBC"/>
    <w:rsid w:val="005B1D82"/>
    <w:rsid w:val="005B20D0"/>
    <w:rsid w:val="005B2931"/>
    <w:rsid w:val="005B2A3E"/>
    <w:rsid w:val="005B2AD2"/>
    <w:rsid w:val="005B2B0F"/>
    <w:rsid w:val="005B2D37"/>
    <w:rsid w:val="005B2F31"/>
    <w:rsid w:val="005B326F"/>
    <w:rsid w:val="005B344C"/>
    <w:rsid w:val="005B4016"/>
    <w:rsid w:val="005B40D4"/>
    <w:rsid w:val="005B4277"/>
    <w:rsid w:val="005B4639"/>
    <w:rsid w:val="005B4A66"/>
    <w:rsid w:val="005B4CEA"/>
    <w:rsid w:val="005B570B"/>
    <w:rsid w:val="005B589B"/>
    <w:rsid w:val="005B5B6E"/>
    <w:rsid w:val="005B6216"/>
    <w:rsid w:val="005B632D"/>
    <w:rsid w:val="005B64A4"/>
    <w:rsid w:val="005B6505"/>
    <w:rsid w:val="005B699B"/>
    <w:rsid w:val="005B7082"/>
    <w:rsid w:val="005B7626"/>
    <w:rsid w:val="005C04EE"/>
    <w:rsid w:val="005C067A"/>
    <w:rsid w:val="005C10E6"/>
    <w:rsid w:val="005C1334"/>
    <w:rsid w:val="005C1455"/>
    <w:rsid w:val="005C1629"/>
    <w:rsid w:val="005C16E9"/>
    <w:rsid w:val="005C1D0E"/>
    <w:rsid w:val="005C1EAA"/>
    <w:rsid w:val="005C1F4B"/>
    <w:rsid w:val="005C1FD6"/>
    <w:rsid w:val="005C236B"/>
    <w:rsid w:val="005C262E"/>
    <w:rsid w:val="005C26C5"/>
    <w:rsid w:val="005C282F"/>
    <w:rsid w:val="005C2980"/>
    <w:rsid w:val="005C300A"/>
    <w:rsid w:val="005C34B9"/>
    <w:rsid w:val="005C37DC"/>
    <w:rsid w:val="005C387D"/>
    <w:rsid w:val="005C40E7"/>
    <w:rsid w:val="005C4189"/>
    <w:rsid w:val="005C4451"/>
    <w:rsid w:val="005C462D"/>
    <w:rsid w:val="005C4726"/>
    <w:rsid w:val="005C4794"/>
    <w:rsid w:val="005C47E4"/>
    <w:rsid w:val="005C4EEC"/>
    <w:rsid w:val="005C50FB"/>
    <w:rsid w:val="005C51E4"/>
    <w:rsid w:val="005C53DA"/>
    <w:rsid w:val="005C54F6"/>
    <w:rsid w:val="005C5549"/>
    <w:rsid w:val="005C5876"/>
    <w:rsid w:val="005C588B"/>
    <w:rsid w:val="005C593D"/>
    <w:rsid w:val="005C5A88"/>
    <w:rsid w:val="005C6F40"/>
    <w:rsid w:val="005C71A0"/>
    <w:rsid w:val="005C7A48"/>
    <w:rsid w:val="005C7BF4"/>
    <w:rsid w:val="005C7F0F"/>
    <w:rsid w:val="005D0438"/>
    <w:rsid w:val="005D0464"/>
    <w:rsid w:val="005D06E1"/>
    <w:rsid w:val="005D0E2E"/>
    <w:rsid w:val="005D0EC9"/>
    <w:rsid w:val="005D0FB3"/>
    <w:rsid w:val="005D1015"/>
    <w:rsid w:val="005D103E"/>
    <w:rsid w:val="005D10A5"/>
    <w:rsid w:val="005D125C"/>
    <w:rsid w:val="005D1272"/>
    <w:rsid w:val="005D12B1"/>
    <w:rsid w:val="005D1915"/>
    <w:rsid w:val="005D1933"/>
    <w:rsid w:val="005D1AC5"/>
    <w:rsid w:val="005D1C31"/>
    <w:rsid w:val="005D1CEB"/>
    <w:rsid w:val="005D1ED8"/>
    <w:rsid w:val="005D22A8"/>
    <w:rsid w:val="005D2398"/>
    <w:rsid w:val="005D23A0"/>
    <w:rsid w:val="005D2CE8"/>
    <w:rsid w:val="005D2D6F"/>
    <w:rsid w:val="005D2EB9"/>
    <w:rsid w:val="005D3110"/>
    <w:rsid w:val="005D3650"/>
    <w:rsid w:val="005D3DD2"/>
    <w:rsid w:val="005D3EC9"/>
    <w:rsid w:val="005D40DD"/>
    <w:rsid w:val="005D4232"/>
    <w:rsid w:val="005D423A"/>
    <w:rsid w:val="005D42FE"/>
    <w:rsid w:val="005D43E1"/>
    <w:rsid w:val="005D44E7"/>
    <w:rsid w:val="005D44F4"/>
    <w:rsid w:val="005D4700"/>
    <w:rsid w:val="005D4842"/>
    <w:rsid w:val="005D4921"/>
    <w:rsid w:val="005D4B84"/>
    <w:rsid w:val="005D4D09"/>
    <w:rsid w:val="005D4D98"/>
    <w:rsid w:val="005D5426"/>
    <w:rsid w:val="005D6209"/>
    <w:rsid w:val="005D6F9E"/>
    <w:rsid w:val="005D7005"/>
    <w:rsid w:val="005D7337"/>
    <w:rsid w:val="005D7579"/>
    <w:rsid w:val="005D7853"/>
    <w:rsid w:val="005D7951"/>
    <w:rsid w:val="005D7A15"/>
    <w:rsid w:val="005D7C83"/>
    <w:rsid w:val="005D7E70"/>
    <w:rsid w:val="005D7EA4"/>
    <w:rsid w:val="005E00F3"/>
    <w:rsid w:val="005E0599"/>
    <w:rsid w:val="005E175A"/>
    <w:rsid w:val="005E1A22"/>
    <w:rsid w:val="005E2297"/>
    <w:rsid w:val="005E22B6"/>
    <w:rsid w:val="005E24C9"/>
    <w:rsid w:val="005E2D00"/>
    <w:rsid w:val="005E31F3"/>
    <w:rsid w:val="005E3388"/>
    <w:rsid w:val="005E3527"/>
    <w:rsid w:val="005E3637"/>
    <w:rsid w:val="005E3C15"/>
    <w:rsid w:val="005E3C1D"/>
    <w:rsid w:val="005E3EFB"/>
    <w:rsid w:val="005E41A5"/>
    <w:rsid w:val="005E42E4"/>
    <w:rsid w:val="005E4825"/>
    <w:rsid w:val="005E4917"/>
    <w:rsid w:val="005E4A4A"/>
    <w:rsid w:val="005E4BBF"/>
    <w:rsid w:val="005E4C64"/>
    <w:rsid w:val="005E4D37"/>
    <w:rsid w:val="005E4E76"/>
    <w:rsid w:val="005E4F39"/>
    <w:rsid w:val="005E4F46"/>
    <w:rsid w:val="005E5358"/>
    <w:rsid w:val="005E569F"/>
    <w:rsid w:val="005E575D"/>
    <w:rsid w:val="005E5884"/>
    <w:rsid w:val="005E58F1"/>
    <w:rsid w:val="005E5C9A"/>
    <w:rsid w:val="005E5D04"/>
    <w:rsid w:val="005E5E57"/>
    <w:rsid w:val="005E60FA"/>
    <w:rsid w:val="005E6502"/>
    <w:rsid w:val="005E653E"/>
    <w:rsid w:val="005E71FE"/>
    <w:rsid w:val="005E7313"/>
    <w:rsid w:val="005E7627"/>
    <w:rsid w:val="005E771F"/>
    <w:rsid w:val="005E77F5"/>
    <w:rsid w:val="005E7847"/>
    <w:rsid w:val="005E78D6"/>
    <w:rsid w:val="005E79C4"/>
    <w:rsid w:val="005E79FA"/>
    <w:rsid w:val="005E7AA9"/>
    <w:rsid w:val="005E7AF7"/>
    <w:rsid w:val="005E7B80"/>
    <w:rsid w:val="005E7C09"/>
    <w:rsid w:val="005E7DB2"/>
    <w:rsid w:val="005E7DE4"/>
    <w:rsid w:val="005E7EDB"/>
    <w:rsid w:val="005F00DF"/>
    <w:rsid w:val="005F00ED"/>
    <w:rsid w:val="005F0600"/>
    <w:rsid w:val="005F0D4B"/>
    <w:rsid w:val="005F17C0"/>
    <w:rsid w:val="005F199D"/>
    <w:rsid w:val="005F1C94"/>
    <w:rsid w:val="005F1E58"/>
    <w:rsid w:val="005F1FA9"/>
    <w:rsid w:val="005F2142"/>
    <w:rsid w:val="005F223C"/>
    <w:rsid w:val="005F2B6A"/>
    <w:rsid w:val="005F2B8F"/>
    <w:rsid w:val="005F2D1B"/>
    <w:rsid w:val="005F2DA9"/>
    <w:rsid w:val="005F2DC8"/>
    <w:rsid w:val="005F2F40"/>
    <w:rsid w:val="005F2F4C"/>
    <w:rsid w:val="005F30AC"/>
    <w:rsid w:val="005F318B"/>
    <w:rsid w:val="005F328F"/>
    <w:rsid w:val="005F3312"/>
    <w:rsid w:val="005F3B7F"/>
    <w:rsid w:val="005F4242"/>
    <w:rsid w:val="005F47F0"/>
    <w:rsid w:val="005F4C39"/>
    <w:rsid w:val="005F4D5F"/>
    <w:rsid w:val="005F52D0"/>
    <w:rsid w:val="005F5363"/>
    <w:rsid w:val="005F5D00"/>
    <w:rsid w:val="005F5E25"/>
    <w:rsid w:val="005F5E29"/>
    <w:rsid w:val="005F6536"/>
    <w:rsid w:val="005F6692"/>
    <w:rsid w:val="005F672A"/>
    <w:rsid w:val="005F6AA3"/>
    <w:rsid w:val="005F6F0E"/>
    <w:rsid w:val="005F6F2A"/>
    <w:rsid w:val="005F7075"/>
    <w:rsid w:val="005F79BA"/>
    <w:rsid w:val="0060050E"/>
    <w:rsid w:val="0060085F"/>
    <w:rsid w:val="00600CE6"/>
    <w:rsid w:val="00600EA3"/>
    <w:rsid w:val="00601366"/>
    <w:rsid w:val="0060192F"/>
    <w:rsid w:val="00601B72"/>
    <w:rsid w:val="00601BFF"/>
    <w:rsid w:val="0060223F"/>
    <w:rsid w:val="006023BB"/>
    <w:rsid w:val="006029A4"/>
    <w:rsid w:val="00602B6C"/>
    <w:rsid w:val="00602C82"/>
    <w:rsid w:val="0060319C"/>
    <w:rsid w:val="00603419"/>
    <w:rsid w:val="006034F1"/>
    <w:rsid w:val="006035A7"/>
    <w:rsid w:val="006035EA"/>
    <w:rsid w:val="0060380B"/>
    <w:rsid w:val="00603994"/>
    <w:rsid w:val="00603A49"/>
    <w:rsid w:val="00603AF8"/>
    <w:rsid w:val="00603F57"/>
    <w:rsid w:val="00603F5B"/>
    <w:rsid w:val="00604341"/>
    <w:rsid w:val="00604525"/>
    <w:rsid w:val="006046E5"/>
    <w:rsid w:val="00604746"/>
    <w:rsid w:val="00604970"/>
    <w:rsid w:val="0060500A"/>
    <w:rsid w:val="00605154"/>
    <w:rsid w:val="00605184"/>
    <w:rsid w:val="006054BC"/>
    <w:rsid w:val="006054ED"/>
    <w:rsid w:val="00605CE0"/>
    <w:rsid w:val="00606052"/>
    <w:rsid w:val="00606A88"/>
    <w:rsid w:val="00606D7F"/>
    <w:rsid w:val="00606F37"/>
    <w:rsid w:val="006071DB"/>
    <w:rsid w:val="00607315"/>
    <w:rsid w:val="006076D4"/>
    <w:rsid w:val="0060778B"/>
    <w:rsid w:val="00607AE6"/>
    <w:rsid w:val="00607B39"/>
    <w:rsid w:val="00607D55"/>
    <w:rsid w:val="00607D97"/>
    <w:rsid w:val="006100D5"/>
    <w:rsid w:val="00610D2D"/>
    <w:rsid w:val="00610F9C"/>
    <w:rsid w:val="00611058"/>
    <w:rsid w:val="006110CF"/>
    <w:rsid w:val="006110FE"/>
    <w:rsid w:val="006114EA"/>
    <w:rsid w:val="006115BE"/>
    <w:rsid w:val="00611811"/>
    <w:rsid w:val="00611BA3"/>
    <w:rsid w:val="00611C46"/>
    <w:rsid w:val="00611C95"/>
    <w:rsid w:val="00611E98"/>
    <w:rsid w:val="006121C6"/>
    <w:rsid w:val="006123C7"/>
    <w:rsid w:val="006126C3"/>
    <w:rsid w:val="006127ED"/>
    <w:rsid w:val="00612950"/>
    <w:rsid w:val="006129FA"/>
    <w:rsid w:val="00612A87"/>
    <w:rsid w:val="00612AB4"/>
    <w:rsid w:val="00612CCE"/>
    <w:rsid w:val="00613245"/>
    <w:rsid w:val="00613809"/>
    <w:rsid w:val="00613884"/>
    <w:rsid w:val="006139A1"/>
    <w:rsid w:val="00613CCF"/>
    <w:rsid w:val="00613D0C"/>
    <w:rsid w:val="00613DA1"/>
    <w:rsid w:val="00614153"/>
    <w:rsid w:val="00614431"/>
    <w:rsid w:val="00614527"/>
    <w:rsid w:val="006146D3"/>
    <w:rsid w:val="0061471E"/>
    <w:rsid w:val="006149BB"/>
    <w:rsid w:val="00614F8D"/>
    <w:rsid w:val="00615189"/>
    <w:rsid w:val="0061518E"/>
    <w:rsid w:val="00615211"/>
    <w:rsid w:val="00615226"/>
    <w:rsid w:val="00615E19"/>
    <w:rsid w:val="00616623"/>
    <w:rsid w:val="006169E7"/>
    <w:rsid w:val="00616A28"/>
    <w:rsid w:val="00616C89"/>
    <w:rsid w:val="00616E58"/>
    <w:rsid w:val="0061700B"/>
    <w:rsid w:val="0061716A"/>
    <w:rsid w:val="0061774C"/>
    <w:rsid w:val="00617AF6"/>
    <w:rsid w:val="00620040"/>
    <w:rsid w:val="006202BB"/>
    <w:rsid w:val="00620421"/>
    <w:rsid w:val="006206CE"/>
    <w:rsid w:val="00620993"/>
    <w:rsid w:val="00620BFA"/>
    <w:rsid w:val="00620C22"/>
    <w:rsid w:val="00620CEA"/>
    <w:rsid w:val="00620D09"/>
    <w:rsid w:val="00620F51"/>
    <w:rsid w:val="00620F63"/>
    <w:rsid w:val="0062103C"/>
    <w:rsid w:val="0062114F"/>
    <w:rsid w:val="0062119B"/>
    <w:rsid w:val="00621A7E"/>
    <w:rsid w:val="00621D0F"/>
    <w:rsid w:val="006222CF"/>
    <w:rsid w:val="006226E7"/>
    <w:rsid w:val="00622915"/>
    <w:rsid w:val="00622E14"/>
    <w:rsid w:val="00622ECA"/>
    <w:rsid w:val="00622F54"/>
    <w:rsid w:val="00622F75"/>
    <w:rsid w:val="00623481"/>
    <w:rsid w:val="006235F1"/>
    <w:rsid w:val="0062372E"/>
    <w:rsid w:val="006238D6"/>
    <w:rsid w:val="00623AB9"/>
    <w:rsid w:val="00623DFE"/>
    <w:rsid w:val="0062422B"/>
    <w:rsid w:val="006247E2"/>
    <w:rsid w:val="00624B10"/>
    <w:rsid w:val="00624D23"/>
    <w:rsid w:val="00624DE1"/>
    <w:rsid w:val="0062515E"/>
    <w:rsid w:val="006252D4"/>
    <w:rsid w:val="006252E4"/>
    <w:rsid w:val="00625400"/>
    <w:rsid w:val="0062542D"/>
    <w:rsid w:val="006256CF"/>
    <w:rsid w:val="0062624E"/>
    <w:rsid w:val="006263F2"/>
    <w:rsid w:val="006264C2"/>
    <w:rsid w:val="00626535"/>
    <w:rsid w:val="00626A11"/>
    <w:rsid w:val="00626C76"/>
    <w:rsid w:val="00627025"/>
    <w:rsid w:val="00627712"/>
    <w:rsid w:val="0062780F"/>
    <w:rsid w:val="00627C0B"/>
    <w:rsid w:val="00627CA8"/>
    <w:rsid w:val="00627DE5"/>
    <w:rsid w:val="00627EC5"/>
    <w:rsid w:val="0063004C"/>
    <w:rsid w:val="006300A1"/>
    <w:rsid w:val="006301A5"/>
    <w:rsid w:val="0063033B"/>
    <w:rsid w:val="00630696"/>
    <w:rsid w:val="006306F2"/>
    <w:rsid w:val="00630D23"/>
    <w:rsid w:val="006315FD"/>
    <w:rsid w:val="00631C25"/>
    <w:rsid w:val="00631F17"/>
    <w:rsid w:val="006322B6"/>
    <w:rsid w:val="0063235A"/>
    <w:rsid w:val="0063258F"/>
    <w:rsid w:val="006325A5"/>
    <w:rsid w:val="00632625"/>
    <w:rsid w:val="0063284E"/>
    <w:rsid w:val="00632BAF"/>
    <w:rsid w:val="00632E50"/>
    <w:rsid w:val="00632EFE"/>
    <w:rsid w:val="00633098"/>
    <w:rsid w:val="0063321D"/>
    <w:rsid w:val="006332D0"/>
    <w:rsid w:val="006338D7"/>
    <w:rsid w:val="00633C6C"/>
    <w:rsid w:val="00633F0B"/>
    <w:rsid w:val="006344C1"/>
    <w:rsid w:val="0063488C"/>
    <w:rsid w:val="006348E9"/>
    <w:rsid w:val="0063504B"/>
    <w:rsid w:val="00635460"/>
    <w:rsid w:val="00635A9C"/>
    <w:rsid w:val="00635B8B"/>
    <w:rsid w:val="0063609F"/>
    <w:rsid w:val="00636677"/>
    <w:rsid w:val="00636A89"/>
    <w:rsid w:val="00636EB9"/>
    <w:rsid w:val="0063708E"/>
    <w:rsid w:val="00637512"/>
    <w:rsid w:val="006376AF"/>
    <w:rsid w:val="006378D9"/>
    <w:rsid w:val="00637ACB"/>
    <w:rsid w:val="00637E47"/>
    <w:rsid w:val="00637EB3"/>
    <w:rsid w:val="00637FB7"/>
    <w:rsid w:val="006400FF"/>
    <w:rsid w:val="006403AB"/>
    <w:rsid w:val="00640487"/>
    <w:rsid w:val="006408B1"/>
    <w:rsid w:val="006408BC"/>
    <w:rsid w:val="006410F8"/>
    <w:rsid w:val="006418B9"/>
    <w:rsid w:val="00641947"/>
    <w:rsid w:val="00641B45"/>
    <w:rsid w:val="00641F4E"/>
    <w:rsid w:val="00641FBE"/>
    <w:rsid w:val="0064207D"/>
    <w:rsid w:val="00642A5A"/>
    <w:rsid w:val="00642BD4"/>
    <w:rsid w:val="00643134"/>
    <w:rsid w:val="0064341F"/>
    <w:rsid w:val="0064344A"/>
    <w:rsid w:val="006434D4"/>
    <w:rsid w:val="00643757"/>
    <w:rsid w:val="00643AC6"/>
    <w:rsid w:val="00643AE9"/>
    <w:rsid w:val="00643E8F"/>
    <w:rsid w:val="006443BD"/>
    <w:rsid w:val="0064478D"/>
    <w:rsid w:val="00644A0A"/>
    <w:rsid w:val="00644EFE"/>
    <w:rsid w:val="006450B1"/>
    <w:rsid w:val="006451D2"/>
    <w:rsid w:val="006452DB"/>
    <w:rsid w:val="00645482"/>
    <w:rsid w:val="006458F3"/>
    <w:rsid w:val="0064595E"/>
    <w:rsid w:val="00645D8F"/>
    <w:rsid w:val="00645FA0"/>
    <w:rsid w:val="0064633F"/>
    <w:rsid w:val="0064675D"/>
    <w:rsid w:val="006467CB"/>
    <w:rsid w:val="006468C5"/>
    <w:rsid w:val="00646EE0"/>
    <w:rsid w:val="0064757F"/>
    <w:rsid w:val="0064770E"/>
    <w:rsid w:val="00647717"/>
    <w:rsid w:val="00647748"/>
    <w:rsid w:val="0064783F"/>
    <w:rsid w:val="006478DC"/>
    <w:rsid w:val="00650957"/>
    <w:rsid w:val="00650A45"/>
    <w:rsid w:val="00650A65"/>
    <w:rsid w:val="00650CD3"/>
    <w:rsid w:val="006510A9"/>
    <w:rsid w:val="006513DB"/>
    <w:rsid w:val="00651D19"/>
    <w:rsid w:val="00651EDD"/>
    <w:rsid w:val="0065202A"/>
    <w:rsid w:val="006520A7"/>
    <w:rsid w:val="006522A0"/>
    <w:rsid w:val="006522FF"/>
    <w:rsid w:val="00652A32"/>
    <w:rsid w:val="00652B8D"/>
    <w:rsid w:val="00652CE0"/>
    <w:rsid w:val="006533FA"/>
    <w:rsid w:val="006535F0"/>
    <w:rsid w:val="006536E3"/>
    <w:rsid w:val="00653AD9"/>
    <w:rsid w:val="00653B38"/>
    <w:rsid w:val="00653C42"/>
    <w:rsid w:val="00653D09"/>
    <w:rsid w:val="006541F6"/>
    <w:rsid w:val="006542D0"/>
    <w:rsid w:val="00654395"/>
    <w:rsid w:val="006543B3"/>
    <w:rsid w:val="00654620"/>
    <w:rsid w:val="0065495A"/>
    <w:rsid w:val="00654C71"/>
    <w:rsid w:val="00654DBD"/>
    <w:rsid w:val="00655174"/>
    <w:rsid w:val="0065549B"/>
    <w:rsid w:val="00655E97"/>
    <w:rsid w:val="00656150"/>
    <w:rsid w:val="00656197"/>
    <w:rsid w:val="006562E0"/>
    <w:rsid w:val="0065666F"/>
    <w:rsid w:val="0065671B"/>
    <w:rsid w:val="00656758"/>
    <w:rsid w:val="00656AFC"/>
    <w:rsid w:val="00657487"/>
    <w:rsid w:val="006574D2"/>
    <w:rsid w:val="00657679"/>
    <w:rsid w:val="0065785E"/>
    <w:rsid w:val="00657A21"/>
    <w:rsid w:val="00657A92"/>
    <w:rsid w:val="00657E93"/>
    <w:rsid w:val="00660525"/>
    <w:rsid w:val="006607DB"/>
    <w:rsid w:val="006608C0"/>
    <w:rsid w:val="006609CA"/>
    <w:rsid w:val="00660B94"/>
    <w:rsid w:val="00660C38"/>
    <w:rsid w:val="00660C48"/>
    <w:rsid w:val="00660E02"/>
    <w:rsid w:val="00660F06"/>
    <w:rsid w:val="0066168C"/>
    <w:rsid w:val="00661A06"/>
    <w:rsid w:val="00661A7E"/>
    <w:rsid w:val="00661A99"/>
    <w:rsid w:val="00661B23"/>
    <w:rsid w:val="00661E1B"/>
    <w:rsid w:val="0066279C"/>
    <w:rsid w:val="00662973"/>
    <w:rsid w:val="006632E3"/>
    <w:rsid w:val="00663543"/>
    <w:rsid w:val="0066365C"/>
    <w:rsid w:val="00663F09"/>
    <w:rsid w:val="00664155"/>
    <w:rsid w:val="00664229"/>
    <w:rsid w:val="006644AA"/>
    <w:rsid w:val="0066471A"/>
    <w:rsid w:val="00664A34"/>
    <w:rsid w:val="00664AD0"/>
    <w:rsid w:val="00664EF0"/>
    <w:rsid w:val="006650BB"/>
    <w:rsid w:val="00665272"/>
    <w:rsid w:val="00665551"/>
    <w:rsid w:val="006656AF"/>
    <w:rsid w:val="006656B8"/>
    <w:rsid w:val="00665EB4"/>
    <w:rsid w:val="00665F95"/>
    <w:rsid w:val="006662C4"/>
    <w:rsid w:val="00666453"/>
    <w:rsid w:val="006664E8"/>
    <w:rsid w:val="006669DA"/>
    <w:rsid w:val="00666B29"/>
    <w:rsid w:val="00666FDC"/>
    <w:rsid w:val="00667476"/>
    <w:rsid w:val="0066775F"/>
    <w:rsid w:val="006678D2"/>
    <w:rsid w:val="00667944"/>
    <w:rsid w:val="00667A1F"/>
    <w:rsid w:val="00667B5B"/>
    <w:rsid w:val="00667D41"/>
    <w:rsid w:val="00667DB8"/>
    <w:rsid w:val="00667EE5"/>
    <w:rsid w:val="00667F9A"/>
    <w:rsid w:val="00670033"/>
    <w:rsid w:val="0067027F"/>
    <w:rsid w:val="00670B5B"/>
    <w:rsid w:val="0067135E"/>
    <w:rsid w:val="00671702"/>
    <w:rsid w:val="0067185B"/>
    <w:rsid w:val="00671AAC"/>
    <w:rsid w:val="006723ED"/>
    <w:rsid w:val="00672539"/>
    <w:rsid w:val="00672ECF"/>
    <w:rsid w:val="006731FC"/>
    <w:rsid w:val="00673340"/>
    <w:rsid w:val="006734E4"/>
    <w:rsid w:val="00673AA3"/>
    <w:rsid w:val="006740DD"/>
    <w:rsid w:val="006740E1"/>
    <w:rsid w:val="0067465D"/>
    <w:rsid w:val="0067476B"/>
    <w:rsid w:val="00674C12"/>
    <w:rsid w:val="00674C13"/>
    <w:rsid w:val="00674D64"/>
    <w:rsid w:val="00674FDA"/>
    <w:rsid w:val="00675561"/>
    <w:rsid w:val="006756C1"/>
    <w:rsid w:val="00675880"/>
    <w:rsid w:val="00675ADB"/>
    <w:rsid w:val="00675D8D"/>
    <w:rsid w:val="00676377"/>
    <w:rsid w:val="0067638F"/>
    <w:rsid w:val="00676A9F"/>
    <w:rsid w:val="00676AF9"/>
    <w:rsid w:val="00676B84"/>
    <w:rsid w:val="00676E06"/>
    <w:rsid w:val="00677329"/>
    <w:rsid w:val="0067746F"/>
    <w:rsid w:val="006775E8"/>
    <w:rsid w:val="00677B49"/>
    <w:rsid w:val="00680011"/>
    <w:rsid w:val="0068016D"/>
    <w:rsid w:val="006801BE"/>
    <w:rsid w:val="006802AF"/>
    <w:rsid w:val="0068047F"/>
    <w:rsid w:val="006805BF"/>
    <w:rsid w:val="00680C6D"/>
    <w:rsid w:val="00681630"/>
    <w:rsid w:val="0068164B"/>
    <w:rsid w:val="00681B77"/>
    <w:rsid w:val="00681D19"/>
    <w:rsid w:val="0068245D"/>
    <w:rsid w:val="00682477"/>
    <w:rsid w:val="006825E3"/>
    <w:rsid w:val="0068287E"/>
    <w:rsid w:val="006829EF"/>
    <w:rsid w:val="00682B1E"/>
    <w:rsid w:val="00682B95"/>
    <w:rsid w:val="00682BC0"/>
    <w:rsid w:val="00682F09"/>
    <w:rsid w:val="00683213"/>
    <w:rsid w:val="0068322E"/>
    <w:rsid w:val="006832AA"/>
    <w:rsid w:val="006836DC"/>
    <w:rsid w:val="0068373C"/>
    <w:rsid w:val="0068384C"/>
    <w:rsid w:val="00683A96"/>
    <w:rsid w:val="00683BD9"/>
    <w:rsid w:val="00683D65"/>
    <w:rsid w:val="00684B44"/>
    <w:rsid w:val="00684CDB"/>
    <w:rsid w:val="0068556C"/>
    <w:rsid w:val="00685938"/>
    <w:rsid w:val="00685CFC"/>
    <w:rsid w:val="00685DB4"/>
    <w:rsid w:val="006861E8"/>
    <w:rsid w:val="00686B0F"/>
    <w:rsid w:val="00686CC3"/>
    <w:rsid w:val="006872AA"/>
    <w:rsid w:val="00687746"/>
    <w:rsid w:val="0068776A"/>
    <w:rsid w:val="0068783F"/>
    <w:rsid w:val="00687949"/>
    <w:rsid w:val="00687CB9"/>
    <w:rsid w:val="00687D55"/>
    <w:rsid w:val="00690182"/>
    <w:rsid w:val="00690375"/>
    <w:rsid w:val="00690377"/>
    <w:rsid w:val="006903F4"/>
    <w:rsid w:val="0069075A"/>
    <w:rsid w:val="0069076E"/>
    <w:rsid w:val="00690848"/>
    <w:rsid w:val="00690909"/>
    <w:rsid w:val="0069098A"/>
    <w:rsid w:val="00692B34"/>
    <w:rsid w:val="00692C35"/>
    <w:rsid w:val="00692D05"/>
    <w:rsid w:val="00692F7B"/>
    <w:rsid w:val="006931D8"/>
    <w:rsid w:val="00693299"/>
    <w:rsid w:val="00693AF2"/>
    <w:rsid w:val="00693FD0"/>
    <w:rsid w:val="00694023"/>
    <w:rsid w:val="006940CD"/>
    <w:rsid w:val="006943D2"/>
    <w:rsid w:val="00694405"/>
    <w:rsid w:val="00694517"/>
    <w:rsid w:val="006948F7"/>
    <w:rsid w:val="00694ACE"/>
    <w:rsid w:val="00694B6A"/>
    <w:rsid w:val="00695667"/>
    <w:rsid w:val="006959AA"/>
    <w:rsid w:val="00695BBF"/>
    <w:rsid w:val="00695C07"/>
    <w:rsid w:val="0069661D"/>
    <w:rsid w:val="006966A6"/>
    <w:rsid w:val="00696958"/>
    <w:rsid w:val="0069695D"/>
    <w:rsid w:val="00696960"/>
    <w:rsid w:val="00696E35"/>
    <w:rsid w:val="0069753F"/>
    <w:rsid w:val="00697954"/>
    <w:rsid w:val="00697956"/>
    <w:rsid w:val="00697B39"/>
    <w:rsid w:val="00697CB9"/>
    <w:rsid w:val="006A00F8"/>
    <w:rsid w:val="006A0595"/>
    <w:rsid w:val="006A06A2"/>
    <w:rsid w:val="006A07E5"/>
    <w:rsid w:val="006A12F5"/>
    <w:rsid w:val="006A1CA0"/>
    <w:rsid w:val="006A25E3"/>
    <w:rsid w:val="006A2F5B"/>
    <w:rsid w:val="006A3019"/>
    <w:rsid w:val="006A303F"/>
    <w:rsid w:val="006A3162"/>
    <w:rsid w:val="006A31E7"/>
    <w:rsid w:val="006A3425"/>
    <w:rsid w:val="006A344F"/>
    <w:rsid w:val="006A3666"/>
    <w:rsid w:val="006A39CE"/>
    <w:rsid w:val="006A4188"/>
    <w:rsid w:val="006A4626"/>
    <w:rsid w:val="006A49A9"/>
    <w:rsid w:val="006A4F11"/>
    <w:rsid w:val="006A5134"/>
    <w:rsid w:val="006A5559"/>
    <w:rsid w:val="006A55F0"/>
    <w:rsid w:val="006A586A"/>
    <w:rsid w:val="006A6174"/>
    <w:rsid w:val="006A62D5"/>
    <w:rsid w:val="006A6A0C"/>
    <w:rsid w:val="006A6A88"/>
    <w:rsid w:val="006A6FF7"/>
    <w:rsid w:val="006A72E2"/>
    <w:rsid w:val="006A7679"/>
    <w:rsid w:val="006A7C4F"/>
    <w:rsid w:val="006A7D16"/>
    <w:rsid w:val="006A7E85"/>
    <w:rsid w:val="006B0021"/>
    <w:rsid w:val="006B01E8"/>
    <w:rsid w:val="006B0739"/>
    <w:rsid w:val="006B076C"/>
    <w:rsid w:val="006B08EC"/>
    <w:rsid w:val="006B0B56"/>
    <w:rsid w:val="006B0BEE"/>
    <w:rsid w:val="006B12CB"/>
    <w:rsid w:val="006B14D1"/>
    <w:rsid w:val="006B14EA"/>
    <w:rsid w:val="006B1D90"/>
    <w:rsid w:val="006B1EA0"/>
    <w:rsid w:val="006B1EDF"/>
    <w:rsid w:val="006B2054"/>
    <w:rsid w:val="006B2087"/>
    <w:rsid w:val="006B232B"/>
    <w:rsid w:val="006B23B6"/>
    <w:rsid w:val="006B254D"/>
    <w:rsid w:val="006B2615"/>
    <w:rsid w:val="006B26A1"/>
    <w:rsid w:val="006B2AC7"/>
    <w:rsid w:val="006B2DBD"/>
    <w:rsid w:val="006B2FC4"/>
    <w:rsid w:val="006B4036"/>
    <w:rsid w:val="006B4464"/>
    <w:rsid w:val="006B44A9"/>
    <w:rsid w:val="006B4A6A"/>
    <w:rsid w:val="006B4C18"/>
    <w:rsid w:val="006B4CC0"/>
    <w:rsid w:val="006B4DED"/>
    <w:rsid w:val="006B4F51"/>
    <w:rsid w:val="006B530E"/>
    <w:rsid w:val="006B5471"/>
    <w:rsid w:val="006B552E"/>
    <w:rsid w:val="006B5634"/>
    <w:rsid w:val="006B599E"/>
    <w:rsid w:val="006B5F6F"/>
    <w:rsid w:val="006B5F8D"/>
    <w:rsid w:val="006B6044"/>
    <w:rsid w:val="006B634C"/>
    <w:rsid w:val="006B6632"/>
    <w:rsid w:val="006B695A"/>
    <w:rsid w:val="006B6A20"/>
    <w:rsid w:val="006B6CE9"/>
    <w:rsid w:val="006B6D66"/>
    <w:rsid w:val="006B6E4A"/>
    <w:rsid w:val="006B716D"/>
    <w:rsid w:val="006B7356"/>
    <w:rsid w:val="006B73AD"/>
    <w:rsid w:val="006B7531"/>
    <w:rsid w:val="006B78FA"/>
    <w:rsid w:val="006B7F39"/>
    <w:rsid w:val="006C01B3"/>
    <w:rsid w:val="006C01DD"/>
    <w:rsid w:val="006C0365"/>
    <w:rsid w:val="006C0532"/>
    <w:rsid w:val="006C15CE"/>
    <w:rsid w:val="006C1E52"/>
    <w:rsid w:val="006C1F6A"/>
    <w:rsid w:val="006C20B1"/>
    <w:rsid w:val="006C27C0"/>
    <w:rsid w:val="006C2991"/>
    <w:rsid w:val="006C2BAB"/>
    <w:rsid w:val="006C2BB0"/>
    <w:rsid w:val="006C2C9D"/>
    <w:rsid w:val="006C2D66"/>
    <w:rsid w:val="006C327C"/>
    <w:rsid w:val="006C32E4"/>
    <w:rsid w:val="006C337F"/>
    <w:rsid w:val="006C33FF"/>
    <w:rsid w:val="006C34C0"/>
    <w:rsid w:val="006C40AC"/>
    <w:rsid w:val="006C43C7"/>
    <w:rsid w:val="006C446C"/>
    <w:rsid w:val="006C4877"/>
    <w:rsid w:val="006C4B9A"/>
    <w:rsid w:val="006C4E1F"/>
    <w:rsid w:val="006C4F6C"/>
    <w:rsid w:val="006C4FF0"/>
    <w:rsid w:val="006C5A0C"/>
    <w:rsid w:val="006C5DD8"/>
    <w:rsid w:val="006C67D6"/>
    <w:rsid w:val="006C68DB"/>
    <w:rsid w:val="006C759E"/>
    <w:rsid w:val="006C75B8"/>
    <w:rsid w:val="006C782E"/>
    <w:rsid w:val="006C7AA8"/>
    <w:rsid w:val="006C7C40"/>
    <w:rsid w:val="006C7CAA"/>
    <w:rsid w:val="006D030A"/>
    <w:rsid w:val="006D0615"/>
    <w:rsid w:val="006D0679"/>
    <w:rsid w:val="006D0811"/>
    <w:rsid w:val="006D0BBC"/>
    <w:rsid w:val="006D0F69"/>
    <w:rsid w:val="006D1116"/>
    <w:rsid w:val="006D19F1"/>
    <w:rsid w:val="006D1A5C"/>
    <w:rsid w:val="006D1B13"/>
    <w:rsid w:val="006D1C5F"/>
    <w:rsid w:val="006D1C73"/>
    <w:rsid w:val="006D1E1D"/>
    <w:rsid w:val="006D1F74"/>
    <w:rsid w:val="006D2015"/>
    <w:rsid w:val="006D23E1"/>
    <w:rsid w:val="006D2588"/>
    <w:rsid w:val="006D2655"/>
    <w:rsid w:val="006D2A82"/>
    <w:rsid w:val="006D2D41"/>
    <w:rsid w:val="006D306B"/>
    <w:rsid w:val="006D34D3"/>
    <w:rsid w:val="006D35C4"/>
    <w:rsid w:val="006D3920"/>
    <w:rsid w:val="006D3AC2"/>
    <w:rsid w:val="006D3B80"/>
    <w:rsid w:val="006D3E8D"/>
    <w:rsid w:val="006D4054"/>
    <w:rsid w:val="006D42BC"/>
    <w:rsid w:val="006D445D"/>
    <w:rsid w:val="006D47B9"/>
    <w:rsid w:val="006D496D"/>
    <w:rsid w:val="006D49C8"/>
    <w:rsid w:val="006D4BB5"/>
    <w:rsid w:val="006D502C"/>
    <w:rsid w:val="006D5220"/>
    <w:rsid w:val="006D525D"/>
    <w:rsid w:val="006D5A59"/>
    <w:rsid w:val="006D5B24"/>
    <w:rsid w:val="006D5BBD"/>
    <w:rsid w:val="006D65C3"/>
    <w:rsid w:val="006D665E"/>
    <w:rsid w:val="006D66D3"/>
    <w:rsid w:val="006D6E86"/>
    <w:rsid w:val="006D6EAD"/>
    <w:rsid w:val="006D7130"/>
    <w:rsid w:val="006D7215"/>
    <w:rsid w:val="006D727A"/>
    <w:rsid w:val="006D782D"/>
    <w:rsid w:val="006D7C1B"/>
    <w:rsid w:val="006E0079"/>
    <w:rsid w:val="006E09F5"/>
    <w:rsid w:val="006E0D54"/>
    <w:rsid w:val="006E0D9F"/>
    <w:rsid w:val="006E0FB7"/>
    <w:rsid w:val="006E1108"/>
    <w:rsid w:val="006E12E5"/>
    <w:rsid w:val="006E15CC"/>
    <w:rsid w:val="006E1605"/>
    <w:rsid w:val="006E1727"/>
    <w:rsid w:val="006E23DD"/>
    <w:rsid w:val="006E2413"/>
    <w:rsid w:val="006E2CA1"/>
    <w:rsid w:val="006E2F19"/>
    <w:rsid w:val="006E31F5"/>
    <w:rsid w:val="006E3264"/>
    <w:rsid w:val="006E36AE"/>
    <w:rsid w:val="006E37E4"/>
    <w:rsid w:val="006E4124"/>
    <w:rsid w:val="006E417E"/>
    <w:rsid w:val="006E42D5"/>
    <w:rsid w:val="006E476F"/>
    <w:rsid w:val="006E4A55"/>
    <w:rsid w:val="006E4BD8"/>
    <w:rsid w:val="006E4F00"/>
    <w:rsid w:val="006E501F"/>
    <w:rsid w:val="006E51D0"/>
    <w:rsid w:val="006E5640"/>
    <w:rsid w:val="006E5779"/>
    <w:rsid w:val="006E57C7"/>
    <w:rsid w:val="006E5801"/>
    <w:rsid w:val="006E5D02"/>
    <w:rsid w:val="006E5E61"/>
    <w:rsid w:val="006E6226"/>
    <w:rsid w:val="006E645E"/>
    <w:rsid w:val="006E6766"/>
    <w:rsid w:val="006E6D5C"/>
    <w:rsid w:val="006E6EE5"/>
    <w:rsid w:val="006E725D"/>
    <w:rsid w:val="006E72BE"/>
    <w:rsid w:val="006E7536"/>
    <w:rsid w:val="006E773B"/>
    <w:rsid w:val="006E78E7"/>
    <w:rsid w:val="006E7E5F"/>
    <w:rsid w:val="006E7F70"/>
    <w:rsid w:val="006F03EE"/>
    <w:rsid w:val="006F03EF"/>
    <w:rsid w:val="006F0968"/>
    <w:rsid w:val="006F09A4"/>
    <w:rsid w:val="006F0B33"/>
    <w:rsid w:val="006F0F88"/>
    <w:rsid w:val="006F1065"/>
    <w:rsid w:val="006F1070"/>
    <w:rsid w:val="006F12DC"/>
    <w:rsid w:val="006F1351"/>
    <w:rsid w:val="006F1A52"/>
    <w:rsid w:val="006F1E09"/>
    <w:rsid w:val="006F1FCF"/>
    <w:rsid w:val="006F203D"/>
    <w:rsid w:val="006F21CA"/>
    <w:rsid w:val="006F21E9"/>
    <w:rsid w:val="006F21F7"/>
    <w:rsid w:val="006F22D4"/>
    <w:rsid w:val="006F2406"/>
    <w:rsid w:val="006F280C"/>
    <w:rsid w:val="006F2882"/>
    <w:rsid w:val="006F304B"/>
    <w:rsid w:val="006F3556"/>
    <w:rsid w:val="006F359B"/>
    <w:rsid w:val="006F3773"/>
    <w:rsid w:val="006F395C"/>
    <w:rsid w:val="006F3C39"/>
    <w:rsid w:val="006F3E8B"/>
    <w:rsid w:val="006F43A8"/>
    <w:rsid w:val="006F4931"/>
    <w:rsid w:val="006F49BD"/>
    <w:rsid w:val="006F4E18"/>
    <w:rsid w:val="006F4F99"/>
    <w:rsid w:val="006F5414"/>
    <w:rsid w:val="006F588D"/>
    <w:rsid w:val="006F58D1"/>
    <w:rsid w:val="006F5A0B"/>
    <w:rsid w:val="006F644B"/>
    <w:rsid w:val="006F68AE"/>
    <w:rsid w:val="006F6914"/>
    <w:rsid w:val="006F69A6"/>
    <w:rsid w:val="006F6A2E"/>
    <w:rsid w:val="006F6C36"/>
    <w:rsid w:val="006F6D6A"/>
    <w:rsid w:val="006F7112"/>
    <w:rsid w:val="006F7206"/>
    <w:rsid w:val="006F7509"/>
    <w:rsid w:val="006F763D"/>
    <w:rsid w:val="006F79E6"/>
    <w:rsid w:val="007000EF"/>
    <w:rsid w:val="0070063E"/>
    <w:rsid w:val="00700647"/>
    <w:rsid w:val="00700C0C"/>
    <w:rsid w:val="00700D9F"/>
    <w:rsid w:val="00700DD7"/>
    <w:rsid w:val="00700F11"/>
    <w:rsid w:val="007010A8"/>
    <w:rsid w:val="007013B1"/>
    <w:rsid w:val="007013DD"/>
    <w:rsid w:val="007013F9"/>
    <w:rsid w:val="007014F8"/>
    <w:rsid w:val="00701980"/>
    <w:rsid w:val="007019A2"/>
    <w:rsid w:val="007021BE"/>
    <w:rsid w:val="0070228E"/>
    <w:rsid w:val="00702505"/>
    <w:rsid w:val="00702531"/>
    <w:rsid w:val="00702616"/>
    <w:rsid w:val="007026F2"/>
    <w:rsid w:val="00702E9C"/>
    <w:rsid w:val="00702F0E"/>
    <w:rsid w:val="0070337E"/>
    <w:rsid w:val="0070345B"/>
    <w:rsid w:val="007034FB"/>
    <w:rsid w:val="007035D5"/>
    <w:rsid w:val="007038D5"/>
    <w:rsid w:val="00703A7C"/>
    <w:rsid w:val="00703B71"/>
    <w:rsid w:val="00703BF5"/>
    <w:rsid w:val="00703D26"/>
    <w:rsid w:val="00704442"/>
    <w:rsid w:val="007045D9"/>
    <w:rsid w:val="00704BBE"/>
    <w:rsid w:val="00704D70"/>
    <w:rsid w:val="00704D9D"/>
    <w:rsid w:val="007053B3"/>
    <w:rsid w:val="0070542E"/>
    <w:rsid w:val="0070549A"/>
    <w:rsid w:val="00705B4E"/>
    <w:rsid w:val="00705E74"/>
    <w:rsid w:val="00705FFB"/>
    <w:rsid w:val="007060B2"/>
    <w:rsid w:val="00706406"/>
    <w:rsid w:val="0070672E"/>
    <w:rsid w:val="00706E36"/>
    <w:rsid w:val="00706F8E"/>
    <w:rsid w:val="0070734E"/>
    <w:rsid w:val="007074AA"/>
    <w:rsid w:val="00707673"/>
    <w:rsid w:val="0070772A"/>
    <w:rsid w:val="007077BB"/>
    <w:rsid w:val="00707905"/>
    <w:rsid w:val="007100B3"/>
    <w:rsid w:val="007102F0"/>
    <w:rsid w:val="00710720"/>
    <w:rsid w:val="007107C2"/>
    <w:rsid w:val="00710A38"/>
    <w:rsid w:val="00711232"/>
    <w:rsid w:val="007112F1"/>
    <w:rsid w:val="00711355"/>
    <w:rsid w:val="0071183E"/>
    <w:rsid w:val="007119DE"/>
    <w:rsid w:val="00711AF1"/>
    <w:rsid w:val="00711BF8"/>
    <w:rsid w:val="00711D20"/>
    <w:rsid w:val="007120F6"/>
    <w:rsid w:val="00712295"/>
    <w:rsid w:val="007122F7"/>
    <w:rsid w:val="00712355"/>
    <w:rsid w:val="007128C3"/>
    <w:rsid w:val="007131B5"/>
    <w:rsid w:val="0071325C"/>
    <w:rsid w:val="007133D7"/>
    <w:rsid w:val="00713716"/>
    <w:rsid w:val="00713AE9"/>
    <w:rsid w:val="00713B1A"/>
    <w:rsid w:val="00713C61"/>
    <w:rsid w:val="00713EB6"/>
    <w:rsid w:val="00713FF8"/>
    <w:rsid w:val="0071444E"/>
    <w:rsid w:val="007144F2"/>
    <w:rsid w:val="0071481B"/>
    <w:rsid w:val="0071482A"/>
    <w:rsid w:val="00714CB3"/>
    <w:rsid w:val="00714ED3"/>
    <w:rsid w:val="00715242"/>
    <w:rsid w:val="007155D5"/>
    <w:rsid w:val="007155EF"/>
    <w:rsid w:val="007155F8"/>
    <w:rsid w:val="00715DF5"/>
    <w:rsid w:val="00715E72"/>
    <w:rsid w:val="00715EC6"/>
    <w:rsid w:val="00715F4B"/>
    <w:rsid w:val="007162DA"/>
    <w:rsid w:val="00716748"/>
    <w:rsid w:val="00716835"/>
    <w:rsid w:val="007169D4"/>
    <w:rsid w:val="00716C32"/>
    <w:rsid w:val="00716CCA"/>
    <w:rsid w:val="007170B6"/>
    <w:rsid w:val="00717317"/>
    <w:rsid w:val="00717661"/>
    <w:rsid w:val="00717675"/>
    <w:rsid w:val="00717B37"/>
    <w:rsid w:val="007203DF"/>
    <w:rsid w:val="00720D95"/>
    <w:rsid w:val="0072104A"/>
    <w:rsid w:val="00721069"/>
    <w:rsid w:val="007213F4"/>
    <w:rsid w:val="0072170E"/>
    <w:rsid w:val="007217BC"/>
    <w:rsid w:val="00721A35"/>
    <w:rsid w:val="00722335"/>
    <w:rsid w:val="00722340"/>
    <w:rsid w:val="007223F9"/>
    <w:rsid w:val="007226B6"/>
    <w:rsid w:val="00722D6F"/>
    <w:rsid w:val="00722DC0"/>
    <w:rsid w:val="00722E79"/>
    <w:rsid w:val="00722EA2"/>
    <w:rsid w:val="00722F8D"/>
    <w:rsid w:val="00722FB2"/>
    <w:rsid w:val="00722FE4"/>
    <w:rsid w:val="00723285"/>
    <w:rsid w:val="007232A9"/>
    <w:rsid w:val="00723566"/>
    <w:rsid w:val="007237F8"/>
    <w:rsid w:val="00723AA1"/>
    <w:rsid w:val="00723AB0"/>
    <w:rsid w:val="00723BB5"/>
    <w:rsid w:val="00723C5A"/>
    <w:rsid w:val="00723CDF"/>
    <w:rsid w:val="00723D3B"/>
    <w:rsid w:val="00724136"/>
    <w:rsid w:val="00724371"/>
    <w:rsid w:val="007243CF"/>
    <w:rsid w:val="00724513"/>
    <w:rsid w:val="00724709"/>
    <w:rsid w:val="007247E0"/>
    <w:rsid w:val="007252C9"/>
    <w:rsid w:val="0072565E"/>
    <w:rsid w:val="007257EF"/>
    <w:rsid w:val="00725837"/>
    <w:rsid w:val="007259B3"/>
    <w:rsid w:val="00725A46"/>
    <w:rsid w:val="00725FF3"/>
    <w:rsid w:val="00726171"/>
    <w:rsid w:val="00726755"/>
    <w:rsid w:val="00726C6B"/>
    <w:rsid w:val="00726D11"/>
    <w:rsid w:val="00727842"/>
    <w:rsid w:val="00727ACF"/>
    <w:rsid w:val="0073013C"/>
    <w:rsid w:val="007301EF"/>
    <w:rsid w:val="007303D5"/>
    <w:rsid w:val="007304EA"/>
    <w:rsid w:val="00730653"/>
    <w:rsid w:val="00730939"/>
    <w:rsid w:val="00731165"/>
    <w:rsid w:val="00731310"/>
    <w:rsid w:val="007317DE"/>
    <w:rsid w:val="00731ACC"/>
    <w:rsid w:val="00731B30"/>
    <w:rsid w:val="00731E1A"/>
    <w:rsid w:val="00731EE8"/>
    <w:rsid w:val="00731F05"/>
    <w:rsid w:val="00731F97"/>
    <w:rsid w:val="007322E6"/>
    <w:rsid w:val="00732365"/>
    <w:rsid w:val="00732933"/>
    <w:rsid w:val="007331A5"/>
    <w:rsid w:val="0073349C"/>
    <w:rsid w:val="00733841"/>
    <w:rsid w:val="007339A6"/>
    <w:rsid w:val="00733FDA"/>
    <w:rsid w:val="00733FE9"/>
    <w:rsid w:val="007346A1"/>
    <w:rsid w:val="007349AE"/>
    <w:rsid w:val="00734B74"/>
    <w:rsid w:val="00734D69"/>
    <w:rsid w:val="0073534A"/>
    <w:rsid w:val="00735364"/>
    <w:rsid w:val="00735970"/>
    <w:rsid w:val="00735C76"/>
    <w:rsid w:val="0073619A"/>
    <w:rsid w:val="00736523"/>
    <w:rsid w:val="007365BB"/>
    <w:rsid w:val="007366A5"/>
    <w:rsid w:val="00736797"/>
    <w:rsid w:val="0073696F"/>
    <w:rsid w:val="00736C90"/>
    <w:rsid w:val="00737146"/>
    <w:rsid w:val="007376F8"/>
    <w:rsid w:val="00737832"/>
    <w:rsid w:val="00737A13"/>
    <w:rsid w:val="00737B41"/>
    <w:rsid w:val="00737C3D"/>
    <w:rsid w:val="00740434"/>
    <w:rsid w:val="0074154E"/>
    <w:rsid w:val="007418BE"/>
    <w:rsid w:val="00741C43"/>
    <w:rsid w:val="00741E14"/>
    <w:rsid w:val="00741EC3"/>
    <w:rsid w:val="00742037"/>
    <w:rsid w:val="0074204A"/>
    <w:rsid w:val="00742107"/>
    <w:rsid w:val="007421DD"/>
    <w:rsid w:val="00742393"/>
    <w:rsid w:val="00742968"/>
    <w:rsid w:val="00742D01"/>
    <w:rsid w:val="00743291"/>
    <w:rsid w:val="0074331D"/>
    <w:rsid w:val="007434B4"/>
    <w:rsid w:val="00743675"/>
    <w:rsid w:val="00743688"/>
    <w:rsid w:val="007437D5"/>
    <w:rsid w:val="0074392E"/>
    <w:rsid w:val="00743CE5"/>
    <w:rsid w:val="00744522"/>
    <w:rsid w:val="00744815"/>
    <w:rsid w:val="007448DF"/>
    <w:rsid w:val="00744A2D"/>
    <w:rsid w:val="00744B5C"/>
    <w:rsid w:val="007450B4"/>
    <w:rsid w:val="007450C1"/>
    <w:rsid w:val="007451D4"/>
    <w:rsid w:val="00745274"/>
    <w:rsid w:val="007454AD"/>
    <w:rsid w:val="00745700"/>
    <w:rsid w:val="00745EF2"/>
    <w:rsid w:val="00746011"/>
    <w:rsid w:val="007465C3"/>
    <w:rsid w:val="007468B1"/>
    <w:rsid w:val="00747160"/>
    <w:rsid w:val="00747314"/>
    <w:rsid w:val="0074763F"/>
    <w:rsid w:val="00747778"/>
    <w:rsid w:val="007477DF"/>
    <w:rsid w:val="00747806"/>
    <w:rsid w:val="00747ED5"/>
    <w:rsid w:val="00747FC1"/>
    <w:rsid w:val="007500B7"/>
    <w:rsid w:val="007500E5"/>
    <w:rsid w:val="0075051D"/>
    <w:rsid w:val="00750738"/>
    <w:rsid w:val="00750ACF"/>
    <w:rsid w:val="00750C15"/>
    <w:rsid w:val="00750CFB"/>
    <w:rsid w:val="00750E14"/>
    <w:rsid w:val="00751381"/>
    <w:rsid w:val="0075164A"/>
    <w:rsid w:val="00751E5E"/>
    <w:rsid w:val="00751FFD"/>
    <w:rsid w:val="007523BE"/>
    <w:rsid w:val="00752637"/>
    <w:rsid w:val="00752A4D"/>
    <w:rsid w:val="00752A67"/>
    <w:rsid w:val="00752C80"/>
    <w:rsid w:val="0075368F"/>
    <w:rsid w:val="007537FF"/>
    <w:rsid w:val="00753C7B"/>
    <w:rsid w:val="0075413A"/>
    <w:rsid w:val="007542F4"/>
    <w:rsid w:val="0075441A"/>
    <w:rsid w:val="00754683"/>
    <w:rsid w:val="00754685"/>
    <w:rsid w:val="007548C7"/>
    <w:rsid w:val="00754CBA"/>
    <w:rsid w:val="00754DC0"/>
    <w:rsid w:val="00754F9B"/>
    <w:rsid w:val="007551A9"/>
    <w:rsid w:val="0075524A"/>
    <w:rsid w:val="0075551B"/>
    <w:rsid w:val="0075560E"/>
    <w:rsid w:val="0075598D"/>
    <w:rsid w:val="00756454"/>
    <w:rsid w:val="007565AF"/>
    <w:rsid w:val="0075666D"/>
    <w:rsid w:val="007566EA"/>
    <w:rsid w:val="00756CA2"/>
    <w:rsid w:val="00756D98"/>
    <w:rsid w:val="00757111"/>
    <w:rsid w:val="007571DF"/>
    <w:rsid w:val="007575C9"/>
    <w:rsid w:val="00757D2B"/>
    <w:rsid w:val="00757F86"/>
    <w:rsid w:val="007600A7"/>
    <w:rsid w:val="007601AF"/>
    <w:rsid w:val="00760217"/>
    <w:rsid w:val="007604FF"/>
    <w:rsid w:val="00760D4C"/>
    <w:rsid w:val="00761764"/>
    <w:rsid w:val="00761EFB"/>
    <w:rsid w:val="00762499"/>
    <w:rsid w:val="007625E9"/>
    <w:rsid w:val="0076269E"/>
    <w:rsid w:val="00762B9A"/>
    <w:rsid w:val="00762DCB"/>
    <w:rsid w:val="00763014"/>
    <w:rsid w:val="00763029"/>
    <w:rsid w:val="007631C0"/>
    <w:rsid w:val="00763215"/>
    <w:rsid w:val="00763D9D"/>
    <w:rsid w:val="00763ECD"/>
    <w:rsid w:val="00764041"/>
    <w:rsid w:val="00764095"/>
    <w:rsid w:val="007645AB"/>
    <w:rsid w:val="00764C8D"/>
    <w:rsid w:val="00765191"/>
    <w:rsid w:val="0076556C"/>
    <w:rsid w:val="007655D5"/>
    <w:rsid w:val="007657AB"/>
    <w:rsid w:val="00765CC1"/>
    <w:rsid w:val="00765DE6"/>
    <w:rsid w:val="00765E25"/>
    <w:rsid w:val="00765E58"/>
    <w:rsid w:val="007661C9"/>
    <w:rsid w:val="00766214"/>
    <w:rsid w:val="00766660"/>
    <w:rsid w:val="007666DB"/>
    <w:rsid w:val="00766A8B"/>
    <w:rsid w:val="00766F5E"/>
    <w:rsid w:val="007677E8"/>
    <w:rsid w:val="00767CD6"/>
    <w:rsid w:val="0077086F"/>
    <w:rsid w:val="00770D16"/>
    <w:rsid w:val="00770F8C"/>
    <w:rsid w:val="00771002"/>
    <w:rsid w:val="0077104E"/>
    <w:rsid w:val="00771340"/>
    <w:rsid w:val="00771420"/>
    <w:rsid w:val="00771689"/>
    <w:rsid w:val="00771B8F"/>
    <w:rsid w:val="00771C47"/>
    <w:rsid w:val="0077233B"/>
    <w:rsid w:val="00772443"/>
    <w:rsid w:val="0077253E"/>
    <w:rsid w:val="0077272B"/>
    <w:rsid w:val="00772779"/>
    <w:rsid w:val="00772979"/>
    <w:rsid w:val="00772BB9"/>
    <w:rsid w:val="00772C80"/>
    <w:rsid w:val="00773920"/>
    <w:rsid w:val="0077399B"/>
    <w:rsid w:val="00773B25"/>
    <w:rsid w:val="00773F18"/>
    <w:rsid w:val="00774188"/>
    <w:rsid w:val="00774203"/>
    <w:rsid w:val="007744BC"/>
    <w:rsid w:val="0077452A"/>
    <w:rsid w:val="00774532"/>
    <w:rsid w:val="0077491C"/>
    <w:rsid w:val="007749BA"/>
    <w:rsid w:val="00774B60"/>
    <w:rsid w:val="00774E4E"/>
    <w:rsid w:val="0077506A"/>
    <w:rsid w:val="007754E9"/>
    <w:rsid w:val="0077554E"/>
    <w:rsid w:val="007757DE"/>
    <w:rsid w:val="007757FA"/>
    <w:rsid w:val="00775B7A"/>
    <w:rsid w:val="00775DD1"/>
    <w:rsid w:val="007760F7"/>
    <w:rsid w:val="0077611B"/>
    <w:rsid w:val="0077627B"/>
    <w:rsid w:val="00776652"/>
    <w:rsid w:val="0077665C"/>
    <w:rsid w:val="007767C4"/>
    <w:rsid w:val="00776ADD"/>
    <w:rsid w:val="00776D0B"/>
    <w:rsid w:val="00776D0C"/>
    <w:rsid w:val="00776EBB"/>
    <w:rsid w:val="00776ED0"/>
    <w:rsid w:val="007770E6"/>
    <w:rsid w:val="007775E4"/>
    <w:rsid w:val="0077767D"/>
    <w:rsid w:val="007778C2"/>
    <w:rsid w:val="00777996"/>
    <w:rsid w:val="0078039A"/>
    <w:rsid w:val="0078087E"/>
    <w:rsid w:val="00780F5D"/>
    <w:rsid w:val="00780FD9"/>
    <w:rsid w:val="007818B0"/>
    <w:rsid w:val="00781A0F"/>
    <w:rsid w:val="007823FF"/>
    <w:rsid w:val="00782C83"/>
    <w:rsid w:val="00782D2E"/>
    <w:rsid w:val="00783012"/>
    <w:rsid w:val="007831A7"/>
    <w:rsid w:val="00783299"/>
    <w:rsid w:val="00783951"/>
    <w:rsid w:val="00783AA9"/>
    <w:rsid w:val="00783CE0"/>
    <w:rsid w:val="0078478C"/>
    <w:rsid w:val="00784928"/>
    <w:rsid w:val="00784D23"/>
    <w:rsid w:val="00785312"/>
    <w:rsid w:val="00785BC5"/>
    <w:rsid w:val="00785C21"/>
    <w:rsid w:val="00785E0F"/>
    <w:rsid w:val="00785EE3"/>
    <w:rsid w:val="0078653A"/>
    <w:rsid w:val="0078661E"/>
    <w:rsid w:val="007868CD"/>
    <w:rsid w:val="00786B74"/>
    <w:rsid w:val="00786BA3"/>
    <w:rsid w:val="00786CF7"/>
    <w:rsid w:val="00786D07"/>
    <w:rsid w:val="00787923"/>
    <w:rsid w:val="00787943"/>
    <w:rsid w:val="00787E0C"/>
    <w:rsid w:val="00787EB3"/>
    <w:rsid w:val="00787EB6"/>
    <w:rsid w:val="007905A7"/>
    <w:rsid w:val="00790AC4"/>
    <w:rsid w:val="00790CCA"/>
    <w:rsid w:val="00790F8E"/>
    <w:rsid w:val="00791053"/>
    <w:rsid w:val="00791080"/>
    <w:rsid w:val="00791437"/>
    <w:rsid w:val="0079188D"/>
    <w:rsid w:val="00791A11"/>
    <w:rsid w:val="00791AF8"/>
    <w:rsid w:val="00792275"/>
    <w:rsid w:val="007922D7"/>
    <w:rsid w:val="00792530"/>
    <w:rsid w:val="0079259B"/>
    <w:rsid w:val="0079272F"/>
    <w:rsid w:val="0079325E"/>
    <w:rsid w:val="007933BF"/>
    <w:rsid w:val="0079348D"/>
    <w:rsid w:val="007936F0"/>
    <w:rsid w:val="007939B0"/>
    <w:rsid w:val="007941B2"/>
    <w:rsid w:val="007941B4"/>
    <w:rsid w:val="00794938"/>
    <w:rsid w:val="007949BB"/>
    <w:rsid w:val="00794CE1"/>
    <w:rsid w:val="00794F75"/>
    <w:rsid w:val="0079507A"/>
    <w:rsid w:val="00795457"/>
    <w:rsid w:val="00795473"/>
    <w:rsid w:val="0079626E"/>
    <w:rsid w:val="00796291"/>
    <w:rsid w:val="007964AE"/>
    <w:rsid w:val="00796E1F"/>
    <w:rsid w:val="00797693"/>
    <w:rsid w:val="00797704"/>
    <w:rsid w:val="00797B4A"/>
    <w:rsid w:val="007A030E"/>
    <w:rsid w:val="007A04B8"/>
    <w:rsid w:val="007A08D2"/>
    <w:rsid w:val="007A08E0"/>
    <w:rsid w:val="007A0FBE"/>
    <w:rsid w:val="007A12B7"/>
    <w:rsid w:val="007A173E"/>
    <w:rsid w:val="007A1868"/>
    <w:rsid w:val="007A1912"/>
    <w:rsid w:val="007A1A12"/>
    <w:rsid w:val="007A1C6B"/>
    <w:rsid w:val="007A1D81"/>
    <w:rsid w:val="007A2060"/>
    <w:rsid w:val="007A2215"/>
    <w:rsid w:val="007A263C"/>
    <w:rsid w:val="007A2DFF"/>
    <w:rsid w:val="007A3633"/>
    <w:rsid w:val="007A3992"/>
    <w:rsid w:val="007A3998"/>
    <w:rsid w:val="007A3D7E"/>
    <w:rsid w:val="007A4513"/>
    <w:rsid w:val="007A455C"/>
    <w:rsid w:val="007A4757"/>
    <w:rsid w:val="007A4BEA"/>
    <w:rsid w:val="007A4C27"/>
    <w:rsid w:val="007A542E"/>
    <w:rsid w:val="007A55DF"/>
    <w:rsid w:val="007A5910"/>
    <w:rsid w:val="007A5CD9"/>
    <w:rsid w:val="007A6497"/>
    <w:rsid w:val="007A64AD"/>
    <w:rsid w:val="007A674C"/>
    <w:rsid w:val="007A679C"/>
    <w:rsid w:val="007A68A9"/>
    <w:rsid w:val="007A697B"/>
    <w:rsid w:val="007A6C0F"/>
    <w:rsid w:val="007A6D6D"/>
    <w:rsid w:val="007A70E4"/>
    <w:rsid w:val="007A71B4"/>
    <w:rsid w:val="007A71E0"/>
    <w:rsid w:val="007A71E2"/>
    <w:rsid w:val="007A7234"/>
    <w:rsid w:val="007A7446"/>
    <w:rsid w:val="007A787D"/>
    <w:rsid w:val="007A796F"/>
    <w:rsid w:val="007A7C8C"/>
    <w:rsid w:val="007A7EAF"/>
    <w:rsid w:val="007A7F6C"/>
    <w:rsid w:val="007B02C6"/>
    <w:rsid w:val="007B06AA"/>
    <w:rsid w:val="007B0A92"/>
    <w:rsid w:val="007B11AD"/>
    <w:rsid w:val="007B14F3"/>
    <w:rsid w:val="007B1682"/>
    <w:rsid w:val="007B1A46"/>
    <w:rsid w:val="007B1B8D"/>
    <w:rsid w:val="007B1CC2"/>
    <w:rsid w:val="007B1E00"/>
    <w:rsid w:val="007B1F80"/>
    <w:rsid w:val="007B22EA"/>
    <w:rsid w:val="007B235E"/>
    <w:rsid w:val="007B2A72"/>
    <w:rsid w:val="007B2DE6"/>
    <w:rsid w:val="007B3144"/>
    <w:rsid w:val="007B3448"/>
    <w:rsid w:val="007B35B2"/>
    <w:rsid w:val="007B3931"/>
    <w:rsid w:val="007B3DAD"/>
    <w:rsid w:val="007B3F48"/>
    <w:rsid w:val="007B440A"/>
    <w:rsid w:val="007B44F9"/>
    <w:rsid w:val="007B49B8"/>
    <w:rsid w:val="007B49F6"/>
    <w:rsid w:val="007B4F27"/>
    <w:rsid w:val="007B503F"/>
    <w:rsid w:val="007B5095"/>
    <w:rsid w:val="007B519F"/>
    <w:rsid w:val="007B52F8"/>
    <w:rsid w:val="007B53CB"/>
    <w:rsid w:val="007B549B"/>
    <w:rsid w:val="007B54B6"/>
    <w:rsid w:val="007B5651"/>
    <w:rsid w:val="007B59F1"/>
    <w:rsid w:val="007B5C66"/>
    <w:rsid w:val="007B5CE4"/>
    <w:rsid w:val="007B5DFB"/>
    <w:rsid w:val="007B5FE6"/>
    <w:rsid w:val="007B6A9E"/>
    <w:rsid w:val="007B6AD8"/>
    <w:rsid w:val="007B6CDD"/>
    <w:rsid w:val="007B7181"/>
    <w:rsid w:val="007B7586"/>
    <w:rsid w:val="007B7897"/>
    <w:rsid w:val="007B791E"/>
    <w:rsid w:val="007B7A72"/>
    <w:rsid w:val="007B7D75"/>
    <w:rsid w:val="007C00BA"/>
    <w:rsid w:val="007C010B"/>
    <w:rsid w:val="007C0599"/>
    <w:rsid w:val="007C0701"/>
    <w:rsid w:val="007C0F7A"/>
    <w:rsid w:val="007C11E6"/>
    <w:rsid w:val="007C1865"/>
    <w:rsid w:val="007C1F8B"/>
    <w:rsid w:val="007C2039"/>
    <w:rsid w:val="007C21CF"/>
    <w:rsid w:val="007C2BAB"/>
    <w:rsid w:val="007C2BC6"/>
    <w:rsid w:val="007C2EA5"/>
    <w:rsid w:val="007C3085"/>
    <w:rsid w:val="007C325C"/>
    <w:rsid w:val="007C3307"/>
    <w:rsid w:val="007C34EA"/>
    <w:rsid w:val="007C3627"/>
    <w:rsid w:val="007C37A7"/>
    <w:rsid w:val="007C39A4"/>
    <w:rsid w:val="007C3BEA"/>
    <w:rsid w:val="007C4267"/>
    <w:rsid w:val="007C457F"/>
    <w:rsid w:val="007C4E20"/>
    <w:rsid w:val="007C54CB"/>
    <w:rsid w:val="007C59D7"/>
    <w:rsid w:val="007C5D90"/>
    <w:rsid w:val="007C5DC5"/>
    <w:rsid w:val="007C6249"/>
    <w:rsid w:val="007C6512"/>
    <w:rsid w:val="007C6908"/>
    <w:rsid w:val="007C6A6F"/>
    <w:rsid w:val="007C6A9E"/>
    <w:rsid w:val="007C6EAE"/>
    <w:rsid w:val="007C72AB"/>
    <w:rsid w:val="007C7430"/>
    <w:rsid w:val="007C7BDA"/>
    <w:rsid w:val="007C7C76"/>
    <w:rsid w:val="007C7D0D"/>
    <w:rsid w:val="007D0326"/>
    <w:rsid w:val="007D07A9"/>
    <w:rsid w:val="007D09BC"/>
    <w:rsid w:val="007D0A06"/>
    <w:rsid w:val="007D0D13"/>
    <w:rsid w:val="007D0F4E"/>
    <w:rsid w:val="007D11EF"/>
    <w:rsid w:val="007D14BF"/>
    <w:rsid w:val="007D181A"/>
    <w:rsid w:val="007D1C46"/>
    <w:rsid w:val="007D1EB0"/>
    <w:rsid w:val="007D1F25"/>
    <w:rsid w:val="007D1F8A"/>
    <w:rsid w:val="007D28B7"/>
    <w:rsid w:val="007D2AB1"/>
    <w:rsid w:val="007D2C60"/>
    <w:rsid w:val="007D2CD0"/>
    <w:rsid w:val="007D2E45"/>
    <w:rsid w:val="007D2FCE"/>
    <w:rsid w:val="007D3666"/>
    <w:rsid w:val="007D3DFE"/>
    <w:rsid w:val="007D3F64"/>
    <w:rsid w:val="007D4731"/>
    <w:rsid w:val="007D489B"/>
    <w:rsid w:val="007D4904"/>
    <w:rsid w:val="007D54F7"/>
    <w:rsid w:val="007D5544"/>
    <w:rsid w:val="007D57B3"/>
    <w:rsid w:val="007D5A74"/>
    <w:rsid w:val="007D5DBA"/>
    <w:rsid w:val="007D6405"/>
    <w:rsid w:val="007D653C"/>
    <w:rsid w:val="007D6545"/>
    <w:rsid w:val="007D669A"/>
    <w:rsid w:val="007D67CC"/>
    <w:rsid w:val="007D69DC"/>
    <w:rsid w:val="007D6F3B"/>
    <w:rsid w:val="007D6F7B"/>
    <w:rsid w:val="007D710B"/>
    <w:rsid w:val="007D74ED"/>
    <w:rsid w:val="007D77A6"/>
    <w:rsid w:val="007D78A2"/>
    <w:rsid w:val="007D78B0"/>
    <w:rsid w:val="007D7977"/>
    <w:rsid w:val="007D79C2"/>
    <w:rsid w:val="007D79FC"/>
    <w:rsid w:val="007D7AEE"/>
    <w:rsid w:val="007D7BFB"/>
    <w:rsid w:val="007D7D74"/>
    <w:rsid w:val="007D7EEB"/>
    <w:rsid w:val="007E0454"/>
    <w:rsid w:val="007E052C"/>
    <w:rsid w:val="007E05C5"/>
    <w:rsid w:val="007E085B"/>
    <w:rsid w:val="007E095E"/>
    <w:rsid w:val="007E0B3B"/>
    <w:rsid w:val="007E1278"/>
    <w:rsid w:val="007E1337"/>
    <w:rsid w:val="007E17AB"/>
    <w:rsid w:val="007E19AE"/>
    <w:rsid w:val="007E1AA4"/>
    <w:rsid w:val="007E1C9D"/>
    <w:rsid w:val="007E2089"/>
    <w:rsid w:val="007E2158"/>
    <w:rsid w:val="007E215C"/>
    <w:rsid w:val="007E2299"/>
    <w:rsid w:val="007E23D9"/>
    <w:rsid w:val="007E2538"/>
    <w:rsid w:val="007E2677"/>
    <w:rsid w:val="007E284E"/>
    <w:rsid w:val="007E29BB"/>
    <w:rsid w:val="007E2B52"/>
    <w:rsid w:val="007E2B79"/>
    <w:rsid w:val="007E2B7E"/>
    <w:rsid w:val="007E2C8D"/>
    <w:rsid w:val="007E32A7"/>
    <w:rsid w:val="007E347D"/>
    <w:rsid w:val="007E34D7"/>
    <w:rsid w:val="007E3CC5"/>
    <w:rsid w:val="007E420D"/>
    <w:rsid w:val="007E4495"/>
    <w:rsid w:val="007E44A0"/>
    <w:rsid w:val="007E4CA6"/>
    <w:rsid w:val="007E5459"/>
    <w:rsid w:val="007E5659"/>
    <w:rsid w:val="007E5716"/>
    <w:rsid w:val="007E5718"/>
    <w:rsid w:val="007E665D"/>
    <w:rsid w:val="007E66BA"/>
    <w:rsid w:val="007E6716"/>
    <w:rsid w:val="007E6DB4"/>
    <w:rsid w:val="007E721F"/>
    <w:rsid w:val="007E732D"/>
    <w:rsid w:val="007E7828"/>
    <w:rsid w:val="007E7CD6"/>
    <w:rsid w:val="007E7CFC"/>
    <w:rsid w:val="007E7EBE"/>
    <w:rsid w:val="007F0133"/>
    <w:rsid w:val="007F0241"/>
    <w:rsid w:val="007F083C"/>
    <w:rsid w:val="007F0A78"/>
    <w:rsid w:val="007F0C9E"/>
    <w:rsid w:val="007F0ECA"/>
    <w:rsid w:val="007F18FD"/>
    <w:rsid w:val="007F1966"/>
    <w:rsid w:val="007F1A39"/>
    <w:rsid w:val="007F2239"/>
    <w:rsid w:val="007F2333"/>
    <w:rsid w:val="007F2376"/>
    <w:rsid w:val="007F267B"/>
    <w:rsid w:val="007F268D"/>
    <w:rsid w:val="007F271E"/>
    <w:rsid w:val="007F2F63"/>
    <w:rsid w:val="007F3554"/>
    <w:rsid w:val="007F35D6"/>
    <w:rsid w:val="007F36A5"/>
    <w:rsid w:val="007F36A6"/>
    <w:rsid w:val="007F372B"/>
    <w:rsid w:val="007F3A17"/>
    <w:rsid w:val="007F3BD7"/>
    <w:rsid w:val="007F3C0B"/>
    <w:rsid w:val="007F405C"/>
    <w:rsid w:val="007F40ED"/>
    <w:rsid w:val="007F42FC"/>
    <w:rsid w:val="007F4563"/>
    <w:rsid w:val="007F4696"/>
    <w:rsid w:val="007F48F2"/>
    <w:rsid w:val="007F4917"/>
    <w:rsid w:val="007F51A4"/>
    <w:rsid w:val="007F5479"/>
    <w:rsid w:val="007F58C5"/>
    <w:rsid w:val="007F5BC4"/>
    <w:rsid w:val="007F5C1A"/>
    <w:rsid w:val="007F6751"/>
    <w:rsid w:val="007F6F2F"/>
    <w:rsid w:val="007F71A5"/>
    <w:rsid w:val="007F74FF"/>
    <w:rsid w:val="007F7C8A"/>
    <w:rsid w:val="007F7E54"/>
    <w:rsid w:val="00800242"/>
    <w:rsid w:val="00800513"/>
    <w:rsid w:val="00800683"/>
    <w:rsid w:val="0080074A"/>
    <w:rsid w:val="00800C75"/>
    <w:rsid w:val="008014F2"/>
    <w:rsid w:val="00801524"/>
    <w:rsid w:val="00801A63"/>
    <w:rsid w:val="00801BBF"/>
    <w:rsid w:val="00801E1C"/>
    <w:rsid w:val="00802077"/>
    <w:rsid w:val="008022C0"/>
    <w:rsid w:val="00802355"/>
    <w:rsid w:val="0080267B"/>
    <w:rsid w:val="00802B80"/>
    <w:rsid w:val="00802EC3"/>
    <w:rsid w:val="00802FFA"/>
    <w:rsid w:val="00803A5A"/>
    <w:rsid w:val="00803A75"/>
    <w:rsid w:val="00803C27"/>
    <w:rsid w:val="00804018"/>
    <w:rsid w:val="008040B6"/>
    <w:rsid w:val="00804124"/>
    <w:rsid w:val="00804B13"/>
    <w:rsid w:val="00804C6C"/>
    <w:rsid w:val="00804D98"/>
    <w:rsid w:val="0080505E"/>
    <w:rsid w:val="008052F8"/>
    <w:rsid w:val="008056B8"/>
    <w:rsid w:val="00805727"/>
    <w:rsid w:val="00805A5C"/>
    <w:rsid w:val="0080605B"/>
    <w:rsid w:val="008063F8"/>
    <w:rsid w:val="008065BD"/>
    <w:rsid w:val="0080669C"/>
    <w:rsid w:val="00806714"/>
    <w:rsid w:val="00806D6B"/>
    <w:rsid w:val="008070CA"/>
    <w:rsid w:val="00807193"/>
    <w:rsid w:val="00807699"/>
    <w:rsid w:val="00807971"/>
    <w:rsid w:val="00807D21"/>
    <w:rsid w:val="00807D27"/>
    <w:rsid w:val="008100A4"/>
    <w:rsid w:val="008101F4"/>
    <w:rsid w:val="00810318"/>
    <w:rsid w:val="00810368"/>
    <w:rsid w:val="008107C9"/>
    <w:rsid w:val="00810C30"/>
    <w:rsid w:val="00810CFF"/>
    <w:rsid w:val="00810D55"/>
    <w:rsid w:val="00811083"/>
    <w:rsid w:val="00811188"/>
    <w:rsid w:val="008112C6"/>
    <w:rsid w:val="00811606"/>
    <w:rsid w:val="0081189C"/>
    <w:rsid w:val="0081190B"/>
    <w:rsid w:val="00811C2C"/>
    <w:rsid w:val="00811EC7"/>
    <w:rsid w:val="00812088"/>
    <w:rsid w:val="00812260"/>
    <w:rsid w:val="00812306"/>
    <w:rsid w:val="00812C27"/>
    <w:rsid w:val="0081331F"/>
    <w:rsid w:val="00813533"/>
    <w:rsid w:val="00813733"/>
    <w:rsid w:val="00814421"/>
    <w:rsid w:val="00814506"/>
    <w:rsid w:val="00814F41"/>
    <w:rsid w:val="00815774"/>
    <w:rsid w:val="008159FA"/>
    <w:rsid w:val="008161A5"/>
    <w:rsid w:val="0081626F"/>
    <w:rsid w:val="008164D2"/>
    <w:rsid w:val="0081688B"/>
    <w:rsid w:val="00816B10"/>
    <w:rsid w:val="00816C35"/>
    <w:rsid w:val="00816C9C"/>
    <w:rsid w:val="00816CAF"/>
    <w:rsid w:val="00816E0E"/>
    <w:rsid w:val="00817219"/>
    <w:rsid w:val="0081752A"/>
    <w:rsid w:val="008177DF"/>
    <w:rsid w:val="00817AEA"/>
    <w:rsid w:val="00817C6B"/>
    <w:rsid w:val="00817F3D"/>
    <w:rsid w:val="008201AD"/>
    <w:rsid w:val="00820296"/>
    <w:rsid w:val="00820498"/>
    <w:rsid w:val="00820958"/>
    <w:rsid w:val="00820A46"/>
    <w:rsid w:val="00820B23"/>
    <w:rsid w:val="00820B83"/>
    <w:rsid w:val="00820CC3"/>
    <w:rsid w:val="00820D00"/>
    <w:rsid w:val="00820D2E"/>
    <w:rsid w:val="00820FBF"/>
    <w:rsid w:val="008210B5"/>
    <w:rsid w:val="00821138"/>
    <w:rsid w:val="0082173F"/>
    <w:rsid w:val="0082178D"/>
    <w:rsid w:val="00821996"/>
    <w:rsid w:val="00821CC4"/>
    <w:rsid w:val="00821F50"/>
    <w:rsid w:val="0082299A"/>
    <w:rsid w:val="00822AE1"/>
    <w:rsid w:val="0082320F"/>
    <w:rsid w:val="008232E7"/>
    <w:rsid w:val="00823372"/>
    <w:rsid w:val="008235C3"/>
    <w:rsid w:val="008236F3"/>
    <w:rsid w:val="008237C9"/>
    <w:rsid w:val="008239EE"/>
    <w:rsid w:val="008240D5"/>
    <w:rsid w:val="008240DD"/>
    <w:rsid w:val="00824267"/>
    <w:rsid w:val="00824F34"/>
    <w:rsid w:val="008251E1"/>
    <w:rsid w:val="0082535E"/>
    <w:rsid w:val="008255D6"/>
    <w:rsid w:val="008257E1"/>
    <w:rsid w:val="00826210"/>
    <w:rsid w:val="00826514"/>
    <w:rsid w:val="00826961"/>
    <w:rsid w:val="00826AF7"/>
    <w:rsid w:val="00826C37"/>
    <w:rsid w:val="00826C45"/>
    <w:rsid w:val="00826D58"/>
    <w:rsid w:val="00826D5B"/>
    <w:rsid w:val="008270E2"/>
    <w:rsid w:val="00827119"/>
    <w:rsid w:val="008272AA"/>
    <w:rsid w:val="008272C5"/>
    <w:rsid w:val="008273F5"/>
    <w:rsid w:val="008276E9"/>
    <w:rsid w:val="0082773F"/>
    <w:rsid w:val="00827B3D"/>
    <w:rsid w:val="00827CBD"/>
    <w:rsid w:val="0083024A"/>
    <w:rsid w:val="00830578"/>
    <w:rsid w:val="0083120D"/>
    <w:rsid w:val="0083146D"/>
    <w:rsid w:val="008314DD"/>
    <w:rsid w:val="00831509"/>
    <w:rsid w:val="008316BE"/>
    <w:rsid w:val="00831AEF"/>
    <w:rsid w:val="00831B21"/>
    <w:rsid w:val="00831EE5"/>
    <w:rsid w:val="00831F35"/>
    <w:rsid w:val="0083240D"/>
    <w:rsid w:val="008325D2"/>
    <w:rsid w:val="008328B9"/>
    <w:rsid w:val="00832C95"/>
    <w:rsid w:val="00832E62"/>
    <w:rsid w:val="0083314C"/>
    <w:rsid w:val="008331FA"/>
    <w:rsid w:val="0083323C"/>
    <w:rsid w:val="00833A91"/>
    <w:rsid w:val="00833E88"/>
    <w:rsid w:val="00833FAA"/>
    <w:rsid w:val="00834366"/>
    <w:rsid w:val="008343F2"/>
    <w:rsid w:val="00834758"/>
    <w:rsid w:val="00834A4A"/>
    <w:rsid w:val="00834E74"/>
    <w:rsid w:val="00834EF4"/>
    <w:rsid w:val="0083559B"/>
    <w:rsid w:val="008358AD"/>
    <w:rsid w:val="00835BBA"/>
    <w:rsid w:val="00835E24"/>
    <w:rsid w:val="00835FA3"/>
    <w:rsid w:val="008361D5"/>
    <w:rsid w:val="008364D5"/>
    <w:rsid w:val="00836787"/>
    <w:rsid w:val="00836926"/>
    <w:rsid w:val="00836B47"/>
    <w:rsid w:val="00836ED5"/>
    <w:rsid w:val="00837136"/>
    <w:rsid w:val="00837705"/>
    <w:rsid w:val="00837B20"/>
    <w:rsid w:val="0084048B"/>
    <w:rsid w:val="008405B8"/>
    <w:rsid w:val="00840684"/>
    <w:rsid w:val="00840DC7"/>
    <w:rsid w:val="00841076"/>
    <w:rsid w:val="008410DC"/>
    <w:rsid w:val="008412CF"/>
    <w:rsid w:val="00841493"/>
    <w:rsid w:val="0084163E"/>
    <w:rsid w:val="00841AFC"/>
    <w:rsid w:val="008425AE"/>
    <w:rsid w:val="008429AB"/>
    <w:rsid w:val="008429DD"/>
    <w:rsid w:val="00842A7E"/>
    <w:rsid w:val="00842A97"/>
    <w:rsid w:val="0084303C"/>
    <w:rsid w:val="00843126"/>
    <w:rsid w:val="00843143"/>
    <w:rsid w:val="008435A6"/>
    <w:rsid w:val="00843648"/>
    <w:rsid w:val="00843720"/>
    <w:rsid w:val="00843E62"/>
    <w:rsid w:val="00843E74"/>
    <w:rsid w:val="00844006"/>
    <w:rsid w:val="0084412D"/>
    <w:rsid w:val="008441FD"/>
    <w:rsid w:val="0084481B"/>
    <w:rsid w:val="00844849"/>
    <w:rsid w:val="008450B6"/>
    <w:rsid w:val="008454ED"/>
    <w:rsid w:val="00845838"/>
    <w:rsid w:val="0084583B"/>
    <w:rsid w:val="00845A46"/>
    <w:rsid w:val="00845B99"/>
    <w:rsid w:val="00845FD2"/>
    <w:rsid w:val="00846293"/>
    <w:rsid w:val="00846B77"/>
    <w:rsid w:val="00847042"/>
    <w:rsid w:val="0084711D"/>
    <w:rsid w:val="008471F7"/>
    <w:rsid w:val="008475C0"/>
    <w:rsid w:val="00847F6A"/>
    <w:rsid w:val="0085002E"/>
    <w:rsid w:val="00850657"/>
    <w:rsid w:val="00850AA4"/>
    <w:rsid w:val="00850BFC"/>
    <w:rsid w:val="00851028"/>
    <w:rsid w:val="00851097"/>
    <w:rsid w:val="008512E6"/>
    <w:rsid w:val="00851392"/>
    <w:rsid w:val="0085157A"/>
    <w:rsid w:val="0085157D"/>
    <w:rsid w:val="0085167A"/>
    <w:rsid w:val="00851813"/>
    <w:rsid w:val="008518C6"/>
    <w:rsid w:val="00851974"/>
    <w:rsid w:val="00851BBA"/>
    <w:rsid w:val="00851BF3"/>
    <w:rsid w:val="00851FE2"/>
    <w:rsid w:val="0085219F"/>
    <w:rsid w:val="00852787"/>
    <w:rsid w:val="00852F9F"/>
    <w:rsid w:val="00852FD7"/>
    <w:rsid w:val="00853056"/>
    <w:rsid w:val="008531C7"/>
    <w:rsid w:val="00853849"/>
    <w:rsid w:val="00853951"/>
    <w:rsid w:val="00853A9C"/>
    <w:rsid w:val="00853AB9"/>
    <w:rsid w:val="00853BF4"/>
    <w:rsid w:val="00853D75"/>
    <w:rsid w:val="00853FA0"/>
    <w:rsid w:val="008541D0"/>
    <w:rsid w:val="00854473"/>
    <w:rsid w:val="008545F5"/>
    <w:rsid w:val="00854905"/>
    <w:rsid w:val="00855215"/>
    <w:rsid w:val="00855567"/>
    <w:rsid w:val="0085573A"/>
    <w:rsid w:val="00855DD4"/>
    <w:rsid w:val="0085618A"/>
    <w:rsid w:val="0085639C"/>
    <w:rsid w:val="008563ED"/>
    <w:rsid w:val="00856699"/>
    <w:rsid w:val="00856C0E"/>
    <w:rsid w:val="00856D14"/>
    <w:rsid w:val="00856E1A"/>
    <w:rsid w:val="00856E34"/>
    <w:rsid w:val="00856EDD"/>
    <w:rsid w:val="00856F78"/>
    <w:rsid w:val="00856F87"/>
    <w:rsid w:val="00856F96"/>
    <w:rsid w:val="00857328"/>
    <w:rsid w:val="008573FF"/>
    <w:rsid w:val="008574A5"/>
    <w:rsid w:val="008574AB"/>
    <w:rsid w:val="00857879"/>
    <w:rsid w:val="008578DA"/>
    <w:rsid w:val="00857CE1"/>
    <w:rsid w:val="00857D60"/>
    <w:rsid w:val="00860124"/>
    <w:rsid w:val="00860404"/>
    <w:rsid w:val="008606A1"/>
    <w:rsid w:val="008608EB"/>
    <w:rsid w:val="00860CE7"/>
    <w:rsid w:val="00860FAF"/>
    <w:rsid w:val="0086181A"/>
    <w:rsid w:val="00861906"/>
    <w:rsid w:val="00861A5D"/>
    <w:rsid w:val="00861B12"/>
    <w:rsid w:val="00861CE2"/>
    <w:rsid w:val="00861DEE"/>
    <w:rsid w:val="008622A8"/>
    <w:rsid w:val="0086254D"/>
    <w:rsid w:val="008626C6"/>
    <w:rsid w:val="00862E44"/>
    <w:rsid w:val="0086305B"/>
    <w:rsid w:val="008631E9"/>
    <w:rsid w:val="008634D0"/>
    <w:rsid w:val="008636B9"/>
    <w:rsid w:val="00863B98"/>
    <w:rsid w:val="00863C9A"/>
    <w:rsid w:val="00863DA5"/>
    <w:rsid w:val="008640FE"/>
    <w:rsid w:val="008647AF"/>
    <w:rsid w:val="00864802"/>
    <w:rsid w:val="00864B99"/>
    <w:rsid w:val="00864D3D"/>
    <w:rsid w:val="00864FBA"/>
    <w:rsid w:val="00865070"/>
    <w:rsid w:val="00865093"/>
    <w:rsid w:val="008652F2"/>
    <w:rsid w:val="008654B6"/>
    <w:rsid w:val="00865871"/>
    <w:rsid w:val="008659DB"/>
    <w:rsid w:val="00865FE0"/>
    <w:rsid w:val="008665D6"/>
    <w:rsid w:val="00866600"/>
    <w:rsid w:val="00866721"/>
    <w:rsid w:val="008668EF"/>
    <w:rsid w:val="00866DFB"/>
    <w:rsid w:val="00866F97"/>
    <w:rsid w:val="008673D6"/>
    <w:rsid w:val="00867A48"/>
    <w:rsid w:val="00867F85"/>
    <w:rsid w:val="0087017A"/>
    <w:rsid w:val="00870222"/>
    <w:rsid w:val="0087029A"/>
    <w:rsid w:val="008702D5"/>
    <w:rsid w:val="008706F1"/>
    <w:rsid w:val="0087078B"/>
    <w:rsid w:val="00870CDD"/>
    <w:rsid w:val="00870D4D"/>
    <w:rsid w:val="00870D6B"/>
    <w:rsid w:val="00871124"/>
    <w:rsid w:val="00871132"/>
    <w:rsid w:val="00871266"/>
    <w:rsid w:val="00871646"/>
    <w:rsid w:val="00871CE9"/>
    <w:rsid w:val="00872116"/>
    <w:rsid w:val="00872629"/>
    <w:rsid w:val="0087269D"/>
    <w:rsid w:val="00872763"/>
    <w:rsid w:val="008728F0"/>
    <w:rsid w:val="00872992"/>
    <w:rsid w:val="00872C6D"/>
    <w:rsid w:val="00872DE1"/>
    <w:rsid w:val="00872F0E"/>
    <w:rsid w:val="00872F8A"/>
    <w:rsid w:val="0087310B"/>
    <w:rsid w:val="0087342E"/>
    <w:rsid w:val="008736E8"/>
    <w:rsid w:val="00873A09"/>
    <w:rsid w:val="00873BFE"/>
    <w:rsid w:val="00873F74"/>
    <w:rsid w:val="008740D1"/>
    <w:rsid w:val="0087477C"/>
    <w:rsid w:val="008747C1"/>
    <w:rsid w:val="008748BB"/>
    <w:rsid w:val="00874D35"/>
    <w:rsid w:val="00875788"/>
    <w:rsid w:val="008757FE"/>
    <w:rsid w:val="00875AF9"/>
    <w:rsid w:val="00876263"/>
    <w:rsid w:val="0087629E"/>
    <w:rsid w:val="0087659B"/>
    <w:rsid w:val="0087659E"/>
    <w:rsid w:val="0087659F"/>
    <w:rsid w:val="0087670E"/>
    <w:rsid w:val="00876B8F"/>
    <w:rsid w:val="00876B9C"/>
    <w:rsid w:val="00876CC8"/>
    <w:rsid w:val="00876F50"/>
    <w:rsid w:val="00877DF3"/>
    <w:rsid w:val="00877E21"/>
    <w:rsid w:val="00880093"/>
    <w:rsid w:val="00880965"/>
    <w:rsid w:val="008809C2"/>
    <w:rsid w:val="00880C0B"/>
    <w:rsid w:val="0088110C"/>
    <w:rsid w:val="008814BC"/>
    <w:rsid w:val="008819A2"/>
    <w:rsid w:val="00881C7C"/>
    <w:rsid w:val="00882024"/>
    <w:rsid w:val="00882295"/>
    <w:rsid w:val="00882430"/>
    <w:rsid w:val="008824FB"/>
    <w:rsid w:val="00882650"/>
    <w:rsid w:val="00882757"/>
    <w:rsid w:val="00882D3E"/>
    <w:rsid w:val="00882E85"/>
    <w:rsid w:val="0088314C"/>
    <w:rsid w:val="0088321B"/>
    <w:rsid w:val="008832C3"/>
    <w:rsid w:val="00883621"/>
    <w:rsid w:val="00883734"/>
    <w:rsid w:val="008838A1"/>
    <w:rsid w:val="008838DB"/>
    <w:rsid w:val="00883B4D"/>
    <w:rsid w:val="00883ED9"/>
    <w:rsid w:val="00884142"/>
    <w:rsid w:val="008841C1"/>
    <w:rsid w:val="008844DD"/>
    <w:rsid w:val="00884618"/>
    <w:rsid w:val="00884B2B"/>
    <w:rsid w:val="00884B5A"/>
    <w:rsid w:val="00884F1D"/>
    <w:rsid w:val="00885125"/>
    <w:rsid w:val="008852C5"/>
    <w:rsid w:val="00885696"/>
    <w:rsid w:val="008857C4"/>
    <w:rsid w:val="00885891"/>
    <w:rsid w:val="00885969"/>
    <w:rsid w:val="008859C9"/>
    <w:rsid w:val="00885A58"/>
    <w:rsid w:val="00885E39"/>
    <w:rsid w:val="008867C8"/>
    <w:rsid w:val="00886BCC"/>
    <w:rsid w:val="00886C81"/>
    <w:rsid w:val="00887DC4"/>
    <w:rsid w:val="00890074"/>
    <w:rsid w:val="00890113"/>
    <w:rsid w:val="00890183"/>
    <w:rsid w:val="00890902"/>
    <w:rsid w:val="00890971"/>
    <w:rsid w:val="008909C5"/>
    <w:rsid w:val="00890BA1"/>
    <w:rsid w:val="00890E37"/>
    <w:rsid w:val="00890F8A"/>
    <w:rsid w:val="00890F9E"/>
    <w:rsid w:val="0089112C"/>
    <w:rsid w:val="008915B8"/>
    <w:rsid w:val="00891C88"/>
    <w:rsid w:val="00891CEB"/>
    <w:rsid w:val="00891EB2"/>
    <w:rsid w:val="00892136"/>
    <w:rsid w:val="00892222"/>
    <w:rsid w:val="0089264A"/>
    <w:rsid w:val="00892663"/>
    <w:rsid w:val="00892742"/>
    <w:rsid w:val="00892FD8"/>
    <w:rsid w:val="0089324B"/>
    <w:rsid w:val="00893854"/>
    <w:rsid w:val="008939E0"/>
    <w:rsid w:val="00893A77"/>
    <w:rsid w:val="00893E37"/>
    <w:rsid w:val="00893F98"/>
    <w:rsid w:val="00894047"/>
    <w:rsid w:val="00894177"/>
    <w:rsid w:val="008942B6"/>
    <w:rsid w:val="00894397"/>
    <w:rsid w:val="008944EE"/>
    <w:rsid w:val="00894606"/>
    <w:rsid w:val="0089465B"/>
    <w:rsid w:val="00894B0E"/>
    <w:rsid w:val="00895051"/>
    <w:rsid w:val="00895212"/>
    <w:rsid w:val="0089543C"/>
    <w:rsid w:val="0089579F"/>
    <w:rsid w:val="00895B98"/>
    <w:rsid w:val="00895FF2"/>
    <w:rsid w:val="008960DC"/>
    <w:rsid w:val="00896163"/>
    <w:rsid w:val="0089668D"/>
    <w:rsid w:val="00896FD2"/>
    <w:rsid w:val="00897122"/>
    <w:rsid w:val="00897128"/>
    <w:rsid w:val="008975C7"/>
    <w:rsid w:val="00897676"/>
    <w:rsid w:val="00897A7E"/>
    <w:rsid w:val="00897B72"/>
    <w:rsid w:val="00897DE0"/>
    <w:rsid w:val="008A0302"/>
    <w:rsid w:val="008A0B87"/>
    <w:rsid w:val="008A0E0D"/>
    <w:rsid w:val="008A1562"/>
    <w:rsid w:val="008A17B1"/>
    <w:rsid w:val="008A18A4"/>
    <w:rsid w:val="008A18A5"/>
    <w:rsid w:val="008A1C20"/>
    <w:rsid w:val="008A1EDB"/>
    <w:rsid w:val="008A20DC"/>
    <w:rsid w:val="008A2493"/>
    <w:rsid w:val="008A2584"/>
    <w:rsid w:val="008A26E7"/>
    <w:rsid w:val="008A2A71"/>
    <w:rsid w:val="008A2BB2"/>
    <w:rsid w:val="008A31A2"/>
    <w:rsid w:val="008A3500"/>
    <w:rsid w:val="008A381F"/>
    <w:rsid w:val="008A38BB"/>
    <w:rsid w:val="008A3A33"/>
    <w:rsid w:val="008A3A8D"/>
    <w:rsid w:val="008A3BF3"/>
    <w:rsid w:val="008A4195"/>
    <w:rsid w:val="008A43C0"/>
    <w:rsid w:val="008A4808"/>
    <w:rsid w:val="008A4967"/>
    <w:rsid w:val="008A4C1B"/>
    <w:rsid w:val="008A4C3E"/>
    <w:rsid w:val="008A4CB2"/>
    <w:rsid w:val="008A4F09"/>
    <w:rsid w:val="008A5180"/>
    <w:rsid w:val="008A5268"/>
    <w:rsid w:val="008A5488"/>
    <w:rsid w:val="008A55E8"/>
    <w:rsid w:val="008A5766"/>
    <w:rsid w:val="008A5875"/>
    <w:rsid w:val="008A59E1"/>
    <w:rsid w:val="008A61B2"/>
    <w:rsid w:val="008A61C3"/>
    <w:rsid w:val="008A641B"/>
    <w:rsid w:val="008A6A4B"/>
    <w:rsid w:val="008A70B1"/>
    <w:rsid w:val="008A77DF"/>
    <w:rsid w:val="008A7BE8"/>
    <w:rsid w:val="008B006D"/>
    <w:rsid w:val="008B01CE"/>
    <w:rsid w:val="008B08F4"/>
    <w:rsid w:val="008B0C73"/>
    <w:rsid w:val="008B13AD"/>
    <w:rsid w:val="008B171B"/>
    <w:rsid w:val="008B2057"/>
    <w:rsid w:val="008B25A1"/>
    <w:rsid w:val="008B29F1"/>
    <w:rsid w:val="008B2AC3"/>
    <w:rsid w:val="008B2DD1"/>
    <w:rsid w:val="008B2ED9"/>
    <w:rsid w:val="008B323E"/>
    <w:rsid w:val="008B3772"/>
    <w:rsid w:val="008B44D1"/>
    <w:rsid w:val="008B4743"/>
    <w:rsid w:val="008B4A7A"/>
    <w:rsid w:val="008B4D3E"/>
    <w:rsid w:val="008B4D9A"/>
    <w:rsid w:val="008B53B6"/>
    <w:rsid w:val="008B53E9"/>
    <w:rsid w:val="008B562E"/>
    <w:rsid w:val="008B5648"/>
    <w:rsid w:val="008B5695"/>
    <w:rsid w:val="008B5808"/>
    <w:rsid w:val="008B5A81"/>
    <w:rsid w:val="008B5DD0"/>
    <w:rsid w:val="008B5DF4"/>
    <w:rsid w:val="008B6145"/>
    <w:rsid w:val="008B63E7"/>
    <w:rsid w:val="008B6417"/>
    <w:rsid w:val="008B660A"/>
    <w:rsid w:val="008B6C0C"/>
    <w:rsid w:val="008B6F45"/>
    <w:rsid w:val="008B6FD1"/>
    <w:rsid w:val="008B718F"/>
    <w:rsid w:val="008B738F"/>
    <w:rsid w:val="008B739D"/>
    <w:rsid w:val="008B7564"/>
    <w:rsid w:val="008B7590"/>
    <w:rsid w:val="008B771E"/>
    <w:rsid w:val="008B7824"/>
    <w:rsid w:val="008B79E9"/>
    <w:rsid w:val="008B7D28"/>
    <w:rsid w:val="008B7E3C"/>
    <w:rsid w:val="008B7F6C"/>
    <w:rsid w:val="008C066A"/>
    <w:rsid w:val="008C11D9"/>
    <w:rsid w:val="008C1446"/>
    <w:rsid w:val="008C14B2"/>
    <w:rsid w:val="008C1653"/>
    <w:rsid w:val="008C18FF"/>
    <w:rsid w:val="008C2320"/>
    <w:rsid w:val="008C23B7"/>
    <w:rsid w:val="008C2434"/>
    <w:rsid w:val="008C2807"/>
    <w:rsid w:val="008C2D7B"/>
    <w:rsid w:val="008C2E18"/>
    <w:rsid w:val="008C3502"/>
    <w:rsid w:val="008C3800"/>
    <w:rsid w:val="008C3B2A"/>
    <w:rsid w:val="008C40EB"/>
    <w:rsid w:val="008C40F8"/>
    <w:rsid w:val="008C42A4"/>
    <w:rsid w:val="008C49C0"/>
    <w:rsid w:val="008C49E8"/>
    <w:rsid w:val="008C4D8F"/>
    <w:rsid w:val="008C4EDA"/>
    <w:rsid w:val="008C4F28"/>
    <w:rsid w:val="008C5137"/>
    <w:rsid w:val="008C518F"/>
    <w:rsid w:val="008C5311"/>
    <w:rsid w:val="008C549A"/>
    <w:rsid w:val="008C59AB"/>
    <w:rsid w:val="008C5F7D"/>
    <w:rsid w:val="008C5FDC"/>
    <w:rsid w:val="008C63CB"/>
    <w:rsid w:val="008C65C1"/>
    <w:rsid w:val="008C65E6"/>
    <w:rsid w:val="008C68CE"/>
    <w:rsid w:val="008C7013"/>
    <w:rsid w:val="008C76A6"/>
    <w:rsid w:val="008C7892"/>
    <w:rsid w:val="008C7943"/>
    <w:rsid w:val="008C7A28"/>
    <w:rsid w:val="008D019C"/>
    <w:rsid w:val="008D0373"/>
    <w:rsid w:val="008D0580"/>
    <w:rsid w:val="008D07FA"/>
    <w:rsid w:val="008D0802"/>
    <w:rsid w:val="008D1161"/>
    <w:rsid w:val="008D1263"/>
    <w:rsid w:val="008D1801"/>
    <w:rsid w:val="008D1868"/>
    <w:rsid w:val="008D1ACF"/>
    <w:rsid w:val="008D1D75"/>
    <w:rsid w:val="008D1DDD"/>
    <w:rsid w:val="008D257A"/>
    <w:rsid w:val="008D27E2"/>
    <w:rsid w:val="008D28D0"/>
    <w:rsid w:val="008D2964"/>
    <w:rsid w:val="008D2EEC"/>
    <w:rsid w:val="008D2F4C"/>
    <w:rsid w:val="008D3A27"/>
    <w:rsid w:val="008D3E2A"/>
    <w:rsid w:val="008D43BE"/>
    <w:rsid w:val="008D4BA6"/>
    <w:rsid w:val="008D4C17"/>
    <w:rsid w:val="008D51A8"/>
    <w:rsid w:val="008D527E"/>
    <w:rsid w:val="008D528B"/>
    <w:rsid w:val="008D5449"/>
    <w:rsid w:val="008D5464"/>
    <w:rsid w:val="008D55A8"/>
    <w:rsid w:val="008D5722"/>
    <w:rsid w:val="008D586E"/>
    <w:rsid w:val="008D5A35"/>
    <w:rsid w:val="008D5B55"/>
    <w:rsid w:val="008D5CCD"/>
    <w:rsid w:val="008D5D06"/>
    <w:rsid w:val="008D5D46"/>
    <w:rsid w:val="008D5F69"/>
    <w:rsid w:val="008D609E"/>
    <w:rsid w:val="008D61D7"/>
    <w:rsid w:val="008D61EC"/>
    <w:rsid w:val="008D63A4"/>
    <w:rsid w:val="008D681D"/>
    <w:rsid w:val="008D6F8D"/>
    <w:rsid w:val="008D70A2"/>
    <w:rsid w:val="008D7EC2"/>
    <w:rsid w:val="008E0000"/>
    <w:rsid w:val="008E01B5"/>
    <w:rsid w:val="008E0235"/>
    <w:rsid w:val="008E03A7"/>
    <w:rsid w:val="008E051A"/>
    <w:rsid w:val="008E05B3"/>
    <w:rsid w:val="008E0698"/>
    <w:rsid w:val="008E078C"/>
    <w:rsid w:val="008E07BD"/>
    <w:rsid w:val="008E0968"/>
    <w:rsid w:val="008E0ADA"/>
    <w:rsid w:val="008E0D03"/>
    <w:rsid w:val="008E0D2D"/>
    <w:rsid w:val="008E1420"/>
    <w:rsid w:val="008E1530"/>
    <w:rsid w:val="008E156C"/>
    <w:rsid w:val="008E173D"/>
    <w:rsid w:val="008E1B4D"/>
    <w:rsid w:val="008E1D30"/>
    <w:rsid w:val="008E1D98"/>
    <w:rsid w:val="008E2113"/>
    <w:rsid w:val="008E21BF"/>
    <w:rsid w:val="008E24F8"/>
    <w:rsid w:val="008E2575"/>
    <w:rsid w:val="008E2629"/>
    <w:rsid w:val="008E2A16"/>
    <w:rsid w:val="008E2BA7"/>
    <w:rsid w:val="008E3165"/>
    <w:rsid w:val="008E31E2"/>
    <w:rsid w:val="008E3487"/>
    <w:rsid w:val="008E39D2"/>
    <w:rsid w:val="008E3C98"/>
    <w:rsid w:val="008E3D1D"/>
    <w:rsid w:val="008E40F4"/>
    <w:rsid w:val="008E4429"/>
    <w:rsid w:val="008E470B"/>
    <w:rsid w:val="008E4E7E"/>
    <w:rsid w:val="008E514D"/>
    <w:rsid w:val="008E55A5"/>
    <w:rsid w:val="008E57A7"/>
    <w:rsid w:val="008E5B98"/>
    <w:rsid w:val="008E6370"/>
    <w:rsid w:val="008E65F9"/>
    <w:rsid w:val="008E6714"/>
    <w:rsid w:val="008E6C8E"/>
    <w:rsid w:val="008E6DFF"/>
    <w:rsid w:val="008E70CF"/>
    <w:rsid w:val="008E735F"/>
    <w:rsid w:val="008E76EF"/>
    <w:rsid w:val="008E79B3"/>
    <w:rsid w:val="008E7B1D"/>
    <w:rsid w:val="008E7C7C"/>
    <w:rsid w:val="008E7E11"/>
    <w:rsid w:val="008E7FFE"/>
    <w:rsid w:val="008F0543"/>
    <w:rsid w:val="008F0BDF"/>
    <w:rsid w:val="008F0DB4"/>
    <w:rsid w:val="008F0E68"/>
    <w:rsid w:val="008F10C5"/>
    <w:rsid w:val="008F112F"/>
    <w:rsid w:val="008F13E8"/>
    <w:rsid w:val="008F1446"/>
    <w:rsid w:val="008F1A8C"/>
    <w:rsid w:val="008F226B"/>
    <w:rsid w:val="008F23DE"/>
    <w:rsid w:val="008F2510"/>
    <w:rsid w:val="008F2588"/>
    <w:rsid w:val="008F2754"/>
    <w:rsid w:val="008F280E"/>
    <w:rsid w:val="008F2968"/>
    <w:rsid w:val="008F2AA8"/>
    <w:rsid w:val="008F2C48"/>
    <w:rsid w:val="008F2D5F"/>
    <w:rsid w:val="008F2F6B"/>
    <w:rsid w:val="008F3220"/>
    <w:rsid w:val="008F375F"/>
    <w:rsid w:val="008F3EE4"/>
    <w:rsid w:val="008F4003"/>
    <w:rsid w:val="008F4043"/>
    <w:rsid w:val="008F42B2"/>
    <w:rsid w:val="008F42D5"/>
    <w:rsid w:val="008F4340"/>
    <w:rsid w:val="008F4651"/>
    <w:rsid w:val="008F47DE"/>
    <w:rsid w:val="008F4885"/>
    <w:rsid w:val="008F4A3D"/>
    <w:rsid w:val="008F4BA4"/>
    <w:rsid w:val="008F4F0D"/>
    <w:rsid w:val="008F5596"/>
    <w:rsid w:val="008F563C"/>
    <w:rsid w:val="008F5746"/>
    <w:rsid w:val="008F58A5"/>
    <w:rsid w:val="008F5B16"/>
    <w:rsid w:val="008F5C83"/>
    <w:rsid w:val="008F5CBA"/>
    <w:rsid w:val="008F5DAD"/>
    <w:rsid w:val="008F5E9A"/>
    <w:rsid w:val="008F6102"/>
    <w:rsid w:val="008F6589"/>
    <w:rsid w:val="008F6910"/>
    <w:rsid w:val="008F70F7"/>
    <w:rsid w:val="008F7187"/>
    <w:rsid w:val="008F7674"/>
    <w:rsid w:val="008F777F"/>
    <w:rsid w:val="008F781E"/>
    <w:rsid w:val="008F7B15"/>
    <w:rsid w:val="0090032F"/>
    <w:rsid w:val="0090088A"/>
    <w:rsid w:val="0090095B"/>
    <w:rsid w:val="00900A5C"/>
    <w:rsid w:val="00900CA0"/>
    <w:rsid w:val="00900E43"/>
    <w:rsid w:val="00900FC2"/>
    <w:rsid w:val="0090109A"/>
    <w:rsid w:val="009016B4"/>
    <w:rsid w:val="00901B31"/>
    <w:rsid w:val="00901FFB"/>
    <w:rsid w:val="009029C6"/>
    <w:rsid w:val="00902C55"/>
    <w:rsid w:val="00902CD3"/>
    <w:rsid w:val="00902D8E"/>
    <w:rsid w:val="00902F0B"/>
    <w:rsid w:val="00902F31"/>
    <w:rsid w:val="00903061"/>
    <w:rsid w:val="0090320B"/>
    <w:rsid w:val="0090320C"/>
    <w:rsid w:val="0090357F"/>
    <w:rsid w:val="00903BF7"/>
    <w:rsid w:val="00903BFF"/>
    <w:rsid w:val="00903EB0"/>
    <w:rsid w:val="009041DB"/>
    <w:rsid w:val="009044F8"/>
    <w:rsid w:val="0090489C"/>
    <w:rsid w:val="009048D6"/>
    <w:rsid w:val="00904CE2"/>
    <w:rsid w:val="00904FCC"/>
    <w:rsid w:val="00904FEA"/>
    <w:rsid w:val="009053DA"/>
    <w:rsid w:val="009053FE"/>
    <w:rsid w:val="00905677"/>
    <w:rsid w:val="009058C4"/>
    <w:rsid w:val="00905ACA"/>
    <w:rsid w:val="00905B7D"/>
    <w:rsid w:val="00905D09"/>
    <w:rsid w:val="00905F45"/>
    <w:rsid w:val="00905F87"/>
    <w:rsid w:val="00906063"/>
    <w:rsid w:val="009061E6"/>
    <w:rsid w:val="009064E6"/>
    <w:rsid w:val="00906CBB"/>
    <w:rsid w:val="00906D22"/>
    <w:rsid w:val="009070B8"/>
    <w:rsid w:val="00907599"/>
    <w:rsid w:val="009075D2"/>
    <w:rsid w:val="009076C1"/>
    <w:rsid w:val="00907B2C"/>
    <w:rsid w:val="00910324"/>
    <w:rsid w:val="00910461"/>
    <w:rsid w:val="00910A8E"/>
    <w:rsid w:val="00910E1A"/>
    <w:rsid w:val="00910EEA"/>
    <w:rsid w:val="009112FF"/>
    <w:rsid w:val="009115FB"/>
    <w:rsid w:val="00911634"/>
    <w:rsid w:val="0091196C"/>
    <w:rsid w:val="00911BE0"/>
    <w:rsid w:val="00911BF7"/>
    <w:rsid w:val="00911EDE"/>
    <w:rsid w:val="00911FC7"/>
    <w:rsid w:val="0091212E"/>
    <w:rsid w:val="009124BB"/>
    <w:rsid w:val="00912631"/>
    <w:rsid w:val="00912683"/>
    <w:rsid w:val="009128E7"/>
    <w:rsid w:val="00912A5F"/>
    <w:rsid w:val="00912D4D"/>
    <w:rsid w:val="00912E26"/>
    <w:rsid w:val="00913032"/>
    <w:rsid w:val="00913154"/>
    <w:rsid w:val="00913282"/>
    <w:rsid w:val="00913294"/>
    <w:rsid w:val="009140E0"/>
    <w:rsid w:val="0091443F"/>
    <w:rsid w:val="009144C4"/>
    <w:rsid w:val="00914892"/>
    <w:rsid w:val="00914939"/>
    <w:rsid w:val="00914A60"/>
    <w:rsid w:val="00914FF1"/>
    <w:rsid w:val="0091501D"/>
    <w:rsid w:val="00915179"/>
    <w:rsid w:val="0091531D"/>
    <w:rsid w:val="00915470"/>
    <w:rsid w:val="0091592B"/>
    <w:rsid w:val="00915DCE"/>
    <w:rsid w:val="0091603C"/>
    <w:rsid w:val="0091610D"/>
    <w:rsid w:val="009162E1"/>
    <w:rsid w:val="00916301"/>
    <w:rsid w:val="00916455"/>
    <w:rsid w:val="009164A9"/>
    <w:rsid w:val="009164D9"/>
    <w:rsid w:val="009164E8"/>
    <w:rsid w:val="009165D0"/>
    <w:rsid w:val="009167A3"/>
    <w:rsid w:val="009167B4"/>
    <w:rsid w:val="00916859"/>
    <w:rsid w:val="00916AF4"/>
    <w:rsid w:val="00917051"/>
    <w:rsid w:val="00917307"/>
    <w:rsid w:val="00917962"/>
    <w:rsid w:val="00917AC7"/>
    <w:rsid w:val="00917D68"/>
    <w:rsid w:val="00917F63"/>
    <w:rsid w:val="00920704"/>
    <w:rsid w:val="0092098D"/>
    <w:rsid w:val="00921424"/>
    <w:rsid w:val="00921C3E"/>
    <w:rsid w:val="00921CE9"/>
    <w:rsid w:val="0092223C"/>
    <w:rsid w:val="00922297"/>
    <w:rsid w:val="009224D5"/>
    <w:rsid w:val="00922C86"/>
    <w:rsid w:val="00922CD9"/>
    <w:rsid w:val="00922E31"/>
    <w:rsid w:val="00922FAC"/>
    <w:rsid w:val="00923127"/>
    <w:rsid w:val="0092351E"/>
    <w:rsid w:val="00924325"/>
    <w:rsid w:val="00924884"/>
    <w:rsid w:val="0092495F"/>
    <w:rsid w:val="00924D50"/>
    <w:rsid w:val="0092545B"/>
    <w:rsid w:val="00925640"/>
    <w:rsid w:val="009258C6"/>
    <w:rsid w:val="00926725"/>
    <w:rsid w:val="00926C83"/>
    <w:rsid w:val="00926F47"/>
    <w:rsid w:val="00927285"/>
    <w:rsid w:val="0092754F"/>
    <w:rsid w:val="009278BC"/>
    <w:rsid w:val="00927995"/>
    <w:rsid w:val="00927A4F"/>
    <w:rsid w:val="00930801"/>
    <w:rsid w:val="00930A70"/>
    <w:rsid w:val="00931A10"/>
    <w:rsid w:val="0093225C"/>
    <w:rsid w:val="00932590"/>
    <w:rsid w:val="009329BE"/>
    <w:rsid w:val="00932B41"/>
    <w:rsid w:val="00932B58"/>
    <w:rsid w:val="00932E1E"/>
    <w:rsid w:val="00932F78"/>
    <w:rsid w:val="009332B7"/>
    <w:rsid w:val="0093334A"/>
    <w:rsid w:val="009334DC"/>
    <w:rsid w:val="00933553"/>
    <w:rsid w:val="00933C6F"/>
    <w:rsid w:val="00933D26"/>
    <w:rsid w:val="00933D7B"/>
    <w:rsid w:val="00933E3C"/>
    <w:rsid w:val="0093406D"/>
    <w:rsid w:val="00934093"/>
    <w:rsid w:val="00934671"/>
    <w:rsid w:val="00934709"/>
    <w:rsid w:val="00934864"/>
    <w:rsid w:val="0093490F"/>
    <w:rsid w:val="00934DBA"/>
    <w:rsid w:val="00935036"/>
    <w:rsid w:val="009350C6"/>
    <w:rsid w:val="00935219"/>
    <w:rsid w:val="009354C3"/>
    <w:rsid w:val="009356A8"/>
    <w:rsid w:val="00935B63"/>
    <w:rsid w:val="00935CE5"/>
    <w:rsid w:val="00935D0D"/>
    <w:rsid w:val="00935DE8"/>
    <w:rsid w:val="00936112"/>
    <w:rsid w:val="00936114"/>
    <w:rsid w:val="0093669A"/>
    <w:rsid w:val="00936E35"/>
    <w:rsid w:val="00936E5D"/>
    <w:rsid w:val="00937403"/>
    <w:rsid w:val="009374B8"/>
    <w:rsid w:val="00937799"/>
    <w:rsid w:val="009401B0"/>
    <w:rsid w:val="0094053E"/>
    <w:rsid w:val="009405B2"/>
    <w:rsid w:val="0094073C"/>
    <w:rsid w:val="00940AC7"/>
    <w:rsid w:val="00940BEF"/>
    <w:rsid w:val="00940D0D"/>
    <w:rsid w:val="009416AE"/>
    <w:rsid w:val="00941756"/>
    <w:rsid w:val="00941DB6"/>
    <w:rsid w:val="00941E96"/>
    <w:rsid w:val="00941F5B"/>
    <w:rsid w:val="00942092"/>
    <w:rsid w:val="0094209E"/>
    <w:rsid w:val="0094212C"/>
    <w:rsid w:val="00942269"/>
    <w:rsid w:val="00942369"/>
    <w:rsid w:val="00942B0A"/>
    <w:rsid w:val="00942CA1"/>
    <w:rsid w:val="00942F5A"/>
    <w:rsid w:val="0094317E"/>
    <w:rsid w:val="009433CE"/>
    <w:rsid w:val="0094390E"/>
    <w:rsid w:val="00943BCD"/>
    <w:rsid w:val="00944304"/>
    <w:rsid w:val="00944672"/>
    <w:rsid w:val="00944789"/>
    <w:rsid w:val="0094498D"/>
    <w:rsid w:val="0094510C"/>
    <w:rsid w:val="0094520B"/>
    <w:rsid w:val="0094520D"/>
    <w:rsid w:val="00945BC4"/>
    <w:rsid w:val="00945D0E"/>
    <w:rsid w:val="00946103"/>
    <w:rsid w:val="009464AD"/>
    <w:rsid w:val="009467D8"/>
    <w:rsid w:val="00946BA2"/>
    <w:rsid w:val="0094720B"/>
    <w:rsid w:val="0094757B"/>
    <w:rsid w:val="0094760E"/>
    <w:rsid w:val="009479D4"/>
    <w:rsid w:val="00947DC9"/>
    <w:rsid w:val="00947FF6"/>
    <w:rsid w:val="00950741"/>
    <w:rsid w:val="00950813"/>
    <w:rsid w:val="0095097B"/>
    <w:rsid w:val="00950A33"/>
    <w:rsid w:val="00950B7B"/>
    <w:rsid w:val="009511E6"/>
    <w:rsid w:val="0095131D"/>
    <w:rsid w:val="00951473"/>
    <w:rsid w:val="00951D54"/>
    <w:rsid w:val="009523E7"/>
    <w:rsid w:val="0095261F"/>
    <w:rsid w:val="00952653"/>
    <w:rsid w:val="0095265B"/>
    <w:rsid w:val="0095280B"/>
    <w:rsid w:val="00952BC8"/>
    <w:rsid w:val="00952CD4"/>
    <w:rsid w:val="00952E53"/>
    <w:rsid w:val="00952EB0"/>
    <w:rsid w:val="00952F7E"/>
    <w:rsid w:val="00953D6A"/>
    <w:rsid w:val="00954163"/>
    <w:rsid w:val="00954C0F"/>
    <w:rsid w:val="009554F2"/>
    <w:rsid w:val="00956142"/>
    <w:rsid w:val="0095625E"/>
    <w:rsid w:val="00956299"/>
    <w:rsid w:val="009563CC"/>
    <w:rsid w:val="0095646B"/>
    <w:rsid w:val="009566F1"/>
    <w:rsid w:val="009569A0"/>
    <w:rsid w:val="00956A37"/>
    <w:rsid w:val="009570CA"/>
    <w:rsid w:val="0095724E"/>
    <w:rsid w:val="0095729E"/>
    <w:rsid w:val="009574F8"/>
    <w:rsid w:val="00957AA7"/>
    <w:rsid w:val="00957D9E"/>
    <w:rsid w:val="00957F8F"/>
    <w:rsid w:val="00960879"/>
    <w:rsid w:val="00960B92"/>
    <w:rsid w:val="00960BC4"/>
    <w:rsid w:val="00960BF2"/>
    <w:rsid w:val="00961642"/>
    <w:rsid w:val="009619F5"/>
    <w:rsid w:val="00961BDA"/>
    <w:rsid w:val="00961C8A"/>
    <w:rsid w:val="00961CBC"/>
    <w:rsid w:val="00961F1A"/>
    <w:rsid w:val="00962003"/>
    <w:rsid w:val="0096204F"/>
    <w:rsid w:val="00962DFB"/>
    <w:rsid w:val="00962EB6"/>
    <w:rsid w:val="009638D6"/>
    <w:rsid w:val="009639A8"/>
    <w:rsid w:val="00964014"/>
    <w:rsid w:val="00964182"/>
    <w:rsid w:val="009644C3"/>
    <w:rsid w:val="00964812"/>
    <w:rsid w:val="00964938"/>
    <w:rsid w:val="00964BA6"/>
    <w:rsid w:val="00964BBA"/>
    <w:rsid w:val="00964E97"/>
    <w:rsid w:val="009651AB"/>
    <w:rsid w:val="00965625"/>
    <w:rsid w:val="0096563B"/>
    <w:rsid w:val="00965745"/>
    <w:rsid w:val="0096579A"/>
    <w:rsid w:val="00965AF2"/>
    <w:rsid w:val="00965E49"/>
    <w:rsid w:val="00965E60"/>
    <w:rsid w:val="0096624C"/>
    <w:rsid w:val="009662D2"/>
    <w:rsid w:val="00966316"/>
    <w:rsid w:val="00966319"/>
    <w:rsid w:val="00966423"/>
    <w:rsid w:val="0096694E"/>
    <w:rsid w:val="00966A96"/>
    <w:rsid w:val="00966D35"/>
    <w:rsid w:val="00966FC8"/>
    <w:rsid w:val="00967023"/>
    <w:rsid w:val="00967480"/>
    <w:rsid w:val="00967B77"/>
    <w:rsid w:val="00967BB2"/>
    <w:rsid w:val="00967EED"/>
    <w:rsid w:val="0097025A"/>
    <w:rsid w:val="00970455"/>
    <w:rsid w:val="0097058A"/>
    <w:rsid w:val="00971218"/>
    <w:rsid w:val="00971243"/>
    <w:rsid w:val="00971266"/>
    <w:rsid w:val="0097160E"/>
    <w:rsid w:val="00971A15"/>
    <w:rsid w:val="00971ADA"/>
    <w:rsid w:val="00971C9D"/>
    <w:rsid w:val="00971EAC"/>
    <w:rsid w:val="00972191"/>
    <w:rsid w:val="009722D9"/>
    <w:rsid w:val="00972585"/>
    <w:rsid w:val="009725E7"/>
    <w:rsid w:val="0097283A"/>
    <w:rsid w:val="00972B89"/>
    <w:rsid w:val="00972BF4"/>
    <w:rsid w:val="009730D8"/>
    <w:rsid w:val="00973167"/>
    <w:rsid w:val="009733E4"/>
    <w:rsid w:val="009733FD"/>
    <w:rsid w:val="00973511"/>
    <w:rsid w:val="00973796"/>
    <w:rsid w:val="009739C4"/>
    <w:rsid w:val="00973B07"/>
    <w:rsid w:val="00973DA0"/>
    <w:rsid w:val="00973E38"/>
    <w:rsid w:val="00973E73"/>
    <w:rsid w:val="009740B7"/>
    <w:rsid w:val="00974416"/>
    <w:rsid w:val="009746E5"/>
    <w:rsid w:val="00975167"/>
    <w:rsid w:val="0097584E"/>
    <w:rsid w:val="009758FD"/>
    <w:rsid w:val="009759BD"/>
    <w:rsid w:val="00975D1C"/>
    <w:rsid w:val="00975F61"/>
    <w:rsid w:val="0097658E"/>
    <w:rsid w:val="00977099"/>
    <w:rsid w:val="009770C0"/>
    <w:rsid w:val="00977392"/>
    <w:rsid w:val="009773B1"/>
    <w:rsid w:val="009773FB"/>
    <w:rsid w:val="009778A1"/>
    <w:rsid w:val="009778C3"/>
    <w:rsid w:val="00977EE2"/>
    <w:rsid w:val="0098000B"/>
    <w:rsid w:val="009801AF"/>
    <w:rsid w:val="0098036D"/>
    <w:rsid w:val="00980457"/>
    <w:rsid w:val="0098062C"/>
    <w:rsid w:val="00980B3F"/>
    <w:rsid w:val="00980C00"/>
    <w:rsid w:val="00980F2E"/>
    <w:rsid w:val="00980FD1"/>
    <w:rsid w:val="009812CA"/>
    <w:rsid w:val="00981949"/>
    <w:rsid w:val="009821E5"/>
    <w:rsid w:val="0098249D"/>
    <w:rsid w:val="009828BA"/>
    <w:rsid w:val="00982A1E"/>
    <w:rsid w:val="00982CE9"/>
    <w:rsid w:val="00982CF2"/>
    <w:rsid w:val="00982D8A"/>
    <w:rsid w:val="00982DA2"/>
    <w:rsid w:val="00983572"/>
    <w:rsid w:val="009838F9"/>
    <w:rsid w:val="00983A6A"/>
    <w:rsid w:val="00983AF9"/>
    <w:rsid w:val="00984057"/>
    <w:rsid w:val="009841C6"/>
    <w:rsid w:val="009841E3"/>
    <w:rsid w:val="00984384"/>
    <w:rsid w:val="00984944"/>
    <w:rsid w:val="009849C9"/>
    <w:rsid w:val="00984B3E"/>
    <w:rsid w:val="00984B40"/>
    <w:rsid w:val="00984C92"/>
    <w:rsid w:val="0098556E"/>
    <w:rsid w:val="0098567A"/>
    <w:rsid w:val="009856F2"/>
    <w:rsid w:val="00985729"/>
    <w:rsid w:val="009858BC"/>
    <w:rsid w:val="00985C66"/>
    <w:rsid w:val="00985F8A"/>
    <w:rsid w:val="00986064"/>
    <w:rsid w:val="009860BB"/>
    <w:rsid w:val="009862FB"/>
    <w:rsid w:val="009863DE"/>
    <w:rsid w:val="009864F7"/>
    <w:rsid w:val="00986B4D"/>
    <w:rsid w:val="00986B89"/>
    <w:rsid w:val="00986DA3"/>
    <w:rsid w:val="009872A6"/>
    <w:rsid w:val="009872ED"/>
    <w:rsid w:val="009874A1"/>
    <w:rsid w:val="009874AB"/>
    <w:rsid w:val="009874E4"/>
    <w:rsid w:val="009876D2"/>
    <w:rsid w:val="009877FB"/>
    <w:rsid w:val="00987AF0"/>
    <w:rsid w:val="00987C94"/>
    <w:rsid w:val="00987EC3"/>
    <w:rsid w:val="009900C5"/>
    <w:rsid w:val="009900D2"/>
    <w:rsid w:val="009903EB"/>
    <w:rsid w:val="009904D5"/>
    <w:rsid w:val="009905FD"/>
    <w:rsid w:val="0099069C"/>
    <w:rsid w:val="00990A27"/>
    <w:rsid w:val="00990CC5"/>
    <w:rsid w:val="00990CF9"/>
    <w:rsid w:val="00990EDD"/>
    <w:rsid w:val="00990FF9"/>
    <w:rsid w:val="00991122"/>
    <w:rsid w:val="00991257"/>
    <w:rsid w:val="0099152F"/>
    <w:rsid w:val="0099180A"/>
    <w:rsid w:val="00991AAB"/>
    <w:rsid w:val="00991D82"/>
    <w:rsid w:val="009923E5"/>
    <w:rsid w:val="00992424"/>
    <w:rsid w:val="00992AC0"/>
    <w:rsid w:val="00992C63"/>
    <w:rsid w:val="00992DF5"/>
    <w:rsid w:val="0099310E"/>
    <w:rsid w:val="00993229"/>
    <w:rsid w:val="009934C1"/>
    <w:rsid w:val="00993ACE"/>
    <w:rsid w:val="00993B93"/>
    <w:rsid w:val="00993E81"/>
    <w:rsid w:val="00994483"/>
    <w:rsid w:val="009947D0"/>
    <w:rsid w:val="009949AA"/>
    <w:rsid w:val="00994F2C"/>
    <w:rsid w:val="009956D3"/>
    <w:rsid w:val="009957B3"/>
    <w:rsid w:val="009957D4"/>
    <w:rsid w:val="009957F6"/>
    <w:rsid w:val="00995A33"/>
    <w:rsid w:val="00995C52"/>
    <w:rsid w:val="00995CE1"/>
    <w:rsid w:val="00995E5E"/>
    <w:rsid w:val="009962A1"/>
    <w:rsid w:val="00996AB2"/>
    <w:rsid w:val="00996D4F"/>
    <w:rsid w:val="00996D98"/>
    <w:rsid w:val="00996E55"/>
    <w:rsid w:val="0099733C"/>
    <w:rsid w:val="009976E3"/>
    <w:rsid w:val="009977F5"/>
    <w:rsid w:val="0099789B"/>
    <w:rsid w:val="00997A11"/>
    <w:rsid w:val="00997A19"/>
    <w:rsid w:val="00997C62"/>
    <w:rsid w:val="00997CF7"/>
    <w:rsid w:val="00997DF6"/>
    <w:rsid w:val="00997F11"/>
    <w:rsid w:val="009A0130"/>
    <w:rsid w:val="009A05F8"/>
    <w:rsid w:val="009A0BA2"/>
    <w:rsid w:val="009A0BDC"/>
    <w:rsid w:val="009A0F7A"/>
    <w:rsid w:val="009A1039"/>
    <w:rsid w:val="009A10B9"/>
    <w:rsid w:val="009A1A69"/>
    <w:rsid w:val="009A1CA6"/>
    <w:rsid w:val="009A1D98"/>
    <w:rsid w:val="009A2702"/>
    <w:rsid w:val="009A2730"/>
    <w:rsid w:val="009A2A6D"/>
    <w:rsid w:val="009A2DEB"/>
    <w:rsid w:val="009A353F"/>
    <w:rsid w:val="009A360C"/>
    <w:rsid w:val="009A3EB5"/>
    <w:rsid w:val="009A3F19"/>
    <w:rsid w:val="009A3F7B"/>
    <w:rsid w:val="009A3FD2"/>
    <w:rsid w:val="009A40BF"/>
    <w:rsid w:val="009A411E"/>
    <w:rsid w:val="009A47AF"/>
    <w:rsid w:val="009A492C"/>
    <w:rsid w:val="009A4A75"/>
    <w:rsid w:val="009A4A7E"/>
    <w:rsid w:val="009A4BDB"/>
    <w:rsid w:val="009A4DA0"/>
    <w:rsid w:val="009A5183"/>
    <w:rsid w:val="009A5232"/>
    <w:rsid w:val="009A5614"/>
    <w:rsid w:val="009A56E7"/>
    <w:rsid w:val="009A57D0"/>
    <w:rsid w:val="009A58A2"/>
    <w:rsid w:val="009A5A24"/>
    <w:rsid w:val="009A5E2B"/>
    <w:rsid w:val="009A6063"/>
    <w:rsid w:val="009A6115"/>
    <w:rsid w:val="009A62FE"/>
    <w:rsid w:val="009A6340"/>
    <w:rsid w:val="009A66D4"/>
    <w:rsid w:val="009A6741"/>
    <w:rsid w:val="009A6881"/>
    <w:rsid w:val="009A698A"/>
    <w:rsid w:val="009A6F74"/>
    <w:rsid w:val="009A6F95"/>
    <w:rsid w:val="009A7029"/>
    <w:rsid w:val="009A7263"/>
    <w:rsid w:val="009A742C"/>
    <w:rsid w:val="009A7AC2"/>
    <w:rsid w:val="009A7BDE"/>
    <w:rsid w:val="009B0242"/>
    <w:rsid w:val="009B049C"/>
    <w:rsid w:val="009B04BF"/>
    <w:rsid w:val="009B08CE"/>
    <w:rsid w:val="009B0AAE"/>
    <w:rsid w:val="009B0B5C"/>
    <w:rsid w:val="009B0D5C"/>
    <w:rsid w:val="009B0ECF"/>
    <w:rsid w:val="009B0F3F"/>
    <w:rsid w:val="009B1031"/>
    <w:rsid w:val="009B11F5"/>
    <w:rsid w:val="009B15DE"/>
    <w:rsid w:val="009B175C"/>
    <w:rsid w:val="009B1A9F"/>
    <w:rsid w:val="009B1B77"/>
    <w:rsid w:val="009B1CFA"/>
    <w:rsid w:val="009B2479"/>
    <w:rsid w:val="009B2B6F"/>
    <w:rsid w:val="009B2EEE"/>
    <w:rsid w:val="009B30CD"/>
    <w:rsid w:val="009B3493"/>
    <w:rsid w:val="009B3B93"/>
    <w:rsid w:val="009B443B"/>
    <w:rsid w:val="009B4557"/>
    <w:rsid w:val="009B4954"/>
    <w:rsid w:val="009B4CC1"/>
    <w:rsid w:val="009B4E62"/>
    <w:rsid w:val="009B51E4"/>
    <w:rsid w:val="009B532C"/>
    <w:rsid w:val="009B58F5"/>
    <w:rsid w:val="009B5B0A"/>
    <w:rsid w:val="009B5C20"/>
    <w:rsid w:val="009B5CF6"/>
    <w:rsid w:val="009B5DE3"/>
    <w:rsid w:val="009B5FF7"/>
    <w:rsid w:val="009B66CE"/>
    <w:rsid w:val="009B689B"/>
    <w:rsid w:val="009B6AFD"/>
    <w:rsid w:val="009B6CEA"/>
    <w:rsid w:val="009B6E30"/>
    <w:rsid w:val="009B73BE"/>
    <w:rsid w:val="009B7567"/>
    <w:rsid w:val="009B7EAB"/>
    <w:rsid w:val="009C00AC"/>
    <w:rsid w:val="009C03CA"/>
    <w:rsid w:val="009C0468"/>
    <w:rsid w:val="009C04D8"/>
    <w:rsid w:val="009C1575"/>
    <w:rsid w:val="009C1595"/>
    <w:rsid w:val="009C1661"/>
    <w:rsid w:val="009C1AA7"/>
    <w:rsid w:val="009C1E5D"/>
    <w:rsid w:val="009C2553"/>
    <w:rsid w:val="009C3201"/>
    <w:rsid w:val="009C3449"/>
    <w:rsid w:val="009C34A0"/>
    <w:rsid w:val="009C3742"/>
    <w:rsid w:val="009C3832"/>
    <w:rsid w:val="009C3C73"/>
    <w:rsid w:val="009C3CBD"/>
    <w:rsid w:val="009C3D1B"/>
    <w:rsid w:val="009C3DA6"/>
    <w:rsid w:val="009C3DD2"/>
    <w:rsid w:val="009C4176"/>
    <w:rsid w:val="009C43DB"/>
    <w:rsid w:val="009C486E"/>
    <w:rsid w:val="009C4888"/>
    <w:rsid w:val="009C4D2E"/>
    <w:rsid w:val="009C4E66"/>
    <w:rsid w:val="009C5150"/>
    <w:rsid w:val="009C5883"/>
    <w:rsid w:val="009C58AA"/>
    <w:rsid w:val="009C5A1B"/>
    <w:rsid w:val="009C5C3A"/>
    <w:rsid w:val="009C5DC5"/>
    <w:rsid w:val="009C691A"/>
    <w:rsid w:val="009C692D"/>
    <w:rsid w:val="009C6B2C"/>
    <w:rsid w:val="009C6CF4"/>
    <w:rsid w:val="009C7670"/>
    <w:rsid w:val="009C7857"/>
    <w:rsid w:val="009C78FE"/>
    <w:rsid w:val="009C7DDE"/>
    <w:rsid w:val="009D0087"/>
    <w:rsid w:val="009D0271"/>
    <w:rsid w:val="009D054A"/>
    <w:rsid w:val="009D063E"/>
    <w:rsid w:val="009D0748"/>
    <w:rsid w:val="009D08EF"/>
    <w:rsid w:val="009D097F"/>
    <w:rsid w:val="009D0FA4"/>
    <w:rsid w:val="009D1300"/>
    <w:rsid w:val="009D130F"/>
    <w:rsid w:val="009D1EF6"/>
    <w:rsid w:val="009D20D7"/>
    <w:rsid w:val="009D21E8"/>
    <w:rsid w:val="009D2225"/>
    <w:rsid w:val="009D235D"/>
    <w:rsid w:val="009D2476"/>
    <w:rsid w:val="009D2666"/>
    <w:rsid w:val="009D2C1B"/>
    <w:rsid w:val="009D3377"/>
    <w:rsid w:val="009D3537"/>
    <w:rsid w:val="009D35CE"/>
    <w:rsid w:val="009D378B"/>
    <w:rsid w:val="009D3A69"/>
    <w:rsid w:val="009D3B8C"/>
    <w:rsid w:val="009D3E8F"/>
    <w:rsid w:val="009D3F69"/>
    <w:rsid w:val="009D424E"/>
    <w:rsid w:val="009D4753"/>
    <w:rsid w:val="009D4870"/>
    <w:rsid w:val="009D4F81"/>
    <w:rsid w:val="009D4F9F"/>
    <w:rsid w:val="009D5029"/>
    <w:rsid w:val="009D5162"/>
    <w:rsid w:val="009D51A5"/>
    <w:rsid w:val="009D5BEA"/>
    <w:rsid w:val="009D5CF5"/>
    <w:rsid w:val="009D5E7A"/>
    <w:rsid w:val="009D5FAD"/>
    <w:rsid w:val="009D6115"/>
    <w:rsid w:val="009D611E"/>
    <w:rsid w:val="009D6214"/>
    <w:rsid w:val="009D6535"/>
    <w:rsid w:val="009D65F0"/>
    <w:rsid w:val="009D6746"/>
    <w:rsid w:val="009D6A29"/>
    <w:rsid w:val="009D6AA0"/>
    <w:rsid w:val="009D6D20"/>
    <w:rsid w:val="009D73A7"/>
    <w:rsid w:val="009D75A6"/>
    <w:rsid w:val="009D77C7"/>
    <w:rsid w:val="009D7939"/>
    <w:rsid w:val="009D7A56"/>
    <w:rsid w:val="009D7B46"/>
    <w:rsid w:val="009E025F"/>
    <w:rsid w:val="009E060F"/>
    <w:rsid w:val="009E07A7"/>
    <w:rsid w:val="009E091E"/>
    <w:rsid w:val="009E0995"/>
    <w:rsid w:val="009E143C"/>
    <w:rsid w:val="009E16E1"/>
    <w:rsid w:val="009E1756"/>
    <w:rsid w:val="009E1D91"/>
    <w:rsid w:val="009E235B"/>
    <w:rsid w:val="009E25AA"/>
    <w:rsid w:val="009E2728"/>
    <w:rsid w:val="009E2E90"/>
    <w:rsid w:val="009E2F28"/>
    <w:rsid w:val="009E3D25"/>
    <w:rsid w:val="009E447F"/>
    <w:rsid w:val="009E4D1E"/>
    <w:rsid w:val="009E4FE4"/>
    <w:rsid w:val="009E509C"/>
    <w:rsid w:val="009E5187"/>
    <w:rsid w:val="009E522B"/>
    <w:rsid w:val="009E5268"/>
    <w:rsid w:val="009E52B5"/>
    <w:rsid w:val="009E545C"/>
    <w:rsid w:val="009E54B8"/>
    <w:rsid w:val="009E5938"/>
    <w:rsid w:val="009E5A68"/>
    <w:rsid w:val="009E5BF0"/>
    <w:rsid w:val="009E5EDA"/>
    <w:rsid w:val="009E6A74"/>
    <w:rsid w:val="009E6BE0"/>
    <w:rsid w:val="009E6DE1"/>
    <w:rsid w:val="009E6DF5"/>
    <w:rsid w:val="009E7243"/>
    <w:rsid w:val="009E7305"/>
    <w:rsid w:val="009E7516"/>
    <w:rsid w:val="009E7860"/>
    <w:rsid w:val="009E7FA9"/>
    <w:rsid w:val="009F011B"/>
    <w:rsid w:val="009F01BB"/>
    <w:rsid w:val="009F08BB"/>
    <w:rsid w:val="009F1045"/>
    <w:rsid w:val="009F1092"/>
    <w:rsid w:val="009F164E"/>
    <w:rsid w:val="009F17A1"/>
    <w:rsid w:val="009F1824"/>
    <w:rsid w:val="009F193A"/>
    <w:rsid w:val="009F1A56"/>
    <w:rsid w:val="009F1BDC"/>
    <w:rsid w:val="009F1C30"/>
    <w:rsid w:val="009F21DC"/>
    <w:rsid w:val="009F2200"/>
    <w:rsid w:val="009F23A3"/>
    <w:rsid w:val="009F2FA8"/>
    <w:rsid w:val="009F3115"/>
    <w:rsid w:val="009F31AE"/>
    <w:rsid w:val="009F3C1B"/>
    <w:rsid w:val="009F4310"/>
    <w:rsid w:val="009F43B8"/>
    <w:rsid w:val="009F447B"/>
    <w:rsid w:val="009F4486"/>
    <w:rsid w:val="009F469C"/>
    <w:rsid w:val="009F484A"/>
    <w:rsid w:val="009F4AB6"/>
    <w:rsid w:val="009F4EE4"/>
    <w:rsid w:val="009F52A5"/>
    <w:rsid w:val="009F56A6"/>
    <w:rsid w:val="009F588A"/>
    <w:rsid w:val="009F5A3C"/>
    <w:rsid w:val="009F5D0D"/>
    <w:rsid w:val="009F5D37"/>
    <w:rsid w:val="009F61BE"/>
    <w:rsid w:val="009F62B9"/>
    <w:rsid w:val="009F62E7"/>
    <w:rsid w:val="009F6569"/>
    <w:rsid w:val="009F6639"/>
    <w:rsid w:val="009F664C"/>
    <w:rsid w:val="009F68B1"/>
    <w:rsid w:val="009F6EAF"/>
    <w:rsid w:val="009F6EB8"/>
    <w:rsid w:val="009F7245"/>
    <w:rsid w:val="009F7918"/>
    <w:rsid w:val="009F7ECA"/>
    <w:rsid w:val="00A000DD"/>
    <w:rsid w:val="00A00164"/>
    <w:rsid w:val="00A003DA"/>
    <w:rsid w:val="00A00886"/>
    <w:rsid w:val="00A00B0C"/>
    <w:rsid w:val="00A00B95"/>
    <w:rsid w:val="00A00BDB"/>
    <w:rsid w:val="00A00CD4"/>
    <w:rsid w:val="00A00D73"/>
    <w:rsid w:val="00A00D8F"/>
    <w:rsid w:val="00A01019"/>
    <w:rsid w:val="00A011EA"/>
    <w:rsid w:val="00A0147D"/>
    <w:rsid w:val="00A015A8"/>
    <w:rsid w:val="00A01AB9"/>
    <w:rsid w:val="00A01F7F"/>
    <w:rsid w:val="00A02CEE"/>
    <w:rsid w:val="00A02D2C"/>
    <w:rsid w:val="00A02E2D"/>
    <w:rsid w:val="00A02E66"/>
    <w:rsid w:val="00A02EDD"/>
    <w:rsid w:val="00A02FB4"/>
    <w:rsid w:val="00A0302F"/>
    <w:rsid w:val="00A0306D"/>
    <w:rsid w:val="00A03779"/>
    <w:rsid w:val="00A03920"/>
    <w:rsid w:val="00A03ADF"/>
    <w:rsid w:val="00A0446F"/>
    <w:rsid w:val="00A04668"/>
    <w:rsid w:val="00A04A89"/>
    <w:rsid w:val="00A05240"/>
    <w:rsid w:val="00A052E5"/>
    <w:rsid w:val="00A058E2"/>
    <w:rsid w:val="00A05B86"/>
    <w:rsid w:val="00A05D7E"/>
    <w:rsid w:val="00A05FD0"/>
    <w:rsid w:val="00A062AB"/>
    <w:rsid w:val="00A06633"/>
    <w:rsid w:val="00A068FF"/>
    <w:rsid w:val="00A06955"/>
    <w:rsid w:val="00A06DF7"/>
    <w:rsid w:val="00A06F27"/>
    <w:rsid w:val="00A0707B"/>
    <w:rsid w:val="00A0719E"/>
    <w:rsid w:val="00A079D7"/>
    <w:rsid w:val="00A07B00"/>
    <w:rsid w:val="00A07C06"/>
    <w:rsid w:val="00A07F22"/>
    <w:rsid w:val="00A07FA3"/>
    <w:rsid w:val="00A10567"/>
    <w:rsid w:val="00A110F6"/>
    <w:rsid w:val="00A11433"/>
    <w:rsid w:val="00A1171E"/>
    <w:rsid w:val="00A11897"/>
    <w:rsid w:val="00A11A92"/>
    <w:rsid w:val="00A11C46"/>
    <w:rsid w:val="00A11D3F"/>
    <w:rsid w:val="00A11DD5"/>
    <w:rsid w:val="00A1232D"/>
    <w:rsid w:val="00A12AB6"/>
    <w:rsid w:val="00A12DA6"/>
    <w:rsid w:val="00A1369C"/>
    <w:rsid w:val="00A13B6A"/>
    <w:rsid w:val="00A13F4D"/>
    <w:rsid w:val="00A14219"/>
    <w:rsid w:val="00A144B8"/>
    <w:rsid w:val="00A1451E"/>
    <w:rsid w:val="00A148AB"/>
    <w:rsid w:val="00A14B4D"/>
    <w:rsid w:val="00A150B6"/>
    <w:rsid w:val="00A153EF"/>
    <w:rsid w:val="00A15A3B"/>
    <w:rsid w:val="00A15EDC"/>
    <w:rsid w:val="00A16076"/>
    <w:rsid w:val="00A1620D"/>
    <w:rsid w:val="00A16295"/>
    <w:rsid w:val="00A1659C"/>
    <w:rsid w:val="00A16686"/>
    <w:rsid w:val="00A16A7F"/>
    <w:rsid w:val="00A16B75"/>
    <w:rsid w:val="00A16F98"/>
    <w:rsid w:val="00A17651"/>
    <w:rsid w:val="00A1772F"/>
    <w:rsid w:val="00A17766"/>
    <w:rsid w:val="00A203F3"/>
    <w:rsid w:val="00A20553"/>
    <w:rsid w:val="00A20581"/>
    <w:rsid w:val="00A208CC"/>
    <w:rsid w:val="00A20C6B"/>
    <w:rsid w:val="00A20E4F"/>
    <w:rsid w:val="00A211DF"/>
    <w:rsid w:val="00A2131D"/>
    <w:rsid w:val="00A21326"/>
    <w:rsid w:val="00A21903"/>
    <w:rsid w:val="00A21934"/>
    <w:rsid w:val="00A228C1"/>
    <w:rsid w:val="00A22903"/>
    <w:rsid w:val="00A22AB2"/>
    <w:rsid w:val="00A22E29"/>
    <w:rsid w:val="00A232DA"/>
    <w:rsid w:val="00A235A1"/>
    <w:rsid w:val="00A23652"/>
    <w:rsid w:val="00A2370C"/>
    <w:rsid w:val="00A23840"/>
    <w:rsid w:val="00A23897"/>
    <w:rsid w:val="00A23C9D"/>
    <w:rsid w:val="00A23CCD"/>
    <w:rsid w:val="00A23F5C"/>
    <w:rsid w:val="00A24240"/>
    <w:rsid w:val="00A243D7"/>
    <w:rsid w:val="00A2445F"/>
    <w:rsid w:val="00A244D3"/>
    <w:rsid w:val="00A245D9"/>
    <w:rsid w:val="00A24784"/>
    <w:rsid w:val="00A24BC2"/>
    <w:rsid w:val="00A24DB9"/>
    <w:rsid w:val="00A24E7B"/>
    <w:rsid w:val="00A24FB0"/>
    <w:rsid w:val="00A25185"/>
    <w:rsid w:val="00A2603E"/>
    <w:rsid w:val="00A26294"/>
    <w:rsid w:val="00A26720"/>
    <w:rsid w:val="00A2694C"/>
    <w:rsid w:val="00A26D0E"/>
    <w:rsid w:val="00A26E0B"/>
    <w:rsid w:val="00A27437"/>
    <w:rsid w:val="00A27796"/>
    <w:rsid w:val="00A27C1E"/>
    <w:rsid w:val="00A27C8F"/>
    <w:rsid w:val="00A27D6A"/>
    <w:rsid w:val="00A27D87"/>
    <w:rsid w:val="00A302E4"/>
    <w:rsid w:val="00A3093D"/>
    <w:rsid w:val="00A30A28"/>
    <w:rsid w:val="00A30B5E"/>
    <w:rsid w:val="00A30CED"/>
    <w:rsid w:val="00A30F4C"/>
    <w:rsid w:val="00A312BF"/>
    <w:rsid w:val="00A31455"/>
    <w:rsid w:val="00A31AFC"/>
    <w:rsid w:val="00A32496"/>
    <w:rsid w:val="00A32596"/>
    <w:rsid w:val="00A32A61"/>
    <w:rsid w:val="00A32AB3"/>
    <w:rsid w:val="00A32CA7"/>
    <w:rsid w:val="00A32CD6"/>
    <w:rsid w:val="00A32CE5"/>
    <w:rsid w:val="00A32DD6"/>
    <w:rsid w:val="00A33911"/>
    <w:rsid w:val="00A33D54"/>
    <w:rsid w:val="00A34525"/>
    <w:rsid w:val="00A3473B"/>
    <w:rsid w:val="00A3476F"/>
    <w:rsid w:val="00A34B89"/>
    <w:rsid w:val="00A351ED"/>
    <w:rsid w:val="00A352B8"/>
    <w:rsid w:val="00A355B4"/>
    <w:rsid w:val="00A35725"/>
    <w:rsid w:val="00A357DA"/>
    <w:rsid w:val="00A35AA3"/>
    <w:rsid w:val="00A36469"/>
    <w:rsid w:val="00A364BF"/>
    <w:rsid w:val="00A36554"/>
    <w:rsid w:val="00A367C2"/>
    <w:rsid w:val="00A36B8F"/>
    <w:rsid w:val="00A36BBF"/>
    <w:rsid w:val="00A36D1D"/>
    <w:rsid w:val="00A37A3B"/>
    <w:rsid w:val="00A37C0E"/>
    <w:rsid w:val="00A37E5A"/>
    <w:rsid w:val="00A40058"/>
    <w:rsid w:val="00A401AB"/>
    <w:rsid w:val="00A401E2"/>
    <w:rsid w:val="00A408CE"/>
    <w:rsid w:val="00A408E7"/>
    <w:rsid w:val="00A40B05"/>
    <w:rsid w:val="00A40B7C"/>
    <w:rsid w:val="00A40CE9"/>
    <w:rsid w:val="00A40F64"/>
    <w:rsid w:val="00A4110C"/>
    <w:rsid w:val="00A413D7"/>
    <w:rsid w:val="00A415C8"/>
    <w:rsid w:val="00A41E6F"/>
    <w:rsid w:val="00A4201F"/>
    <w:rsid w:val="00A42327"/>
    <w:rsid w:val="00A426EE"/>
    <w:rsid w:val="00A427D2"/>
    <w:rsid w:val="00A42863"/>
    <w:rsid w:val="00A429C9"/>
    <w:rsid w:val="00A42C0B"/>
    <w:rsid w:val="00A42DA9"/>
    <w:rsid w:val="00A43101"/>
    <w:rsid w:val="00A435F0"/>
    <w:rsid w:val="00A43A95"/>
    <w:rsid w:val="00A43CD1"/>
    <w:rsid w:val="00A43DA5"/>
    <w:rsid w:val="00A43E17"/>
    <w:rsid w:val="00A442B8"/>
    <w:rsid w:val="00A4438F"/>
    <w:rsid w:val="00A44636"/>
    <w:rsid w:val="00A44BF9"/>
    <w:rsid w:val="00A44CD8"/>
    <w:rsid w:val="00A44D5A"/>
    <w:rsid w:val="00A44F31"/>
    <w:rsid w:val="00A44F83"/>
    <w:rsid w:val="00A45056"/>
    <w:rsid w:val="00A4549F"/>
    <w:rsid w:val="00A45579"/>
    <w:rsid w:val="00A456CB"/>
    <w:rsid w:val="00A45A47"/>
    <w:rsid w:val="00A45D50"/>
    <w:rsid w:val="00A46352"/>
    <w:rsid w:val="00A464F8"/>
    <w:rsid w:val="00A46768"/>
    <w:rsid w:val="00A468B3"/>
    <w:rsid w:val="00A46BAC"/>
    <w:rsid w:val="00A46CB9"/>
    <w:rsid w:val="00A46D53"/>
    <w:rsid w:val="00A46EFD"/>
    <w:rsid w:val="00A471C6"/>
    <w:rsid w:val="00A4737D"/>
    <w:rsid w:val="00A473E4"/>
    <w:rsid w:val="00A47408"/>
    <w:rsid w:val="00A474A9"/>
    <w:rsid w:val="00A47880"/>
    <w:rsid w:val="00A4797F"/>
    <w:rsid w:val="00A47984"/>
    <w:rsid w:val="00A500AB"/>
    <w:rsid w:val="00A50A32"/>
    <w:rsid w:val="00A50AD8"/>
    <w:rsid w:val="00A50C14"/>
    <w:rsid w:val="00A50DF9"/>
    <w:rsid w:val="00A50E26"/>
    <w:rsid w:val="00A50F46"/>
    <w:rsid w:val="00A518FF"/>
    <w:rsid w:val="00A52269"/>
    <w:rsid w:val="00A523D2"/>
    <w:rsid w:val="00A52881"/>
    <w:rsid w:val="00A528B5"/>
    <w:rsid w:val="00A52A54"/>
    <w:rsid w:val="00A52DA0"/>
    <w:rsid w:val="00A52DCD"/>
    <w:rsid w:val="00A5321A"/>
    <w:rsid w:val="00A5340A"/>
    <w:rsid w:val="00A53B8D"/>
    <w:rsid w:val="00A53C59"/>
    <w:rsid w:val="00A53CC1"/>
    <w:rsid w:val="00A53EED"/>
    <w:rsid w:val="00A53F4B"/>
    <w:rsid w:val="00A53FA8"/>
    <w:rsid w:val="00A5417D"/>
    <w:rsid w:val="00A544F6"/>
    <w:rsid w:val="00A5452A"/>
    <w:rsid w:val="00A54979"/>
    <w:rsid w:val="00A549E8"/>
    <w:rsid w:val="00A54C71"/>
    <w:rsid w:val="00A54C81"/>
    <w:rsid w:val="00A55174"/>
    <w:rsid w:val="00A552E1"/>
    <w:rsid w:val="00A5534A"/>
    <w:rsid w:val="00A5552B"/>
    <w:rsid w:val="00A55558"/>
    <w:rsid w:val="00A5572C"/>
    <w:rsid w:val="00A55753"/>
    <w:rsid w:val="00A55767"/>
    <w:rsid w:val="00A55892"/>
    <w:rsid w:val="00A55D07"/>
    <w:rsid w:val="00A55D78"/>
    <w:rsid w:val="00A55DD2"/>
    <w:rsid w:val="00A55DD4"/>
    <w:rsid w:val="00A5630C"/>
    <w:rsid w:val="00A57772"/>
    <w:rsid w:val="00A577AF"/>
    <w:rsid w:val="00A600F3"/>
    <w:rsid w:val="00A60353"/>
    <w:rsid w:val="00A604FE"/>
    <w:rsid w:val="00A6057B"/>
    <w:rsid w:val="00A605A5"/>
    <w:rsid w:val="00A607A6"/>
    <w:rsid w:val="00A60B5D"/>
    <w:rsid w:val="00A60D15"/>
    <w:rsid w:val="00A60F00"/>
    <w:rsid w:val="00A61386"/>
    <w:rsid w:val="00A61919"/>
    <w:rsid w:val="00A61C3B"/>
    <w:rsid w:val="00A61DFB"/>
    <w:rsid w:val="00A61F41"/>
    <w:rsid w:val="00A61F81"/>
    <w:rsid w:val="00A62008"/>
    <w:rsid w:val="00A62095"/>
    <w:rsid w:val="00A62487"/>
    <w:rsid w:val="00A624EB"/>
    <w:rsid w:val="00A62579"/>
    <w:rsid w:val="00A626EE"/>
    <w:rsid w:val="00A629FE"/>
    <w:rsid w:val="00A633FA"/>
    <w:rsid w:val="00A63BAF"/>
    <w:rsid w:val="00A641B6"/>
    <w:rsid w:val="00A646E7"/>
    <w:rsid w:val="00A647F0"/>
    <w:rsid w:val="00A649BE"/>
    <w:rsid w:val="00A64CF3"/>
    <w:rsid w:val="00A64DA3"/>
    <w:rsid w:val="00A65A28"/>
    <w:rsid w:val="00A65B3B"/>
    <w:rsid w:val="00A65EA0"/>
    <w:rsid w:val="00A66290"/>
    <w:rsid w:val="00A664E3"/>
    <w:rsid w:val="00A669A7"/>
    <w:rsid w:val="00A66AB4"/>
    <w:rsid w:val="00A66B17"/>
    <w:rsid w:val="00A66CF4"/>
    <w:rsid w:val="00A66E88"/>
    <w:rsid w:val="00A67403"/>
    <w:rsid w:val="00A67406"/>
    <w:rsid w:val="00A674C5"/>
    <w:rsid w:val="00A67502"/>
    <w:rsid w:val="00A67528"/>
    <w:rsid w:val="00A679EC"/>
    <w:rsid w:val="00A67CF4"/>
    <w:rsid w:val="00A6ED40"/>
    <w:rsid w:val="00A70DBF"/>
    <w:rsid w:val="00A70DDE"/>
    <w:rsid w:val="00A70DF5"/>
    <w:rsid w:val="00A7132E"/>
    <w:rsid w:val="00A71A61"/>
    <w:rsid w:val="00A71C33"/>
    <w:rsid w:val="00A71C38"/>
    <w:rsid w:val="00A71CC6"/>
    <w:rsid w:val="00A72299"/>
    <w:rsid w:val="00A722A5"/>
    <w:rsid w:val="00A722AC"/>
    <w:rsid w:val="00A724B1"/>
    <w:rsid w:val="00A72564"/>
    <w:rsid w:val="00A728DF"/>
    <w:rsid w:val="00A73051"/>
    <w:rsid w:val="00A73235"/>
    <w:rsid w:val="00A73563"/>
    <w:rsid w:val="00A73886"/>
    <w:rsid w:val="00A73AEC"/>
    <w:rsid w:val="00A73DFA"/>
    <w:rsid w:val="00A73F02"/>
    <w:rsid w:val="00A74087"/>
    <w:rsid w:val="00A741FB"/>
    <w:rsid w:val="00A7447E"/>
    <w:rsid w:val="00A74632"/>
    <w:rsid w:val="00A7467E"/>
    <w:rsid w:val="00A74E06"/>
    <w:rsid w:val="00A74FD6"/>
    <w:rsid w:val="00A752E4"/>
    <w:rsid w:val="00A755A8"/>
    <w:rsid w:val="00A75E59"/>
    <w:rsid w:val="00A7648F"/>
    <w:rsid w:val="00A764AC"/>
    <w:rsid w:val="00A76516"/>
    <w:rsid w:val="00A76585"/>
    <w:rsid w:val="00A766B0"/>
    <w:rsid w:val="00A76774"/>
    <w:rsid w:val="00A773E8"/>
    <w:rsid w:val="00A7765D"/>
    <w:rsid w:val="00A77A85"/>
    <w:rsid w:val="00A8010E"/>
    <w:rsid w:val="00A801B5"/>
    <w:rsid w:val="00A8058C"/>
    <w:rsid w:val="00A805D9"/>
    <w:rsid w:val="00A805EF"/>
    <w:rsid w:val="00A80648"/>
    <w:rsid w:val="00A80C8D"/>
    <w:rsid w:val="00A80D91"/>
    <w:rsid w:val="00A80EFD"/>
    <w:rsid w:val="00A80F98"/>
    <w:rsid w:val="00A813B7"/>
    <w:rsid w:val="00A815F9"/>
    <w:rsid w:val="00A81ACD"/>
    <w:rsid w:val="00A81E28"/>
    <w:rsid w:val="00A81EDE"/>
    <w:rsid w:val="00A8215E"/>
    <w:rsid w:val="00A821DD"/>
    <w:rsid w:val="00A829A0"/>
    <w:rsid w:val="00A82C5A"/>
    <w:rsid w:val="00A835AA"/>
    <w:rsid w:val="00A8389B"/>
    <w:rsid w:val="00A83D69"/>
    <w:rsid w:val="00A8422D"/>
    <w:rsid w:val="00A8433F"/>
    <w:rsid w:val="00A843DB"/>
    <w:rsid w:val="00A84695"/>
    <w:rsid w:val="00A846D7"/>
    <w:rsid w:val="00A84956"/>
    <w:rsid w:val="00A84C0E"/>
    <w:rsid w:val="00A84F0E"/>
    <w:rsid w:val="00A850C9"/>
    <w:rsid w:val="00A850D4"/>
    <w:rsid w:val="00A85607"/>
    <w:rsid w:val="00A8566F"/>
    <w:rsid w:val="00A86A32"/>
    <w:rsid w:val="00A86B28"/>
    <w:rsid w:val="00A86B62"/>
    <w:rsid w:val="00A86D74"/>
    <w:rsid w:val="00A870BC"/>
    <w:rsid w:val="00A8713D"/>
    <w:rsid w:val="00A87185"/>
    <w:rsid w:val="00A8720B"/>
    <w:rsid w:val="00A8726F"/>
    <w:rsid w:val="00A87291"/>
    <w:rsid w:val="00A874A4"/>
    <w:rsid w:val="00A87566"/>
    <w:rsid w:val="00A87629"/>
    <w:rsid w:val="00A8767C"/>
    <w:rsid w:val="00A8784D"/>
    <w:rsid w:val="00A87DDE"/>
    <w:rsid w:val="00A87E16"/>
    <w:rsid w:val="00A90000"/>
    <w:rsid w:val="00A90074"/>
    <w:rsid w:val="00A9008C"/>
    <w:rsid w:val="00A90175"/>
    <w:rsid w:val="00A9035C"/>
    <w:rsid w:val="00A9041D"/>
    <w:rsid w:val="00A90832"/>
    <w:rsid w:val="00A908C3"/>
    <w:rsid w:val="00A90E0D"/>
    <w:rsid w:val="00A90F3C"/>
    <w:rsid w:val="00A91133"/>
    <w:rsid w:val="00A912FB"/>
    <w:rsid w:val="00A91391"/>
    <w:rsid w:val="00A919FE"/>
    <w:rsid w:val="00A91F9E"/>
    <w:rsid w:val="00A92211"/>
    <w:rsid w:val="00A92361"/>
    <w:rsid w:val="00A92F85"/>
    <w:rsid w:val="00A92FE8"/>
    <w:rsid w:val="00A93272"/>
    <w:rsid w:val="00A93628"/>
    <w:rsid w:val="00A93937"/>
    <w:rsid w:val="00A93A1F"/>
    <w:rsid w:val="00A94002"/>
    <w:rsid w:val="00A94026"/>
    <w:rsid w:val="00A94648"/>
    <w:rsid w:val="00A94730"/>
    <w:rsid w:val="00A94935"/>
    <w:rsid w:val="00A9497F"/>
    <w:rsid w:val="00A94BFA"/>
    <w:rsid w:val="00A94CBC"/>
    <w:rsid w:val="00A94D31"/>
    <w:rsid w:val="00A95238"/>
    <w:rsid w:val="00A952A7"/>
    <w:rsid w:val="00A956F9"/>
    <w:rsid w:val="00A95724"/>
    <w:rsid w:val="00A95EAA"/>
    <w:rsid w:val="00A95F42"/>
    <w:rsid w:val="00A9624C"/>
    <w:rsid w:val="00A964F5"/>
    <w:rsid w:val="00A9656E"/>
    <w:rsid w:val="00A96609"/>
    <w:rsid w:val="00A96B41"/>
    <w:rsid w:val="00A96B8E"/>
    <w:rsid w:val="00A96F32"/>
    <w:rsid w:val="00A96FF4"/>
    <w:rsid w:val="00A97517"/>
    <w:rsid w:val="00A9751B"/>
    <w:rsid w:val="00A979D5"/>
    <w:rsid w:val="00AA09BE"/>
    <w:rsid w:val="00AA09D3"/>
    <w:rsid w:val="00AA0CA3"/>
    <w:rsid w:val="00AA15DE"/>
    <w:rsid w:val="00AA18CF"/>
    <w:rsid w:val="00AA19C1"/>
    <w:rsid w:val="00AA1B44"/>
    <w:rsid w:val="00AA1CDD"/>
    <w:rsid w:val="00AA200E"/>
    <w:rsid w:val="00AA2335"/>
    <w:rsid w:val="00AA24F7"/>
    <w:rsid w:val="00AA27EB"/>
    <w:rsid w:val="00AA2947"/>
    <w:rsid w:val="00AA2A3E"/>
    <w:rsid w:val="00AA2E25"/>
    <w:rsid w:val="00AA3331"/>
    <w:rsid w:val="00AA37C4"/>
    <w:rsid w:val="00AA3D31"/>
    <w:rsid w:val="00AA3DDD"/>
    <w:rsid w:val="00AA458B"/>
    <w:rsid w:val="00AA4FCC"/>
    <w:rsid w:val="00AA52F6"/>
    <w:rsid w:val="00AA550C"/>
    <w:rsid w:val="00AA55BF"/>
    <w:rsid w:val="00AA594B"/>
    <w:rsid w:val="00AA5E5D"/>
    <w:rsid w:val="00AA5EE6"/>
    <w:rsid w:val="00AA5F75"/>
    <w:rsid w:val="00AA6365"/>
    <w:rsid w:val="00AA64F8"/>
    <w:rsid w:val="00AA68ED"/>
    <w:rsid w:val="00AA6D92"/>
    <w:rsid w:val="00AA6F35"/>
    <w:rsid w:val="00AA7AF5"/>
    <w:rsid w:val="00AA7E11"/>
    <w:rsid w:val="00AA7E3C"/>
    <w:rsid w:val="00AB0083"/>
    <w:rsid w:val="00AB053F"/>
    <w:rsid w:val="00AB0753"/>
    <w:rsid w:val="00AB0B2D"/>
    <w:rsid w:val="00AB0BAE"/>
    <w:rsid w:val="00AB106D"/>
    <w:rsid w:val="00AB133C"/>
    <w:rsid w:val="00AB19FE"/>
    <w:rsid w:val="00AB1B9D"/>
    <w:rsid w:val="00AB1F0C"/>
    <w:rsid w:val="00AB2071"/>
    <w:rsid w:val="00AB2099"/>
    <w:rsid w:val="00AB2324"/>
    <w:rsid w:val="00AB2398"/>
    <w:rsid w:val="00AB24AE"/>
    <w:rsid w:val="00AB29F7"/>
    <w:rsid w:val="00AB2C9A"/>
    <w:rsid w:val="00AB2ED5"/>
    <w:rsid w:val="00AB3514"/>
    <w:rsid w:val="00AB364F"/>
    <w:rsid w:val="00AB38B5"/>
    <w:rsid w:val="00AB3980"/>
    <w:rsid w:val="00AB40A4"/>
    <w:rsid w:val="00AB4227"/>
    <w:rsid w:val="00AB4696"/>
    <w:rsid w:val="00AB5074"/>
    <w:rsid w:val="00AB5722"/>
    <w:rsid w:val="00AB5811"/>
    <w:rsid w:val="00AB58DF"/>
    <w:rsid w:val="00AB618C"/>
    <w:rsid w:val="00AB63E8"/>
    <w:rsid w:val="00AB6D81"/>
    <w:rsid w:val="00AB6EA3"/>
    <w:rsid w:val="00AB6FC8"/>
    <w:rsid w:val="00AB747E"/>
    <w:rsid w:val="00AB74AA"/>
    <w:rsid w:val="00AB79D9"/>
    <w:rsid w:val="00AC01CF"/>
    <w:rsid w:val="00AC0D8A"/>
    <w:rsid w:val="00AC197D"/>
    <w:rsid w:val="00AC1B83"/>
    <w:rsid w:val="00AC1EB9"/>
    <w:rsid w:val="00AC1EC0"/>
    <w:rsid w:val="00AC2072"/>
    <w:rsid w:val="00AC2090"/>
    <w:rsid w:val="00AC21FF"/>
    <w:rsid w:val="00AC2286"/>
    <w:rsid w:val="00AC2753"/>
    <w:rsid w:val="00AC2889"/>
    <w:rsid w:val="00AC291B"/>
    <w:rsid w:val="00AC29C7"/>
    <w:rsid w:val="00AC34F6"/>
    <w:rsid w:val="00AC36AE"/>
    <w:rsid w:val="00AC3719"/>
    <w:rsid w:val="00AC3782"/>
    <w:rsid w:val="00AC3795"/>
    <w:rsid w:val="00AC3DF0"/>
    <w:rsid w:val="00AC41D5"/>
    <w:rsid w:val="00AC430E"/>
    <w:rsid w:val="00AC43EC"/>
    <w:rsid w:val="00AC447D"/>
    <w:rsid w:val="00AC4531"/>
    <w:rsid w:val="00AC4C54"/>
    <w:rsid w:val="00AC4CD4"/>
    <w:rsid w:val="00AC4EDF"/>
    <w:rsid w:val="00AC522B"/>
    <w:rsid w:val="00AC5716"/>
    <w:rsid w:val="00AC600C"/>
    <w:rsid w:val="00AC701E"/>
    <w:rsid w:val="00AC714F"/>
    <w:rsid w:val="00AC7242"/>
    <w:rsid w:val="00AC79F6"/>
    <w:rsid w:val="00AC7C0C"/>
    <w:rsid w:val="00AC7C4E"/>
    <w:rsid w:val="00AD0265"/>
    <w:rsid w:val="00AD0281"/>
    <w:rsid w:val="00AD029E"/>
    <w:rsid w:val="00AD04BB"/>
    <w:rsid w:val="00AD073D"/>
    <w:rsid w:val="00AD0A6E"/>
    <w:rsid w:val="00AD0BF6"/>
    <w:rsid w:val="00AD0C7B"/>
    <w:rsid w:val="00AD0EA2"/>
    <w:rsid w:val="00AD10C6"/>
    <w:rsid w:val="00AD1115"/>
    <w:rsid w:val="00AD13D5"/>
    <w:rsid w:val="00AD141B"/>
    <w:rsid w:val="00AD1496"/>
    <w:rsid w:val="00AD1616"/>
    <w:rsid w:val="00AD1742"/>
    <w:rsid w:val="00AD1AF2"/>
    <w:rsid w:val="00AD1C1C"/>
    <w:rsid w:val="00AD1CFE"/>
    <w:rsid w:val="00AD233D"/>
    <w:rsid w:val="00AD26C6"/>
    <w:rsid w:val="00AD282B"/>
    <w:rsid w:val="00AD2BDC"/>
    <w:rsid w:val="00AD2DF1"/>
    <w:rsid w:val="00AD2E96"/>
    <w:rsid w:val="00AD301C"/>
    <w:rsid w:val="00AD329A"/>
    <w:rsid w:val="00AD32A7"/>
    <w:rsid w:val="00AD3401"/>
    <w:rsid w:val="00AD35EC"/>
    <w:rsid w:val="00AD37C0"/>
    <w:rsid w:val="00AD3812"/>
    <w:rsid w:val="00AD3913"/>
    <w:rsid w:val="00AD3BE6"/>
    <w:rsid w:val="00AD414F"/>
    <w:rsid w:val="00AD4406"/>
    <w:rsid w:val="00AD456F"/>
    <w:rsid w:val="00AD4B20"/>
    <w:rsid w:val="00AD50F2"/>
    <w:rsid w:val="00AD5337"/>
    <w:rsid w:val="00AD54BA"/>
    <w:rsid w:val="00AD5B8C"/>
    <w:rsid w:val="00AD630F"/>
    <w:rsid w:val="00AD68E7"/>
    <w:rsid w:val="00AD6D20"/>
    <w:rsid w:val="00AD6F97"/>
    <w:rsid w:val="00AD710A"/>
    <w:rsid w:val="00AD7380"/>
    <w:rsid w:val="00AD7386"/>
    <w:rsid w:val="00AD75B1"/>
    <w:rsid w:val="00AD76DE"/>
    <w:rsid w:val="00AD79F7"/>
    <w:rsid w:val="00AD7C18"/>
    <w:rsid w:val="00AD7F85"/>
    <w:rsid w:val="00AE0368"/>
    <w:rsid w:val="00AE0492"/>
    <w:rsid w:val="00AE08CB"/>
    <w:rsid w:val="00AE08F2"/>
    <w:rsid w:val="00AE09C4"/>
    <w:rsid w:val="00AE0CD5"/>
    <w:rsid w:val="00AE1731"/>
    <w:rsid w:val="00AE1866"/>
    <w:rsid w:val="00AE1980"/>
    <w:rsid w:val="00AE1C18"/>
    <w:rsid w:val="00AE1D0A"/>
    <w:rsid w:val="00AE1E95"/>
    <w:rsid w:val="00AE1FF2"/>
    <w:rsid w:val="00AE216B"/>
    <w:rsid w:val="00AE22D7"/>
    <w:rsid w:val="00AE2306"/>
    <w:rsid w:val="00AE24BD"/>
    <w:rsid w:val="00AE25BA"/>
    <w:rsid w:val="00AE2730"/>
    <w:rsid w:val="00AE28D7"/>
    <w:rsid w:val="00AE2925"/>
    <w:rsid w:val="00AE2CEE"/>
    <w:rsid w:val="00AE2F3D"/>
    <w:rsid w:val="00AE328E"/>
    <w:rsid w:val="00AE33B1"/>
    <w:rsid w:val="00AE34F4"/>
    <w:rsid w:val="00AE3624"/>
    <w:rsid w:val="00AE374F"/>
    <w:rsid w:val="00AE3968"/>
    <w:rsid w:val="00AE3A65"/>
    <w:rsid w:val="00AE3C49"/>
    <w:rsid w:val="00AE4017"/>
    <w:rsid w:val="00AE4143"/>
    <w:rsid w:val="00AE41BF"/>
    <w:rsid w:val="00AE4666"/>
    <w:rsid w:val="00AE4AEA"/>
    <w:rsid w:val="00AE4BC4"/>
    <w:rsid w:val="00AE51E2"/>
    <w:rsid w:val="00AE533D"/>
    <w:rsid w:val="00AE5375"/>
    <w:rsid w:val="00AE5853"/>
    <w:rsid w:val="00AE59F9"/>
    <w:rsid w:val="00AE5B57"/>
    <w:rsid w:val="00AE5CE8"/>
    <w:rsid w:val="00AE5D43"/>
    <w:rsid w:val="00AE6062"/>
    <w:rsid w:val="00AE6171"/>
    <w:rsid w:val="00AE62FB"/>
    <w:rsid w:val="00AE6839"/>
    <w:rsid w:val="00AE68E1"/>
    <w:rsid w:val="00AE692A"/>
    <w:rsid w:val="00AE6DE8"/>
    <w:rsid w:val="00AE7166"/>
    <w:rsid w:val="00AE72A9"/>
    <w:rsid w:val="00AE74F0"/>
    <w:rsid w:val="00AE78D3"/>
    <w:rsid w:val="00AE7E1F"/>
    <w:rsid w:val="00AF0263"/>
    <w:rsid w:val="00AF04C4"/>
    <w:rsid w:val="00AF04F8"/>
    <w:rsid w:val="00AF08D9"/>
    <w:rsid w:val="00AF09C2"/>
    <w:rsid w:val="00AF0D43"/>
    <w:rsid w:val="00AF0DEF"/>
    <w:rsid w:val="00AF0E2B"/>
    <w:rsid w:val="00AF0F04"/>
    <w:rsid w:val="00AF18E9"/>
    <w:rsid w:val="00AF19B4"/>
    <w:rsid w:val="00AF1EF7"/>
    <w:rsid w:val="00AF1F0E"/>
    <w:rsid w:val="00AF24D5"/>
    <w:rsid w:val="00AF27F4"/>
    <w:rsid w:val="00AF2900"/>
    <w:rsid w:val="00AF2A08"/>
    <w:rsid w:val="00AF32B7"/>
    <w:rsid w:val="00AF3813"/>
    <w:rsid w:val="00AF3818"/>
    <w:rsid w:val="00AF3D79"/>
    <w:rsid w:val="00AF3F5B"/>
    <w:rsid w:val="00AF4122"/>
    <w:rsid w:val="00AF4A29"/>
    <w:rsid w:val="00AF4B26"/>
    <w:rsid w:val="00AF5156"/>
    <w:rsid w:val="00AF526D"/>
    <w:rsid w:val="00AF5352"/>
    <w:rsid w:val="00AF535E"/>
    <w:rsid w:val="00AF5553"/>
    <w:rsid w:val="00AF5961"/>
    <w:rsid w:val="00AF5A83"/>
    <w:rsid w:val="00AF5E2E"/>
    <w:rsid w:val="00AF6E02"/>
    <w:rsid w:val="00AF70DE"/>
    <w:rsid w:val="00AF713C"/>
    <w:rsid w:val="00AF7462"/>
    <w:rsid w:val="00AF7E1B"/>
    <w:rsid w:val="00B00E34"/>
    <w:rsid w:val="00B00F2D"/>
    <w:rsid w:val="00B00F62"/>
    <w:rsid w:val="00B011D0"/>
    <w:rsid w:val="00B013D1"/>
    <w:rsid w:val="00B018CB"/>
    <w:rsid w:val="00B018DA"/>
    <w:rsid w:val="00B01A9B"/>
    <w:rsid w:val="00B01DDF"/>
    <w:rsid w:val="00B0201F"/>
    <w:rsid w:val="00B0222B"/>
    <w:rsid w:val="00B022B8"/>
    <w:rsid w:val="00B024E1"/>
    <w:rsid w:val="00B02838"/>
    <w:rsid w:val="00B02920"/>
    <w:rsid w:val="00B02C04"/>
    <w:rsid w:val="00B02F0B"/>
    <w:rsid w:val="00B03135"/>
    <w:rsid w:val="00B03269"/>
    <w:rsid w:val="00B034B5"/>
    <w:rsid w:val="00B0372D"/>
    <w:rsid w:val="00B039D4"/>
    <w:rsid w:val="00B040B1"/>
    <w:rsid w:val="00B043AE"/>
    <w:rsid w:val="00B04470"/>
    <w:rsid w:val="00B0487A"/>
    <w:rsid w:val="00B04951"/>
    <w:rsid w:val="00B04AF7"/>
    <w:rsid w:val="00B04D1B"/>
    <w:rsid w:val="00B052D1"/>
    <w:rsid w:val="00B05667"/>
    <w:rsid w:val="00B05745"/>
    <w:rsid w:val="00B057F6"/>
    <w:rsid w:val="00B05A3C"/>
    <w:rsid w:val="00B05C61"/>
    <w:rsid w:val="00B06295"/>
    <w:rsid w:val="00B06376"/>
    <w:rsid w:val="00B066AA"/>
    <w:rsid w:val="00B06973"/>
    <w:rsid w:val="00B06B3A"/>
    <w:rsid w:val="00B06BCF"/>
    <w:rsid w:val="00B06C83"/>
    <w:rsid w:val="00B06CE0"/>
    <w:rsid w:val="00B06CED"/>
    <w:rsid w:val="00B06EC4"/>
    <w:rsid w:val="00B06F3B"/>
    <w:rsid w:val="00B07082"/>
    <w:rsid w:val="00B071C7"/>
    <w:rsid w:val="00B07772"/>
    <w:rsid w:val="00B078BE"/>
    <w:rsid w:val="00B07B5A"/>
    <w:rsid w:val="00B07C98"/>
    <w:rsid w:val="00B101A3"/>
    <w:rsid w:val="00B10348"/>
    <w:rsid w:val="00B10835"/>
    <w:rsid w:val="00B10BB5"/>
    <w:rsid w:val="00B10BE8"/>
    <w:rsid w:val="00B10C49"/>
    <w:rsid w:val="00B10DB8"/>
    <w:rsid w:val="00B1130F"/>
    <w:rsid w:val="00B11361"/>
    <w:rsid w:val="00B11813"/>
    <w:rsid w:val="00B119DB"/>
    <w:rsid w:val="00B11C9A"/>
    <w:rsid w:val="00B11E4A"/>
    <w:rsid w:val="00B11EEE"/>
    <w:rsid w:val="00B1226A"/>
    <w:rsid w:val="00B123CA"/>
    <w:rsid w:val="00B12481"/>
    <w:rsid w:val="00B127AE"/>
    <w:rsid w:val="00B129EB"/>
    <w:rsid w:val="00B12BBC"/>
    <w:rsid w:val="00B13056"/>
    <w:rsid w:val="00B13278"/>
    <w:rsid w:val="00B13458"/>
    <w:rsid w:val="00B134C2"/>
    <w:rsid w:val="00B1384D"/>
    <w:rsid w:val="00B13FB0"/>
    <w:rsid w:val="00B14085"/>
    <w:rsid w:val="00B14703"/>
    <w:rsid w:val="00B14A2A"/>
    <w:rsid w:val="00B1610F"/>
    <w:rsid w:val="00B16879"/>
    <w:rsid w:val="00B169FD"/>
    <w:rsid w:val="00B16B58"/>
    <w:rsid w:val="00B16FE9"/>
    <w:rsid w:val="00B1712F"/>
    <w:rsid w:val="00B1750E"/>
    <w:rsid w:val="00B177E3"/>
    <w:rsid w:val="00B17C79"/>
    <w:rsid w:val="00B17E31"/>
    <w:rsid w:val="00B2009C"/>
    <w:rsid w:val="00B201C9"/>
    <w:rsid w:val="00B203F6"/>
    <w:rsid w:val="00B20574"/>
    <w:rsid w:val="00B20FD3"/>
    <w:rsid w:val="00B21940"/>
    <w:rsid w:val="00B21C0E"/>
    <w:rsid w:val="00B21E1C"/>
    <w:rsid w:val="00B21EE8"/>
    <w:rsid w:val="00B21FC8"/>
    <w:rsid w:val="00B22578"/>
    <w:rsid w:val="00B22A45"/>
    <w:rsid w:val="00B22AFD"/>
    <w:rsid w:val="00B22B85"/>
    <w:rsid w:val="00B22BFD"/>
    <w:rsid w:val="00B23028"/>
    <w:rsid w:val="00B2327E"/>
    <w:rsid w:val="00B23603"/>
    <w:rsid w:val="00B23727"/>
    <w:rsid w:val="00B238C1"/>
    <w:rsid w:val="00B23CD1"/>
    <w:rsid w:val="00B2403D"/>
    <w:rsid w:val="00B245F7"/>
    <w:rsid w:val="00B24605"/>
    <w:rsid w:val="00B247C1"/>
    <w:rsid w:val="00B24B66"/>
    <w:rsid w:val="00B24BAF"/>
    <w:rsid w:val="00B24CCA"/>
    <w:rsid w:val="00B24EFF"/>
    <w:rsid w:val="00B2523E"/>
    <w:rsid w:val="00B25513"/>
    <w:rsid w:val="00B25803"/>
    <w:rsid w:val="00B25B24"/>
    <w:rsid w:val="00B25C57"/>
    <w:rsid w:val="00B25DA2"/>
    <w:rsid w:val="00B25F3C"/>
    <w:rsid w:val="00B2650A"/>
    <w:rsid w:val="00B26BC7"/>
    <w:rsid w:val="00B27133"/>
    <w:rsid w:val="00B2732E"/>
    <w:rsid w:val="00B27F55"/>
    <w:rsid w:val="00B300EA"/>
    <w:rsid w:val="00B3021E"/>
    <w:rsid w:val="00B3027B"/>
    <w:rsid w:val="00B30C77"/>
    <w:rsid w:val="00B30CC3"/>
    <w:rsid w:val="00B30D05"/>
    <w:rsid w:val="00B30E66"/>
    <w:rsid w:val="00B312A9"/>
    <w:rsid w:val="00B314CC"/>
    <w:rsid w:val="00B316CD"/>
    <w:rsid w:val="00B318DB"/>
    <w:rsid w:val="00B32278"/>
    <w:rsid w:val="00B323B3"/>
    <w:rsid w:val="00B32506"/>
    <w:rsid w:val="00B32D21"/>
    <w:rsid w:val="00B32F72"/>
    <w:rsid w:val="00B33214"/>
    <w:rsid w:val="00B33236"/>
    <w:rsid w:val="00B337E5"/>
    <w:rsid w:val="00B33C2B"/>
    <w:rsid w:val="00B3469B"/>
    <w:rsid w:val="00B3479B"/>
    <w:rsid w:val="00B34C20"/>
    <w:rsid w:val="00B34F2B"/>
    <w:rsid w:val="00B34FCB"/>
    <w:rsid w:val="00B35210"/>
    <w:rsid w:val="00B3594C"/>
    <w:rsid w:val="00B35BD1"/>
    <w:rsid w:val="00B35C31"/>
    <w:rsid w:val="00B3612E"/>
    <w:rsid w:val="00B3637F"/>
    <w:rsid w:val="00B3647F"/>
    <w:rsid w:val="00B365F8"/>
    <w:rsid w:val="00B3668E"/>
    <w:rsid w:val="00B36DD6"/>
    <w:rsid w:val="00B37163"/>
    <w:rsid w:val="00B37375"/>
    <w:rsid w:val="00B37A6F"/>
    <w:rsid w:val="00B40200"/>
    <w:rsid w:val="00B4021C"/>
    <w:rsid w:val="00B40358"/>
    <w:rsid w:val="00B40928"/>
    <w:rsid w:val="00B40C2D"/>
    <w:rsid w:val="00B41813"/>
    <w:rsid w:val="00B4195F"/>
    <w:rsid w:val="00B41A01"/>
    <w:rsid w:val="00B41AEE"/>
    <w:rsid w:val="00B4229F"/>
    <w:rsid w:val="00B4285E"/>
    <w:rsid w:val="00B4296B"/>
    <w:rsid w:val="00B42CC2"/>
    <w:rsid w:val="00B42CF1"/>
    <w:rsid w:val="00B43845"/>
    <w:rsid w:val="00B43975"/>
    <w:rsid w:val="00B43B02"/>
    <w:rsid w:val="00B43B49"/>
    <w:rsid w:val="00B43C06"/>
    <w:rsid w:val="00B43E57"/>
    <w:rsid w:val="00B4404D"/>
    <w:rsid w:val="00B44167"/>
    <w:rsid w:val="00B44677"/>
    <w:rsid w:val="00B44709"/>
    <w:rsid w:val="00B44AF7"/>
    <w:rsid w:val="00B44BE3"/>
    <w:rsid w:val="00B44C52"/>
    <w:rsid w:val="00B44CED"/>
    <w:rsid w:val="00B45987"/>
    <w:rsid w:val="00B45C83"/>
    <w:rsid w:val="00B45E57"/>
    <w:rsid w:val="00B45F01"/>
    <w:rsid w:val="00B4607A"/>
    <w:rsid w:val="00B46707"/>
    <w:rsid w:val="00B46CBE"/>
    <w:rsid w:val="00B470CA"/>
    <w:rsid w:val="00B4717B"/>
    <w:rsid w:val="00B4719C"/>
    <w:rsid w:val="00B471B3"/>
    <w:rsid w:val="00B47795"/>
    <w:rsid w:val="00B47A0B"/>
    <w:rsid w:val="00B47AA5"/>
    <w:rsid w:val="00B47C32"/>
    <w:rsid w:val="00B47D96"/>
    <w:rsid w:val="00B47F00"/>
    <w:rsid w:val="00B50188"/>
    <w:rsid w:val="00B501C2"/>
    <w:rsid w:val="00B501F2"/>
    <w:rsid w:val="00B5026E"/>
    <w:rsid w:val="00B5033E"/>
    <w:rsid w:val="00B50415"/>
    <w:rsid w:val="00B50501"/>
    <w:rsid w:val="00B506B5"/>
    <w:rsid w:val="00B5073B"/>
    <w:rsid w:val="00B50DE9"/>
    <w:rsid w:val="00B5187F"/>
    <w:rsid w:val="00B51997"/>
    <w:rsid w:val="00B51A65"/>
    <w:rsid w:val="00B51AAE"/>
    <w:rsid w:val="00B51DBD"/>
    <w:rsid w:val="00B51F00"/>
    <w:rsid w:val="00B5216E"/>
    <w:rsid w:val="00B523F9"/>
    <w:rsid w:val="00B52643"/>
    <w:rsid w:val="00B52907"/>
    <w:rsid w:val="00B52B68"/>
    <w:rsid w:val="00B52B95"/>
    <w:rsid w:val="00B52E13"/>
    <w:rsid w:val="00B53176"/>
    <w:rsid w:val="00B53278"/>
    <w:rsid w:val="00B53325"/>
    <w:rsid w:val="00B53A43"/>
    <w:rsid w:val="00B53AC8"/>
    <w:rsid w:val="00B53C2C"/>
    <w:rsid w:val="00B5407C"/>
    <w:rsid w:val="00B54539"/>
    <w:rsid w:val="00B545F6"/>
    <w:rsid w:val="00B546E2"/>
    <w:rsid w:val="00B547A3"/>
    <w:rsid w:val="00B54BBD"/>
    <w:rsid w:val="00B54C99"/>
    <w:rsid w:val="00B551D6"/>
    <w:rsid w:val="00B55216"/>
    <w:rsid w:val="00B556B6"/>
    <w:rsid w:val="00B557DE"/>
    <w:rsid w:val="00B5585A"/>
    <w:rsid w:val="00B55BEE"/>
    <w:rsid w:val="00B55CE9"/>
    <w:rsid w:val="00B55F28"/>
    <w:rsid w:val="00B55FD7"/>
    <w:rsid w:val="00B563F3"/>
    <w:rsid w:val="00B56419"/>
    <w:rsid w:val="00B5668B"/>
    <w:rsid w:val="00B566DE"/>
    <w:rsid w:val="00B567A8"/>
    <w:rsid w:val="00B56830"/>
    <w:rsid w:val="00B5685D"/>
    <w:rsid w:val="00B56B59"/>
    <w:rsid w:val="00B572DC"/>
    <w:rsid w:val="00B57722"/>
    <w:rsid w:val="00B57755"/>
    <w:rsid w:val="00B57C57"/>
    <w:rsid w:val="00B57E74"/>
    <w:rsid w:val="00B57F35"/>
    <w:rsid w:val="00B606CB"/>
    <w:rsid w:val="00B60A50"/>
    <w:rsid w:val="00B60A76"/>
    <w:rsid w:val="00B60B2F"/>
    <w:rsid w:val="00B60CF9"/>
    <w:rsid w:val="00B6126D"/>
    <w:rsid w:val="00B61392"/>
    <w:rsid w:val="00B613DC"/>
    <w:rsid w:val="00B6140C"/>
    <w:rsid w:val="00B61809"/>
    <w:rsid w:val="00B61A24"/>
    <w:rsid w:val="00B61ABC"/>
    <w:rsid w:val="00B61CF9"/>
    <w:rsid w:val="00B62206"/>
    <w:rsid w:val="00B62401"/>
    <w:rsid w:val="00B62E21"/>
    <w:rsid w:val="00B62E4E"/>
    <w:rsid w:val="00B6315F"/>
    <w:rsid w:val="00B63204"/>
    <w:rsid w:val="00B634C8"/>
    <w:rsid w:val="00B63854"/>
    <w:rsid w:val="00B6388B"/>
    <w:rsid w:val="00B63A42"/>
    <w:rsid w:val="00B63A52"/>
    <w:rsid w:val="00B63AB9"/>
    <w:rsid w:val="00B63C1B"/>
    <w:rsid w:val="00B63CA0"/>
    <w:rsid w:val="00B63FB8"/>
    <w:rsid w:val="00B64057"/>
    <w:rsid w:val="00B64364"/>
    <w:rsid w:val="00B6443C"/>
    <w:rsid w:val="00B644EF"/>
    <w:rsid w:val="00B645B3"/>
    <w:rsid w:val="00B6475B"/>
    <w:rsid w:val="00B64ABA"/>
    <w:rsid w:val="00B64C2D"/>
    <w:rsid w:val="00B64F11"/>
    <w:rsid w:val="00B64F9F"/>
    <w:rsid w:val="00B6535C"/>
    <w:rsid w:val="00B6574E"/>
    <w:rsid w:val="00B6577B"/>
    <w:rsid w:val="00B6592E"/>
    <w:rsid w:val="00B65E1E"/>
    <w:rsid w:val="00B65ED7"/>
    <w:rsid w:val="00B65F67"/>
    <w:rsid w:val="00B65FED"/>
    <w:rsid w:val="00B664C6"/>
    <w:rsid w:val="00B66CAB"/>
    <w:rsid w:val="00B671C3"/>
    <w:rsid w:val="00B70159"/>
    <w:rsid w:val="00B7039E"/>
    <w:rsid w:val="00B70500"/>
    <w:rsid w:val="00B70A15"/>
    <w:rsid w:val="00B70B4F"/>
    <w:rsid w:val="00B70B7F"/>
    <w:rsid w:val="00B70CFD"/>
    <w:rsid w:val="00B7104F"/>
    <w:rsid w:val="00B71139"/>
    <w:rsid w:val="00B71318"/>
    <w:rsid w:val="00B71423"/>
    <w:rsid w:val="00B7166B"/>
    <w:rsid w:val="00B71C89"/>
    <w:rsid w:val="00B727EF"/>
    <w:rsid w:val="00B72D85"/>
    <w:rsid w:val="00B72D98"/>
    <w:rsid w:val="00B72FF7"/>
    <w:rsid w:val="00B73063"/>
    <w:rsid w:val="00B73590"/>
    <w:rsid w:val="00B73A48"/>
    <w:rsid w:val="00B73C46"/>
    <w:rsid w:val="00B74156"/>
    <w:rsid w:val="00B74265"/>
    <w:rsid w:val="00B742A7"/>
    <w:rsid w:val="00B744F2"/>
    <w:rsid w:val="00B74963"/>
    <w:rsid w:val="00B749D8"/>
    <w:rsid w:val="00B74B31"/>
    <w:rsid w:val="00B750D1"/>
    <w:rsid w:val="00B7551A"/>
    <w:rsid w:val="00B75602"/>
    <w:rsid w:val="00B75AF3"/>
    <w:rsid w:val="00B75E7C"/>
    <w:rsid w:val="00B76119"/>
    <w:rsid w:val="00B76339"/>
    <w:rsid w:val="00B76522"/>
    <w:rsid w:val="00B767B6"/>
    <w:rsid w:val="00B76865"/>
    <w:rsid w:val="00B769B2"/>
    <w:rsid w:val="00B77673"/>
    <w:rsid w:val="00B77713"/>
    <w:rsid w:val="00B77D28"/>
    <w:rsid w:val="00B77E64"/>
    <w:rsid w:val="00B77E8D"/>
    <w:rsid w:val="00B77F2C"/>
    <w:rsid w:val="00B8000E"/>
    <w:rsid w:val="00B8019D"/>
    <w:rsid w:val="00B801A4"/>
    <w:rsid w:val="00B801E3"/>
    <w:rsid w:val="00B804D7"/>
    <w:rsid w:val="00B80A18"/>
    <w:rsid w:val="00B80AD4"/>
    <w:rsid w:val="00B80B37"/>
    <w:rsid w:val="00B810DE"/>
    <w:rsid w:val="00B8124D"/>
    <w:rsid w:val="00B8144B"/>
    <w:rsid w:val="00B81468"/>
    <w:rsid w:val="00B814E7"/>
    <w:rsid w:val="00B815A2"/>
    <w:rsid w:val="00B81797"/>
    <w:rsid w:val="00B81959"/>
    <w:rsid w:val="00B81CEA"/>
    <w:rsid w:val="00B81CF4"/>
    <w:rsid w:val="00B81FCF"/>
    <w:rsid w:val="00B825FC"/>
    <w:rsid w:val="00B8285A"/>
    <w:rsid w:val="00B828D6"/>
    <w:rsid w:val="00B833CD"/>
    <w:rsid w:val="00B8386D"/>
    <w:rsid w:val="00B83D39"/>
    <w:rsid w:val="00B83D7D"/>
    <w:rsid w:val="00B843B5"/>
    <w:rsid w:val="00B847A3"/>
    <w:rsid w:val="00B84F35"/>
    <w:rsid w:val="00B850CB"/>
    <w:rsid w:val="00B856D4"/>
    <w:rsid w:val="00B8580A"/>
    <w:rsid w:val="00B85C7D"/>
    <w:rsid w:val="00B85ECE"/>
    <w:rsid w:val="00B861D9"/>
    <w:rsid w:val="00B86553"/>
    <w:rsid w:val="00B869E2"/>
    <w:rsid w:val="00B86FBA"/>
    <w:rsid w:val="00B87444"/>
    <w:rsid w:val="00B874E0"/>
    <w:rsid w:val="00B87E22"/>
    <w:rsid w:val="00B90543"/>
    <w:rsid w:val="00B906A9"/>
    <w:rsid w:val="00B908D2"/>
    <w:rsid w:val="00B9096B"/>
    <w:rsid w:val="00B90CBE"/>
    <w:rsid w:val="00B90EE6"/>
    <w:rsid w:val="00B9107E"/>
    <w:rsid w:val="00B912EE"/>
    <w:rsid w:val="00B91325"/>
    <w:rsid w:val="00B913C2"/>
    <w:rsid w:val="00B915FF"/>
    <w:rsid w:val="00B9185E"/>
    <w:rsid w:val="00B91882"/>
    <w:rsid w:val="00B91C94"/>
    <w:rsid w:val="00B91CC4"/>
    <w:rsid w:val="00B91D83"/>
    <w:rsid w:val="00B91EF5"/>
    <w:rsid w:val="00B924D4"/>
    <w:rsid w:val="00B924ED"/>
    <w:rsid w:val="00B9265B"/>
    <w:rsid w:val="00B92903"/>
    <w:rsid w:val="00B92D26"/>
    <w:rsid w:val="00B93539"/>
    <w:rsid w:val="00B93C46"/>
    <w:rsid w:val="00B93DA4"/>
    <w:rsid w:val="00B942A6"/>
    <w:rsid w:val="00B943E9"/>
    <w:rsid w:val="00B94533"/>
    <w:rsid w:val="00B94B7D"/>
    <w:rsid w:val="00B94C66"/>
    <w:rsid w:val="00B94CFE"/>
    <w:rsid w:val="00B94DB6"/>
    <w:rsid w:val="00B94EB2"/>
    <w:rsid w:val="00B95447"/>
    <w:rsid w:val="00B95B1D"/>
    <w:rsid w:val="00B95C29"/>
    <w:rsid w:val="00B95D39"/>
    <w:rsid w:val="00B95D5F"/>
    <w:rsid w:val="00B95DEF"/>
    <w:rsid w:val="00B95E94"/>
    <w:rsid w:val="00B96305"/>
    <w:rsid w:val="00B963E2"/>
    <w:rsid w:val="00B96B0A"/>
    <w:rsid w:val="00B96DD0"/>
    <w:rsid w:val="00B96EFF"/>
    <w:rsid w:val="00BA0063"/>
    <w:rsid w:val="00BA0678"/>
    <w:rsid w:val="00BA0764"/>
    <w:rsid w:val="00BA0DF6"/>
    <w:rsid w:val="00BA0E5C"/>
    <w:rsid w:val="00BA11A5"/>
    <w:rsid w:val="00BA1261"/>
    <w:rsid w:val="00BA13C1"/>
    <w:rsid w:val="00BA156E"/>
    <w:rsid w:val="00BA1604"/>
    <w:rsid w:val="00BA1794"/>
    <w:rsid w:val="00BA1B07"/>
    <w:rsid w:val="00BA1D0C"/>
    <w:rsid w:val="00BA1D94"/>
    <w:rsid w:val="00BA1EC2"/>
    <w:rsid w:val="00BA1FA5"/>
    <w:rsid w:val="00BA2AFD"/>
    <w:rsid w:val="00BA314F"/>
    <w:rsid w:val="00BA318A"/>
    <w:rsid w:val="00BA4215"/>
    <w:rsid w:val="00BA433F"/>
    <w:rsid w:val="00BA46D6"/>
    <w:rsid w:val="00BA4861"/>
    <w:rsid w:val="00BA4BA7"/>
    <w:rsid w:val="00BA4D1D"/>
    <w:rsid w:val="00BA51D9"/>
    <w:rsid w:val="00BA5467"/>
    <w:rsid w:val="00BA54F9"/>
    <w:rsid w:val="00BA5644"/>
    <w:rsid w:val="00BA567D"/>
    <w:rsid w:val="00BA5828"/>
    <w:rsid w:val="00BA65F0"/>
    <w:rsid w:val="00BA6CF9"/>
    <w:rsid w:val="00BA6DB4"/>
    <w:rsid w:val="00BA6DF0"/>
    <w:rsid w:val="00BA6EBD"/>
    <w:rsid w:val="00BA6FE3"/>
    <w:rsid w:val="00BA7528"/>
    <w:rsid w:val="00BA7DC6"/>
    <w:rsid w:val="00BB0017"/>
    <w:rsid w:val="00BB008E"/>
    <w:rsid w:val="00BB00D7"/>
    <w:rsid w:val="00BB017E"/>
    <w:rsid w:val="00BB05DA"/>
    <w:rsid w:val="00BB07E1"/>
    <w:rsid w:val="00BB09C4"/>
    <w:rsid w:val="00BB0A29"/>
    <w:rsid w:val="00BB0D6E"/>
    <w:rsid w:val="00BB0DBF"/>
    <w:rsid w:val="00BB1013"/>
    <w:rsid w:val="00BB123E"/>
    <w:rsid w:val="00BB142C"/>
    <w:rsid w:val="00BB166F"/>
    <w:rsid w:val="00BB1685"/>
    <w:rsid w:val="00BB1A0E"/>
    <w:rsid w:val="00BB1B9E"/>
    <w:rsid w:val="00BB1BD6"/>
    <w:rsid w:val="00BB1CCA"/>
    <w:rsid w:val="00BB1D19"/>
    <w:rsid w:val="00BB1E54"/>
    <w:rsid w:val="00BB257D"/>
    <w:rsid w:val="00BB264A"/>
    <w:rsid w:val="00BB2BF4"/>
    <w:rsid w:val="00BB2CA3"/>
    <w:rsid w:val="00BB2FBF"/>
    <w:rsid w:val="00BB35A1"/>
    <w:rsid w:val="00BB3FC7"/>
    <w:rsid w:val="00BB42FC"/>
    <w:rsid w:val="00BB431C"/>
    <w:rsid w:val="00BB43E2"/>
    <w:rsid w:val="00BB4790"/>
    <w:rsid w:val="00BB4A53"/>
    <w:rsid w:val="00BB4E79"/>
    <w:rsid w:val="00BB5887"/>
    <w:rsid w:val="00BB592D"/>
    <w:rsid w:val="00BB5C72"/>
    <w:rsid w:val="00BB65C3"/>
    <w:rsid w:val="00BB67CA"/>
    <w:rsid w:val="00BB6921"/>
    <w:rsid w:val="00BB699A"/>
    <w:rsid w:val="00BB6C66"/>
    <w:rsid w:val="00BB6DE5"/>
    <w:rsid w:val="00BB6E58"/>
    <w:rsid w:val="00BB6F16"/>
    <w:rsid w:val="00BB706B"/>
    <w:rsid w:val="00BB71C9"/>
    <w:rsid w:val="00BB7878"/>
    <w:rsid w:val="00BB7B65"/>
    <w:rsid w:val="00BB7E92"/>
    <w:rsid w:val="00BC08AC"/>
    <w:rsid w:val="00BC0CBE"/>
    <w:rsid w:val="00BC18D7"/>
    <w:rsid w:val="00BC1A44"/>
    <w:rsid w:val="00BC1B74"/>
    <w:rsid w:val="00BC2148"/>
    <w:rsid w:val="00BC2359"/>
    <w:rsid w:val="00BC2494"/>
    <w:rsid w:val="00BC2514"/>
    <w:rsid w:val="00BC3098"/>
    <w:rsid w:val="00BC323F"/>
    <w:rsid w:val="00BC3390"/>
    <w:rsid w:val="00BC3665"/>
    <w:rsid w:val="00BC36B5"/>
    <w:rsid w:val="00BC38FE"/>
    <w:rsid w:val="00BC3B72"/>
    <w:rsid w:val="00BC4069"/>
    <w:rsid w:val="00BC4098"/>
    <w:rsid w:val="00BC41FA"/>
    <w:rsid w:val="00BC4694"/>
    <w:rsid w:val="00BC485A"/>
    <w:rsid w:val="00BC49D2"/>
    <w:rsid w:val="00BC4E34"/>
    <w:rsid w:val="00BC4F0A"/>
    <w:rsid w:val="00BC5030"/>
    <w:rsid w:val="00BC560A"/>
    <w:rsid w:val="00BC5615"/>
    <w:rsid w:val="00BC595E"/>
    <w:rsid w:val="00BC5F90"/>
    <w:rsid w:val="00BC6385"/>
    <w:rsid w:val="00BC688A"/>
    <w:rsid w:val="00BC68BC"/>
    <w:rsid w:val="00BC6A1D"/>
    <w:rsid w:val="00BC7217"/>
    <w:rsid w:val="00BC763C"/>
    <w:rsid w:val="00BC774E"/>
    <w:rsid w:val="00BC798A"/>
    <w:rsid w:val="00BC7CB5"/>
    <w:rsid w:val="00BC7DB0"/>
    <w:rsid w:val="00BC7E36"/>
    <w:rsid w:val="00BC7E84"/>
    <w:rsid w:val="00BD0105"/>
    <w:rsid w:val="00BD01DB"/>
    <w:rsid w:val="00BD020F"/>
    <w:rsid w:val="00BD03C5"/>
    <w:rsid w:val="00BD03DB"/>
    <w:rsid w:val="00BD0731"/>
    <w:rsid w:val="00BD08BF"/>
    <w:rsid w:val="00BD0B9F"/>
    <w:rsid w:val="00BD0CA9"/>
    <w:rsid w:val="00BD11C6"/>
    <w:rsid w:val="00BD13B7"/>
    <w:rsid w:val="00BD1A5A"/>
    <w:rsid w:val="00BD1B8F"/>
    <w:rsid w:val="00BD21E8"/>
    <w:rsid w:val="00BD27DA"/>
    <w:rsid w:val="00BD2A3C"/>
    <w:rsid w:val="00BD2BF3"/>
    <w:rsid w:val="00BD2C76"/>
    <w:rsid w:val="00BD3505"/>
    <w:rsid w:val="00BD369D"/>
    <w:rsid w:val="00BD3B81"/>
    <w:rsid w:val="00BD3BC5"/>
    <w:rsid w:val="00BD3C47"/>
    <w:rsid w:val="00BD3D66"/>
    <w:rsid w:val="00BD4652"/>
    <w:rsid w:val="00BD46D2"/>
    <w:rsid w:val="00BD54A9"/>
    <w:rsid w:val="00BD58E6"/>
    <w:rsid w:val="00BD59B3"/>
    <w:rsid w:val="00BD5C3B"/>
    <w:rsid w:val="00BD5EC9"/>
    <w:rsid w:val="00BD604F"/>
    <w:rsid w:val="00BD6673"/>
    <w:rsid w:val="00BD688D"/>
    <w:rsid w:val="00BD6CD7"/>
    <w:rsid w:val="00BD6DB3"/>
    <w:rsid w:val="00BD6E10"/>
    <w:rsid w:val="00BD6E95"/>
    <w:rsid w:val="00BD6F82"/>
    <w:rsid w:val="00BD6FB8"/>
    <w:rsid w:val="00BD70F1"/>
    <w:rsid w:val="00BD71B4"/>
    <w:rsid w:val="00BD72F1"/>
    <w:rsid w:val="00BD7783"/>
    <w:rsid w:val="00BD77F7"/>
    <w:rsid w:val="00BD79DB"/>
    <w:rsid w:val="00BE014A"/>
    <w:rsid w:val="00BE0395"/>
    <w:rsid w:val="00BE04CD"/>
    <w:rsid w:val="00BE0569"/>
    <w:rsid w:val="00BE05EB"/>
    <w:rsid w:val="00BE072F"/>
    <w:rsid w:val="00BE0955"/>
    <w:rsid w:val="00BE0A64"/>
    <w:rsid w:val="00BE0A67"/>
    <w:rsid w:val="00BE0FE1"/>
    <w:rsid w:val="00BE104A"/>
    <w:rsid w:val="00BE111C"/>
    <w:rsid w:val="00BE1126"/>
    <w:rsid w:val="00BE1591"/>
    <w:rsid w:val="00BE172B"/>
    <w:rsid w:val="00BE17A8"/>
    <w:rsid w:val="00BE19C5"/>
    <w:rsid w:val="00BE1BB4"/>
    <w:rsid w:val="00BE1D47"/>
    <w:rsid w:val="00BE2713"/>
    <w:rsid w:val="00BE2781"/>
    <w:rsid w:val="00BE280C"/>
    <w:rsid w:val="00BE29A1"/>
    <w:rsid w:val="00BE2BB5"/>
    <w:rsid w:val="00BE3124"/>
    <w:rsid w:val="00BE3368"/>
    <w:rsid w:val="00BE385C"/>
    <w:rsid w:val="00BE3B8C"/>
    <w:rsid w:val="00BE3C6A"/>
    <w:rsid w:val="00BE3F3F"/>
    <w:rsid w:val="00BE4350"/>
    <w:rsid w:val="00BE4421"/>
    <w:rsid w:val="00BE444F"/>
    <w:rsid w:val="00BE44D6"/>
    <w:rsid w:val="00BE46B6"/>
    <w:rsid w:val="00BE47CB"/>
    <w:rsid w:val="00BE4A2C"/>
    <w:rsid w:val="00BE4FC2"/>
    <w:rsid w:val="00BE53A5"/>
    <w:rsid w:val="00BE542E"/>
    <w:rsid w:val="00BE5969"/>
    <w:rsid w:val="00BE5DCA"/>
    <w:rsid w:val="00BE5DFF"/>
    <w:rsid w:val="00BE5E02"/>
    <w:rsid w:val="00BE6190"/>
    <w:rsid w:val="00BE6392"/>
    <w:rsid w:val="00BE6511"/>
    <w:rsid w:val="00BE694A"/>
    <w:rsid w:val="00BE699D"/>
    <w:rsid w:val="00BE6A34"/>
    <w:rsid w:val="00BE6D84"/>
    <w:rsid w:val="00BE72BD"/>
    <w:rsid w:val="00BE730B"/>
    <w:rsid w:val="00BE7388"/>
    <w:rsid w:val="00BE7446"/>
    <w:rsid w:val="00BE7B96"/>
    <w:rsid w:val="00BE7D1F"/>
    <w:rsid w:val="00BE7FC9"/>
    <w:rsid w:val="00BE7FFA"/>
    <w:rsid w:val="00BF0121"/>
    <w:rsid w:val="00BF0685"/>
    <w:rsid w:val="00BF0D8B"/>
    <w:rsid w:val="00BF0F51"/>
    <w:rsid w:val="00BF0F8E"/>
    <w:rsid w:val="00BF109B"/>
    <w:rsid w:val="00BF136C"/>
    <w:rsid w:val="00BF147E"/>
    <w:rsid w:val="00BF170F"/>
    <w:rsid w:val="00BF192F"/>
    <w:rsid w:val="00BF19AA"/>
    <w:rsid w:val="00BF1BE0"/>
    <w:rsid w:val="00BF1C19"/>
    <w:rsid w:val="00BF1D4C"/>
    <w:rsid w:val="00BF1F1F"/>
    <w:rsid w:val="00BF20BB"/>
    <w:rsid w:val="00BF20D6"/>
    <w:rsid w:val="00BF2706"/>
    <w:rsid w:val="00BF2787"/>
    <w:rsid w:val="00BF28EC"/>
    <w:rsid w:val="00BF2936"/>
    <w:rsid w:val="00BF2AE5"/>
    <w:rsid w:val="00BF2BCB"/>
    <w:rsid w:val="00BF2F89"/>
    <w:rsid w:val="00BF3194"/>
    <w:rsid w:val="00BF3291"/>
    <w:rsid w:val="00BF3320"/>
    <w:rsid w:val="00BF33AF"/>
    <w:rsid w:val="00BF38EF"/>
    <w:rsid w:val="00BF3B50"/>
    <w:rsid w:val="00BF3BC7"/>
    <w:rsid w:val="00BF3C3D"/>
    <w:rsid w:val="00BF44B9"/>
    <w:rsid w:val="00BF4547"/>
    <w:rsid w:val="00BF469D"/>
    <w:rsid w:val="00BF4834"/>
    <w:rsid w:val="00BF496A"/>
    <w:rsid w:val="00BF497B"/>
    <w:rsid w:val="00BF4AD9"/>
    <w:rsid w:val="00BF4B9D"/>
    <w:rsid w:val="00BF5348"/>
    <w:rsid w:val="00BF5633"/>
    <w:rsid w:val="00BF5924"/>
    <w:rsid w:val="00BF593B"/>
    <w:rsid w:val="00BF5D7D"/>
    <w:rsid w:val="00BF61E6"/>
    <w:rsid w:val="00BF644E"/>
    <w:rsid w:val="00BF6715"/>
    <w:rsid w:val="00BF6AC4"/>
    <w:rsid w:val="00BF6B04"/>
    <w:rsid w:val="00BF6BD3"/>
    <w:rsid w:val="00BF7148"/>
    <w:rsid w:val="00BF7680"/>
    <w:rsid w:val="00BF76F4"/>
    <w:rsid w:val="00BF78B3"/>
    <w:rsid w:val="00C001DF"/>
    <w:rsid w:val="00C00282"/>
    <w:rsid w:val="00C002CF"/>
    <w:rsid w:val="00C004F3"/>
    <w:rsid w:val="00C00577"/>
    <w:rsid w:val="00C00800"/>
    <w:rsid w:val="00C00A0E"/>
    <w:rsid w:val="00C00A53"/>
    <w:rsid w:val="00C0153B"/>
    <w:rsid w:val="00C01954"/>
    <w:rsid w:val="00C024A3"/>
    <w:rsid w:val="00C0258F"/>
    <w:rsid w:val="00C02746"/>
    <w:rsid w:val="00C02801"/>
    <w:rsid w:val="00C02A12"/>
    <w:rsid w:val="00C02BAA"/>
    <w:rsid w:val="00C02F1A"/>
    <w:rsid w:val="00C03398"/>
    <w:rsid w:val="00C0345C"/>
    <w:rsid w:val="00C0347B"/>
    <w:rsid w:val="00C0351E"/>
    <w:rsid w:val="00C03686"/>
    <w:rsid w:val="00C03B38"/>
    <w:rsid w:val="00C03B99"/>
    <w:rsid w:val="00C03C20"/>
    <w:rsid w:val="00C03C6B"/>
    <w:rsid w:val="00C03D2F"/>
    <w:rsid w:val="00C03DAA"/>
    <w:rsid w:val="00C03FD6"/>
    <w:rsid w:val="00C042BE"/>
    <w:rsid w:val="00C04591"/>
    <w:rsid w:val="00C04807"/>
    <w:rsid w:val="00C04955"/>
    <w:rsid w:val="00C0498D"/>
    <w:rsid w:val="00C04FCD"/>
    <w:rsid w:val="00C051DC"/>
    <w:rsid w:val="00C05510"/>
    <w:rsid w:val="00C05584"/>
    <w:rsid w:val="00C056E2"/>
    <w:rsid w:val="00C057B4"/>
    <w:rsid w:val="00C058C5"/>
    <w:rsid w:val="00C05C0D"/>
    <w:rsid w:val="00C05D5A"/>
    <w:rsid w:val="00C06027"/>
    <w:rsid w:val="00C0609A"/>
    <w:rsid w:val="00C06137"/>
    <w:rsid w:val="00C062CE"/>
    <w:rsid w:val="00C06703"/>
    <w:rsid w:val="00C0676D"/>
    <w:rsid w:val="00C06D8A"/>
    <w:rsid w:val="00C06F66"/>
    <w:rsid w:val="00C07031"/>
    <w:rsid w:val="00C0706F"/>
    <w:rsid w:val="00C075DC"/>
    <w:rsid w:val="00C0788B"/>
    <w:rsid w:val="00C07A70"/>
    <w:rsid w:val="00C07ABC"/>
    <w:rsid w:val="00C07B47"/>
    <w:rsid w:val="00C07DB1"/>
    <w:rsid w:val="00C07E61"/>
    <w:rsid w:val="00C104E1"/>
    <w:rsid w:val="00C10CC0"/>
    <w:rsid w:val="00C10DEF"/>
    <w:rsid w:val="00C11703"/>
    <w:rsid w:val="00C11BDC"/>
    <w:rsid w:val="00C11C7D"/>
    <w:rsid w:val="00C11D96"/>
    <w:rsid w:val="00C11E79"/>
    <w:rsid w:val="00C11FC8"/>
    <w:rsid w:val="00C1235C"/>
    <w:rsid w:val="00C123D0"/>
    <w:rsid w:val="00C12DD4"/>
    <w:rsid w:val="00C12EB7"/>
    <w:rsid w:val="00C13416"/>
    <w:rsid w:val="00C13529"/>
    <w:rsid w:val="00C13737"/>
    <w:rsid w:val="00C13764"/>
    <w:rsid w:val="00C139B2"/>
    <w:rsid w:val="00C13D90"/>
    <w:rsid w:val="00C13E03"/>
    <w:rsid w:val="00C13FED"/>
    <w:rsid w:val="00C141C7"/>
    <w:rsid w:val="00C14419"/>
    <w:rsid w:val="00C14C74"/>
    <w:rsid w:val="00C14E6A"/>
    <w:rsid w:val="00C14ECF"/>
    <w:rsid w:val="00C15035"/>
    <w:rsid w:val="00C154FA"/>
    <w:rsid w:val="00C1565D"/>
    <w:rsid w:val="00C15907"/>
    <w:rsid w:val="00C15A60"/>
    <w:rsid w:val="00C15C07"/>
    <w:rsid w:val="00C15E65"/>
    <w:rsid w:val="00C1602B"/>
    <w:rsid w:val="00C16A5E"/>
    <w:rsid w:val="00C16F4C"/>
    <w:rsid w:val="00C17018"/>
    <w:rsid w:val="00C17198"/>
    <w:rsid w:val="00C17333"/>
    <w:rsid w:val="00C174C5"/>
    <w:rsid w:val="00C1757D"/>
    <w:rsid w:val="00C17E97"/>
    <w:rsid w:val="00C20169"/>
    <w:rsid w:val="00C20485"/>
    <w:rsid w:val="00C204DE"/>
    <w:rsid w:val="00C206CB"/>
    <w:rsid w:val="00C20A7D"/>
    <w:rsid w:val="00C20CFD"/>
    <w:rsid w:val="00C20F66"/>
    <w:rsid w:val="00C21004"/>
    <w:rsid w:val="00C21476"/>
    <w:rsid w:val="00C21779"/>
    <w:rsid w:val="00C21804"/>
    <w:rsid w:val="00C218DF"/>
    <w:rsid w:val="00C2194A"/>
    <w:rsid w:val="00C21DA9"/>
    <w:rsid w:val="00C220C1"/>
    <w:rsid w:val="00C222A0"/>
    <w:rsid w:val="00C2231E"/>
    <w:rsid w:val="00C22BA7"/>
    <w:rsid w:val="00C22CD6"/>
    <w:rsid w:val="00C22E3F"/>
    <w:rsid w:val="00C2305A"/>
    <w:rsid w:val="00C23357"/>
    <w:rsid w:val="00C23482"/>
    <w:rsid w:val="00C237C5"/>
    <w:rsid w:val="00C239E0"/>
    <w:rsid w:val="00C23BFB"/>
    <w:rsid w:val="00C23C76"/>
    <w:rsid w:val="00C24301"/>
    <w:rsid w:val="00C24E26"/>
    <w:rsid w:val="00C24EFC"/>
    <w:rsid w:val="00C2509C"/>
    <w:rsid w:val="00C25275"/>
    <w:rsid w:val="00C2552B"/>
    <w:rsid w:val="00C25BF0"/>
    <w:rsid w:val="00C25CC1"/>
    <w:rsid w:val="00C25D42"/>
    <w:rsid w:val="00C26475"/>
    <w:rsid w:val="00C26590"/>
    <w:rsid w:val="00C26672"/>
    <w:rsid w:val="00C2672F"/>
    <w:rsid w:val="00C269C1"/>
    <w:rsid w:val="00C26B09"/>
    <w:rsid w:val="00C26CAB"/>
    <w:rsid w:val="00C2715F"/>
    <w:rsid w:val="00C271CB"/>
    <w:rsid w:val="00C27269"/>
    <w:rsid w:val="00C27875"/>
    <w:rsid w:val="00C27951"/>
    <w:rsid w:val="00C27954"/>
    <w:rsid w:val="00C279F4"/>
    <w:rsid w:val="00C27B5D"/>
    <w:rsid w:val="00C27B5F"/>
    <w:rsid w:val="00C27D23"/>
    <w:rsid w:val="00C27D2B"/>
    <w:rsid w:val="00C27D82"/>
    <w:rsid w:val="00C308E9"/>
    <w:rsid w:val="00C3106D"/>
    <w:rsid w:val="00C310A9"/>
    <w:rsid w:val="00C3148D"/>
    <w:rsid w:val="00C3184C"/>
    <w:rsid w:val="00C319F2"/>
    <w:rsid w:val="00C321C6"/>
    <w:rsid w:val="00C328F8"/>
    <w:rsid w:val="00C328FE"/>
    <w:rsid w:val="00C32974"/>
    <w:rsid w:val="00C329E7"/>
    <w:rsid w:val="00C32A6D"/>
    <w:rsid w:val="00C32C9B"/>
    <w:rsid w:val="00C331A6"/>
    <w:rsid w:val="00C3365F"/>
    <w:rsid w:val="00C33731"/>
    <w:rsid w:val="00C33B67"/>
    <w:rsid w:val="00C33D86"/>
    <w:rsid w:val="00C33FBE"/>
    <w:rsid w:val="00C342C1"/>
    <w:rsid w:val="00C342FC"/>
    <w:rsid w:val="00C3465E"/>
    <w:rsid w:val="00C34C66"/>
    <w:rsid w:val="00C34E06"/>
    <w:rsid w:val="00C355AE"/>
    <w:rsid w:val="00C35639"/>
    <w:rsid w:val="00C35685"/>
    <w:rsid w:val="00C3569D"/>
    <w:rsid w:val="00C356C1"/>
    <w:rsid w:val="00C3580B"/>
    <w:rsid w:val="00C358A9"/>
    <w:rsid w:val="00C358BF"/>
    <w:rsid w:val="00C35D1B"/>
    <w:rsid w:val="00C35E47"/>
    <w:rsid w:val="00C35F4D"/>
    <w:rsid w:val="00C36313"/>
    <w:rsid w:val="00C3638A"/>
    <w:rsid w:val="00C36C1A"/>
    <w:rsid w:val="00C36E53"/>
    <w:rsid w:val="00C36FC6"/>
    <w:rsid w:val="00C370E0"/>
    <w:rsid w:val="00C37117"/>
    <w:rsid w:val="00C37417"/>
    <w:rsid w:val="00C37454"/>
    <w:rsid w:val="00C37622"/>
    <w:rsid w:val="00C3765E"/>
    <w:rsid w:val="00C37678"/>
    <w:rsid w:val="00C37986"/>
    <w:rsid w:val="00C379F4"/>
    <w:rsid w:val="00C37B31"/>
    <w:rsid w:val="00C37B45"/>
    <w:rsid w:val="00C37B6E"/>
    <w:rsid w:val="00C37BCC"/>
    <w:rsid w:val="00C37F7B"/>
    <w:rsid w:val="00C40375"/>
    <w:rsid w:val="00C408E6"/>
    <w:rsid w:val="00C409F0"/>
    <w:rsid w:val="00C409F2"/>
    <w:rsid w:val="00C40A33"/>
    <w:rsid w:val="00C40EDA"/>
    <w:rsid w:val="00C4164F"/>
    <w:rsid w:val="00C4184F"/>
    <w:rsid w:val="00C418EA"/>
    <w:rsid w:val="00C419BB"/>
    <w:rsid w:val="00C41EA0"/>
    <w:rsid w:val="00C4249E"/>
    <w:rsid w:val="00C425E1"/>
    <w:rsid w:val="00C427E4"/>
    <w:rsid w:val="00C42B5D"/>
    <w:rsid w:val="00C4345C"/>
    <w:rsid w:val="00C43EDE"/>
    <w:rsid w:val="00C43FF9"/>
    <w:rsid w:val="00C440ED"/>
    <w:rsid w:val="00C44577"/>
    <w:rsid w:val="00C4458D"/>
    <w:rsid w:val="00C44BDB"/>
    <w:rsid w:val="00C44C73"/>
    <w:rsid w:val="00C44C89"/>
    <w:rsid w:val="00C4521C"/>
    <w:rsid w:val="00C456D0"/>
    <w:rsid w:val="00C45A24"/>
    <w:rsid w:val="00C45AD2"/>
    <w:rsid w:val="00C45C33"/>
    <w:rsid w:val="00C45FC7"/>
    <w:rsid w:val="00C465C2"/>
    <w:rsid w:val="00C466A2"/>
    <w:rsid w:val="00C46724"/>
    <w:rsid w:val="00C46BD7"/>
    <w:rsid w:val="00C470DB"/>
    <w:rsid w:val="00C471AB"/>
    <w:rsid w:val="00C47389"/>
    <w:rsid w:val="00C47630"/>
    <w:rsid w:val="00C476F7"/>
    <w:rsid w:val="00C47B0E"/>
    <w:rsid w:val="00C47DBD"/>
    <w:rsid w:val="00C47F86"/>
    <w:rsid w:val="00C50082"/>
    <w:rsid w:val="00C50271"/>
    <w:rsid w:val="00C50BE9"/>
    <w:rsid w:val="00C50D64"/>
    <w:rsid w:val="00C50E80"/>
    <w:rsid w:val="00C51040"/>
    <w:rsid w:val="00C51157"/>
    <w:rsid w:val="00C51727"/>
    <w:rsid w:val="00C51D16"/>
    <w:rsid w:val="00C51E9D"/>
    <w:rsid w:val="00C51F31"/>
    <w:rsid w:val="00C520DB"/>
    <w:rsid w:val="00C5257F"/>
    <w:rsid w:val="00C5287E"/>
    <w:rsid w:val="00C537FB"/>
    <w:rsid w:val="00C53F22"/>
    <w:rsid w:val="00C54996"/>
    <w:rsid w:val="00C54DC6"/>
    <w:rsid w:val="00C5534E"/>
    <w:rsid w:val="00C553ED"/>
    <w:rsid w:val="00C554D2"/>
    <w:rsid w:val="00C55714"/>
    <w:rsid w:val="00C557EB"/>
    <w:rsid w:val="00C55A24"/>
    <w:rsid w:val="00C55A45"/>
    <w:rsid w:val="00C55C5E"/>
    <w:rsid w:val="00C55FFE"/>
    <w:rsid w:val="00C56297"/>
    <w:rsid w:val="00C562CD"/>
    <w:rsid w:val="00C56672"/>
    <w:rsid w:val="00C5677F"/>
    <w:rsid w:val="00C56C3B"/>
    <w:rsid w:val="00C56DF6"/>
    <w:rsid w:val="00C56F07"/>
    <w:rsid w:val="00C56F09"/>
    <w:rsid w:val="00C57532"/>
    <w:rsid w:val="00C577FC"/>
    <w:rsid w:val="00C57963"/>
    <w:rsid w:val="00C57EF9"/>
    <w:rsid w:val="00C602C0"/>
    <w:rsid w:val="00C602CB"/>
    <w:rsid w:val="00C60302"/>
    <w:rsid w:val="00C607AD"/>
    <w:rsid w:val="00C60D70"/>
    <w:rsid w:val="00C60E99"/>
    <w:rsid w:val="00C61E60"/>
    <w:rsid w:val="00C61ECF"/>
    <w:rsid w:val="00C61FE7"/>
    <w:rsid w:val="00C62057"/>
    <w:rsid w:val="00C62548"/>
    <w:rsid w:val="00C63118"/>
    <w:rsid w:val="00C63179"/>
    <w:rsid w:val="00C63390"/>
    <w:rsid w:val="00C633F8"/>
    <w:rsid w:val="00C635E4"/>
    <w:rsid w:val="00C635FA"/>
    <w:rsid w:val="00C63772"/>
    <w:rsid w:val="00C63894"/>
    <w:rsid w:val="00C63AC7"/>
    <w:rsid w:val="00C63CEB"/>
    <w:rsid w:val="00C63E30"/>
    <w:rsid w:val="00C64185"/>
    <w:rsid w:val="00C644D4"/>
    <w:rsid w:val="00C64740"/>
    <w:rsid w:val="00C6512D"/>
    <w:rsid w:val="00C65953"/>
    <w:rsid w:val="00C65FDD"/>
    <w:rsid w:val="00C6692E"/>
    <w:rsid w:val="00C672EA"/>
    <w:rsid w:val="00C67372"/>
    <w:rsid w:val="00C67661"/>
    <w:rsid w:val="00C678D8"/>
    <w:rsid w:val="00C67918"/>
    <w:rsid w:val="00C67993"/>
    <w:rsid w:val="00C67A8B"/>
    <w:rsid w:val="00C67AC2"/>
    <w:rsid w:val="00C67D50"/>
    <w:rsid w:val="00C67F17"/>
    <w:rsid w:val="00C70142"/>
    <w:rsid w:val="00C70377"/>
    <w:rsid w:val="00C7039E"/>
    <w:rsid w:val="00C7071D"/>
    <w:rsid w:val="00C7072D"/>
    <w:rsid w:val="00C70DF8"/>
    <w:rsid w:val="00C71956"/>
    <w:rsid w:val="00C71BD5"/>
    <w:rsid w:val="00C71C5E"/>
    <w:rsid w:val="00C71E45"/>
    <w:rsid w:val="00C7205A"/>
    <w:rsid w:val="00C72413"/>
    <w:rsid w:val="00C7251A"/>
    <w:rsid w:val="00C72D41"/>
    <w:rsid w:val="00C730AB"/>
    <w:rsid w:val="00C733AE"/>
    <w:rsid w:val="00C7369A"/>
    <w:rsid w:val="00C7376A"/>
    <w:rsid w:val="00C741AB"/>
    <w:rsid w:val="00C74314"/>
    <w:rsid w:val="00C744F5"/>
    <w:rsid w:val="00C74568"/>
    <w:rsid w:val="00C745AC"/>
    <w:rsid w:val="00C74736"/>
    <w:rsid w:val="00C748E7"/>
    <w:rsid w:val="00C74986"/>
    <w:rsid w:val="00C74DE5"/>
    <w:rsid w:val="00C750A5"/>
    <w:rsid w:val="00C754AC"/>
    <w:rsid w:val="00C75730"/>
    <w:rsid w:val="00C75A44"/>
    <w:rsid w:val="00C76205"/>
    <w:rsid w:val="00C763C2"/>
    <w:rsid w:val="00C76589"/>
    <w:rsid w:val="00C76831"/>
    <w:rsid w:val="00C76A01"/>
    <w:rsid w:val="00C76A78"/>
    <w:rsid w:val="00C76D15"/>
    <w:rsid w:val="00C76E6B"/>
    <w:rsid w:val="00C773D0"/>
    <w:rsid w:val="00C774DD"/>
    <w:rsid w:val="00C778B2"/>
    <w:rsid w:val="00C779CA"/>
    <w:rsid w:val="00C77ACE"/>
    <w:rsid w:val="00C77EEC"/>
    <w:rsid w:val="00C77F59"/>
    <w:rsid w:val="00C77FB7"/>
    <w:rsid w:val="00C808C9"/>
    <w:rsid w:val="00C80DFA"/>
    <w:rsid w:val="00C81A2F"/>
    <w:rsid w:val="00C8235A"/>
    <w:rsid w:val="00C823BF"/>
    <w:rsid w:val="00C82479"/>
    <w:rsid w:val="00C82611"/>
    <w:rsid w:val="00C827A1"/>
    <w:rsid w:val="00C827BC"/>
    <w:rsid w:val="00C82949"/>
    <w:rsid w:val="00C82AA1"/>
    <w:rsid w:val="00C82C49"/>
    <w:rsid w:val="00C82CFD"/>
    <w:rsid w:val="00C82E6B"/>
    <w:rsid w:val="00C82F8C"/>
    <w:rsid w:val="00C831C7"/>
    <w:rsid w:val="00C834FB"/>
    <w:rsid w:val="00C838E7"/>
    <w:rsid w:val="00C83DE7"/>
    <w:rsid w:val="00C84741"/>
    <w:rsid w:val="00C848DB"/>
    <w:rsid w:val="00C84E83"/>
    <w:rsid w:val="00C85326"/>
    <w:rsid w:val="00C859B2"/>
    <w:rsid w:val="00C863B4"/>
    <w:rsid w:val="00C86F8C"/>
    <w:rsid w:val="00C8712F"/>
    <w:rsid w:val="00C87196"/>
    <w:rsid w:val="00C87921"/>
    <w:rsid w:val="00C87D1E"/>
    <w:rsid w:val="00C87EEC"/>
    <w:rsid w:val="00C87F3B"/>
    <w:rsid w:val="00C90341"/>
    <w:rsid w:val="00C903BE"/>
    <w:rsid w:val="00C90907"/>
    <w:rsid w:val="00C90F55"/>
    <w:rsid w:val="00C90F8B"/>
    <w:rsid w:val="00C91D11"/>
    <w:rsid w:val="00C91F0E"/>
    <w:rsid w:val="00C923B6"/>
    <w:rsid w:val="00C92749"/>
    <w:rsid w:val="00C92781"/>
    <w:rsid w:val="00C92A99"/>
    <w:rsid w:val="00C92C50"/>
    <w:rsid w:val="00C92DEF"/>
    <w:rsid w:val="00C93178"/>
    <w:rsid w:val="00C935B8"/>
    <w:rsid w:val="00C93B01"/>
    <w:rsid w:val="00C93BFC"/>
    <w:rsid w:val="00C9405B"/>
    <w:rsid w:val="00C945D4"/>
    <w:rsid w:val="00C945E1"/>
    <w:rsid w:val="00C94B6A"/>
    <w:rsid w:val="00C94BFF"/>
    <w:rsid w:val="00C94C81"/>
    <w:rsid w:val="00C951FA"/>
    <w:rsid w:val="00C95224"/>
    <w:rsid w:val="00C952D6"/>
    <w:rsid w:val="00C95401"/>
    <w:rsid w:val="00C95688"/>
    <w:rsid w:val="00C9577F"/>
    <w:rsid w:val="00C95A2C"/>
    <w:rsid w:val="00C95A78"/>
    <w:rsid w:val="00C95AA1"/>
    <w:rsid w:val="00C95D9E"/>
    <w:rsid w:val="00C96052"/>
    <w:rsid w:val="00C962ED"/>
    <w:rsid w:val="00C96814"/>
    <w:rsid w:val="00C96BAC"/>
    <w:rsid w:val="00C96C86"/>
    <w:rsid w:val="00C96CEC"/>
    <w:rsid w:val="00C96D66"/>
    <w:rsid w:val="00C970B8"/>
    <w:rsid w:val="00C97348"/>
    <w:rsid w:val="00C97362"/>
    <w:rsid w:val="00C974E5"/>
    <w:rsid w:val="00C976C0"/>
    <w:rsid w:val="00C97AA0"/>
    <w:rsid w:val="00C97E73"/>
    <w:rsid w:val="00CA059F"/>
    <w:rsid w:val="00CA05DE"/>
    <w:rsid w:val="00CA0688"/>
    <w:rsid w:val="00CA0AD3"/>
    <w:rsid w:val="00CA0BAE"/>
    <w:rsid w:val="00CA0D99"/>
    <w:rsid w:val="00CA0E3E"/>
    <w:rsid w:val="00CA1232"/>
    <w:rsid w:val="00CA158C"/>
    <w:rsid w:val="00CA191B"/>
    <w:rsid w:val="00CA1A86"/>
    <w:rsid w:val="00CA1EA3"/>
    <w:rsid w:val="00CA23CA"/>
    <w:rsid w:val="00CA27F5"/>
    <w:rsid w:val="00CA2825"/>
    <w:rsid w:val="00CA2AD1"/>
    <w:rsid w:val="00CA2C82"/>
    <w:rsid w:val="00CA2D01"/>
    <w:rsid w:val="00CA2D5A"/>
    <w:rsid w:val="00CA35B6"/>
    <w:rsid w:val="00CA3725"/>
    <w:rsid w:val="00CA37F1"/>
    <w:rsid w:val="00CA3D32"/>
    <w:rsid w:val="00CA3E60"/>
    <w:rsid w:val="00CA4329"/>
    <w:rsid w:val="00CA45A0"/>
    <w:rsid w:val="00CA45DE"/>
    <w:rsid w:val="00CA49E5"/>
    <w:rsid w:val="00CA4BB9"/>
    <w:rsid w:val="00CA4BF4"/>
    <w:rsid w:val="00CA5126"/>
    <w:rsid w:val="00CA514A"/>
    <w:rsid w:val="00CA57D4"/>
    <w:rsid w:val="00CA59FA"/>
    <w:rsid w:val="00CA5A8E"/>
    <w:rsid w:val="00CA6062"/>
    <w:rsid w:val="00CA60C8"/>
    <w:rsid w:val="00CA618E"/>
    <w:rsid w:val="00CA6537"/>
    <w:rsid w:val="00CA66FF"/>
    <w:rsid w:val="00CA68B2"/>
    <w:rsid w:val="00CA6D49"/>
    <w:rsid w:val="00CA709A"/>
    <w:rsid w:val="00CA709F"/>
    <w:rsid w:val="00CA785C"/>
    <w:rsid w:val="00CA7B7D"/>
    <w:rsid w:val="00CA7C6F"/>
    <w:rsid w:val="00CA7E86"/>
    <w:rsid w:val="00CB0234"/>
    <w:rsid w:val="00CB0346"/>
    <w:rsid w:val="00CB0535"/>
    <w:rsid w:val="00CB08BB"/>
    <w:rsid w:val="00CB0929"/>
    <w:rsid w:val="00CB0FB2"/>
    <w:rsid w:val="00CB15F3"/>
    <w:rsid w:val="00CB1B8E"/>
    <w:rsid w:val="00CB1BDB"/>
    <w:rsid w:val="00CB1D3D"/>
    <w:rsid w:val="00CB25EA"/>
    <w:rsid w:val="00CB2710"/>
    <w:rsid w:val="00CB3177"/>
    <w:rsid w:val="00CB3299"/>
    <w:rsid w:val="00CB3633"/>
    <w:rsid w:val="00CB3653"/>
    <w:rsid w:val="00CB365E"/>
    <w:rsid w:val="00CB3860"/>
    <w:rsid w:val="00CB3A13"/>
    <w:rsid w:val="00CB3B05"/>
    <w:rsid w:val="00CB42E5"/>
    <w:rsid w:val="00CB4A0B"/>
    <w:rsid w:val="00CB4C09"/>
    <w:rsid w:val="00CB4CAA"/>
    <w:rsid w:val="00CB50B8"/>
    <w:rsid w:val="00CB5218"/>
    <w:rsid w:val="00CB53DF"/>
    <w:rsid w:val="00CB5B14"/>
    <w:rsid w:val="00CB654A"/>
    <w:rsid w:val="00CB6D1E"/>
    <w:rsid w:val="00CB6D4D"/>
    <w:rsid w:val="00CB6EA8"/>
    <w:rsid w:val="00CB70D4"/>
    <w:rsid w:val="00CB74A2"/>
    <w:rsid w:val="00CB76E6"/>
    <w:rsid w:val="00CB788E"/>
    <w:rsid w:val="00CB788F"/>
    <w:rsid w:val="00CB7BF1"/>
    <w:rsid w:val="00CC0159"/>
    <w:rsid w:val="00CC01CF"/>
    <w:rsid w:val="00CC08CD"/>
    <w:rsid w:val="00CC0D57"/>
    <w:rsid w:val="00CC0E00"/>
    <w:rsid w:val="00CC0EE1"/>
    <w:rsid w:val="00CC0FD4"/>
    <w:rsid w:val="00CC11FB"/>
    <w:rsid w:val="00CC15F3"/>
    <w:rsid w:val="00CC1BE3"/>
    <w:rsid w:val="00CC1CD7"/>
    <w:rsid w:val="00CC23F8"/>
    <w:rsid w:val="00CC263F"/>
    <w:rsid w:val="00CC26DC"/>
    <w:rsid w:val="00CC2945"/>
    <w:rsid w:val="00CC2CBD"/>
    <w:rsid w:val="00CC2D85"/>
    <w:rsid w:val="00CC2E04"/>
    <w:rsid w:val="00CC2E87"/>
    <w:rsid w:val="00CC2F48"/>
    <w:rsid w:val="00CC2FD5"/>
    <w:rsid w:val="00CC30E2"/>
    <w:rsid w:val="00CC36E7"/>
    <w:rsid w:val="00CC3E3C"/>
    <w:rsid w:val="00CC3F5D"/>
    <w:rsid w:val="00CC4199"/>
    <w:rsid w:val="00CC44BE"/>
    <w:rsid w:val="00CC44F1"/>
    <w:rsid w:val="00CC488C"/>
    <w:rsid w:val="00CC4AB5"/>
    <w:rsid w:val="00CC4CB0"/>
    <w:rsid w:val="00CC4E2A"/>
    <w:rsid w:val="00CC4EB1"/>
    <w:rsid w:val="00CC4EE0"/>
    <w:rsid w:val="00CC50DA"/>
    <w:rsid w:val="00CC51C5"/>
    <w:rsid w:val="00CC5248"/>
    <w:rsid w:val="00CC5349"/>
    <w:rsid w:val="00CC5594"/>
    <w:rsid w:val="00CC55AF"/>
    <w:rsid w:val="00CC5B30"/>
    <w:rsid w:val="00CC67A2"/>
    <w:rsid w:val="00CC6905"/>
    <w:rsid w:val="00CC6D31"/>
    <w:rsid w:val="00CC6E3F"/>
    <w:rsid w:val="00CC7089"/>
    <w:rsid w:val="00CC716A"/>
    <w:rsid w:val="00CC76ED"/>
    <w:rsid w:val="00CC7C3D"/>
    <w:rsid w:val="00CC7E82"/>
    <w:rsid w:val="00CC7F4E"/>
    <w:rsid w:val="00CD005B"/>
    <w:rsid w:val="00CD0076"/>
    <w:rsid w:val="00CD05F6"/>
    <w:rsid w:val="00CD07BB"/>
    <w:rsid w:val="00CD106B"/>
    <w:rsid w:val="00CD10C9"/>
    <w:rsid w:val="00CD111D"/>
    <w:rsid w:val="00CD14DB"/>
    <w:rsid w:val="00CD15F5"/>
    <w:rsid w:val="00CD1868"/>
    <w:rsid w:val="00CD1A54"/>
    <w:rsid w:val="00CD1B57"/>
    <w:rsid w:val="00CD1B7F"/>
    <w:rsid w:val="00CD1C41"/>
    <w:rsid w:val="00CD1D14"/>
    <w:rsid w:val="00CD1E7C"/>
    <w:rsid w:val="00CD24F9"/>
    <w:rsid w:val="00CD28AB"/>
    <w:rsid w:val="00CD3020"/>
    <w:rsid w:val="00CD313C"/>
    <w:rsid w:val="00CD3284"/>
    <w:rsid w:val="00CD3381"/>
    <w:rsid w:val="00CD38CE"/>
    <w:rsid w:val="00CD3A3B"/>
    <w:rsid w:val="00CD46F4"/>
    <w:rsid w:val="00CD4C85"/>
    <w:rsid w:val="00CD51C2"/>
    <w:rsid w:val="00CD5267"/>
    <w:rsid w:val="00CD5970"/>
    <w:rsid w:val="00CD5E8C"/>
    <w:rsid w:val="00CD627B"/>
    <w:rsid w:val="00CD6882"/>
    <w:rsid w:val="00CD6CF9"/>
    <w:rsid w:val="00CD72D9"/>
    <w:rsid w:val="00CD7496"/>
    <w:rsid w:val="00CD7601"/>
    <w:rsid w:val="00CD772E"/>
    <w:rsid w:val="00CD7BA5"/>
    <w:rsid w:val="00CD7BDA"/>
    <w:rsid w:val="00CD7D11"/>
    <w:rsid w:val="00CE03D7"/>
    <w:rsid w:val="00CE08CC"/>
    <w:rsid w:val="00CE0940"/>
    <w:rsid w:val="00CE0987"/>
    <w:rsid w:val="00CE0B2D"/>
    <w:rsid w:val="00CE0E38"/>
    <w:rsid w:val="00CE0F47"/>
    <w:rsid w:val="00CE110F"/>
    <w:rsid w:val="00CE192B"/>
    <w:rsid w:val="00CE253B"/>
    <w:rsid w:val="00CE25A1"/>
    <w:rsid w:val="00CE26A9"/>
    <w:rsid w:val="00CE270C"/>
    <w:rsid w:val="00CE2B15"/>
    <w:rsid w:val="00CE2BA8"/>
    <w:rsid w:val="00CE2F50"/>
    <w:rsid w:val="00CE321C"/>
    <w:rsid w:val="00CE325A"/>
    <w:rsid w:val="00CE3263"/>
    <w:rsid w:val="00CE39A4"/>
    <w:rsid w:val="00CE3AFE"/>
    <w:rsid w:val="00CE3CD2"/>
    <w:rsid w:val="00CE3D01"/>
    <w:rsid w:val="00CE3F1E"/>
    <w:rsid w:val="00CE4085"/>
    <w:rsid w:val="00CE435E"/>
    <w:rsid w:val="00CE4419"/>
    <w:rsid w:val="00CE4894"/>
    <w:rsid w:val="00CE49E4"/>
    <w:rsid w:val="00CE4A92"/>
    <w:rsid w:val="00CE4CAA"/>
    <w:rsid w:val="00CE4CAC"/>
    <w:rsid w:val="00CE5718"/>
    <w:rsid w:val="00CE57FD"/>
    <w:rsid w:val="00CE58C2"/>
    <w:rsid w:val="00CE5928"/>
    <w:rsid w:val="00CE6449"/>
    <w:rsid w:val="00CE65D7"/>
    <w:rsid w:val="00CE699D"/>
    <w:rsid w:val="00CE702E"/>
    <w:rsid w:val="00CE74CB"/>
    <w:rsid w:val="00CE79BB"/>
    <w:rsid w:val="00CE7E04"/>
    <w:rsid w:val="00CE7F7F"/>
    <w:rsid w:val="00CF0262"/>
    <w:rsid w:val="00CF029D"/>
    <w:rsid w:val="00CF0655"/>
    <w:rsid w:val="00CF07B1"/>
    <w:rsid w:val="00CF0B88"/>
    <w:rsid w:val="00CF1095"/>
    <w:rsid w:val="00CF15B4"/>
    <w:rsid w:val="00CF17AD"/>
    <w:rsid w:val="00CF1D0B"/>
    <w:rsid w:val="00CF1DF8"/>
    <w:rsid w:val="00CF1E0F"/>
    <w:rsid w:val="00CF1E28"/>
    <w:rsid w:val="00CF1E7A"/>
    <w:rsid w:val="00CF1EAE"/>
    <w:rsid w:val="00CF25E1"/>
    <w:rsid w:val="00CF26D8"/>
    <w:rsid w:val="00CF2CE2"/>
    <w:rsid w:val="00CF304D"/>
    <w:rsid w:val="00CF306E"/>
    <w:rsid w:val="00CF343E"/>
    <w:rsid w:val="00CF369B"/>
    <w:rsid w:val="00CF3E0B"/>
    <w:rsid w:val="00CF3EC1"/>
    <w:rsid w:val="00CF4112"/>
    <w:rsid w:val="00CF4278"/>
    <w:rsid w:val="00CF4377"/>
    <w:rsid w:val="00CF499F"/>
    <w:rsid w:val="00CF4A78"/>
    <w:rsid w:val="00CF4C40"/>
    <w:rsid w:val="00CF4F29"/>
    <w:rsid w:val="00CF5073"/>
    <w:rsid w:val="00CF5296"/>
    <w:rsid w:val="00CF52A1"/>
    <w:rsid w:val="00CF52B9"/>
    <w:rsid w:val="00CF5342"/>
    <w:rsid w:val="00CF5484"/>
    <w:rsid w:val="00CF55D2"/>
    <w:rsid w:val="00CF56DE"/>
    <w:rsid w:val="00CF613F"/>
    <w:rsid w:val="00CF619C"/>
    <w:rsid w:val="00CF63D5"/>
    <w:rsid w:val="00CF649D"/>
    <w:rsid w:val="00CF6829"/>
    <w:rsid w:val="00CF6CC3"/>
    <w:rsid w:val="00CF6E45"/>
    <w:rsid w:val="00CF714F"/>
    <w:rsid w:val="00CF7865"/>
    <w:rsid w:val="00CF7B9C"/>
    <w:rsid w:val="00CF7CFB"/>
    <w:rsid w:val="00D004F9"/>
    <w:rsid w:val="00D005B6"/>
    <w:rsid w:val="00D0068A"/>
    <w:rsid w:val="00D0083D"/>
    <w:rsid w:val="00D009D3"/>
    <w:rsid w:val="00D00AC4"/>
    <w:rsid w:val="00D01372"/>
    <w:rsid w:val="00D01379"/>
    <w:rsid w:val="00D01862"/>
    <w:rsid w:val="00D01ADD"/>
    <w:rsid w:val="00D01C4B"/>
    <w:rsid w:val="00D01E37"/>
    <w:rsid w:val="00D01E55"/>
    <w:rsid w:val="00D0234F"/>
    <w:rsid w:val="00D02E8E"/>
    <w:rsid w:val="00D03044"/>
    <w:rsid w:val="00D03242"/>
    <w:rsid w:val="00D0338E"/>
    <w:rsid w:val="00D033BB"/>
    <w:rsid w:val="00D033D0"/>
    <w:rsid w:val="00D035A2"/>
    <w:rsid w:val="00D03EB8"/>
    <w:rsid w:val="00D04244"/>
    <w:rsid w:val="00D04265"/>
    <w:rsid w:val="00D047A3"/>
    <w:rsid w:val="00D0486E"/>
    <w:rsid w:val="00D0492B"/>
    <w:rsid w:val="00D049BF"/>
    <w:rsid w:val="00D04BDF"/>
    <w:rsid w:val="00D04D6E"/>
    <w:rsid w:val="00D04EEC"/>
    <w:rsid w:val="00D0504C"/>
    <w:rsid w:val="00D050DE"/>
    <w:rsid w:val="00D051B4"/>
    <w:rsid w:val="00D05BE0"/>
    <w:rsid w:val="00D0603C"/>
    <w:rsid w:val="00D0609A"/>
    <w:rsid w:val="00D0609B"/>
    <w:rsid w:val="00D06D24"/>
    <w:rsid w:val="00D06F5B"/>
    <w:rsid w:val="00D0708E"/>
    <w:rsid w:val="00D071BE"/>
    <w:rsid w:val="00D07269"/>
    <w:rsid w:val="00D07280"/>
    <w:rsid w:val="00D0799B"/>
    <w:rsid w:val="00D079D3"/>
    <w:rsid w:val="00D07B4F"/>
    <w:rsid w:val="00D07FF5"/>
    <w:rsid w:val="00D102FE"/>
    <w:rsid w:val="00D10E6A"/>
    <w:rsid w:val="00D11031"/>
    <w:rsid w:val="00D11216"/>
    <w:rsid w:val="00D1121F"/>
    <w:rsid w:val="00D113A3"/>
    <w:rsid w:val="00D11493"/>
    <w:rsid w:val="00D114C0"/>
    <w:rsid w:val="00D1175B"/>
    <w:rsid w:val="00D117F1"/>
    <w:rsid w:val="00D1186D"/>
    <w:rsid w:val="00D1193A"/>
    <w:rsid w:val="00D11DE6"/>
    <w:rsid w:val="00D1213F"/>
    <w:rsid w:val="00D12403"/>
    <w:rsid w:val="00D124B7"/>
    <w:rsid w:val="00D128B3"/>
    <w:rsid w:val="00D128E5"/>
    <w:rsid w:val="00D12939"/>
    <w:rsid w:val="00D129F7"/>
    <w:rsid w:val="00D12A59"/>
    <w:rsid w:val="00D12A9C"/>
    <w:rsid w:val="00D12DFB"/>
    <w:rsid w:val="00D130D5"/>
    <w:rsid w:val="00D131FF"/>
    <w:rsid w:val="00D13784"/>
    <w:rsid w:val="00D13847"/>
    <w:rsid w:val="00D13D0D"/>
    <w:rsid w:val="00D13D7B"/>
    <w:rsid w:val="00D13FA6"/>
    <w:rsid w:val="00D14081"/>
    <w:rsid w:val="00D140A1"/>
    <w:rsid w:val="00D146DB"/>
    <w:rsid w:val="00D14746"/>
    <w:rsid w:val="00D1480A"/>
    <w:rsid w:val="00D14816"/>
    <w:rsid w:val="00D148C7"/>
    <w:rsid w:val="00D148C8"/>
    <w:rsid w:val="00D1494D"/>
    <w:rsid w:val="00D14A68"/>
    <w:rsid w:val="00D15201"/>
    <w:rsid w:val="00D1520E"/>
    <w:rsid w:val="00D15324"/>
    <w:rsid w:val="00D15430"/>
    <w:rsid w:val="00D154BD"/>
    <w:rsid w:val="00D1558E"/>
    <w:rsid w:val="00D1559E"/>
    <w:rsid w:val="00D15BE9"/>
    <w:rsid w:val="00D15F65"/>
    <w:rsid w:val="00D162C3"/>
    <w:rsid w:val="00D162F2"/>
    <w:rsid w:val="00D1664E"/>
    <w:rsid w:val="00D1721B"/>
    <w:rsid w:val="00D17247"/>
    <w:rsid w:val="00D1763D"/>
    <w:rsid w:val="00D177B0"/>
    <w:rsid w:val="00D17990"/>
    <w:rsid w:val="00D17C8C"/>
    <w:rsid w:val="00D17EAF"/>
    <w:rsid w:val="00D20398"/>
    <w:rsid w:val="00D20468"/>
    <w:rsid w:val="00D206BE"/>
    <w:rsid w:val="00D206E5"/>
    <w:rsid w:val="00D209BD"/>
    <w:rsid w:val="00D20A1F"/>
    <w:rsid w:val="00D20AD7"/>
    <w:rsid w:val="00D20BE4"/>
    <w:rsid w:val="00D20D64"/>
    <w:rsid w:val="00D20D99"/>
    <w:rsid w:val="00D20F3A"/>
    <w:rsid w:val="00D20F51"/>
    <w:rsid w:val="00D22351"/>
    <w:rsid w:val="00D226D8"/>
    <w:rsid w:val="00D2278C"/>
    <w:rsid w:val="00D229B9"/>
    <w:rsid w:val="00D22BA7"/>
    <w:rsid w:val="00D22EC0"/>
    <w:rsid w:val="00D232A0"/>
    <w:rsid w:val="00D233AA"/>
    <w:rsid w:val="00D2354F"/>
    <w:rsid w:val="00D23821"/>
    <w:rsid w:val="00D23A6A"/>
    <w:rsid w:val="00D24297"/>
    <w:rsid w:val="00D246B8"/>
    <w:rsid w:val="00D248CB"/>
    <w:rsid w:val="00D24943"/>
    <w:rsid w:val="00D24B54"/>
    <w:rsid w:val="00D24E29"/>
    <w:rsid w:val="00D25145"/>
    <w:rsid w:val="00D251DC"/>
    <w:rsid w:val="00D25585"/>
    <w:rsid w:val="00D255EF"/>
    <w:rsid w:val="00D257D9"/>
    <w:rsid w:val="00D25BDB"/>
    <w:rsid w:val="00D25D2E"/>
    <w:rsid w:val="00D25D4A"/>
    <w:rsid w:val="00D260F4"/>
    <w:rsid w:val="00D26443"/>
    <w:rsid w:val="00D26778"/>
    <w:rsid w:val="00D26984"/>
    <w:rsid w:val="00D269A3"/>
    <w:rsid w:val="00D26ACE"/>
    <w:rsid w:val="00D26C32"/>
    <w:rsid w:val="00D27648"/>
    <w:rsid w:val="00D27987"/>
    <w:rsid w:val="00D27E8F"/>
    <w:rsid w:val="00D27FD7"/>
    <w:rsid w:val="00D30075"/>
    <w:rsid w:val="00D30195"/>
    <w:rsid w:val="00D30710"/>
    <w:rsid w:val="00D30CA3"/>
    <w:rsid w:val="00D30F7D"/>
    <w:rsid w:val="00D315C4"/>
    <w:rsid w:val="00D3193E"/>
    <w:rsid w:val="00D31D39"/>
    <w:rsid w:val="00D31FEF"/>
    <w:rsid w:val="00D320D0"/>
    <w:rsid w:val="00D3211C"/>
    <w:rsid w:val="00D3236F"/>
    <w:rsid w:val="00D323A4"/>
    <w:rsid w:val="00D32464"/>
    <w:rsid w:val="00D329A0"/>
    <w:rsid w:val="00D32E3E"/>
    <w:rsid w:val="00D32E4F"/>
    <w:rsid w:val="00D330FD"/>
    <w:rsid w:val="00D331AA"/>
    <w:rsid w:val="00D33416"/>
    <w:rsid w:val="00D337B2"/>
    <w:rsid w:val="00D3382D"/>
    <w:rsid w:val="00D33846"/>
    <w:rsid w:val="00D33C10"/>
    <w:rsid w:val="00D33F7F"/>
    <w:rsid w:val="00D34C29"/>
    <w:rsid w:val="00D34C86"/>
    <w:rsid w:val="00D34FB6"/>
    <w:rsid w:val="00D352AF"/>
    <w:rsid w:val="00D352BA"/>
    <w:rsid w:val="00D3545D"/>
    <w:rsid w:val="00D3579B"/>
    <w:rsid w:val="00D35871"/>
    <w:rsid w:val="00D358F3"/>
    <w:rsid w:val="00D35D87"/>
    <w:rsid w:val="00D35FEE"/>
    <w:rsid w:val="00D362AD"/>
    <w:rsid w:val="00D362CB"/>
    <w:rsid w:val="00D362CC"/>
    <w:rsid w:val="00D363B2"/>
    <w:rsid w:val="00D36478"/>
    <w:rsid w:val="00D364A9"/>
    <w:rsid w:val="00D36DC0"/>
    <w:rsid w:val="00D36FA5"/>
    <w:rsid w:val="00D3706A"/>
    <w:rsid w:val="00D3716A"/>
    <w:rsid w:val="00D37411"/>
    <w:rsid w:val="00D374B9"/>
    <w:rsid w:val="00D376A6"/>
    <w:rsid w:val="00D37794"/>
    <w:rsid w:val="00D3782D"/>
    <w:rsid w:val="00D378FB"/>
    <w:rsid w:val="00D37C0B"/>
    <w:rsid w:val="00D401DC"/>
    <w:rsid w:val="00D4023A"/>
    <w:rsid w:val="00D4079C"/>
    <w:rsid w:val="00D40949"/>
    <w:rsid w:val="00D40EE1"/>
    <w:rsid w:val="00D40F05"/>
    <w:rsid w:val="00D410BD"/>
    <w:rsid w:val="00D41877"/>
    <w:rsid w:val="00D41A9D"/>
    <w:rsid w:val="00D41B24"/>
    <w:rsid w:val="00D41C60"/>
    <w:rsid w:val="00D41CFE"/>
    <w:rsid w:val="00D41D10"/>
    <w:rsid w:val="00D41DE1"/>
    <w:rsid w:val="00D41E7B"/>
    <w:rsid w:val="00D41F22"/>
    <w:rsid w:val="00D42005"/>
    <w:rsid w:val="00D429CF"/>
    <w:rsid w:val="00D42E52"/>
    <w:rsid w:val="00D42EF4"/>
    <w:rsid w:val="00D4342F"/>
    <w:rsid w:val="00D436AA"/>
    <w:rsid w:val="00D43806"/>
    <w:rsid w:val="00D43923"/>
    <w:rsid w:val="00D43A0E"/>
    <w:rsid w:val="00D43A71"/>
    <w:rsid w:val="00D442B1"/>
    <w:rsid w:val="00D442F5"/>
    <w:rsid w:val="00D44384"/>
    <w:rsid w:val="00D44653"/>
    <w:rsid w:val="00D4469B"/>
    <w:rsid w:val="00D448C4"/>
    <w:rsid w:val="00D44982"/>
    <w:rsid w:val="00D45710"/>
    <w:rsid w:val="00D45796"/>
    <w:rsid w:val="00D4605B"/>
    <w:rsid w:val="00D461AE"/>
    <w:rsid w:val="00D462D0"/>
    <w:rsid w:val="00D463A1"/>
    <w:rsid w:val="00D465E6"/>
    <w:rsid w:val="00D46C70"/>
    <w:rsid w:val="00D46CF8"/>
    <w:rsid w:val="00D473AE"/>
    <w:rsid w:val="00D4770D"/>
    <w:rsid w:val="00D47BF2"/>
    <w:rsid w:val="00D50227"/>
    <w:rsid w:val="00D502E2"/>
    <w:rsid w:val="00D505E5"/>
    <w:rsid w:val="00D5095E"/>
    <w:rsid w:val="00D50E6B"/>
    <w:rsid w:val="00D50F57"/>
    <w:rsid w:val="00D5185F"/>
    <w:rsid w:val="00D51F9E"/>
    <w:rsid w:val="00D5237E"/>
    <w:rsid w:val="00D524EE"/>
    <w:rsid w:val="00D526A5"/>
    <w:rsid w:val="00D52805"/>
    <w:rsid w:val="00D52B7D"/>
    <w:rsid w:val="00D53070"/>
    <w:rsid w:val="00D5334E"/>
    <w:rsid w:val="00D53394"/>
    <w:rsid w:val="00D538FB"/>
    <w:rsid w:val="00D53ABF"/>
    <w:rsid w:val="00D54790"/>
    <w:rsid w:val="00D54896"/>
    <w:rsid w:val="00D548B5"/>
    <w:rsid w:val="00D549C2"/>
    <w:rsid w:val="00D54ECA"/>
    <w:rsid w:val="00D5524D"/>
    <w:rsid w:val="00D553D2"/>
    <w:rsid w:val="00D553FE"/>
    <w:rsid w:val="00D5557E"/>
    <w:rsid w:val="00D555FB"/>
    <w:rsid w:val="00D55669"/>
    <w:rsid w:val="00D557F3"/>
    <w:rsid w:val="00D55AE0"/>
    <w:rsid w:val="00D568B3"/>
    <w:rsid w:val="00D568FD"/>
    <w:rsid w:val="00D56D8D"/>
    <w:rsid w:val="00D56ED4"/>
    <w:rsid w:val="00D56EE6"/>
    <w:rsid w:val="00D5779E"/>
    <w:rsid w:val="00D577B3"/>
    <w:rsid w:val="00D5799D"/>
    <w:rsid w:val="00D601C9"/>
    <w:rsid w:val="00D602CB"/>
    <w:rsid w:val="00D6082C"/>
    <w:rsid w:val="00D60AB1"/>
    <w:rsid w:val="00D60B5F"/>
    <w:rsid w:val="00D60F58"/>
    <w:rsid w:val="00D60FA1"/>
    <w:rsid w:val="00D61236"/>
    <w:rsid w:val="00D617DF"/>
    <w:rsid w:val="00D6199D"/>
    <w:rsid w:val="00D623D4"/>
    <w:rsid w:val="00D6247E"/>
    <w:rsid w:val="00D62527"/>
    <w:rsid w:val="00D62CDD"/>
    <w:rsid w:val="00D633D0"/>
    <w:rsid w:val="00D63A81"/>
    <w:rsid w:val="00D640CC"/>
    <w:rsid w:val="00D64429"/>
    <w:rsid w:val="00D64443"/>
    <w:rsid w:val="00D6498D"/>
    <w:rsid w:val="00D64F13"/>
    <w:rsid w:val="00D65076"/>
    <w:rsid w:val="00D650E8"/>
    <w:rsid w:val="00D6511B"/>
    <w:rsid w:val="00D65213"/>
    <w:rsid w:val="00D652A5"/>
    <w:rsid w:val="00D657AC"/>
    <w:rsid w:val="00D65A7C"/>
    <w:rsid w:val="00D65B96"/>
    <w:rsid w:val="00D65E41"/>
    <w:rsid w:val="00D6610E"/>
    <w:rsid w:val="00D66716"/>
    <w:rsid w:val="00D66911"/>
    <w:rsid w:val="00D669EB"/>
    <w:rsid w:val="00D66BB5"/>
    <w:rsid w:val="00D66F5B"/>
    <w:rsid w:val="00D66FF8"/>
    <w:rsid w:val="00D672C2"/>
    <w:rsid w:val="00D6749A"/>
    <w:rsid w:val="00D67A52"/>
    <w:rsid w:val="00D67AE6"/>
    <w:rsid w:val="00D7010A"/>
    <w:rsid w:val="00D701E1"/>
    <w:rsid w:val="00D704E6"/>
    <w:rsid w:val="00D70865"/>
    <w:rsid w:val="00D70870"/>
    <w:rsid w:val="00D70DCF"/>
    <w:rsid w:val="00D70F3A"/>
    <w:rsid w:val="00D710B4"/>
    <w:rsid w:val="00D7125E"/>
    <w:rsid w:val="00D712C9"/>
    <w:rsid w:val="00D71437"/>
    <w:rsid w:val="00D7157D"/>
    <w:rsid w:val="00D715C5"/>
    <w:rsid w:val="00D71922"/>
    <w:rsid w:val="00D71D78"/>
    <w:rsid w:val="00D72153"/>
    <w:rsid w:val="00D7223F"/>
    <w:rsid w:val="00D723FA"/>
    <w:rsid w:val="00D72639"/>
    <w:rsid w:val="00D729AD"/>
    <w:rsid w:val="00D72DE5"/>
    <w:rsid w:val="00D72F95"/>
    <w:rsid w:val="00D73090"/>
    <w:rsid w:val="00D730F5"/>
    <w:rsid w:val="00D73122"/>
    <w:rsid w:val="00D7342C"/>
    <w:rsid w:val="00D739D1"/>
    <w:rsid w:val="00D73D3C"/>
    <w:rsid w:val="00D73DA2"/>
    <w:rsid w:val="00D73E81"/>
    <w:rsid w:val="00D73FAC"/>
    <w:rsid w:val="00D7410C"/>
    <w:rsid w:val="00D74175"/>
    <w:rsid w:val="00D741BF"/>
    <w:rsid w:val="00D74295"/>
    <w:rsid w:val="00D742BC"/>
    <w:rsid w:val="00D748D9"/>
    <w:rsid w:val="00D7493B"/>
    <w:rsid w:val="00D74B44"/>
    <w:rsid w:val="00D74BC9"/>
    <w:rsid w:val="00D74C36"/>
    <w:rsid w:val="00D74D8A"/>
    <w:rsid w:val="00D750F9"/>
    <w:rsid w:val="00D75641"/>
    <w:rsid w:val="00D75956"/>
    <w:rsid w:val="00D75AFC"/>
    <w:rsid w:val="00D75B87"/>
    <w:rsid w:val="00D75D0B"/>
    <w:rsid w:val="00D76179"/>
    <w:rsid w:val="00D76255"/>
    <w:rsid w:val="00D7628F"/>
    <w:rsid w:val="00D762D3"/>
    <w:rsid w:val="00D762F8"/>
    <w:rsid w:val="00D7654E"/>
    <w:rsid w:val="00D766D1"/>
    <w:rsid w:val="00D76B8C"/>
    <w:rsid w:val="00D76CDE"/>
    <w:rsid w:val="00D76D19"/>
    <w:rsid w:val="00D76EBE"/>
    <w:rsid w:val="00D76FEF"/>
    <w:rsid w:val="00D77E3B"/>
    <w:rsid w:val="00D77E53"/>
    <w:rsid w:val="00D77E92"/>
    <w:rsid w:val="00D77F61"/>
    <w:rsid w:val="00D8010D"/>
    <w:rsid w:val="00D80164"/>
    <w:rsid w:val="00D8031F"/>
    <w:rsid w:val="00D803B4"/>
    <w:rsid w:val="00D8044F"/>
    <w:rsid w:val="00D80553"/>
    <w:rsid w:val="00D80592"/>
    <w:rsid w:val="00D80ADD"/>
    <w:rsid w:val="00D80DEF"/>
    <w:rsid w:val="00D80E95"/>
    <w:rsid w:val="00D81237"/>
    <w:rsid w:val="00D81274"/>
    <w:rsid w:val="00D81341"/>
    <w:rsid w:val="00D813E4"/>
    <w:rsid w:val="00D81510"/>
    <w:rsid w:val="00D8232D"/>
    <w:rsid w:val="00D823A9"/>
    <w:rsid w:val="00D82433"/>
    <w:rsid w:val="00D8248E"/>
    <w:rsid w:val="00D829F0"/>
    <w:rsid w:val="00D82D05"/>
    <w:rsid w:val="00D82D43"/>
    <w:rsid w:val="00D82E72"/>
    <w:rsid w:val="00D832A1"/>
    <w:rsid w:val="00D8366C"/>
    <w:rsid w:val="00D83832"/>
    <w:rsid w:val="00D83EE2"/>
    <w:rsid w:val="00D84386"/>
    <w:rsid w:val="00D846C2"/>
    <w:rsid w:val="00D84731"/>
    <w:rsid w:val="00D84B7C"/>
    <w:rsid w:val="00D84CB6"/>
    <w:rsid w:val="00D8539B"/>
    <w:rsid w:val="00D85483"/>
    <w:rsid w:val="00D85687"/>
    <w:rsid w:val="00D85823"/>
    <w:rsid w:val="00D85932"/>
    <w:rsid w:val="00D85A48"/>
    <w:rsid w:val="00D85AEF"/>
    <w:rsid w:val="00D85B0E"/>
    <w:rsid w:val="00D85DC3"/>
    <w:rsid w:val="00D85E2D"/>
    <w:rsid w:val="00D86463"/>
    <w:rsid w:val="00D864D8"/>
    <w:rsid w:val="00D86597"/>
    <w:rsid w:val="00D8692F"/>
    <w:rsid w:val="00D86AEA"/>
    <w:rsid w:val="00D86DAC"/>
    <w:rsid w:val="00D87281"/>
    <w:rsid w:val="00D87376"/>
    <w:rsid w:val="00D87530"/>
    <w:rsid w:val="00D876BA"/>
    <w:rsid w:val="00D878D9"/>
    <w:rsid w:val="00D90219"/>
    <w:rsid w:val="00D90779"/>
    <w:rsid w:val="00D9082E"/>
    <w:rsid w:val="00D90E48"/>
    <w:rsid w:val="00D9132F"/>
    <w:rsid w:val="00D91463"/>
    <w:rsid w:val="00D914F7"/>
    <w:rsid w:val="00D91518"/>
    <w:rsid w:val="00D91A0B"/>
    <w:rsid w:val="00D91B7B"/>
    <w:rsid w:val="00D91C96"/>
    <w:rsid w:val="00D91DCF"/>
    <w:rsid w:val="00D922BD"/>
    <w:rsid w:val="00D9246A"/>
    <w:rsid w:val="00D9248F"/>
    <w:rsid w:val="00D9270A"/>
    <w:rsid w:val="00D928CE"/>
    <w:rsid w:val="00D92AB1"/>
    <w:rsid w:val="00D92C29"/>
    <w:rsid w:val="00D92DC3"/>
    <w:rsid w:val="00D92EA2"/>
    <w:rsid w:val="00D92FE0"/>
    <w:rsid w:val="00D931A0"/>
    <w:rsid w:val="00D93484"/>
    <w:rsid w:val="00D934D4"/>
    <w:rsid w:val="00D93A51"/>
    <w:rsid w:val="00D93C2F"/>
    <w:rsid w:val="00D9424A"/>
    <w:rsid w:val="00D946D5"/>
    <w:rsid w:val="00D94758"/>
    <w:rsid w:val="00D94B53"/>
    <w:rsid w:val="00D94EBC"/>
    <w:rsid w:val="00D94F9C"/>
    <w:rsid w:val="00D956FA"/>
    <w:rsid w:val="00D95736"/>
    <w:rsid w:val="00D95932"/>
    <w:rsid w:val="00D95BC6"/>
    <w:rsid w:val="00D95F78"/>
    <w:rsid w:val="00D96274"/>
    <w:rsid w:val="00D963FB"/>
    <w:rsid w:val="00D9676A"/>
    <w:rsid w:val="00D9680A"/>
    <w:rsid w:val="00D96ED5"/>
    <w:rsid w:val="00D9713A"/>
    <w:rsid w:val="00D9731E"/>
    <w:rsid w:val="00D97445"/>
    <w:rsid w:val="00D974D2"/>
    <w:rsid w:val="00DA049C"/>
    <w:rsid w:val="00DA09FC"/>
    <w:rsid w:val="00DA0A83"/>
    <w:rsid w:val="00DA0DC4"/>
    <w:rsid w:val="00DA0F82"/>
    <w:rsid w:val="00DA1677"/>
    <w:rsid w:val="00DA1AE0"/>
    <w:rsid w:val="00DA1F1D"/>
    <w:rsid w:val="00DA1FFA"/>
    <w:rsid w:val="00DA2125"/>
    <w:rsid w:val="00DA2587"/>
    <w:rsid w:val="00DA2E7D"/>
    <w:rsid w:val="00DA32A9"/>
    <w:rsid w:val="00DA3613"/>
    <w:rsid w:val="00DA379C"/>
    <w:rsid w:val="00DA37CF"/>
    <w:rsid w:val="00DA4973"/>
    <w:rsid w:val="00DA4A50"/>
    <w:rsid w:val="00DA4E52"/>
    <w:rsid w:val="00DA4ED1"/>
    <w:rsid w:val="00DA5151"/>
    <w:rsid w:val="00DA5354"/>
    <w:rsid w:val="00DA5585"/>
    <w:rsid w:val="00DA58F5"/>
    <w:rsid w:val="00DA5B3F"/>
    <w:rsid w:val="00DA6215"/>
    <w:rsid w:val="00DA67C2"/>
    <w:rsid w:val="00DA6889"/>
    <w:rsid w:val="00DA695A"/>
    <w:rsid w:val="00DA6BC3"/>
    <w:rsid w:val="00DA6FD5"/>
    <w:rsid w:val="00DA725A"/>
    <w:rsid w:val="00DA72B8"/>
    <w:rsid w:val="00DA73FC"/>
    <w:rsid w:val="00DA7529"/>
    <w:rsid w:val="00DA7765"/>
    <w:rsid w:val="00DA7AAC"/>
    <w:rsid w:val="00DA7D22"/>
    <w:rsid w:val="00DB01F1"/>
    <w:rsid w:val="00DB0A20"/>
    <w:rsid w:val="00DB0A89"/>
    <w:rsid w:val="00DB0BF5"/>
    <w:rsid w:val="00DB0EAB"/>
    <w:rsid w:val="00DB139A"/>
    <w:rsid w:val="00DB15A5"/>
    <w:rsid w:val="00DB177A"/>
    <w:rsid w:val="00DB1BE1"/>
    <w:rsid w:val="00DB1D71"/>
    <w:rsid w:val="00DB1E2E"/>
    <w:rsid w:val="00DB1EA9"/>
    <w:rsid w:val="00DB210F"/>
    <w:rsid w:val="00DB2188"/>
    <w:rsid w:val="00DB26A1"/>
    <w:rsid w:val="00DB2C55"/>
    <w:rsid w:val="00DB2CA4"/>
    <w:rsid w:val="00DB2E43"/>
    <w:rsid w:val="00DB30DA"/>
    <w:rsid w:val="00DB3572"/>
    <w:rsid w:val="00DB3582"/>
    <w:rsid w:val="00DB3617"/>
    <w:rsid w:val="00DB362F"/>
    <w:rsid w:val="00DB3D1F"/>
    <w:rsid w:val="00DB441F"/>
    <w:rsid w:val="00DB44DF"/>
    <w:rsid w:val="00DB4502"/>
    <w:rsid w:val="00DB4FB5"/>
    <w:rsid w:val="00DB5D24"/>
    <w:rsid w:val="00DB611A"/>
    <w:rsid w:val="00DB674A"/>
    <w:rsid w:val="00DB6D4A"/>
    <w:rsid w:val="00DB72CA"/>
    <w:rsid w:val="00DB73E9"/>
    <w:rsid w:val="00DB7876"/>
    <w:rsid w:val="00DB7B87"/>
    <w:rsid w:val="00DB7FDA"/>
    <w:rsid w:val="00DC00F8"/>
    <w:rsid w:val="00DC077F"/>
    <w:rsid w:val="00DC0793"/>
    <w:rsid w:val="00DC0B0D"/>
    <w:rsid w:val="00DC0CA1"/>
    <w:rsid w:val="00DC0F1C"/>
    <w:rsid w:val="00DC0F4B"/>
    <w:rsid w:val="00DC117A"/>
    <w:rsid w:val="00DC119C"/>
    <w:rsid w:val="00DC12D9"/>
    <w:rsid w:val="00DC13E6"/>
    <w:rsid w:val="00DC256B"/>
    <w:rsid w:val="00DC26C0"/>
    <w:rsid w:val="00DC2896"/>
    <w:rsid w:val="00DC29DB"/>
    <w:rsid w:val="00DC2A67"/>
    <w:rsid w:val="00DC320E"/>
    <w:rsid w:val="00DC35CF"/>
    <w:rsid w:val="00DC36A9"/>
    <w:rsid w:val="00DC3C19"/>
    <w:rsid w:val="00DC4637"/>
    <w:rsid w:val="00DC4D12"/>
    <w:rsid w:val="00DC4D98"/>
    <w:rsid w:val="00DC4DB1"/>
    <w:rsid w:val="00DC4F7C"/>
    <w:rsid w:val="00DC5569"/>
    <w:rsid w:val="00DC5878"/>
    <w:rsid w:val="00DC5BCE"/>
    <w:rsid w:val="00DC5D29"/>
    <w:rsid w:val="00DC5D31"/>
    <w:rsid w:val="00DC5DA0"/>
    <w:rsid w:val="00DC60D5"/>
    <w:rsid w:val="00DC63FD"/>
    <w:rsid w:val="00DC6401"/>
    <w:rsid w:val="00DC6556"/>
    <w:rsid w:val="00DC66BE"/>
    <w:rsid w:val="00DC6857"/>
    <w:rsid w:val="00DC6DD4"/>
    <w:rsid w:val="00DC7760"/>
    <w:rsid w:val="00DC7B4C"/>
    <w:rsid w:val="00DC7BD5"/>
    <w:rsid w:val="00DC7BF2"/>
    <w:rsid w:val="00DC7E0D"/>
    <w:rsid w:val="00DC7E25"/>
    <w:rsid w:val="00DC7FF1"/>
    <w:rsid w:val="00DD011E"/>
    <w:rsid w:val="00DD06B2"/>
    <w:rsid w:val="00DD073A"/>
    <w:rsid w:val="00DD07BE"/>
    <w:rsid w:val="00DD08D3"/>
    <w:rsid w:val="00DD0D9A"/>
    <w:rsid w:val="00DD0E27"/>
    <w:rsid w:val="00DD1AE0"/>
    <w:rsid w:val="00DD1ED8"/>
    <w:rsid w:val="00DD1F6C"/>
    <w:rsid w:val="00DD2314"/>
    <w:rsid w:val="00DD2569"/>
    <w:rsid w:val="00DD2805"/>
    <w:rsid w:val="00DD2AC6"/>
    <w:rsid w:val="00DD2EF5"/>
    <w:rsid w:val="00DD326B"/>
    <w:rsid w:val="00DD3288"/>
    <w:rsid w:val="00DD331A"/>
    <w:rsid w:val="00DD33E7"/>
    <w:rsid w:val="00DD35A9"/>
    <w:rsid w:val="00DD35D6"/>
    <w:rsid w:val="00DD367B"/>
    <w:rsid w:val="00DD3C63"/>
    <w:rsid w:val="00DD3ED1"/>
    <w:rsid w:val="00DD403D"/>
    <w:rsid w:val="00DD4733"/>
    <w:rsid w:val="00DD49F8"/>
    <w:rsid w:val="00DD4AB2"/>
    <w:rsid w:val="00DD4CDD"/>
    <w:rsid w:val="00DD50CA"/>
    <w:rsid w:val="00DD52B2"/>
    <w:rsid w:val="00DD554E"/>
    <w:rsid w:val="00DD5872"/>
    <w:rsid w:val="00DD5AE4"/>
    <w:rsid w:val="00DD5BDA"/>
    <w:rsid w:val="00DD5DA4"/>
    <w:rsid w:val="00DD5DF1"/>
    <w:rsid w:val="00DD6471"/>
    <w:rsid w:val="00DD6A74"/>
    <w:rsid w:val="00DD6AF2"/>
    <w:rsid w:val="00DD6CAB"/>
    <w:rsid w:val="00DD6CB7"/>
    <w:rsid w:val="00DD6F16"/>
    <w:rsid w:val="00DD7404"/>
    <w:rsid w:val="00DD7AE8"/>
    <w:rsid w:val="00DD7D42"/>
    <w:rsid w:val="00DD7F7F"/>
    <w:rsid w:val="00DE0237"/>
    <w:rsid w:val="00DE0385"/>
    <w:rsid w:val="00DE13E0"/>
    <w:rsid w:val="00DE194E"/>
    <w:rsid w:val="00DE1F93"/>
    <w:rsid w:val="00DE26BA"/>
    <w:rsid w:val="00DE273F"/>
    <w:rsid w:val="00DE2903"/>
    <w:rsid w:val="00DE2D48"/>
    <w:rsid w:val="00DE2D58"/>
    <w:rsid w:val="00DE341B"/>
    <w:rsid w:val="00DE3B64"/>
    <w:rsid w:val="00DE3E05"/>
    <w:rsid w:val="00DE425E"/>
    <w:rsid w:val="00DE43AB"/>
    <w:rsid w:val="00DE47EF"/>
    <w:rsid w:val="00DE4B27"/>
    <w:rsid w:val="00DE4C6B"/>
    <w:rsid w:val="00DE4C6C"/>
    <w:rsid w:val="00DE4D26"/>
    <w:rsid w:val="00DE5367"/>
    <w:rsid w:val="00DE55A9"/>
    <w:rsid w:val="00DE599E"/>
    <w:rsid w:val="00DE5B1C"/>
    <w:rsid w:val="00DE5EEA"/>
    <w:rsid w:val="00DE622D"/>
    <w:rsid w:val="00DE6359"/>
    <w:rsid w:val="00DE63C1"/>
    <w:rsid w:val="00DE6439"/>
    <w:rsid w:val="00DE66A0"/>
    <w:rsid w:val="00DE66F0"/>
    <w:rsid w:val="00DE6CE2"/>
    <w:rsid w:val="00DE6EA9"/>
    <w:rsid w:val="00DE6EFA"/>
    <w:rsid w:val="00DE72BB"/>
    <w:rsid w:val="00DE72E5"/>
    <w:rsid w:val="00DE7548"/>
    <w:rsid w:val="00DE76D5"/>
    <w:rsid w:val="00DE7A75"/>
    <w:rsid w:val="00DE7B28"/>
    <w:rsid w:val="00DE7D86"/>
    <w:rsid w:val="00DF036B"/>
    <w:rsid w:val="00DF07FA"/>
    <w:rsid w:val="00DF091F"/>
    <w:rsid w:val="00DF09A6"/>
    <w:rsid w:val="00DF0A04"/>
    <w:rsid w:val="00DF0D04"/>
    <w:rsid w:val="00DF0EC3"/>
    <w:rsid w:val="00DF0EF4"/>
    <w:rsid w:val="00DF1009"/>
    <w:rsid w:val="00DF104D"/>
    <w:rsid w:val="00DF1362"/>
    <w:rsid w:val="00DF1421"/>
    <w:rsid w:val="00DF14E2"/>
    <w:rsid w:val="00DF1944"/>
    <w:rsid w:val="00DF1BCC"/>
    <w:rsid w:val="00DF21E3"/>
    <w:rsid w:val="00DF236B"/>
    <w:rsid w:val="00DF2521"/>
    <w:rsid w:val="00DF28E0"/>
    <w:rsid w:val="00DF2A5F"/>
    <w:rsid w:val="00DF2ABE"/>
    <w:rsid w:val="00DF2C50"/>
    <w:rsid w:val="00DF2F23"/>
    <w:rsid w:val="00DF301F"/>
    <w:rsid w:val="00DF324E"/>
    <w:rsid w:val="00DF392F"/>
    <w:rsid w:val="00DF3AAB"/>
    <w:rsid w:val="00DF42AC"/>
    <w:rsid w:val="00DF4696"/>
    <w:rsid w:val="00DF4986"/>
    <w:rsid w:val="00DF4F29"/>
    <w:rsid w:val="00DF5613"/>
    <w:rsid w:val="00DF58D1"/>
    <w:rsid w:val="00DF590C"/>
    <w:rsid w:val="00DF594C"/>
    <w:rsid w:val="00DF5A0E"/>
    <w:rsid w:val="00DF5A2E"/>
    <w:rsid w:val="00DF5C10"/>
    <w:rsid w:val="00DF5C4C"/>
    <w:rsid w:val="00DF6378"/>
    <w:rsid w:val="00DF6636"/>
    <w:rsid w:val="00DF6F7E"/>
    <w:rsid w:val="00DF6FC9"/>
    <w:rsid w:val="00DF6FE9"/>
    <w:rsid w:val="00DF72F7"/>
    <w:rsid w:val="00DF769B"/>
    <w:rsid w:val="00DF7A37"/>
    <w:rsid w:val="00DF7AB5"/>
    <w:rsid w:val="00DF7D37"/>
    <w:rsid w:val="00DF7E42"/>
    <w:rsid w:val="00E000CA"/>
    <w:rsid w:val="00E001FF"/>
    <w:rsid w:val="00E002CB"/>
    <w:rsid w:val="00E0048E"/>
    <w:rsid w:val="00E00939"/>
    <w:rsid w:val="00E00FFE"/>
    <w:rsid w:val="00E0113A"/>
    <w:rsid w:val="00E0134B"/>
    <w:rsid w:val="00E019B5"/>
    <w:rsid w:val="00E01AE6"/>
    <w:rsid w:val="00E01AF4"/>
    <w:rsid w:val="00E01BB2"/>
    <w:rsid w:val="00E01CB6"/>
    <w:rsid w:val="00E01FF8"/>
    <w:rsid w:val="00E0224F"/>
    <w:rsid w:val="00E024FB"/>
    <w:rsid w:val="00E02587"/>
    <w:rsid w:val="00E029D7"/>
    <w:rsid w:val="00E02A17"/>
    <w:rsid w:val="00E02A95"/>
    <w:rsid w:val="00E02E56"/>
    <w:rsid w:val="00E02FEE"/>
    <w:rsid w:val="00E03546"/>
    <w:rsid w:val="00E036A6"/>
    <w:rsid w:val="00E0394F"/>
    <w:rsid w:val="00E03EFD"/>
    <w:rsid w:val="00E04060"/>
    <w:rsid w:val="00E041D6"/>
    <w:rsid w:val="00E046DB"/>
    <w:rsid w:val="00E04A09"/>
    <w:rsid w:val="00E04ABA"/>
    <w:rsid w:val="00E04C35"/>
    <w:rsid w:val="00E04F25"/>
    <w:rsid w:val="00E04FC4"/>
    <w:rsid w:val="00E0529F"/>
    <w:rsid w:val="00E0530F"/>
    <w:rsid w:val="00E05F6A"/>
    <w:rsid w:val="00E06004"/>
    <w:rsid w:val="00E060F2"/>
    <w:rsid w:val="00E06370"/>
    <w:rsid w:val="00E0673F"/>
    <w:rsid w:val="00E067F7"/>
    <w:rsid w:val="00E0685B"/>
    <w:rsid w:val="00E069C9"/>
    <w:rsid w:val="00E069FA"/>
    <w:rsid w:val="00E06D36"/>
    <w:rsid w:val="00E06E71"/>
    <w:rsid w:val="00E06E93"/>
    <w:rsid w:val="00E07167"/>
    <w:rsid w:val="00E07720"/>
    <w:rsid w:val="00E10083"/>
    <w:rsid w:val="00E107C6"/>
    <w:rsid w:val="00E11384"/>
    <w:rsid w:val="00E114B5"/>
    <w:rsid w:val="00E11C82"/>
    <w:rsid w:val="00E11CD4"/>
    <w:rsid w:val="00E11D0B"/>
    <w:rsid w:val="00E1229F"/>
    <w:rsid w:val="00E1257C"/>
    <w:rsid w:val="00E12827"/>
    <w:rsid w:val="00E12D49"/>
    <w:rsid w:val="00E12DEE"/>
    <w:rsid w:val="00E12F02"/>
    <w:rsid w:val="00E1328C"/>
    <w:rsid w:val="00E135D7"/>
    <w:rsid w:val="00E13641"/>
    <w:rsid w:val="00E13662"/>
    <w:rsid w:val="00E13B96"/>
    <w:rsid w:val="00E13FC1"/>
    <w:rsid w:val="00E147EE"/>
    <w:rsid w:val="00E148C3"/>
    <w:rsid w:val="00E14BAF"/>
    <w:rsid w:val="00E14C8C"/>
    <w:rsid w:val="00E153D6"/>
    <w:rsid w:val="00E1574E"/>
    <w:rsid w:val="00E15757"/>
    <w:rsid w:val="00E15CA5"/>
    <w:rsid w:val="00E16178"/>
    <w:rsid w:val="00E162B9"/>
    <w:rsid w:val="00E163A8"/>
    <w:rsid w:val="00E167C1"/>
    <w:rsid w:val="00E168F3"/>
    <w:rsid w:val="00E16A35"/>
    <w:rsid w:val="00E16CAF"/>
    <w:rsid w:val="00E16CEC"/>
    <w:rsid w:val="00E16D0E"/>
    <w:rsid w:val="00E1705A"/>
    <w:rsid w:val="00E1710F"/>
    <w:rsid w:val="00E17324"/>
    <w:rsid w:val="00E173B9"/>
    <w:rsid w:val="00E17500"/>
    <w:rsid w:val="00E17939"/>
    <w:rsid w:val="00E1795F"/>
    <w:rsid w:val="00E200B6"/>
    <w:rsid w:val="00E204DD"/>
    <w:rsid w:val="00E20800"/>
    <w:rsid w:val="00E208C3"/>
    <w:rsid w:val="00E20A24"/>
    <w:rsid w:val="00E20AC5"/>
    <w:rsid w:val="00E20E98"/>
    <w:rsid w:val="00E21370"/>
    <w:rsid w:val="00E215E7"/>
    <w:rsid w:val="00E217A9"/>
    <w:rsid w:val="00E219B4"/>
    <w:rsid w:val="00E21A00"/>
    <w:rsid w:val="00E21D84"/>
    <w:rsid w:val="00E2240D"/>
    <w:rsid w:val="00E224A3"/>
    <w:rsid w:val="00E224E7"/>
    <w:rsid w:val="00E22552"/>
    <w:rsid w:val="00E228A5"/>
    <w:rsid w:val="00E228C2"/>
    <w:rsid w:val="00E2298C"/>
    <w:rsid w:val="00E22FDE"/>
    <w:rsid w:val="00E2329C"/>
    <w:rsid w:val="00E2396F"/>
    <w:rsid w:val="00E2397E"/>
    <w:rsid w:val="00E23A45"/>
    <w:rsid w:val="00E23A5F"/>
    <w:rsid w:val="00E240F6"/>
    <w:rsid w:val="00E247AA"/>
    <w:rsid w:val="00E2492F"/>
    <w:rsid w:val="00E24E01"/>
    <w:rsid w:val="00E250B7"/>
    <w:rsid w:val="00E2536C"/>
    <w:rsid w:val="00E253C5"/>
    <w:rsid w:val="00E25551"/>
    <w:rsid w:val="00E255D2"/>
    <w:rsid w:val="00E25877"/>
    <w:rsid w:val="00E258D1"/>
    <w:rsid w:val="00E25ADC"/>
    <w:rsid w:val="00E25D90"/>
    <w:rsid w:val="00E25F45"/>
    <w:rsid w:val="00E26023"/>
    <w:rsid w:val="00E260F9"/>
    <w:rsid w:val="00E26186"/>
    <w:rsid w:val="00E262FB"/>
    <w:rsid w:val="00E26385"/>
    <w:rsid w:val="00E266B9"/>
    <w:rsid w:val="00E26A60"/>
    <w:rsid w:val="00E27205"/>
    <w:rsid w:val="00E27242"/>
    <w:rsid w:val="00E27864"/>
    <w:rsid w:val="00E2789B"/>
    <w:rsid w:val="00E30029"/>
    <w:rsid w:val="00E3012F"/>
    <w:rsid w:val="00E30222"/>
    <w:rsid w:val="00E30413"/>
    <w:rsid w:val="00E30435"/>
    <w:rsid w:val="00E304CF"/>
    <w:rsid w:val="00E30761"/>
    <w:rsid w:val="00E309CD"/>
    <w:rsid w:val="00E310E1"/>
    <w:rsid w:val="00E3128D"/>
    <w:rsid w:val="00E31297"/>
    <w:rsid w:val="00E316AE"/>
    <w:rsid w:val="00E31DB0"/>
    <w:rsid w:val="00E31E3E"/>
    <w:rsid w:val="00E32062"/>
    <w:rsid w:val="00E32107"/>
    <w:rsid w:val="00E3212F"/>
    <w:rsid w:val="00E32236"/>
    <w:rsid w:val="00E3235C"/>
    <w:rsid w:val="00E3267B"/>
    <w:rsid w:val="00E3285A"/>
    <w:rsid w:val="00E32AA7"/>
    <w:rsid w:val="00E32B99"/>
    <w:rsid w:val="00E32BC4"/>
    <w:rsid w:val="00E32C9A"/>
    <w:rsid w:val="00E32F49"/>
    <w:rsid w:val="00E32F92"/>
    <w:rsid w:val="00E3343C"/>
    <w:rsid w:val="00E336D8"/>
    <w:rsid w:val="00E33C47"/>
    <w:rsid w:val="00E33E34"/>
    <w:rsid w:val="00E33E40"/>
    <w:rsid w:val="00E3411C"/>
    <w:rsid w:val="00E34174"/>
    <w:rsid w:val="00E34930"/>
    <w:rsid w:val="00E34BB6"/>
    <w:rsid w:val="00E34EFD"/>
    <w:rsid w:val="00E3505B"/>
    <w:rsid w:val="00E35190"/>
    <w:rsid w:val="00E354DC"/>
    <w:rsid w:val="00E359ED"/>
    <w:rsid w:val="00E363FD"/>
    <w:rsid w:val="00E364E3"/>
    <w:rsid w:val="00E366D7"/>
    <w:rsid w:val="00E36960"/>
    <w:rsid w:val="00E36A40"/>
    <w:rsid w:val="00E370D0"/>
    <w:rsid w:val="00E37464"/>
    <w:rsid w:val="00E374BD"/>
    <w:rsid w:val="00E37A7F"/>
    <w:rsid w:val="00E37C45"/>
    <w:rsid w:val="00E37CF7"/>
    <w:rsid w:val="00E37FB2"/>
    <w:rsid w:val="00E400C7"/>
    <w:rsid w:val="00E40140"/>
    <w:rsid w:val="00E404CD"/>
    <w:rsid w:val="00E408FC"/>
    <w:rsid w:val="00E40B27"/>
    <w:rsid w:val="00E40D26"/>
    <w:rsid w:val="00E40DCC"/>
    <w:rsid w:val="00E40EF2"/>
    <w:rsid w:val="00E417C5"/>
    <w:rsid w:val="00E42D6B"/>
    <w:rsid w:val="00E42ECB"/>
    <w:rsid w:val="00E4319B"/>
    <w:rsid w:val="00E43440"/>
    <w:rsid w:val="00E436EC"/>
    <w:rsid w:val="00E43D64"/>
    <w:rsid w:val="00E44273"/>
    <w:rsid w:val="00E44960"/>
    <w:rsid w:val="00E44E13"/>
    <w:rsid w:val="00E4501B"/>
    <w:rsid w:val="00E4517A"/>
    <w:rsid w:val="00E4571F"/>
    <w:rsid w:val="00E45ACA"/>
    <w:rsid w:val="00E45B7B"/>
    <w:rsid w:val="00E45F83"/>
    <w:rsid w:val="00E46139"/>
    <w:rsid w:val="00E46495"/>
    <w:rsid w:val="00E464D6"/>
    <w:rsid w:val="00E4684D"/>
    <w:rsid w:val="00E46D83"/>
    <w:rsid w:val="00E4700D"/>
    <w:rsid w:val="00E47479"/>
    <w:rsid w:val="00E4749D"/>
    <w:rsid w:val="00E4755F"/>
    <w:rsid w:val="00E476D4"/>
    <w:rsid w:val="00E47C69"/>
    <w:rsid w:val="00E47EEC"/>
    <w:rsid w:val="00E5028D"/>
    <w:rsid w:val="00E50BCE"/>
    <w:rsid w:val="00E50DD9"/>
    <w:rsid w:val="00E50F62"/>
    <w:rsid w:val="00E510D8"/>
    <w:rsid w:val="00E513C4"/>
    <w:rsid w:val="00E51403"/>
    <w:rsid w:val="00E51441"/>
    <w:rsid w:val="00E51453"/>
    <w:rsid w:val="00E51805"/>
    <w:rsid w:val="00E51916"/>
    <w:rsid w:val="00E51C64"/>
    <w:rsid w:val="00E5255C"/>
    <w:rsid w:val="00E52691"/>
    <w:rsid w:val="00E52750"/>
    <w:rsid w:val="00E52871"/>
    <w:rsid w:val="00E52A21"/>
    <w:rsid w:val="00E52AC8"/>
    <w:rsid w:val="00E52C0E"/>
    <w:rsid w:val="00E52C36"/>
    <w:rsid w:val="00E5405A"/>
    <w:rsid w:val="00E54709"/>
    <w:rsid w:val="00E547A4"/>
    <w:rsid w:val="00E5488D"/>
    <w:rsid w:val="00E54B90"/>
    <w:rsid w:val="00E54C7F"/>
    <w:rsid w:val="00E54D33"/>
    <w:rsid w:val="00E551DE"/>
    <w:rsid w:val="00E55322"/>
    <w:rsid w:val="00E5556F"/>
    <w:rsid w:val="00E55626"/>
    <w:rsid w:val="00E5566A"/>
    <w:rsid w:val="00E55977"/>
    <w:rsid w:val="00E55A44"/>
    <w:rsid w:val="00E55EED"/>
    <w:rsid w:val="00E560AD"/>
    <w:rsid w:val="00E560FF"/>
    <w:rsid w:val="00E563B6"/>
    <w:rsid w:val="00E563D1"/>
    <w:rsid w:val="00E5647B"/>
    <w:rsid w:val="00E56B38"/>
    <w:rsid w:val="00E56C83"/>
    <w:rsid w:val="00E56D5F"/>
    <w:rsid w:val="00E56F15"/>
    <w:rsid w:val="00E570A8"/>
    <w:rsid w:val="00E578BF"/>
    <w:rsid w:val="00E57A96"/>
    <w:rsid w:val="00E57B99"/>
    <w:rsid w:val="00E57CE0"/>
    <w:rsid w:val="00E6023F"/>
    <w:rsid w:val="00E60463"/>
    <w:rsid w:val="00E6047A"/>
    <w:rsid w:val="00E6049C"/>
    <w:rsid w:val="00E60558"/>
    <w:rsid w:val="00E605C9"/>
    <w:rsid w:val="00E605FC"/>
    <w:rsid w:val="00E60B40"/>
    <w:rsid w:val="00E60B83"/>
    <w:rsid w:val="00E60C66"/>
    <w:rsid w:val="00E60D15"/>
    <w:rsid w:val="00E60FBE"/>
    <w:rsid w:val="00E613FB"/>
    <w:rsid w:val="00E6154A"/>
    <w:rsid w:val="00E6167D"/>
    <w:rsid w:val="00E61A2A"/>
    <w:rsid w:val="00E62695"/>
    <w:rsid w:val="00E6277F"/>
    <w:rsid w:val="00E62933"/>
    <w:rsid w:val="00E62FCC"/>
    <w:rsid w:val="00E630C5"/>
    <w:rsid w:val="00E6340F"/>
    <w:rsid w:val="00E6371C"/>
    <w:rsid w:val="00E639E4"/>
    <w:rsid w:val="00E63FCF"/>
    <w:rsid w:val="00E64227"/>
    <w:rsid w:val="00E64272"/>
    <w:rsid w:val="00E64B17"/>
    <w:rsid w:val="00E64FA2"/>
    <w:rsid w:val="00E64FBE"/>
    <w:rsid w:val="00E6560A"/>
    <w:rsid w:val="00E65AB9"/>
    <w:rsid w:val="00E65E6B"/>
    <w:rsid w:val="00E65EB7"/>
    <w:rsid w:val="00E6619D"/>
    <w:rsid w:val="00E661DC"/>
    <w:rsid w:val="00E667BD"/>
    <w:rsid w:val="00E667CC"/>
    <w:rsid w:val="00E66A3A"/>
    <w:rsid w:val="00E672B1"/>
    <w:rsid w:val="00E7050F"/>
    <w:rsid w:val="00E70902"/>
    <w:rsid w:val="00E70B39"/>
    <w:rsid w:val="00E70B57"/>
    <w:rsid w:val="00E70C9F"/>
    <w:rsid w:val="00E70CC2"/>
    <w:rsid w:val="00E70CDD"/>
    <w:rsid w:val="00E710BB"/>
    <w:rsid w:val="00E71857"/>
    <w:rsid w:val="00E718FE"/>
    <w:rsid w:val="00E719E1"/>
    <w:rsid w:val="00E71C49"/>
    <w:rsid w:val="00E71C9B"/>
    <w:rsid w:val="00E71D78"/>
    <w:rsid w:val="00E71F3D"/>
    <w:rsid w:val="00E72068"/>
    <w:rsid w:val="00E7278C"/>
    <w:rsid w:val="00E72B20"/>
    <w:rsid w:val="00E72BB7"/>
    <w:rsid w:val="00E72C6F"/>
    <w:rsid w:val="00E72E38"/>
    <w:rsid w:val="00E73562"/>
    <w:rsid w:val="00E73615"/>
    <w:rsid w:val="00E73B0E"/>
    <w:rsid w:val="00E73C1A"/>
    <w:rsid w:val="00E742FC"/>
    <w:rsid w:val="00E74348"/>
    <w:rsid w:val="00E74A6D"/>
    <w:rsid w:val="00E74D43"/>
    <w:rsid w:val="00E74ED8"/>
    <w:rsid w:val="00E74F48"/>
    <w:rsid w:val="00E7532B"/>
    <w:rsid w:val="00E75692"/>
    <w:rsid w:val="00E7583F"/>
    <w:rsid w:val="00E75A14"/>
    <w:rsid w:val="00E75D55"/>
    <w:rsid w:val="00E75E20"/>
    <w:rsid w:val="00E7636B"/>
    <w:rsid w:val="00E767F0"/>
    <w:rsid w:val="00E769FC"/>
    <w:rsid w:val="00E771D5"/>
    <w:rsid w:val="00E77839"/>
    <w:rsid w:val="00E77A0C"/>
    <w:rsid w:val="00E77DF7"/>
    <w:rsid w:val="00E80013"/>
    <w:rsid w:val="00E80749"/>
    <w:rsid w:val="00E809C9"/>
    <w:rsid w:val="00E80C9B"/>
    <w:rsid w:val="00E80CB8"/>
    <w:rsid w:val="00E80E30"/>
    <w:rsid w:val="00E81611"/>
    <w:rsid w:val="00E8168E"/>
    <w:rsid w:val="00E8210C"/>
    <w:rsid w:val="00E8229D"/>
    <w:rsid w:val="00E82D55"/>
    <w:rsid w:val="00E83037"/>
    <w:rsid w:val="00E831B6"/>
    <w:rsid w:val="00E832D5"/>
    <w:rsid w:val="00E83B4E"/>
    <w:rsid w:val="00E83EC2"/>
    <w:rsid w:val="00E83F57"/>
    <w:rsid w:val="00E84384"/>
    <w:rsid w:val="00E84484"/>
    <w:rsid w:val="00E845D0"/>
    <w:rsid w:val="00E84CD8"/>
    <w:rsid w:val="00E85130"/>
    <w:rsid w:val="00E8569D"/>
    <w:rsid w:val="00E85771"/>
    <w:rsid w:val="00E8578F"/>
    <w:rsid w:val="00E85A56"/>
    <w:rsid w:val="00E85B0D"/>
    <w:rsid w:val="00E85DD1"/>
    <w:rsid w:val="00E85F2F"/>
    <w:rsid w:val="00E862B3"/>
    <w:rsid w:val="00E86617"/>
    <w:rsid w:val="00E86A70"/>
    <w:rsid w:val="00E86AD9"/>
    <w:rsid w:val="00E87447"/>
    <w:rsid w:val="00E87662"/>
    <w:rsid w:val="00E8784B"/>
    <w:rsid w:val="00E87881"/>
    <w:rsid w:val="00E90024"/>
    <w:rsid w:val="00E90247"/>
    <w:rsid w:val="00E90482"/>
    <w:rsid w:val="00E904C4"/>
    <w:rsid w:val="00E90971"/>
    <w:rsid w:val="00E90BA5"/>
    <w:rsid w:val="00E90D5B"/>
    <w:rsid w:val="00E90EB2"/>
    <w:rsid w:val="00E916F1"/>
    <w:rsid w:val="00E91EDF"/>
    <w:rsid w:val="00E92423"/>
    <w:rsid w:val="00E92EB0"/>
    <w:rsid w:val="00E92EFB"/>
    <w:rsid w:val="00E93289"/>
    <w:rsid w:val="00E93A4C"/>
    <w:rsid w:val="00E94B1F"/>
    <w:rsid w:val="00E94D16"/>
    <w:rsid w:val="00E951B0"/>
    <w:rsid w:val="00E9522A"/>
    <w:rsid w:val="00E95298"/>
    <w:rsid w:val="00E95378"/>
    <w:rsid w:val="00E95632"/>
    <w:rsid w:val="00E95945"/>
    <w:rsid w:val="00E95C8C"/>
    <w:rsid w:val="00E9615A"/>
    <w:rsid w:val="00E96318"/>
    <w:rsid w:val="00E96AAE"/>
    <w:rsid w:val="00E96B8A"/>
    <w:rsid w:val="00E96D0A"/>
    <w:rsid w:val="00E97344"/>
    <w:rsid w:val="00E9751C"/>
    <w:rsid w:val="00E976E3"/>
    <w:rsid w:val="00E97757"/>
    <w:rsid w:val="00E978D2"/>
    <w:rsid w:val="00E97C30"/>
    <w:rsid w:val="00EA0200"/>
    <w:rsid w:val="00EA05F6"/>
    <w:rsid w:val="00EA0B78"/>
    <w:rsid w:val="00EA0B84"/>
    <w:rsid w:val="00EA12A0"/>
    <w:rsid w:val="00EA185D"/>
    <w:rsid w:val="00EA2156"/>
    <w:rsid w:val="00EA22E5"/>
    <w:rsid w:val="00EA231B"/>
    <w:rsid w:val="00EA247A"/>
    <w:rsid w:val="00EA278B"/>
    <w:rsid w:val="00EA3636"/>
    <w:rsid w:val="00EA3929"/>
    <w:rsid w:val="00EA3A8D"/>
    <w:rsid w:val="00EA3E36"/>
    <w:rsid w:val="00EA3F11"/>
    <w:rsid w:val="00EA4942"/>
    <w:rsid w:val="00EA4B52"/>
    <w:rsid w:val="00EA50C7"/>
    <w:rsid w:val="00EA520F"/>
    <w:rsid w:val="00EA521A"/>
    <w:rsid w:val="00EA5533"/>
    <w:rsid w:val="00EA5C9B"/>
    <w:rsid w:val="00EA5F6D"/>
    <w:rsid w:val="00EA5FBC"/>
    <w:rsid w:val="00EA6037"/>
    <w:rsid w:val="00EA61AB"/>
    <w:rsid w:val="00EA67DD"/>
    <w:rsid w:val="00EA67E6"/>
    <w:rsid w:val="00EA6852"/>
    <w:rsid w:val="00EA68C8"/>
    <w:rsid w:val="00EA6D77"/>
    <w:rsid w:val="00EA7221"/>
    <w:rsid w:val="00EA732D"/>
    <w:rsid w:val="00EA73DE"/>
    <w:rsid w:val="00EA7759"/>
    <w:rsid w:val="00EA78E6"/>
    <w:rsid w:val="00EA7A63"/>
    <w:rsid w:val="00EA7A91"/>
    <w:rsid w:val="00EA7E43"/>
    <w:rsid w:val="00EB0187"/>
    <w:rsid w:val="00EB01AA"/>
    <w:rsid w:val="00EB04AA"/>
    <w:rsid w:val="00EB0845"/>
    <w:rsid w:val="00EB0B48"/>
    <w:rsid w:val="00EB0FE6"/>
    <w:rsid w:val="00EB1279"/>
    <w:rsid w:val="00EB1648"/>
    <w:rsid w:val="00EB16C7"/>
    <w:rsid w:val="00EB1855"/>
    <w:rsid w:val="00EB1AAF"/>
    <w:rsid w:val="00EB237B"/>
    <w:rsid w:val="00EB302E"/>
    <w:rsid w:val="00EB30C3"/>
    <w:rsid w:val="00EB30C9"/>
    <w:rsid w:val="00EB30CC"/>
    <w:rsid w:val="00EB330D"/>
    <w:rsid w:val="00EB33F2"/>
    <w:rsid w:val="00EB34B0"/>
    <w:rsid w:val="00EB363C"/>
    <w:rsid w:val="00EB384C"/>
    <w:rsid w:val="00EB3A9A"/>
    <w:rsid w:val="00EB3C43"/>
    <w:rsid w:val="00EB3DC7"/>
    <w:rsid w:val="00EB3DD8"/>
    <w:rsid w:val="00EB3E7E"/>
    <w:rsid w:val="00EB482F"/>
    <w:rsid w:val="00EB48D8"/>
    <w:rsid w:val="00EB494A"/>
    <w:rsid w:val="00EB4AAB"/>
    <w:rsid w:val="00EB4F31"/>
    <w:rsid w:val="00EB51F9"/>
    <w:rsid w:val="00EB554A"/>
    <w:rsid w:val="00EB5592"/>
    <w:rsid w:val="00EB569D"/>
    <w:rsid w:val="00EB5D4E"/>
    <w:rsid w:val="00EB5FF1"/>
    <w:rsid w:val="00EB6067"/>
    <w:rsid w:val="00EB6090"/>
    <w:rsid w:val="00EB64D8"/>
    <w:rsid w:val="00EB6EE4"/>
    <w:rsid w:val="00EB725D"/>
    <w:rsid w:val="00EB7842"/>
    <w:rsid w:val="00EB7961"/>
    <w:rsid w:val="00EB7BEF"/>
    <w:rsid w:val="00EC0849"/>
    <w:rsid w:val="00EC088B"/>
    <w:rsid w:val="00EC0BF2"/>
    <w:rsid w:val="00EC10E8"/>
    <w:rsid w:val="00EC11AF"/>
    <w:rsid w:val="00EC15E1"/>
    <w:rsid w:val="00EC186B"/>
    <w:rsid w:val="00EC198B"/>
    <w:rsid w:val="00EC1C44"/>
    <w:rsid w:val="00EC1F32"/>
    <w:rsid w:val="00EC1F83"/>
    <w:rsid w:val="00EC2257"/>
    <w:rsid w:val="00EC261D"/>
    <w:rsid w:val="00EC2EFA"/>
    <w:rsid w:val="00EC3428"/>
    <w:rsid w:val="00EC3453"/>
    <w:rsid w:val="00EC3A2B"/>
    <w:rsid w:val="00EC3B19"/>
    <w:rsid w:val="00EC41BB"/>
    <w:rsid w:val="00EC4303"/>
    <w:rsid w:val="00EC4540"/>
    <w:rsid w:val="00EC4994"/>
    <w:rsid w:val="00EC4A89"/>
    <w:rsid w:val="00EC4B3D"/>
    <w:rsid w:val="00EC52B1"/>
    <w:rsid w:val="00EC568E"/>
    <w:rsid w:val="00EC5B63"/>
    <w:rsid w:val="00EC5C49"/>
    <w:rsid w:val="00EC6507"/>
    <w:rsid w:val="00EC6559"/>
    <w:rsid w:val="00EC67EA"/>
    <w:rsid w:val="00EC67F4"/>
    <w:rsid w:val="00EC69B0"/>
    <w:rsid w:val="00EC6C51"/>
    <w:rsid w:val="00EC6EA5"/>
    <w:rsid w:val="00EC7A1B"/>
    <w:rsid w:val="00EC7CCC"/>
    <w:rsid w:val="00EC7DF7"/>
    <w:rsid w:val="00EC7EAA"/>
    <w:rsid w:val="00EC7F3E"/>
    <w:rsid w:val="00ED0624"/>
    <w:rsid w:val="00ED0674"/>
    <w:rsid w:val="00ED06BA"/>
    <w:rsid w:val="00ED0C57"/>
    <w:rsid w:val="00ED0D8A"/>
    <w:rsid w:val="00ED0DBC"/>
    <w:rsid w:val="00ED118E"/>
    <w:rsid w:val="00ED1390"/>
    <w:rsid w:val="00ED18BC"/>
    <w:rsid w:val="00ED1D71"/>
    <w:rsid w:val="00ED25A8"/>
    <w:rsid w:val="00ED260A"/>
    <w:rsid w:val="00ED264F"/>
    <w:rsid w:val="00ED282A"/>
    <w:rsid w:val="00ED2B3D"/>
    <w:rsid w:val="00ED3218"/>
    <w:rsid w:val="00ED3638"/>
    <w:rsid w:val="00ED38F0"/>
    <w:rsid w:val="00ED3A28"/>
    <w:rsid w:val="00ED3B3D"/>
    <w:rsid w:val="00ED3C7A"/>
    <w:rsid w:val="00ED4022"/>
    <w:rsid w:val="00ED4B7E"/>
    <w:rsid w:val="00ED5164"/>
    <w:rsid w:val="00ED52C2"/>
    <w:rsid w:val="00ED56D5"/>
    <w:rsid w:val="00ED598C"/>
    <w:rsid w:val="00ED59E0"/>
    <w:rsid w:val="00ED5C30"/>
    <w:rsid w:val="00ED5EC2"/>
    <w:rsid w:val="00ED5FA6"/>
    <w:rsid w:val="00ED6230"/>
    <w:rsid w:val="00ED681D"/>
    <w:rsid w:val="00ED69B6"/>
    <w:rsid w:val="00ED6A36"/>
    <w:rsid w:val="00ED6C39"/>
    <w:rsid w:val="00ED6C68"/>
    <w:rsid w:val="00ED6D6E"/>
    <w:rsid w:val="00ED6F18"/>
    <w:rsid w:val="00ED6F43"/>
    <w:rsid w:val="00ED6F52"/>
    <w:rsid w:val="00ED73E4"/>
    <w:rsid w:val="00ED7604"/>
    <w:rsid w:val="00EE00E6"/>
    <w:rsid w:val="00EE01D2"/>
    <w:rsid w:val="00EE034B"/>
    <w:rsid w:val="00EE0723"/>
    <w:rsid w:val="00EE085D"/>
    <w:rsid w:val="00EE0B37"/>
    <w:rsid w:val="00EE0EBA"/>
    <w:rsid w:val="00EE120B"/>
    <w:rsid w:val="00EE12FA"/>
    <w:rsid w:val="00EE1715"/>
    <w:rsid w:val="00EE1785"/>
    <w:rsid w:val="00EE1A00"/>
    <w:rsid w:val="00EE1D6E"/>
    <w:rsid w:val="00EE1FF9"/>
    <w:rsid w:val="00EE21EC"/>
    <w:rsid w:val="00EE228F"/>
    <w:rsid w:val="00EE2AED"/>
    <w:rsid w:val="00EE2B74"/>
    <w:rsid w:val="00EE31F3"/>
    <w:rsid w:val="00EE322F"/>
    <w:rsid w:val="00EE3448"/>
    <w:rsid w:val="00EE3889"/>
    <w:rsid w:val="00EE40BD"/>
    <w:rsid w:val="00EE482D"/>
    <w:rsid w:val="00EE4B18"/>
    <w:rsid w:val="00EE4FE5"/>
    <w:rsid w:val="00EE5757"/>
    <w:rsid w:val="00EE5C50"/>
    <w:rsid w:val="00EE5E36"/>
    <w:rsid w:val="00EE60EF"/>
    <w:rsid w:val="00EE64E7"/>
    <w:rsid w:val="00EE6BC9"/>
    <w:rsid w:val="00EE6BDB"/>
    <w:rsid w:val="00EE6CA0"/>
    <w:rsid w:val="00EE7142"/>
    <w:rsid w:val="00EE7173"/>
    <w:rsid w:val="00EE7CDF"/>
    <w:rsid w:val="00EE7F7A"/>
    <w:rsid w:val="00EF033E"/>
    <w:rsid w:val="00EF04B5"/>
    <w:rsid w:val="00EF0542"/>
    <w:rsid w:val="00EF0B3C"/>
    <w:rsid w:val="00EF0B95"/>
    <w:rsid w:val="00EF0E19"/>
    <w:rsid w:val="00EF110F"/>
    <w:rsid w:val="00EF12A9"/>
    <w:rsid w:val="00EF12E6"/>
    <w:rsid w:val="00EF166B"/>
    <w:rsid w:val="00EF18AB"/>
    <w:rsid w:val="00EF1C85"/>
    <w:rsid w:val="00EF1DFC"/>
    <w:rsid w:val="00EF293C"/>
    <w:rsid w:val="00EF2B9E"/>
    <w:rsid w:val="00EF2BB7"/>
    <w:rsid w:val="00EF2C0E"/>
    <w:rsid w:val="00EF34B0"/>
    <w:rsid w:val="00EF3624"/>
    <w:rsid w:val="00EF3A7C"/>
    <w:rsid w:val="00EF414E"/>
    <w:rsid w:val="00EF43AC"/>
    <w:rsid w:val="00EF4443"/>
    <w:rsid w:val="00EF44F2"/>
    <w:rsid w:val="00EF450D"/>
    <w:rsid w:val="00EF4A85"/>
    <w:rsid w:val="00EF4EF9"/>
    <w:rsid w:val="00EF4F50"/>
    <w:rsid w:val="00EF552B"/>
    <w:rsid w:val="00EF594B"/>
    <w:rsid w:val="00EF5A03"/>
    <w:rsid w:val="00EF6010"/>
    <w:rsid w:val="00EF6086"/>
    <w:rsid w:val="00EF6223"/>
    <w:rsid w:val="00EF64B4"/>
    <w:rsid w:val="00EF69DA"/>
    <w:rsid w:val="00EF6D5B"/>
    <w:rsid w:val="00EF6F4F"/>
    <w:rsid w:val="00EF6FDB"/>
    <w:rsid w:val="00EF71D7"/>
    <w:rsid w:val="00EF71FD"/>
    <w:rsid w:val="00EF727B"/>
    <w:rsid w:val="00EF7487"/>
    <w:rsid w:val="00EF7583"/>
    <w:rsid w:val="00EF766C"/>
    <w:rsid w:val="00EF7767"/>
    <w:rsid w:val="00EF7815"/>
    <w:rsid w:val="00EF7861"/>
    <w:rsid w:val="00EF788E"/>
    <w:rsid w:val="00EF7BBB"/>
    <w:rsid w:val="00EF7D27"/>
    <w:rsid w:val="00EF7F3C"/>
    <w:rsid w:val="00F00296"/>
    <w:rsid w:val="00F002E6"/>
    <w:rsid w:val="00F006EA"/>
    <w:rsid w:val="00F00847"/>
    <w:rsid w:val="00F0087F"/>
    <w:rsid w:val="00F01249"/>
    <w:rsid w:val="00F016B2"/>
    <w:rsid w:val="00F01887"/>
    <w:rsid w:val="00F018DA"/>
    <w:rsid w:val="00F01A10"/>
    <w:rsid w:val="00F01F72"/>
    <w:rsid w:val="00F020EC"/>
    <w:rsid w:val="00F0227C"/>
    <w:rsid w:val="00F0272A"/>
    <w:rsid w:val="00F02839"/>
    <w:rsid w:val="00F0284E"/>
    <w:rsid w:val="00F03193"/>
    <w:rsid w:val="00F03F62"/>
    <w:rsid w:val="00F04091"/>
    <w:rsid w:val="00F04134"/>
    <w:rsid w:val="00F045A0"/>
    <w:rsid w:val="00F04996"/>
    <w:rsid w:val="00F04BD2"/>
    <w:rsid w:val="00F04D79"/>
    <w:rsid w:val="00F04E6F"/>
    <w:rsid w:val="00F04FA1"/>
    <w:rsid w:val="00F0537E"/>
    <w:rsid w:val="00F05835"/>
    <w:rsid w:val="00F05BB2"/>
    <w:rsid w:val="00F05C13"/>
    <w:rsid w:val="00F05D7A"/>
    <w:rsid w:val="00F05DCA"/>
    <w:rsid w:val="00F05DD0"/>
    <w:rsid w:val="00F061D8"/>
    <w:rsid w:val="00F06C78"/>
    <w:rsid w:val="00F06D55"/>
    <w:rsid w:val="00F06D89"/>
    <w:rsid w:val="00F06F01"/>
    <w:rsid w:val="00F07436"/>
    <w:rsid w:val="00F07C68"/>
    <w:rsid w:val="00F1004B"/>
    <w:rsid w:val="00F104A2"/>
    <w:rsid w:val="00F106D6"/>
    <w:rsid w:val="00F106FA"/>
    <w:rsid w:val="00F10C56"/>
    <w:rsid w:val="00F10D47"/>
    <w:rsid w:val="00F10DEA"/>
    <w:rsid w:val="00F11487"/>
    <w:rsid w:val="00F115BC"/>
    <w:rsid w:val="00F11695"/>
    <w:rsid w:val="00F117D9"/>
    <w:rsid w:val="00F11A1C"/>
    <w:rsid w:val="00F11EA0"/>
    <w:rsid w:val="00F1212C"/>
    <w:rsid w:val="00F128B8"/>
    <w:rsid w:val="00F1299E"/>
    <w:rsid w:val="00F12A29"/>
    <w:rsid w:val="00F12A97"/>
    <w:rsid w:val="00F12DF8"/>
    <w:rsid w:val="00F12E13"/>
    <w:rsid w:val="00F12EB5"/>
    <w:rsid w:val="00F12FF2"/>
    <w:rsid w:val="00F1343F"/>
    <w:rsid w:val="00F134DE"/>
    <w:rsid w:val="00F13564"/>
    <w:rsid w:val="00F13915"/>
    <w:rsid w:val="00F13934"/>
    <w:rsid w:val="00F13A21"/>
    <w:rsid w:val="00F13EED"/>
    <w:rsid w:val="00F13F2E"/>
    <w:rsid w:val="00F14345"/>
    <w:rsid w:val="00F14377"/>
    <w:rsid w:val="00F147BE"/>
    <w:rsid w:val="00F149B5"/>
    <w:rsid w:val="00F14EB1"/>
    <w:rsid w:val="00F15658"/>
    <w:rsid w:val="00F15C41"/>
    <w:rsid w:val="00F16536"/>
    <w:rsid w:val="00F16584"/>
    <w:rsid w:val="00F16716"/>
    <w:rsid w:val="00F168AD"/>
    <w:rsid w:val="00F16AD3"/>
    <w:rsid w:val="00F16B2E"/>
    <w:rsid w:val="00F16B8A"/>
    <w:rsid w:val="00F16BD4"/>
    <w:rsid w:val="00F175FE"/>
    <w:rsid w:val="00F1780F"/>
    <w:rsid w:val="00F17D6C"/>
    <w:rsid w:val="00F17E19"/>
    <w:rsid w:val="00F20898"/>
    <w:rsid w:val="00F208DE"/>
    <w:rsid w:val="00F20C65"/>
    <w:rsid w:val="00F20F7A"/>
    <w:rsid w:val="00F21202"/>
    <w:rsid w:val="00F217A0"/>
    <w:rsid w:val="00F217CE"/>
    <w:rsid w:val="00F21D19"/>
    <w:rsid w:val="00F224C4"/>
    <w:rsid w:val="00F22D53"/>
    <w:rsid w:val="00F23050"/>
    <w:rsid w:val="00F23349"/>
    <w:rsid w:val="00F2342D"/>
    <w:rsid w:val="00F235BE"/>
    <w:rsid w:val="00F23826"/>
    <w:rsid w:val="00F23968"/>
    <w:rsid w:val="00F23ACA"/>
    <w:rsid w:val="00F245FB"/>
    <w:rsid w:val="00F24870"/>
    <w:rsid w:val="00F24E6D"/>
    <w:rsid w:val="00F25334"/>
    <w:rsid w:val="00F2563E"/>
    <w:rsid w:val="00F25755"/>
    <w:rsid w:val="00F25886"/>
    <w:rsid w:val="00F25893"/>
    <w:rsid w:val="00F25AD4"/>
    <w:rsid w:val="00F25BE6"/>
    <w:rsid w:val="00F2634D"/>
    <w:rsid w:val="00F265BF"/>
    <w:rsid w:val="00F26B26"/>
    <w:rsid w:val="00F26ECE"/>
    <w:rsid w:val="00F26EF7"/>
    <w:rsid w:val="00F270E6"/>
    <w:rsid w:val="00F27166"/>
    <w:rsid w:val="00F275A5"/>
    <w:rsid w:val="00F275C2"/>
    <w:rsid w:val="00F276D8"/>
    <w:rsid w:val="00F27794"/>
    <w:rsid w:val="00F278F0"/>
    <w:rsid w:val="00F278F6"/>
    <w:rsid w:val="00F27B8A"/>
    <w:rsid w:val="00F27CC8"/>
    <w:rsid w:val="00F3011E"/>
    <w:rsid w:val="00F30660"/>
    <w:rsid w:val="00F30902"/>
    <w:rsid w:val="00F3096E"/>
    <w:rsid w:val="00F30A55"/>
    <w:rsid w:val="00F30B1E"/>
    <w:rsid w:val="00F30BD3"/>
    <w:rsid w:val="00F316EF"/>
    <w:rsid w:val="00F319B8"/>
    <w:rsid w:val="00F319BA"/>
    <w:rsid w:val="00F31A08"/>
    <w:rsid w:val="00F31B48"/>
    <w:rsid w:val="00F32015"/>
    <w:rsid w:val="00F32036"/>
    <w:rsid w:val="00F32641"/>
    <w:rsid w:val="00F32768"/>
    <w:rsid w:val="00F32979"/>
    <w:rsid w:val="00F32986"/>
    <w:rsid w:val="00F32A4E"/>
    <w:rsid w:val="00F33169"/>
    <w:rsid w:val="00F3345D"/>
    <w:rsid w:val="00F3375B"/>
    <w:rsid w:val="00F3399B"/>
    <w:rsid w:val="00F33B45"/>
    <w:rsid w:val="00F33BAE"/>
    <w:rsid w:val="00F33BDE"/>
    <w:rsid w:val="00F33CA7"/>
    <w:rsid w:val="00F34511"/>
    <w:rsid w:val="00F34B9B"/>
    <w:rsid w:val="00F352A6"/>
    <w:rsid w:val="00F3574A"/>
    <w:rsid w:val="00F35796"/>
    <w:rsid w:val="00F357F3"/>
    <w:rsid w:val="00F35AA3"/>
    <w:rsid w:val="00F362AE"/>
    <w:rsid w:val="00F362C1"/>
    <w:rsid w:val="00F36480"/>
    <w:rsid w:val="00F36490"/>
    <w:rsid w:val="00F368BC"/>
    <w:rsid w:val="00F36A44"/>
    <w:rsid w:val="00F36EC6"/>
    <w:rsid w:val="00F37355"/>
    <w:rsid w:val="00F377E2"/>
    <w:rsid w:val="00F37E48"/>
    <w:rsid w:val="00F400D9"/>
    <w:rsid w:val="00F402C3"/>
    <w:rsid w:val="00F40480"/>
    <w:rsid w:val="00F40652"/>
    <w:rsid w:val="00F40680"/>
    <w:rsid w:val="00F40974"/>
    <w:rsid w:val="00F40A07"/>
    <w:rsid w:val="00F40B4D"/>
    <w:rsid w:val="00F4110B"/>
    <w:rsid w:val="00F41632"/>
    <w:rsid w:val="00F41A30"/>
    <w:rsid w:val="00F41F6F"/>
    <w:rsid w:val="00F41FFA"/>
    <w:rsid w:val="00F4200B"/>
    <w:rsid w:val="00F4257D"/>
    <w:rsid w:val="00F42620"/>
    <w:rsid w:val="00F42811"/>
    <w:rsid w:val="00F428A3"/>
    <w:rsid w:val="00F42A1A"/>
    <w:rsid w:val="00F43253"/>
    <w:rsid w:val="00F4358B"/>
    <w:rsid w:val="00F441E5"/>
    <w:rsid w:val="00F44A7D"/>
    <w:rsid w:val="00F44E1C"/>
    <w:rsid w:val="00F451E4"/>
    <w:rsid w:val="00F45485"/>
    <w:rsid w:val="00F458B3"/>
    <w:rsid w:val="00F45E3C"/>
    <w:rsid w:val="00F45F66"/>
    <w:rsid w:val="00F45FD0"/>
    <w:rsid w:val="00F46290"/>
    <w:rsid w:val="00F46683"/>
    <w:rsid w:val="00F46CE3"/>
    <w:rsid w:val="00F46DC9"/>
    <w:rsid w:val="00F46FA1"/>
    <w:rsid w:val="00F47161"/>
    <w:rsid w:val="00F471E3"/>
    <w:rsid w:val="00F4732B"/>
    <w:rsid w:val="00F47E53"/>
    <w:rsid w:val="00F47EDA"/>
    <w:rsid w:val="00F47F44"/>
    <w:rsid w:val="00F47FCB"/>
    <w:rsid w:val="00F50112"/>
    <w:rsid w:val="00F503A5"/>
    <w:rsid w:val="00F50400"/>
    <w:rsid w:val="00F5076C"/>
    <w:rsid w:val="00F507A5"/>
    <w:rsid w:val="00F50B58"/>
    <w:rsid w:val="00F50D91"/>
    <w:rsid w:val="00F50F84"/>
    <w:rsid w:val="00F5170D"/>
    <w:rsid w:val="00F51AC9"/>
    <w:rsid w:val="00F51D01"/>
    <w:rsid w:val="00F51D6E"/>
    <w:rsid w:val="00F51DFA"/>
    <w:rsid w:val="00F51F26"/>
    <w:rsid w:val="00F521C6"/>
    <w:rsid w:val="00F521ED"/>
    <w:rsid w:val="00F526F1"/>
    <w:rsid w:val="00F52BA8"/>
    <w:rsid w:val="00F52C83"/>
    <w:rsid w:val="00F52DDD"/>
    <w:rsid w:val="00F5316F"/>
    <w:rsid w:val="00F531D5"/>
    <w:rsid w:val="00F53412"/>
    <w:rsid w:val="00F5373D"/>
    <w:rsid w:val="00F537B5"/>
    <w:rsid w:val="00F538EA"/>
    <w:rsid w:val="00F53900"/>
    <w:rsid w:val="00F53AEE"/>
    <w:rsid w:val="00F53D57"/>
    <w:rsid w:val="00F53E93"/>
    <w:rsid w:val="00F53EA2"/>
    <w:rsid w:val="00F5412B"/>
    <w:rsid w:val="00F5418B"/>
    <w:rsid w:val="00F5420C"/>
    <w:rsid w:val="00F54219"/>
    <w:rsid w:val="00F54222"/>
    <w:rsid w:val="00F54A59"/>
    <w:rsid w:val="00F54FF9"/>
    <w:rsid w:val="00F552DE"/>
    <w:rsid w:val="00F553A5"/>
    <w:rsid w:val="00F554A6"/>
    <w:rsid w:val="00F5555A"/>
    <w:rsid w:val="00F55620"/>
    <w:rsid w:val="00F556F3"/>
    <w:rsid w:val="00F558E1"/>
    <w:rsid w:val="00F55903"/>
    <w:rsid w:val="00F55CB8"/>
    <w:rsid w:val="00F55F07"/>
    <w:rsid w:val="00F55F68"/>
    <w:rsid w:val="00F5609C"/>
    <w:rsid w:val="00F5624A"/>
    <w:rsid w:val="00F5658C"/>
    <w:rsid w:val="00F56C32"/>
    <w:rsid w:val="00F572F5"/>
    <w:rsid w:val="00F5785D"/>
    <w:rsid w:val="00F60839"/>
    <w:rsid w:val="00F60EC6"/>
    <w:rsid w:val="00F60FD9"/>
    <w:rsid w:val="00F611F1"/>
    <w:rsid w:val="00F61207"/>
    <w:rsid w:val="00F6126C"/>
    <w:rsid w:val="00F613BC"/>
    <w:rsid w:val="00F6144C"/>
    <w:rsid w:val="00F6183C"/>
    <w:rsid w:val="00F61847"/>
    <w:rsid w:val="00F61D94"/>
    <w:rsid w:val="00F61E4E"/>
    <w:rsid w:val="00F61F73"/>
    <w:rsid w:val="00F61FE5"/>
    <w:rsid w:val="00F628AD"/>
    <w:rsid w:val="00F629E4"/>
    <w:rsid w:val="00F62A21"/>
    <w:rsid w:val="00F62BC7"/>
    <w:rsid w:val="00F62EE9"/>
    <w:rsid w:val="00F633DC"/>
    <w:rsid w:val="00F63C1D"/>
    <w:rsid w:val="00F63F1E"/>
    <w:rsid w:val="00F64122"/>
    <w:rsid w:val="00F64679"/>
    <w:rsid w:val="00F64A3C"/>
    <w:rsid w:val="00F64B6E"/>
    <w:rsid w:val="00F64F09"/>
    <w:rsid w:val="00F65018"/>
    <w:rsid w:val="00F6567F"/>
    <w:rsid w:val="00F6590F"/>
    <w:rsid w:val="00F65D14"/>
    <w:rsid w:val="00F65F4A"/>
    <w:rsid w:val="00F6634C"/>
    <w:rsid w:val="00F669CC"/>
    <w:rsid w:val="00F66CFA"/>
    <w:rsid w:val="00F66D25"/>
    <w:rsid w:val="00F66DA9"/>
    <w:rsid w:val="00F66FE8"/>
    <w:rsid w:val="00F6704E"/>
    <w:rsid w:val="00F673A1"/>
    <w:rsid w:val="00F67472"/>
    <w:rsid w:val="00F67790"/>
    <w:rsid w:val="00F70264"/>
    <w:rsid w:val="00F708E4"/>
    <w:rsid w:val="00F7090B"/>
    <w:rsid w:val="00F709D4"/>
    <w:rsid w:val="00F709DA"/>
    <w:rsid w:val="00F709FA"/>
    <w:rsid w:val="00F70BEC"/>
    <w:rsid w:val="00F7149A"/>
    <w:rsid w:val="00F71890"/>
    <w:rsid w:val="00F718F8"/>
    <w:rsid w:val="00F71DDD"/>
    <w:rsid w:val="00F71F47"/>
    <w:rsid w:val="00F720F0"/>
    <w:rsid w:val="00F720F1"/>
    <w:rsid w:val="00F726DC"/>
    <w:rsid w:val="00F727F7"/>
    <w:rsid w:val="00F736E9"/>
    <w:rsid w:val="00F73713"/>
    <w:rsid w:val="00F7372B"/>
    <w:rsid w:val="00F73915"/>
    <w:rsid w:val="00F7394D"/>
    <w:rsid w:val="00F73D51"/>
    <w:rsid w:val="00F74141"/>
    <w:rsid w:val="00F7461C"/>
    <w:rsid w:val="00F74A3E"/>
    <w:rsid w:val="00F750F0"/>
    <w:rsid w:val="00F7515B"/>
    <w:rsid w:val="00F75388"/>
    <w:rsid w:val="00F756D8"/>
    <w:rsid w:val="00F75736"/>
    <w:rsid w:val="00F75DD8"/>
    <w:rsid w:val="00F7604D"/>
    <w:rsid w:val="00F7605F"/>
    <w:rsid w:val="00F761EE"/>
    <w:rsid w:val="00F76296"/>
    <w:rsid w:val="00F764E0"/>
    <w:rsid w:val="00F765B2"/>
    <w:rsid w:val="00F76878"/>
    <w:rsid w:val="00F76881"/>
    <w:rsid w:val="00F76A9A"/>
    <w:rsid w:val="00F76D2A"/>
    <w:rsid w:val="00F770DC"/>
    <w:rsid w:val="00F771CA"/>
    <w:rsid w:val="00F77D6A"/>
    <w:rsid w:val="00F80228"/>
    <w:rsid w:val="00F80327"/>
    <w:rsid w:val="00F80539"/>
    <w:rsid w:val="00F807A4"/>
    <w:rsid w:val="00F807F4"/>
    <w:rsid w:val="00F80859"/>
    <w:rsid w:val="00F8091B"/>
    <w:rsid w:val="00F80DF2"/>
    <w:rsid w:val="00F80E41"/>
    <w:rsid w:val="00F813AC"/>
    <w:rsid w:val="00F815E1"/>
    <w:rsid w:val="00F81697"/>
    <w:rsid w:val="00F81CF4"/>
    <w:rsid w:val="00F81D4B"/>
    <w:rsid w:val="00F81E03"/>
    <w:rsid w:val="00F82494"/>
    <w:rsid w:val="00F824EE"/>
    <w:rsid w:val="00F8286A"/>
    <w:rsid w:val="00F8286E"/>
    <w:rsid w:val="00F829B6"/>
    <w:rsid w:val="00F82C2A"/>
    <w:rsid w:val="00F82C4F"/>
    <w:rsid w:val="00F82DCE"/>
    <w:rsid w:val="00F82F2E"/>
    <w:rsid w:val="00F83045"/>
    <w:rsid w:val="00F832EC"/>
    <w:rsid w:val="00F83462"/>
    <w:rsid w:val="00F83771"/>
    <w:rsid w:val="00F84354"/>
    <w:rsid w:val="00F84B42"/>
    <w:rsid w:val="00F84BE6"/>
    <w:rsid w:val="00F84F62"/>
    <w:rsid w:val="00F8544D"/>
    <w:rsid w:val="00F85798"/>
    <w:rsid w:val="00F8579A"/>
    <w:rsid w:val="00F8587C"/>
    <w:rsid w:val="00F8596E"/>
    <w:rsid w:val="00F8598D"/>
    <w:rsid w:val="00F85E1D"/>
    <w:rsid w:val="00F85E39"/>
    <w:rsid w:val="00F85EC5"/>
    <w:rsid w:val="00F86516"/>
    <w:rsid w:val="00F867F6"/>
    <w:rsid w:val="00F86A3F"/>
    <w:rsid w:val="00F86B28"/>
    <w:rsid w:val="00F86C99"/>
    <w:rsid w:val="00F86D80"/>
    <w:rsid w:val="00F86DAB"/>
    <w:rsid w:val="00F87177"/>
    <w:rsid w:val="00F872D9"/>
    <w:rsid w:val="00F87399"/>
    <w:rsid w:val="00F874E2"/>
    <w:rsid w:val="00F878C8"/>
    <w:rsid w:val="00F87CDA"/>
    <w:rsid w:val="00F87EC8"/>
    <w:rsid w:val="00F87FCF"/>
    <w:rsid w:val="00F900A8"/>
    <w:rsid w:val="00F90255"/>
    <w:rsid w:val="00F90AEF"/>
    <w:rsid w:val="00F90EAC"/>
    <w:rsid w:val="00F915BD"/>
    <w:rsid w:val="00F91793"/>
    <w:rsid w:val="00F91954"/>
    <w:rsid w:val="00F91AC0"/>
    <w:rsid w:val="00F91E56"/>
    <w:rsid w:val="00F91FCD"/>
    <w:rsid w:val="00F922B8"/>
    <w:rsid w:val="00F92302"/>
    <w:rsid w:val="00F9258A"/>
    <w:rsid w:val="00F92E70"/>
    <w:rsid w:val="00F92F30"/>
    <w:rsid w:val="00F93058"/>
    <w:rsid w:val="00F93068"/>
    <w:rsid w:val="00F93078"/>
    <w:rsid w:val="00F930A3"/>
    <w:rsid w:val="00F93204"/>
    <w:rsid w:val="00F935A8"/>
    <w:rsid w:val="00F93873"/>
    <w:rsid w:val="00F938D8"/>
    <w:rsid w:val="00F93A32"/>
    <w:rsid w:val="00F93AB5"/>
    <w:rsid w:val="00F93D5C"/>
    <w:rsid w:val="00F93E2F"/>
    <w:rsid w:val="00F941BA"/>
    <w:rsid w:val="00F94374"/>
    <w:rsid w:val="00F94731"/>
    <w:rsid w:val="00F94B79"/>
    <w:rsid w:val="00F953A0"/>
    <w:rsid w:val="00F9557C"/>
    <w:rsid w:val="00F956C9"/>
    <w:rsid w:val="00F95F69"/>
    <w:rsid w:val="00F9608A"/>
    <w:rsid w:val="00F961C8"/>
    <w:rsid w:val="00F96977"/>
    <w:rsid w:val="00F97045"/>
    <w:rsid w:val="00F97146"/>
    <w:rsid w:val="00F97331"/>
    <w:rsid w:val="00F97456"/>
    <w:rsid w:val="00F974B9"/>
    <w:rsid w:val="00F97A84"/>
    <w:rsid w:val="00F97BD0"/>
    <w:rsid w:val="00F97C7E"/>
    <w:rsid w:val="00F97D09"/>
    <w:rsid w:val="00F97EEB"/>
    <w:rsid w:val="00FA00E6"/>
    <w:rsid w:val="00FA06F4"/>
    <w:rsid w:val="00FA086F"/>
    <w:rsid w:val="00FA08BD"/>
    <w:rsid w:val="00FA0AAA"/>
    <w:rsid w:val="00FA0EA8"/>
    <w:rsid w:val="00FA0FF5"/>
    <w:rsid w:val="00FA1D38"/>
    <w:rsid w:val="00FA1DAD"/>
    <w:rsid w:val="00FA1E53"/>
    <w:rsid w:val="00FA258B"/>
    <w:rsid w:val="00FA25BE"/>
    <w:rsid w:val="00FA2A6A"/>
    <w:rsid w:val="00FA2A72"/>
    <w:rsid w:val="00FA2D46"/>
    <w:rsid w:val="00FA301C"/>
    <w:rsid w:val="00FA337D"/>
    <w:rsid w:val="00FA368D"/>
    <w:rsid w:val="00FA479A"/>
    <w:rsid w:val="00FA4C57"/>
    <w:rsid w:val="00FA4CA3"/>
    <w:rsid w:val="00FA4E78"/>
    <w:rsid w:val="00FA4EB9"/>
    <w:rsid w:val="00FA4F5A"/>
    <w:rsid w:val="00FA51B4"/>
    <w:rsid w:val="00FA52E3"/>
    <w:rsid w:val="00FA55E9"/>
    <w:rsid w:val="00FA5831"/>
    <w:rsid w:val="00FA5C01"/>
    <w:rsid w:val="00FA5E33"/>
    <w:rsid w:val="00FA5E9E"/>
    <w:rsid w:val="00FA6789"/>
    <w:rsid w:val="00FA69F9"/>
    <w:rsid w:val="00FA6AB9"/>
    <w:rsid w:val="00FA70C4"/>
    <w:rsid w:val="00FA7B4D"/>
    <w:rsid w:val="00FA7FA0"/>
    <w:rsid w:val="00FB0603"/>
    <w:rsid w:val="00FB0837"/>
    <w:rsid w:val="00FB0873"/>
    <w:rsid w:val="00FB0A05"/>
    <w:rsid w:val="00FB0BA8"/>
    <w:rsid w:val="00FB0EBA"/>
    <w:rsid w:val="00FB0F48"/>
    <w:rsid w:val="00FB0FE1"/>
    <w:rsid w:val="00FB1131"/>
    <w:rsid w:val="00FB17FF"/>
    <w:rsid w:val="00FB1B4C"/>
    <w:rsid w:val="00FB21F6"/>
    <w:rsid w:val="00FB2362"/>
    <w:rsid w:val="00FB26AB"/>
    <w:rsid w:val="00FB2C11"/>
    <w:rsid w:val="00FB2DDC"/>
    <w:rsid w:val="00FB2F4A"/>
    <w:rsid w:val="00FB3190"/>
    <w:rsid w:val="00FB33BC"/>
    <w:rsid w:val="00FB3861"/>
    <w:rsid w:val="00FB39D1"/>
    <w:rsid w:val="00FB3C75"/>
    <w:rsid w:val="00FB3F52"/>
    <w:rsid w:val="00FB3F67"/>
    <w:rsid w:val="00FB3F6F"/>
    <w:rsid w:val="00FB40E9"/>
    <w:rsid w:val="00FB47D4"/>
    <w:rsid w:val="00FB496D"/>
    <w:rsid w:val="00FB4D64"/>
    <w:rsid w:val="00FB4F9F"/>
    <w:rsid w:val="00FB4FF5"/>
    <w:rsid w:val="00FB5301"/>
    <w:rsid w:val="00FB5AAD"/>
    <w:rsid w:val="00FB5B4B"/>
    <w:rsid w:val="00FB5B9B"/>
    <w:rsid w:val="00FB66CB"/>
    <w:rsid w:val="00FB673C"/>
    <w:rsid w:val="00FB6B3E"/>
    <w:rsid w:val="00FB6B78"/>
    <w:rsid w:val="00FB6BD6"/>
    <w:rsid w:val="00FB6E0D"/>
    <w:rsid w:val="00FB6EB8"/>
    <w:rsid w:val="00FB75AE"/>
    <w:rsid w:val="00FB7700"/>
    <w:rsid w:val="00FB7714"/>
    <w:rsid w:val="00FB7BFF"/>
    <w:rsid w:val="00FB7C7C"/>
    <w:rsid w:val="00FB7D22"/>
    <w:rsid w:val="00FB7D53"/>
    <w:rsid w:val="00FC03A5"/>
    <w:rsid w:val="00FC04FB"/>
    <w:rsid w:val="00FC0511"/>
    <w:rsid w:val="00FC0669"/>
    <w:rsid w:val="00FC06B6"/>
    <w:rsid w:val="00FC0845"/>
    <w:rsid w:val="00FC0BCC"/>
    <w:rsid w:val="00FC0E33"/>
    <w:rsid w:val="00FC0EC9"/>
    <w:rsid w:val="00FC0EEC"/>
    <w:rsid w:val="00FC10DA"/>
    <w:rsid w:val="00FC137F"/>
    <w:rsid w:val="00FC1415"/>
    <w:rsid w:val="00FC1496"/>
    <w:rsid w:val="00FC155C"/>
    <w:rsid w:val="00FC18ED"/>
    <w:rsid w:val="00FC1AED"/>
    <w:rsid w:val="00FC1BE0"/>
    <w:rsid w:val="00FC1C1A"/>
    <w:rsid w:val="00FC1C7F"/>
    <w:rsid w:val="00FC1D56"/>
    <w:rsid w:val="00FC216E"/>
    <w:rsid w:val="00FC216F"/>
    <w:rsid w:val="00FC231E"/>
    <w:rsid w:val="00FC2422"/>
    <w:rsid w:val="00FC261D"/>
    <w:rsid w:val="00FC271D"/>
    <w:rsid w:val="00FC2817"/>
    <w:rsid w:val="00FC2907"/>
    <w:rsid w:val="00FC292B"/>
    <w:rsid w:val="00FC304C"/>
    <w:rsid w:val="00FC3164"/>
    <w:rsid w:val="00FC3261"/>
    <w:rsid w:val="00FC33E4"/>
    <w:rsid w:val="00FC34CF"/>
    <w:rsid w:val="00FC3B4D"/>
    <w:rsid w:val="00FC3B5E"/>
    <w:rsid w:val="00FC3C87"/>
    <w:rsid w:val="00FC3F4C"/>
    <w:rsid w:val="00FC40C8"/>
    <w:rsid w:val="00FC410F"/>
    <w:rsid w:val="00FC431F"/>
    <w:rsid w:val="00FC4A1C"/>
    <w:rsid w:val="00FC4AB0"/>
    <w:rsid w:val="00FC4B46"/>
    <w:rsid w:val="00FC4E90"/>
    <w:rsid w:val="00FC4F6F"/>
    <w:rsid w:val="00FC4FDB"/>
    <w:rsid w:val="00FC5A53"/>
    <w:rsid w:val="00FC5AA3"/>
    <w:rsid w:val="00FC5C0E"/>
    <w:rsid w:val="00FC63F0"/>
    <w:rsid w:val="00FC6442"/>
    <w:rsid w:val="00FC6617"/>
    <w:rsid w:val="00FC6635"/>
    <w:rsid w:val="00FC67BF"/>
    <w:rsid w:val="00FC6A36"/>
    <w:rsid w:val="00FC6B6B"/>
    <w:rsid w:val="00FC6ECB"/>
    <w:rsid w:val="00FC7B46"/>
    <w:rsid w:val="00FC7B62"/>
    <w:rsid w:val="00FD0117"/>
    <w:rsid w:val="00FD018C"/>
    <w:rsid w:val="00FD060C"/>
    <w:rsid w:val="00FD069B"/>
    <w:rsid w:val="00FD0861"/>
    <w:rsid w:val="00FD0C66"/>
    <w:rsid w:val="00FD0F8C"/>
    <w:rsid w:val="00FD12CE"/>
    <w:rsid w:val="00FD1809"/>
    <w:rsid w:val="00FD1BCC"/>
    <w:rsid w:val="00FD1EB1"/>
    <w:rsid w:val="00FD1F5E"/>
    <w:rsid w:val="00FD2420"/>
    <w:rsid w:val="00FD2674"/>
    <w:rsid w:val="00FD288B"/>
    <w:rsid w:val="00FD29BB"/>
    <w:rsid w:val="00FD29F5"/>
    <w:rsid w:val="00FD2BB8"/>
    <w:rsid w:val="00FD2C0D"/>
    <w:rsid w:val="00FD2CA1"/>
    <w:rsid w:val="00FD3ACA"/>
    <w:rsid w:val="00FD3AD1"/>
    <w:rsid w:val="00FD3B75"/>
    <w:rsid w:val="00FD3DE0"/>
    <w:rsid w:val="00FD3E9D"/>
    <w:rsid w:val="00FD3F28"/>
    <w:rsid w:val="00FD4101"/>
    <w:rsid w:val="00FD4176"/>
    <w:rsid w:val="00FD434C"/>
    <w:rsid w:val="00FD43B8"/>
    <w:rsid w:val="00FD447F"/>
    <w:rsid w:val="00FD44A4"/>
    <w:rsid w:val="00FD461C"/>
    <w:rsid w:val="00FD47D1"/>
    <w:rsid w:val="00FD483F"/>
    <w:rsid w:val="00FD49BE"/>
    <w:rsid w:val="00FD4B7A"/>
    <w:rsid w:val="00FD4D0B"/>
    <w:rsid w:val="00FD5161"/>
    <w:rsid w:val="00FD5807"/>
    <w:rsid w:val="00FD58D8"/>
    <w:rsid w:val="00FD5DEA"/>
    <w:rsid w:val="00FD6777"/>
    <w:rsid w:val="00FD6780"/>
    <w:rsid w:val="00FD68B8"/>
    <w:rsid w:val="00FD6B95"/>
    <w:rsid w:val="00FD6D2C"/>
    <w:rsid w:val="00FD6F32"/>
    <w:rsid w:val="00FD79E4"/>
    <w:rsid w:val="00FD7C7B"/>
    <w:rsid w:val="00FD7EAD"/>
    <w:rsid w:val="00FD7F0F"/>
    <w:rsid w:val="00FE04D7"/>
    <w:rsid w:val="00FE0531"/>
    <w:rsid w:val="00FE0CF5"/>
    <w:rsid w:val="00FE0E65"/>
    <w:rsid w:val="00FE1544"/>
    <w:rsid w:val="00FE1757"/>
    <w:rsid w:val="00FE1866"/>
    <w:rsid w:val="00FE1BCC"/>
    <w:rsid w:val="00FE1C40"/>
    <w:rsid w:val="00FE1C84"/>
    <w:rsid w:val="00FE1FC0"/>
    <w:rsid w:val="00FE218F"/>
    <w:rsid w:val="00FE223B"/>
    <w:rsid w:val="00FE26DE"/>
    <w:rsid w:val="00FE2D12"/>
    <w:rsid w:val="00FE3337"/>
    <w:rsid w:val="00FE333B"/>
    <w:rsid w:val="00FE3804"/>
    <w:rsid w:val="00FE3810"/>
    <w:rsid w:val="00FE3AEF"/>
    <w:rsid w:val="00FE3B56"/>
    <w:rsid w:val="00FE3BE2"/>
    <w:rsid w:val="00FE461C"/>
    <w:rsid w:val="00FE469B"/>
    <w:rsid w:val="00FE47BB"/>
    <w:rsid w:val="00FE4A63"/>
    <w:rsid w:val="00FE4D74"/>
    <w:rsid w:val="00FE4E82"/>
    <w:rsid w:val="00FE4ECE"/>
    <w:rsid w:val="00FE5010"/>
    <w:rsid w:val="00FE50C7"/>
    <w:rsid w:val="00FE51C7"/>
    <w:rsid w:val="00FE51FD"/>
    <w:rsid w:val="00FE5217"/>
    <w:rsid w:val="00FE5401"/>
    <w:rsid w:val="00FE5509"/>
    <w:rsid w:val="00FE5A3F"/>
    <w:rsid w:val="00FE5C60"/>
    <w:rsid w:val="00FE5E18"/>
    <w:rsid w:val="00FE5E89"/>
    <w:rsid w:val="00FE5F7B"/>
    <w:rsid w:val="00FE625C"/>
    <w:rsid w:val="00FE640B"/>
    <w:rsid w:val="00FE6668"/>
    <w:rsid w:val="00FE678F"/>
    <w:rsid w:val="00FE691C"/>
    <w:rsid w:val="00FE6AE2"/>
    <w:rsid w:val="00FE6C95"/>
    <w:rsid w:val="00FE71F2"/>
    <w:rsid w:val="00FE7201"/>
    <w:rsid w:val="00FE73A5"/>
    <w:rsid w:val="00FE7581"/>
    <w:rsid w:val="00FE75F6"/>
    <w:rsid w:val="00FE765E"/>
    <w:rsid w:val="00FE78C8"/>
    <w:rsid w:val="00FE7DB9"/>
    <w:rsid w:val="00FF02D0"/>
    <w:rsid w:val="00FF0447"/>
    <w:rsid w:val="00FF048E"/>
    <w:rsid w:val="00FF05E8"/>
    <w:rsid w:val="00FF0746"/>
    <w:rsid w:val="00FF0817"/>
    <w:rsid w:val="00FF110B"/>
    <w:rsid w:val="00FF1406"/>
    <w:rsid w:val="00FF1914"/>
    <w:rsid w:val="00FF1962"/>
    <w:rsid w:val="00FF1A01"/>
    <w:rsid w:val="00FF1E97"/>
    <w:rsid w:val="00FF218A"/>
    <w:rsid w:val="00FF24A4"/>
    <w:rsid w:val="00FF2652"/>
    <w:rsid w:val="00FF2DB0"/>
    <w:rsid w:val="00FF2E76"/>
    <w:rsid w:val="00FF3479"/>
    <w:rsid w:val="00FF36E8"/>
    <w:rsid w:val="00FF3891"/>
    <w:rsid w:val="00FF3A5C"/>
    <w:rsid w:val="00FF3C14"/>
    <w:rsid w:val="00FF3DAE"/>
    <w:rsid w:val="00FF3E79"/>
    <w:rsid w:val="00FF4B7B"/>
    <w:rsid w:val="00FF4CB0"/>
    <w:rsid w:val="00FF4D55"/>
    <w:rsid w:val="00FF4E64"/>
    <w:rsid w:val="00FF4EDA"/>
    <w:rsid w:val="00FF51F0"/>
    <w:rsid w:val="00FF5363"/>
    <w:rsid w:val="00FF54B5"/>
    <w:rsid w:val="00FF57EF"/>
    <w:rsid w:val="00FF5A21"/>
    <w:rsid w:val="00FF5D4C"/>
    <w:rsid w:val="00FF5EBF"/>
    <w:rsid w:val="00FF62D5"/>
    <w:rsid w:val="00FF63B5"/>
    <w:rsid w:val="00FF65EA"/>
    <w:rsid w:val="00FF6A6A"/>
    <w:rsid w:val="00FF7168"/>
    <w:rsid w:val="00FF7435"/>
    <w:rsid w:val="00FF7895"/>
    <w:rsid w:val="00FF7C51"/>
    <w:rsid w:val="00FF7C7A"/>
    <w:rsid w:val="0101C353"/>
    <w:rsid w:val="010C6288"/>
    <w:rsid w:val="010CAA0D"/>
    <w:rsid w:val="016D74BF"/>
    <w:rsid w:val="016DCE0F"/>
    <w:rsid w:val="017ED23C"/>
    <w:rsid w:val="01A3AA90"/>
    <w:rsid w:val="01B7985D"/>
    <w:rsid w:val="0203D65D"/>
    <w:rsid w:val="022955D6"/>
    <w:rsid w:val="02685F86"/>
    <w:rsid w:val="026E5FFA"/>
    <w:rsid w:val="02972BC3"/>
    <w:rsid w:val="02A89118"/>
    <w:rsid w:val="02B606F8"/>
    <w:rsid w:val="034A9835"/>
    <w:rsid w:val="037DBB92"/>
    <w:rsid w:val="038ADB1B"/>
    <w:rsid w:val="03DBAF0C"/>
    <w:rsid w:val="03F26A05"/>
    <w:rsid w:val="0457AC70"/>
    <w:rsid w:val="0481A6B6"/>
    <w:rsid w:val="0492CC37"/>
    <w:rsid w:val="049EA724"/>
    <w:rsid w:val="04AC36D8"/>
    <w:rsid w:val="04C06E4B"/>
    <w:rsid w:val="04F53144"/>
    <w:rsid w:val="04FC3B79"/>
    <w:rsid w:val="0504E4B6"/>
    <w:rsid w:val="0517EC65"/>
    <w:rsid w:val="0522A12F"/>
    <w:rsid w:val="0533EE88"/>
    <w:rsid w:val="05855946"/>
    <w:rsid w:val="0596A139"/>
    <w:rsid w:val="05A086D7"/>
    <w:rsid w:val="05A29009"/>
    <w:rsid w:val="05A43DC2"/>
    <w:rsid w:val="061EF6CD"/>
    <w:rsid w:val="0665C32D"/>
    <w:rsid w:val="067B15F4"/>
    <w:rsid w:val="068F6A36"/>
    <w:rsid w:val="069AA060"/>
    <w:rsid w:val="06B90608"/>
    <w:rsid w:val="06CD91BC"/>
    <w:rsid w:val="06EFB5E3"/>
    <w:rsid w:val="0710EAEF"/>
    <w:rsid w:val="074A5628"/>
    <w:rsid w:val="0761F1B6"/>
    <w:rsid w:val="07894038"/>
    <w:rsid w:val="080B5541"/>
    <w:rsid w:val="085AC8CA"/>
    <w:rsid w:val="086009AC"/>
    <w:rsid w:val="08BD8863"/>
    <w:rsid w:val="08CE6F2A"/>
    <w:rsid w:val="08E0C80E"/>
    <w:rsid w:val="08EA1AC0"/>
    <w:rsid w:val="093F2CED"/>
    <w:rsid w:val="0944A9F5"/>
    <w:rsid w:val="094D5FF8"/>
    <w:rsid w:val="09706B45"/>
    <w:rsid w:val="097FA7D4"/>
    <w:rsid w:val="0994C57D"/>
    <w:rsid w:val="09B8B307"/>
    <w:rsid w:val="09C5AE3F"/>
    <w:rsid w:val="09D1CF44"/>
    <w:rsid w:val="09F936DA"/>
    <w:rsid w:val="0A0ED8F7"/>
    <w:rsid w:val="0A3445F6"/>
    <w:rsid w:val="0A5921E4"/>
    <w:rsid w:val="0A7D3AB3"/>
    <w:rsid w:val="0A8F7D3C"/>
    <w:rsid w:val="0AB0481F"/>
    <w:rsid w:val="0ABACEEB"/>
    <w:rsid w:val="0ABE4DE0"/>
    <w:rsid w:val="0ABF7492"/>
    <w:rsid w:val="0AC45F91"/>
    <w:rsid w:val="0AF88D48"/>
    <w:rsid w:val="0B1B864D"/>
    <w:rsid w:val="0B3B7FB3"/>
    <w:rsid w:val="0B4A05DE"/>
    <w:rsid w:val="0B60CE7C"/>
    <w:rsid w:val="0B66602D"/>
    <w:rsid w:val="0B90F452"/>
    <w:rsid w:val="0B9EB363"/>
    <w:rsid w:val="0BB081C0"/>
    <w:rsid w:val="0C225DBF"/>
    <w:rsid w:val="0C2B60FD"/>
    <w:rsid w:val="0C364B01"/>
    <w:rsid w:val="0C38C08F"/>
    <w:rsid w:val="0C88EF5D"/>
    <w:rsid w:val="0C922411"/>
    <w:rsid w:val="0C92970D"/>
    <w:rsid w:val="0C93FDC2"/>
    <w:rsid w:val="0CAE6F93"/>
    <w:rsid w:val="0CE31D32"/>
    <w:rsid w:val="0CE9912F"/>
    <w:rsid w:val="0D0361B2"/>
    <w:rsid w:val="0D429ED9"/>
    <w:rsid w:val="0D9127A7"/>
    <w:rsid w:val="0DA446E7"/>
    <w:rsid w:val="0DC755EA"/>
    <w:rsid w:val="0DFB220D"/>
    <w:rsid w:val="0E1131D8"/>
    <w:rsid w:val="0E39D125"/>
    <w:rsid w:val="0E4A1662"/>
    <w:rsid w:val="0E5A75A9"/>
    <w:rsid w:val="0EE27F40"/>
    <w:rsid w:val="0F2EDE89"/>
    <w:rsid w:val="0F4FEDC0"/>
    <w:rsid w:val="0F69E235"/>
    <w:rsid w:val="0FFC8E47"/>
    <w:rsid w:val="1000A6CA"/>
    <w:rsid w:val="10245714"/>
    <w:rsid w:val="1052FDCB"/>
    <w:rsid w:val="108F247A"/>
    <w:rsid w:val="10CAB8E8"/>
    <w:rsid w:val="1133E4D3"/>
    <w:rsid w:val="11448993"/>
    <w:rsid w:val="11574BAC"/>
    <w:rsid w:val="11595AA0"/>
    <w:rsid w:val="116601C1"/>
    <w:rsid w:val="11763C96"/>
    <w:rsid w:val="11D3C550"/>
    <w:rsid w:val="11E6834F"/>
    <w:rsid w:val="11FB9AD0"/>
    <w:rsid w:val="1244E781"/>
    <w:rsid w:val="126EBF26"/>
    <w:rsid w:val="12ADE70D"/>
    <w:rsid w:val="12EA91E4"/>
    <w:rsid w:val="12F98CBE"/>
    <w:rsid w:val="1314F54D"/>
    <w:rsid w:val="132AE9C0"/>
    <w:rsid w:val="1333E895"/>
    <w:rsid w:val="13424E9D"/>
    <w:rsid w:val="13D4367E"/>
    <w:rsid w:val="140235EA"/>
    <w:rsid w:val="1415C8A3"/>
    <w:rsid w:val="1448EE86"/>
    <w:rsid w:val="145F534C"/>
    <w:rsid w:val="14A4C728"/>
    <w:rsid w:val="1557119E"/>
    <w:rsid w:val="155B5364"/>
    <w:rsid w:val="157E0FF0"/>
    <w:rsid w:val="15C03451"/>
    <w:rsid w:val="15DE2B3E"/>
    <w:rsid w:val="15F03549"/>
    <w:rsid w:val="160205FE"/>
    <w:rsid w:val="160D25DF"/>
    <w:rsid w:val="1628C3D6"/>
    <w:rsid w:val="168CA54C"/>
    <w:rsid w:val="16BDD37A"/>
    <w:rsid w:val="1718B2B3"/>
    <w:rsid w:val="174583F5"/>
    <w:rsid w:val="174A8A98"/>
    <w:rsid w:val="174F53D4"/>
    <w:rsid w:val="17580DCF"/>
    <w:rsid w:val="1760FC3B"/>
    <w:rsid w:val="1765FC69"/>
    <w:rsid w:val="17730BB9"/>
    <w:rsid w:val="17857C25"/>
    <w:rsid w:val="17EA8A89"/>
    <w:rsid w:val="17F6F9D0"/>
    <w:rsid w:val="182179BB"/>
    <w:rsid w:val="187D3C4B"/>
    <w:rsid w:val="18BAB84A"/>
    <w:rsid w:val="18D72479"/>
    <w:rsid w:val="18E37D50"/>
    <w:rsid w:val="1926D329"/>
    <w:rsid w:val="193C4DED"/>
    <w:rsid w:val="196140D0"/>
    <w:rsid w:val="199A0376"/>
    <w:rsid w:val="19AAD0D0"/>
    <w:rsid w:val="19ABE807"/>
    <w:rsid w:val="19B25F36"/>
    <w:rsid w:val="19C417E3"/>
    <w:rsid w:val="19D66D90"/>
    <w:rsid w:val="19D6DAED"/>
    <w:rsid w:val="19DC24B3"/>
    <w:rsid w:val="19FFCCD9"/>
    <w:rsid w:val="1A22474C"/>
    <w:rsid w:val="1A2AEB29"/>
    <w:rsid w:val="1A349D11"/>
    <w:rsid w:val="1A68E308"/>
    <w:rsid w:val="1A742FF6"/>
    <w:rsid w:val="1A74E356"/>
    <w:rsid w:val="1A96F64D"/>
    <w:rsid w:val="1AB09CD5"/>
    <w:rsid w:val="1AF7FCB1"/>
    <w:rsid w:val="1B050AC3"/>
    <w:rsid w:val="1B35C6EB"/>
    <w:rsid w:val="1B6EFD82"/>
    <w:rsid w:val="1B79726E"/>
    <w:rsid w:val="1B99E6CA"/>
    <w:rsid w:val="1BB8D0AB"/>
    <w:rsid w:val="1BFB338D"/>
    <w:rsid w:val="1C7DF820"/>
    <w:rsid w:val="1C828D80"/>
    <w:rsid w:val="1C952EF8"/>
    <w:rsid w:val="1CB546EE"/>
    <w:rsid w:val="1CBF12F6"/>
    <w:rsid w:val="1CC00B69"/>
    <w:rsid w:val="1CCEC2A8"/>
    <w:rsid w:val="1CD3357B"/>
    <w:rsid w:val="1CE7FDB0"/>
    <w:rsid w:val="1D2012E3"/>
    <w:rsid w:val="1D8B144B"/>
    <w:rsid w:val="1DA64546"/>
    <w:rsid w:val="1DA8C227"/>
    <w:rsid w:val="1DCEBE8E"/>
    <w:rsid w:val="1DEA03EE"/>
    <w:rsid w:val="1DF655DC"/>
    <w:rsid w:val="1E1AC41A"/>
    <w:rsid w:val="1E4AD583"/>
    <w:rsid w:val="1E837C77"/>
    <w:rsid w:val="1EA1CA03"/>
    <w:rsid w:val="1EB74D38"/>
    <w:rsid w:val="1EC290F0"/>
    <w:rsid w:val="1ECB0615"/>
    <w:rsid w:val="1F3533D5"/>
    <w:rsid w:val="1F4C9F6E"/>
    <w:rsid w:val="1F6BB179"/>
    <w:rsid w:val="1FE03E4C"/>
    <w:rsid w:val="2011DCFE"/>
    <w:rsid w:val="201CA64F"/>
    <w:rsid w:val="205F6125"/>
    <w:rsid w:val="20641ADE"/>
    <w:rsid w:val="20658371"/>
    <w:rsid w:val="206F5780"/>
    <w:rsid w:val="2079E210"/>
    <w:rsid w:val="20EB74A0"/>
    <w:rsid w:val="20EFB44C"/>
    <w:rsid w:val="2107162F"/>
    <w:rsid w:val="210C9BF0"/>
    <w:rsid w:val="2153EF94"/>
    <w:rsid w:val="21659FC6"/>
    <w:rsid w:val="218C75DD"/>
    <w:rsid w:val="21AD78CF"/>
    <w:rsid w:val="21CBB0FD"/>
    <w:rsid w:val="21CFA06B"/>
    <w:rsid w:val="21D6EBFC"/>
    <w:rsid w:val="21DB77D1"/>
    <w:rsid w:val="220210BC"/>
    <w:rsid w:val="22049ACA"/>
    <w:rsid w:val="223B7735"/>
    <w:rsid w:val="22444388"/>
    <w:rsid w:val="225F959D"/>
    <w:rsid w:val="22BD718B"/>
    <w:rsid w:val="22BD8D0C"/>
    <w:rsid w:val="22CFEB16"/>
    <w:rsid w:val="22E56E8C"/>
    <w:rsid w:val="22F2FA9A"/>
    <w:rsid w:val="22FEB9FC"/>
    <w:rsid w:val="23087D28"/>
    <w:rsid w:val="237D536D"/>
    <w:rsid w:val="23A7EF45"/>
    <w:rsid w:val="23C3D6A0"/>
    <w:rsid w:val="23D19A0A"/>
    <w:rsid w:val="23EE7E46"/>
    <w:rsid w:val="242698D2"/>
    <w:rsid w:val="2440C563"/>
    <w:rsid w:val="248A5731"/>
    <w:rsid w:val="2493EC5F"/>
    <w:rsid w:val="24976C2A"/>
    <w:rsid w:val="24CD85BD"/>
    <w:rsid w:val="24CFBE27"/>
    <w:rsid w:val="24FF1852"/>
    <w:rsid w:val="255EA338"/>
    <w:rsid w:val="259169E5"/>
    <w:rsid w:val="25A26B37"/>
    <w:rsid w:val="25B476A8"/>
    <w:rsid w:val="25BC3595"/>
    <w:rsid w:val="25C6E4B6"/>
    <w:rsid w:val="25D85A6B"/>
    <w:rsid w:val="26581852"/>
    <w:rsid w:val="2686C90F"/>
    <w:rsid w:val="26DD2AC3"/>
    <w:rsid w:val="26E87D76"/>
    <w:rsid w:val="27616786"/>
    <w:rsid w:val="2827AC4A"/>
    <w:rsid w:val="285C026E"/>
    <w:rsid w:val="288CEFF8"/>
    <w:rsid w:val="28D806C5"/>
    <w:rsid w:val="28FAFFF4"/>
    <w:rsid w:val="290AAC91"/>
    <w:rsid w:val="2911C8C7"/>
    <w:rsid w:val="29185636"/>
    <w:rsid w:val="291C5B48"/>
    <w:rsid w:val="291E17B2"/>
    <w:rsid w:val="2946CCB5"/>
    <w:rsid w:val="2981AFBA"/>
    <w:rsid w:val="29E3D4CA"/>
    <w:rsid w:val="2A1D5B4F"/>
    <w:rsid w:val="2A2F93F2"/>
    <w:rsid w:val="2A36BD15"/>
    <w:rsid w:val="2A3D7F20"/>
    <w:rsid w:val="2A49F15F"/>
    <w:rsid w:val="2A5945C9"/>
    <w:rsid w:val="2A6BAE95"/>
    <w:rsid w:val="2A72B865"/>
    <w:rsid w:val="2A7D9C11"/>
    <w:rsid w:val="2A88FCF8"/>
    <w:rsid w:val="2AC49DA4"/>
    <w:rsid w:val="2AC5E376"/>
    <w:rsid w:val="2B9E43B9"/>
    <w:rsid w:val="2BA446D8"/>
    <w:rsid w:val="2BC83429"/>
    <w:rsid w:val="2BCDE4BC"/>
    <w:rsid w:val="2BE2FD1B"/>
    <w:rsid w:val="2BF31081"/>
    <w:rsid w:val="2C2C0421"/>
    <w:rsid w:val="2C485298"/>
    <w:rsid w:val="2C678AC3"/>
    <w:rsid w:val="2C75B5BC"/>
    <w:rsid w:val="2C9B5AD2"/>
    <w:rsid w:val="2CBC398B"/>
    <w:rsid w:val="2CEBB25B"/>
    <w:rsid w:val="2CFD6076"/>
    <w:rsid w:val="2CFE0F08"/>
    <w:rsid w:val="2D0A2CA4"/>
    <w:rsid w:val="2D825248"/>
    <w:rsid w:val="2D9A1BF2"/>
    <w:rsid w:val="2DCC1EF4"/>
    <w:rsid w:val="2DD64786"/>
    <w:rsid w:val="2E19C0FA"/>
    <w:rsid w:val="2E43EE33"/>
    <w:rsid w:val="2E5D7810"/>
    <w:rsid w:val="2E68516A"/>
    <w:rsid w:val="2E99DF69"/>
    <w:rsid w:val="2EFCF4DC"/>
    <w:rsid w:val="2F083279"/>
    <w:rsid w:val="2F31C5D7"/>
    <w:rsid w:val="2F3D64A5"/>
    <w:rsid w:val="2F731059"/>
    <w:rsid w:val="2F76A5C5"/>
    <w:rsid w:val="2F89E3B6"/>
    <w:rsid w:val="2FB18EFB"/>
    <w:rsid w:val="2FC9C668"/>
    <w:rsid w:val="304A1890"/>
    <w:rsid w:val="3066154D"/>
    <w:rsid w:val="30858973"/>
    <w:rsid w:val="308AFC7A"/>
    <w:rsid w:val="30BE7A4B"/>
    <w:rsid w:val="30DE54B0"/>
    <w:rsid w:val="311F6C6D"/>
    <w:rsid w:val="312ECC54"/>
    <w:rsid w:val="313CA4F8"/>
    <w:rsid w:val="31603FAE"/>
    <w:rsid w:val="31BF014E"/>
    <w:rsid w:val="31D7B11E"/>
    <w:rsid w:val="31D930DD"/>
    <w:rsid w:val="31ED8F3C"/>
    <w:rsid w:val="32163080"/>
    <w:rsid w:val="3251FA6A"/>
    <w:rsid w:val="327B7D45"/>
    <w:rsid w:val="32943AE9"/>
    <w:rsid w:val="331EA547"/>
    <w:rsid w:val="3375B9F6"/>
    <w:rsid w:val="338C1E06"/>
    <w:rsid w:val="33D86734"/>
    <w:rsid w:val="33E3B5D1"/>
    <w:rsid w:val="33E84A23"/>
    <w:rsid w:val="33EB491D"/>
    <w:rsid w:val="33F32882"/>
    <w:rsid w:val="34039F78"/>
    <w:rsid w:val="3419774E"/>
    <w:rsid w:val="345634B8"/>
    <w:rsid w:val="3495AFF1"/>
    <w:rsid w:val="349E79B1"/>
    <w:rsid w:val="34AFBBA2"/>
    <w:rsid w:val="34C99A8F"/>
    <w:rsid w:val="34E7F41B"/>
    <w:rsid w:val="352D7299"/>
    <w:rsid w:val="35488DBC"/>
    <w:rsid w:val="356006A7"/>
    <w:rsid w:val="356E7EF7"/>
    <w:rsid w:val="357CF0D3"/>
    <w:rsid w:val="358083DC"/>
    <w:rsid w:val="35838D0A"/>
    <w:rsid w:val="359BB79D"/>
    <w:rsid w:val="35B90772"/>
    <w:rsid w:val="35DF12A2"/>
    <w:rsid w:val="35E931ED"/>
    <w:rsid w:val="35EBF474"/>
    <w:rsid w:val="35F81A18"/>
    <w:rsid w:val="35FC23CC"/>
    <w:rsid w:val="35FE4343"/>
    <w:rsid w:val="36284A61"/>
    <w:rsid w:val="36416B20"/>
    <w:rsid w:val="36BDA883"/>
    <w:rsid w:val="36C31543"/>
    <w:rsid w:val="36DA3B0E"/>
    <w:rsid w:val="36EDCC62"/>
    <w:rsid w:val="3706DEAB"/>
    <w:rsid w:val="37098F0D"/>
    <w:rsid w:val="3713062C"/>
    <w:rsid w:val="378E84BD"/>
    <w:rsid w:val="37D54D54"/>
    <w:rsid w:val="3829F4D4"/>
    <w:rsid w:val="3875EF4F"/>
    <w:rsid w:val="3882DCDB"/>
    <w:rsid w:val="388BACB9"/>
    <w:rsid w:val="38B34E62"/>
    <w:rsid w:val="38DB3B02"/>
    <w:rsid w:val="39135BD9"/>
    <w:rsid w:val="392B4FEB"/>
    <w:rsid w:val="39433A5B"/>
    <w:rsid w:val="39992A31"/>
    <w:rsid w:val="399D6B57"/>
    <w:rsid w:val="39DC670B"/>
    <w:rsid w:val="39F209B3"/>
    <w:rsid w:val="3A315BFE"/>
    <w:rsid w:val="3A3519AE"/>
    <w:rsid w:val="3A3AFFAE"/>
    <w:rsid w:val="3A4510F7"/>
    <w:rsid w:val="3A7E468A"/>
    <w:rsid w:val="3A8B537C"/>
    <w:rsid w:val="3A8BCE4E"/>
    <w:rsid w:val="3A9F1AF8"/>
    <w:rsid w:val="3AC5424A"/>
    <w:rsid w:val="3AF5A105"/>
    <w:rsid w:val="3B697B84"/>
    <w:rsid w:val="3B903E85"/>
    <w:rsid w:val="3BA1AA82"/>
    <w:rsid w:val="3BF292BA"/>
    <w:rsid w:val="3C0ABA3F"/>
    <w:rsid w:val="3C53C722"/>
    <w:rsid w:val="3C985668"/>
    <w:rsid w:val="3CF00AF8"/>
    <w:rsid w:val="3CFE9586"/>
    <w:rsid w:val="3D3C82CA"/>
    <w:rsid w:val="3D92A631"/>
    <w:rsid w:val="3DB10CFD"/>
    <w:rsid w:val="3DBE0B72"/>
    <w:rsid w:val="3E172F85"/>
    <w:rsid w:val="3E191024"/>
    <w:rsid w:val="3E40CB16"/>
    <w:rsid w:val="3E453E81"/>
    <w:rsid w:val="3E51872E"/>
    <w:rsid w:val="3E51FE77"/>
    <w:rsid w:val="3E65C4E7"/>
    <w:rsid w:val="3E7C8DDD"/>
    <w:rsid w:val="3E845E59"/>
    <w:rsid w:val="3EB08456"/>
    <w:rsid w:val="3ED422CE"/>
    <w:rsid w:val="3EEA6691"/>
    <w:rsid w:val="3EF44C55"/>
    <w:rsid w:val="3F06F09E"/>
    <w:rsid w:val="3FCF2CA7"/>
    <w:rsid w:val="403C3352"/>
    <w:rsid w:val="4049BBEB"/>
    <w:rsid w:val="40A7A2A9"/>
    <w:rsid w:val="40CDF068"/>
    <w:rsid w:val="40D415F1"/>
    <w:rsid w:val="40D8EB29"/>
    <w:rsid w:val="40DC53BC"/>
    <w:rsid w:val="41088AB0"/>
    <w:rsid w:val="41142C69"/>
    <w:rsid w:val="414D26DC"/>
    <w:rsid w:val="414E4C40"/>
    <w:rsid w:val="41577A13"/>
    <w:rsid w:val="415A8FE4"/>
    <w:rsid w:val="4182D18F"/>
    <w:rsid w:val="419645D8"/>
    <w:rsid w:val="41A5FB73"/>
    <w:rsid w:val="41C24530"/>
    <w:rsid w:val="41C39852"/>
    <w:rsid w:val="41D52408"/>
    <w:rsid w:val="41FBD1EB"/>
    <w:rsid w:val="4279D6AE"/>
    <w:rsid w:val="4295FE00"/>
    <w:rsid w:val="429A5A53"/>
    <w:rsid w:val="42DB5F40"/>
    <w:rsid w:val="43175629"/>
    <w:rsid w:val="4341983E"/>
    <w:rsid w:val="4398C881"/>
    <w:rsid w:val="43B1979F"/>
    <w:rsid w:val="43B81E46"/>
    <w:rsid w:val="43E0B4DC"/>
    <w:rsid w:val="43EF1A6B"/>
    <w:rsid w:val="43EFA80C"/>
    <w:rsid w:val="4409549C"/>
    <w:rsid w:val="44148F2B"/>
    <w:rsid w:val="441A5230"/>
    <w:rsid w:val="44736716"/>
    <w:rsid w:val="44BA7E4E"/>
    <w:rsid w:val="44DECC8A"/>
    <w:rsid w:val="45026FC8"/>
    <w:rsid w:val="4524404F"/>
    <w:rsid w:val="4527566A"/>
    <w:rsid w:val="454263DD"/>
    <w:rsid w:val="45ADA479"/>
    <w:rsid w:val="45E21C1B"/>
    <w:rsid w:val="461CA448"/>
    <w:rsid w:val="461D92E8"/>
    <w:rsid w:val="4634B383"/>
    <w:rsid w:val="46396B65"/>
    <w:rsid w:val="466680D4"/>
    <w:rsid w:val="4666A525"/>
    <w:rsid w:val="4684273A"/>
    <w:rsid w:val="46A1BAE5"/>
    <w:rsid w:val="46BA2C4A"/>
    <w:rsid w:val="46BC649F"/>
    <w:rsid w:val="46EB102C"/>
    <w:rsid w:val="4701BC1A"/>
    <w:rsid w:val="47C6C14C"/>
    <w:rsid w:val="47D58989"/>
    <w:rsid w:val="47E99FDB"/>
    <w:rsid w:val="481E068B"/>
    <w:rsid w:val="482B615E"/>
    <w:rsid w:val="486E810E"/>
    <w:rsid w:val="48F66584"/>
    <w:rsid w:val="4905CC64"/>
    <w:rsid w:val="492F94AD"/>
    <w:rsid w:val="492F9B18"/>
    <w:rsid w:val="496193E9"/>
    <w:rsid w:val="49660996"/>
    <w:rsid w:val="4980F1BC"/>
    <w:rsid w:val="49A9C92E"/>
    <w:rsid w:val="49C474D2"/>
    <w:rsid w:val="4A26A265"/>
    <w:rsid w:val="4A3569D0"/>
    <w:rsid w:val="4A3B551A"/>
    <w:rsid w:val="4A61CFDA"/>
    <w:rsid w:val="4A64895E"/>
    <w:rsid w:val="4A7FBD94"/>
    <w:rsid w:val="4AA1D24B"/>
    <w:rsid w:val="4ADE355A"/>
    <w:rsid w:val="4ADF9C2E"/>
    <w:rsid w:val="4B15CA11"/>
    <w:rsid w:val="4B364A50"/>
    <w:rsid w:val="4B478E35"/>
    <w:rsid w:val="4B689425"/>
    <w:rsid w:val="4B88D2A8"/>
    <w:rsid w:val="4C3E6F6B"/>
    <w:rsid w:val="4C3F66F9"/>
    <w:rsid w:val="4C574131"/>
    <w:rsid w:val="4C59C1A6"/>
    <w:rsid w:val="4C809F42"/>
    <w:rsid w:val="4C9B30E2"/>
    <w:rsid w:val="4CB59D35"/>
    <w:rsid w:val="4CFA0016"/>
    <w:rsid w:val="4D00153C"/>
    <w:rsid w:val="4D796178"/>
    <w:rsid w:val="4D910483"/>
    <w:rsid w:val="4DACB798"/>
    <w:rsid w:val="4DBE5C14"/>
    <w:rsid w:val="4DBFCC8E"/>
    <w:rsid w:val="4DF9BBB8"/>
    <w:rsid w:val="4E25C6F2"/>
    <w:rsid w:val="4E2DB37D"/>
    <w:rsid w:val="4E417F1E"/>
    <w:rsid w:val="4E803E64"/>
    <w:rsid w:val="4E948B7A"/>
    <w:rsid w:val="4E953595"/>
    <w:rsid w:val="4E9C59DE"/>
    <w:rsid w:val="4EBF7C90"/>
    <w:rsid w:val="4F00A9E5"/>
    <w:rsid w:val="4F247378"/>
    <w:rsid w:val="4F252C00"/>
    <w:rsid w:val="4F2BFC3B"/>
    <w:rsid w:val="4F620AFE"/>
    <w:rsid w:val="4F706B0D"/>
    <w:rsid w:val="4F770F6C"/>
    <w:rsid w:val="4FD53AA2"/>
    <w:rsid w:val="4FEE7635"/>
    <w:rsid w:val="50693717"/>
    <w:rsid w:val="5081701E"/>
    <w:rsid w:val="5085E7C5"/>
    <w:rsid w:val="50E899F7"/>
    <w:rsid w:val="51129A56"/>
    <w:rsid w:val="513FD4E9"/>
    <w:rsid w:val="514125F3"/>
    <w:rsid w:val="5149ACE8"/>
    <w:rsid w:val="51890E58"/>
    <w:rsid w:val="51AB30F6"/>
    <w:rsid w:val="51B59F0A"/>
    <w:rsid w:val="51C4927B"/>
    <w:rsid w:val="51DE466E"/>
    <w:rsid w:val="52060C9A"/>
    <w:rsid w:val="5233FD38"/>
    <w:rsid w:val="5258EFF4"/>
    <w:rsid w:val="52CD615D"/>
    <w:rsid w:val="52EDE6F3"/>
    <w:rsid w:val="52F47F0F"/>
    <w:rsid w:val="5311D3EE"/>
    <w:rsid w:val="532C47BB"/>
    <w:rsid w:val="5350A363"/>
    <w:rsid w:val="53580C45"/>
    <w:rsid w:val="536C3A51"/>
    <w:rsid w:val="53A65F80"/>
    <w:rsid w:val="53FB905C"/>
    <w:rsid w:val="53FDDBD0"/>
    <w:rsid w:val="540FE0E5"/>
    <w:rsid w:val="545E2DCB"/>
    <w:rsid w:val="549BEFDF"/>
    <w:rsid w:val="54A29A03"/>
    <w:rsid w:val="54D09A27"/>
    <w:rsid w:val="54E0E539"/>
    <w:rsid w:val="54ED0328"/>
    <w:rsid w:val="5531B6E1"/>
    <w:rsid w:val="55522C7D"/>
    <w:rsid w:val="5560503E"/>
    <w:rsid w:val="556312F3"/>
    <w:rsid w:val="558D085B"/>
    <w:rsid w:val="55A9473C"/>
    <w:rsid w:val="55EBB012"/>
    <w:rsid w:val="56061E4E"/>
    <w:rsid w:val="560CD087"/>
    <w:rsid w:val="565DCAA2"/>
    <w:rsid w:val="569801D5"/>
    <w:rsid w:val="569A76B9"/>
    <w:rsid w:val="56BD30EC"/>
    <w:rsid w:val="56CA6CA3"/>
    <w:rsid w:val="5701604C"/>
    <w:rsid w:val="5713238A"/>
    <w:rsid w:val="571B0948"/>
    <w:rsid w:val="573BF746"/>
    <w:rsid w:val="57683C8B"/>
    <w:rsid w:val="577F76A3"/>
    <w:rsid w:val="57D82141"/>
    <w:rsid w:val="57F90B03"/>
    <w:rsid w:val="580748D0"/>
    <w:rsid w:val="5822888E"/>
    <w:rsid w:val="586EC83B"/>
    <w:rsid w:val="587351DE"/>
    <w:rsid w:val="58A2BC65"/>
    <w:rsid w:val="58A3B72E"/>
    <w:rsid w:val="59329422"/>
    <w:rsid w:val="596D0136"/>
    <w:rsid w:val="59BF5029"/>
    <w:rsid w:val="59CC8C18"/>
    <w:rsid w:val="5A1402D5"/>
    <w:rsid w:val="5A44AA80"/>
    <w:rsid w:val="5A8227D5"/>
    <w:rsid w:val="5ACE256A"/>
    <w:rsid w:val="5B31C746"/>
    <w:rsid w:val="5B4047F0"/>
    <w:rsid w:val="5B641B60"/>
    <w:rsid w:val="5B8CA392"/>
    <w:rsid w:val="5BAC0F80"/>
    <w:rsid w:val="5BE0B97D"/>
    <w:rsid w:val="5C0FA573"/>
    <w:rsid w:val="5C5CAE00"/>
    <w:rsid w:val="5C659D01"/>
    <w:rsid w:val="5C829806"/>
    <w:rsid w:val="5CA32C47"/>
    <w:rsid w:val="5CA8F922"/>
    <w:rsid w:val="5D4C8BC5"/>
    <w:rsid w:val="5D6CFB0C"/>
    <w:rsid w:val="5D9FDF00"/>
    <w:rsid w:val="5DDBB735"/>
    <w:rsid w:val="5DECBFE9"/>
    <w:rsid w:val="5DF1BF79"/>
    <w:rsid w:val="5E034BF1"/>
    <w:rsid w:val="5E0B50C2"/>
    <w:rsid w:val="5E41B91E"/>
    <w:rsid w:val="5E4543A0"/>
    <w:rsid w:val="5E7BFD82"/>
    <w:rsid w:val="5E8B87BA"/>
    <w:rsid w:val="5EDAE346"/>
    <w:rsid w:val="5EF532AA"/>
    <w:rsid w:val="5F040FA1"/>
    <w:rsid w:val="5F1A62C8"/>
    <w:rsid w:val="5F23502B"/>
    <w:rsid w:val="5F38C56C"/>
    <w:rsid w:val="5F3E49DF"/>
    <w:rsid w:val="5F56129F"/>
    <w:rsid w:val="5F635FC9"/>
    <w:rsid w:val="5F85947C"/>
    <w:rsid w:val="5F9902C6"/>
    <w:rsid w:val="5FCB4841"/>
    <w:rsid w:val="5FEB2962"/>
    <w:rsid w:val="5FF9492C"/>
    <w:rsid w:val="604F62C7"/>
    <w:rsid w:val="6059F0A4"/>
    <w:rsid w:val="6072C5A6"/>
    <w:rsid w:val="6074704F"/>
    <w:rsid w:val="608CE2CF"/>
    <w:rsid w:val="60B57F35"/>
    <w:rsid w:val="60DE9739"/>
    <w:rsid w:val="60F9DEB6"/>
    <w:rsid w:val="6103F587"/>
    <w:rsid w:val="610F460F"/>
    <w:rsid w:val="6120554A"/>
    <w:rsid w:val="61430470"/>
    <w:rsid w:val="616C9E52"/>
    <w:rsid w:val="617F6178"/>
    <w:rsid w:val="61834AA8"/>
    <w:rsid w:val="61956B49"/>
    <w:rsid w:val="619FBC7D"/>
    <w:rsid w:val="61AACC6F"/>
    <w:rsid w:val="61B55141"/>
    <w:rsid w:val="61EE3571"/>
    <w:rsid w:val="6214C99F"/>
    <w:rsid w:val="6244F12E"/>
    <w:rsid w:val="62E8CF3B"/>
    <w:rsid w:val="62F5B4EF"/>
    <w:rsid w:val="63015BAA"/>
    <w:rsid w:val="630BB74C"/>
    <w:rsid w:val="63118BA4"/>
    <w:rsid w:val="6341AC55"/>
    <w:rsid w:val="6387789A"/>
    <w:rsid w:val="63A61EB6"/>
    <w:rsid w:val="63DEA4C0"/>
    <w:rsid w:val="63E361AD"/>
    <w:rsid w:val="63F706CC"/>
    <w:rsid w:val="641D8AB0"/>
    <w:rsid w:val="642689FA"/>
    <w:rsid w:val="642B877B"/>
    <w:rsid w:val="644AC7F9"/>
    <w:rsid w:val="64C7EBD4"/>
    <w:rsid w:val="64EF7A05"/>
    <w:rsid w:val="65028790"/>
    <w:rsid w:val="6521FFD9"/>
    <w:rsid w:val="652A7600"/>
    <w:rsid w:val="653D9389"/>
    <w:rsid w:val="658C59F1"/>
    <w:rsid w:val="65C7BD7E"/>
    <w:rsid w:val="65F65A81"/>
    <w:rsid w:val="6627D6F4"/>
    <w:rsid w:val="6627FD31"/>
    <w:rsid w:val="6638B96B"/>
    <w:rsid w:val="66518134"/>
    <w:rsid w:val="6659EE8C"/>
    <w:rsid w:val="665AE923"/>
    <w:rsid w:val="66995FBA"/>
    <w:rsid w:val="66DCF234"/>
    <w:rsid w:val="66E7C4BA"/>
    <w:rsid w:val="66F5EAA3"/>
    <w:rsid w:val="6706B6BF"/>
    <w:rsid w:val="670C156B"/>
    <w:rsid w:val="67415B0E"/>
    <w:rsid w:val="6758D621"/>
    <w:rsid w:val="67736D35"/>
    <w:rsid w:val="67BD3B1A"/>
    <w:rsid w:val="67DD5FAD"/>
    <w:rsid w:val="680CEB04"/>
    <w:rsid w:val="68398016"/>
    <w:rsid w:val="68656380"/>
    <w:rsid w:val="68674324"/>
    <w:rsid w:val="68986D88"/>
    <w:rsid w:val="689E81C7"/>
    <w:rsid w:val="68C498FB"/>
    <w:rsid w:val="68CAB66C"/>
    <w:rsid w:val="68CC5D74"/>
    <w:rsid w:val="690A1D94"/>
    <w:rsid w:val="69294DD0"/>
    <w:rsid w:val="6991B42E"/>
    <w:rsid w:val="69BF2649"/>
    <w:rsid w:val="69D87CB5"/>
    <w:rsid w:val="69EB23FD"/>
    <w:rsid w:val="6A3A8B89"/>
    <w:rsid w:val="6A60CBDD"/>
    <w:rsid w:val="6A8A77CF"/>
    <w:rsid w:val="6A8CCC34"/>
    <w:rsid w:val="6A9CF9FA"/>
    <w:rsid w:val="6A9D29C6"/>
    <w:rsid w:val="6AB0A347"/>
    <w:rsid w:val="6AB565D4"/>
    <w:rsid w:val="6AB97B3A"/>
    <w:rsid w:val="6ACC0C3F"/>
    <w:rsid w:val="6B18112D"/>
    <w:rsid w:val="6B66520D"/>
    <w:rsid w:val="6B7EF09C"/>
    <w:rsid w:val="6B8639C5"/>
    <w:rsid w:val="6B9053AC"/>
    <w:rsid w:val="6BA476A8"/>
    <w:rsid w:val="6BF58FCB"/>
    <w:rsid w:val="6C15245E"/>
    <w:rsid w:val="6C333DC5"/>
    <w:rsid w:val="6C34FBE9"/>
    <w:rsid w:val="6C62BB28"/>
    <w:rsid w:val="6CF32459"/>
    <w:rsid w:val="6D13E2A3"/>
    <w:rsid w:val="6D29F8FE"/>
    <w:rsid w:val="6D4EF885"/>
    <w:rsid w:val="6D6FEABA"/>
    <w:rsid w:val="6DBAC873"/>
    <w:rsid w:val="6DCA2A73"/>
    <w:rsid w:val="6DE0C5AC"/>
    <w:rsid w:val="6DF6BB3D"/>
    <w:rsid w:val="6E1431D1"/>
    <w:rsid w:val="6E18C45D"/>
    <w:rsid w:val="6E1BC80D"/>
    <w:rsid w:val="6E26A349"/>
    <w:rsid w:val="6E576258"/>
    <w:rsid w:val="6E7761AA"/>
    <w:rsid w:val="6E7F03A2"/>
    <w:rsid w:val="6E818F8A"/>
    <w:rsid w:val="6E8AC2CC"/>
    <w:rsid w:val="6E96F63D"/>
    <w:rsid w:val="6EC6AE1C"/>
    <w:rsid w:val="6F0BBC6D"/>
    <w:rsid w:val="6F4CC952"/>
    <w:rsid w:val="6F52CE1C"/>
    <w:rsid w:val="6F5752F9"/>
    <w:rsid w:val="6F5A3E16"/>
    <w:rsid w:val="6F60771B"/>
    <w:rsid w:val="6F622A66"/>
    <w:rsid w:val="6F7D680E"/>
    <w:rsid w:val="6F9B4C80"/>
    <w:rsid w:val="6F9BEBC2"/>
    <w:rsid w:val="6FAD0244"/>
    <w:rsid w:val="6FCA2CCC"/>
    <w:rsid w:val="700D9C37"/>
    <w:rsid w:val="706BC944"/>
    <w:rsid w:val="709B2DC2"/>
    <w:rsid w:val="70FB6249"/>
    <w:rsid w:val="71371CE1"/>
    <w:rsid w:val="714311A0"/>
    <w:rsid w:val="716844FA"/>
    <w:rsid w:val="716ACB96"/>
    <w:rsid w:val="7175C6D6"/>
    <w:rsid w:val="71ECD360"/>
    <w:rsid w:val="71F06E50"/>
    <w:rsid w:val="71F9FB14"/>
    <w:rsid w:val="72043DA3"/>
    <w:rsid w:val="7206601D"/>
    <w:rsid w:val="721EC0C5"/>
    <w:rsid w:val="7230F216"/>
    <w:rsid w:val="72317A97"/>
    <w:rsid w:val="72430E75"/>
    <w:rsid w:val="7271ACEA"/>
    <w:rsid w:val="728C7900"/>
    <w:rsid w:val="728C9A79"/>
    <w:rsid w:val="7298677F"/>
    <w:rsid w:val="72A7378D"/>
    <w:rsid w:val="72A76928"/>
    <w:rsid w:val="72E7AAA5"/>
    <w:rsid w:val="72FDF4C7"/>
    <w:rsid w:val="731467BD"/>
    <w:rsid w:val="733FEB76"/>
    <w:rsid w:val="7344D2CE"/>
    <w:rsid w:val="737A04EC"/>
    <w:rsid w:val="73BE1857"/>
    <w:rsid w:val="73CF690B"/>
    <w:rsid w:val="73E41C7A"/>
    <w:rsid w:val="73E98763"/>
    <w:rsid w:val="74129886"/>
    <w:rsid w:val="74182938"/>
    <w:rsid w:val="74677053"/>
    <w:rsid w:val="74A36568"/>
    <w:rsid w:val="74DFF377"/>
    <w:rsid w:val="74F4006F"/>
    <w:rsid w:val="75078081"/>
    <w:rsid w:val="75A74C7E"/>
    <w:rsid w:val="75E92B86"/>
    <w:rsid w:val="75EA89EA"/>
    <w:rsid w:val="76370C1E"/>
    <w:rsid w:val="76662641"/>
    <w:rsid w:val="768F6727"/>
    <w:rsid w:val="76958596"/>
    <w:rsid w:val="7702473E"/>
    <w:rsid w:val="7717ECF3"/>
    <w:rsid w:val="7721F407"/>
    <w:rsid w:val="7730708E"/>
    <w:rsid w:val="774B2CA2"/>
    <w:rsid w:val="77C7F1CC"/>
    <w:rsid w:val="782F5F1C"/>
    <w:rsid w:val="78816DB5"/>
    <w:rsid w:val="788BBDF0"/>
    <w:rsid w:val="78963996"/>
    <w:rsid w:val="78B6E321"/>
    <w:rsid w:val="78D22A9C"/>
    <w:rsid w:val="78D81C5D"/>
    <w:rsid w:val="78DB78E8"/>
    <w:rsid w:val="78EE3A17"/>
    <w:rsid w:val="790F7A69"/>
    <w:rsid w:val="7945B6A1"/>
    <w:rsid w:val="7956C8BB"/>
    <w:rsid w:val="79703E7A"/>
    <w:rsid w:val="79869BD2"/>
    <w:rsid w:val="79B15946"/>
    <w:rsid w:val="79D04451"/>
    <w:rsid w:val="7A07982F"/>
    <w:rsid w:val="7A17BFE2"/>
    <w:rsid w:val="7A74AD50"/>
    <w:rsid w:val="7A78B4A7"/>
    <w:rsid w:val="7A7B3D32"/>
    <w:rsid w:val="7A7FBDF8"/>
    <w:rsid w:val="7AAE8FE4"/>
    <w:rsid w:val="7AE76494"/>
    <w:rsid w:val="7B1BF58D"/>
    <w:rsid w:val="7B24054F"/>
    <w:rsid w:val="7B476A9E"/>
    <w:rsid w:val="7B491148"/>
    <w:rsid w:val="7B51122D"/>
    <w:rsid w:val="7B6EB516"/>
    <w:rsid w:val="7B7A0DE0"/>
    <w:rsid w:val="7B7B8582"/>
    <w:rsid w:val="7B8D99D4"/>
    <w:rsid w:val="7B9173FB"/>
    <w:rsid w:val="7BE346A9"/>
    <w:rsid w:val="7BEFBC14"/>
    <w:rsid w:val="7BF1F4E6"/>
    <w:rsid w:val="7C014605"/>
    <w:rsid w:val="7C11C53B"/>
    <w:rsid w:val="7C431A9A"/>
    <w:rsid w:val="7C567304"/>
    <w:rsid w:val="7C6775B4"/>
    <w:rsid w:val="7C7645B5"/>
    <w:rsid w:val="7C772345"/>
    <w:rsid w:val="7CB31910"/>
    <w:rsid w:val="7CD5544A"/>
    <w:rsid w:val="7CF2E2BD"/>
    <w:rsid w:val="7D434774"/>
    <w:rsid w:val="7D46AAFF"/>
    <w:rsid w:val="7D6EA1B4"/>
    <w:rsid w:val="7DC8C7D9"/>
    <w:rsid w:val="7DF90DB8"/>
    <w:rsid w:val="7E402F5A"/>
    <w:rsid w:val="7E53964F"/>
    <w:rsid w:val="7E788588"/>
    <w:rsid w:val="7E8C4A31"/>
    <w:rsid w:val="7EDDD93A"/>
    <w:rsid w:val="7F14B6FB"/>
    <w:rsid w:val="7F1694E8"/>
    <w:rsid w:val="7F2CE698"/>
    <w:rsid w:val="7F376A12"/>
    <w:rsid w:val="7F69013A"/>
    <w:rsid w:val="7FC65AB6"/>
    <w:rsid w:val="7FDC8DB2"/>
    <w:rsid w:val="7FE1B13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DB3DE"/>
  <w15:docId w15:val="{AEE82798-27EA-4832-90C8-64B94C69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EAB"/>
    <w:pPr>
      <w:spacing w:after="240"/>
    </w:pPr>
    <w:rPr>
      <w:rFonts w:ascii="Calibri Light" w:eastAsia="Calibri" w:hAnsi="Calibri Light" w:cs="Times New Roman"/>
      <w:sz w:val="20"/>
    </w:rPr>
  </w:style>
  <w:style w:type="paragraph" w:styleId="Heading1">
    <w:name w:val="heading 1"/>
    <w:basedOn w:val="Normal"/>
    <w:next w:val="Normal"/>
    <w:link w:val="Heading1Char"/>
    <w:uiPriority w:val="9"/>
    <w:qFormat/>
    <w:rsid w:val="00D931A0"/>
    <w:pPr>
      <w:keepNext/>
      <w:outlineLvl w:val="0"/>
    </w:pPr>
    <w:rPr>
      <w:rFonts w:ascii="Aptos Narrow" w:hAnsi="Aptos Narrow"/>
      <w:b/>
      <w:caps/>
      <w:color w:val="003E4C"/>
      <w:sz w:val="104"/>
    </w:rPr>
  </w:style>
  <w:style w:type="paragraph" w:styleId="Heading2">
    <w:name w:val="heading 2"/>
    <w:basedOn w:val="Normal"/>
    <w:next w:val="Normal"/>
    <w:link w:val="Heading2Char"/>
    <w:uiPriority w:val="9"/>
    <w:qFormat/>
    <w:rsid w:val="00D931A0"/>
    <w:pPr>
      <w:keepNext/>
      <w:spacing w:after="360"/>
      <w:outlineLvl w:val="1"/>
    </w:pPr>
    <w:rPr>
      <w:rFonts w:ascii="Aptos Narrow" w:hAnsi="Aptos Narrow"/>
      <w:b/>
      <w:caps/>
      <w:color w:val="003E4C"/>
      <w:sz w:val="28"/>
    </w:rPr>
  </w:style>
  <w:style w:type="paragraph" w:styleId="Heading3">
    <w:name w:val="heading 3"/>
    <w:basedOn w:val="Normal"/>
    <w:next w:val="Normal"/>
    <w:link w:val="Heading3Char"/>
    <w:uiPriority w:val="9"/>
    <w:unhideWhenUsed/>
    <w:qFormat/>
    <w:rsid w:val="00195A08"/>
    <w:pPr>
      <w:keepNext/>
      <w:keepLines/>
      <w:spacing w:after="280"/>
      <w:outlineLvl w:val="2"/>
    </w:pPr>
    <w:rPr>
      <w:rFonts w:ascii="Aptos Narrow" w:eastAsiaTheme="majorEastAsia" w:hAnsi="Aptos Narrow" w:cstheme="majorBidi"/>
      <w:b/>
      <w:bCs/>
      <w:smallCaps/>
      <w:color w:val="003E4C"/>
      <w:sz w:val="28"/>
    </w:rPr>
  </w:style>
  <w:style w:type="paragraph" w:styleId="Heading4">
    <w:name w:val="heading 4"/>
    <w:basedOn w:val="Normal"/>
    <w:next w:val="Normal"/>
    <w:link w:val="Heading4Char"/>
    <w:uiPriority w:val="9"/>
    <w:semiHidden/>
    <w:unhideWhenUsed/>
    <w:qFormat/>
    <w:rsid w:val="00BE0A6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13C"/>
    <w:rPr>
      <w:rFonts w:ascii="Aptos Narrow" w:eastAsia="Calibri" w:hAnsi="Aptos Narrow" w:cs="Times New Roman"/>
      <w:b/>
      <w:caps/>
      <w:color w:val="003E4C"/>
      <w:sz w:val="104"/>
    </w:rPr>
  </w:style>
  <w:style w:type="character" w:customStyle="1" w:styleId="Heading2Char">
    <w:name w:val="Heading 2 Char"/>
    <w:basedOn w:val="DefaultParagraphFont"/>
    <w:link w:val="Heading2"/>
    <w:uiPriority w:val="9"/>
    <w:rsid w:val="0080669C"/>
    <w:rPr>
      <w:rFonts w:ascii="Aptos Narrow" w:eastAsia="Calibri" w:hAnsi="Aptos Narrow" w:cs="Times New Roman"/>
      <w:b/>
      <w:caps/>
      <w:color w:val="003E4C"/>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826C45"/>
    <w:pPr>
      <w:ind w:left="720"/>
      <w:contextualSpacing/>
    </w:pPr>
  </w:style>
  <w:style w:type="paragraph" w:styleId="BodyTextIndent3">
    <w:name w:val="Body Text Indent 3"/>
    <w:basedOn w:val="Normal"/>
    <w:link w:val="BodyTextIndent3Char"/>
    <w:rsid w:val="00826C45"/>
    <w:pPr>
      <w:spacing w:after="0"/>
      <w:ind w:firstLine="567"/>
      <w:jc w:val="both"/>
    </w:pPr>
    <w:rPr>
      <w:rFonts w:eastAsia="Times New Roman"/>
      <w:szCs w:val="24"/>
    </w:rPr>
  </w:style>
  <w:style w:type="character" w:customStyle="1" w:styleId="BodyTextIndent3Char">
    <w:name w:val="Body Text Indent 3 Char"/>
    <w:basedOn w:val="DefaultParagraphFont"/>
    <w:link w:val="BodyTextIndent3"/>
    <w:rsid w:val="00826C45"/>
    <w:rPr>
      <w:rFonts w:eastAsia="Times New Roman" w:cs="Times New Roman"/>
      <w:sz w:val="22"/>
      <w:szCs w:val="24"/>
    </w:rPr>
  </w:style>
  <w:style w:type="paragraph" w:styleId="BodyTextIndent2">
    <w:name w:val="Body Text Indent 2"/>
    <w:basedOn w:val="Normal"/>
    <w:link w:val="BodyTextIndent2Char"/>
    <w:unhideWhenUsed/>
    <w:rsid w:val="00826C45"/>
    <w:pPr>
      <w:spacing w:after="120" w:line="480" w:lineRule="auto"/>
      <w:ind w:left="283"/>
    </w:pPr>
    <w:rPr>
      <w:sz w:val="24"/>
      <w:szCs w:val="24"/>
    </w:rPr>
  </w:style>
  <w:style w:type="character" w:customStyle="1" w:styleId="BodyTextIndent2Char">
    <w:name w:val="Body Text Indent 2 Char"/>
    <w:basedOn w:val="DefaultParagraphFont"/>
    <w:link w:val="BodyTextIndent2"/>
    <w:rsid w:val="00826C45"/>
    <w:rPr>
      <w:rFonts w:eastAsia="Calibri" w:cs="Times New Roman"/>
      <w:sz w:val="24"/>
      <w:szCs w:val="24"/>
    </w:rPr>
  </w:style>
  <w:style w:type="paragraph" w:customStyle="1" w:styleId="Taksts11">
    <w:name w:val="Taksts_11"/>
    <w:basedOn w:val="Normal"/>
    <w:rsid w:val="00826C45"/>
    <w:pPr>
      <w:spacing w:after="0"/>
      <w:ind w:firstLine="567"/>
      <w:jc w:val="both"/>
    </w:pPr>
    <w:rPr>
      <w:rFonts w:eastAsia="Times New Roman"/>
      <w:sz w:val="24"/>
      <w:szCs w:val="20"/>
      <w:lang w:val="en-US"/>
    </w:rPr>
  </w:style>
  <w:style w:type="paragraph" w:styleId="BodyText2">
    <w:name w:val="Body Text 2"/>
    <w:basedOn w:val="Normal"/>
    <w:link w:val="BodyText2Char"/>
    <w:uiPriority w:val="99"/>
    <w:unhideWhenUsed/>
    <w:rsid w:val="00826C45"/>
    <w:pPr>
      <w:spacing w:after="120" w:line="480" w:lineRule="auto"/>
    </w:pPr>
    <w:rPr>
      <w:sz w:val="24"/>
      <w:szCs w:val="24"/>
    </w:rPr>
  </w:style>
  <w:style w:type="character" w:customStyle="1" w:styleId="BodyText2Char">
    <w:name w:val="Body Text 2 Char"/>
    <w:basedOn w:val="DefaultParagraphFont"/>
    <w:link w:val="BodyText2"/>
    <w:uiPriority w:val="99"/>
    <w:rsid w:val="00826C45"/>
    <w:rPr>
      <w:rFonts w:eastAsia="Calibri" w:cs="Times New Roman"/>
      <w:sz w:val="24"/>
      <w:szCs w:val="24"/>
    </w:rPr>
  </w:style>
  <w:style w:type="table" w:styleId="TableGrid">
    <w:name w:val="Table Grid"/>
    <w:basedOn w:val="TableNormal"/>
    <w:uiPriority w:val="39"/>
    <w:rsid w:val="00826C45"/>
    <w:rPr>
      <w:rFonts w:eastAsia="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pirmstab3">
    <w:name w:val="9_pirms_tab_3"/>
    <w:basedOn w:val="Normal"/>
    <w:uiPriority w:val="99"/>
    <w:rsid w:val="00826C45"/>
    <w:pPr>
      <w:tabs>
        <w:tab w:val="left" w:pos="3259"/>
        <w:tab w:val="left" w:pos="4200"/>
        <w:tab w:val="left" w:pos="5141"/>
        <w:tab w:val="left" w:pos="6082"/>
        <w:tab w:val="left" w:pos="7022"/>
        <w:tab w:val="left" w:pos="7963"/>
        <w:tab w:val="left" w:pos="8870"/>
        <w:tab w:val="left" w:pos="9794"/>
        <w:tab w:val="left" w:pos="10718"/>
        <w:tab w:val="left" w:pos="11659"/>
        <w:tab w:val="left" w:pos="13171"/>
      </w:tabs>
      <w:spacing w:after="60"/>
      <w:jc w:val="center"/>
    </w:pPr>
    <w:rPr>
      <w:rFonts w:eastAsia="Times New Roman"/>
      <w:color w:val="000000"/>
      <w:sz w:val="18"/>
      <w:szCs w:val="20"/>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ußn,f"/>
    <w:basedOn w:val="Normal"/>
    <w:link w:val="FootnoteTextChar"/>
    <w:uiPriority w:val="99"/>
    <w:qFormat/>
    <w:rsid w:val="00826C45"/>
    <w:pPr>
      <w:spacing w:after="0"/>
    </w:pPr>
    <w:rPr>
      <w:rFonts w:eastAsia="Times New Roman"/>
      <w:szCs w:val="20"/>
      <w:lang w:val="en-GB"/>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826C45"/>
    <w:rPr>
      <w:rFonts w:eastAsia="Times New Roman" w:cs="Times New Roman"/>
      <w:sz w:val="20"/>
      <w:szCs w:val="20"/>
      <w:lang w:val="en-GB"/>
    </w:rPr>
  </w:style>
  <w:style w:type="character" w:styleId="FootnoteReference">
    <w:name w:val="footnote reference"/>
    <w:aliases w:val="Footnote Reference Number,Footnote Reference Superscript,Footnote symbol,fr,SUPERS,ftref,Footnote Refernece,stylish,BVI fnr,Fußnotenzeichen_Raxen,callout,Footnote symbFootnote Refernece,Odwołanie przypisu,Footnotes refss,Ref,E,E FNZ"/>
    <w:basedOn w:val="DefaultParagraphFont"/>
    <w:link w:val="CharCharCharChar"/>
    <w:uiPriority w:val="99"/>
    <w:qFormat/>
    <w:rsid w:val="00826C45"/>
    <w:rPr>
      <w:vertAlign w:val="superscript"/>
    </w:rPr>
  </w:style>
  <w:style w:type="table" w:styleId="LightShading-Accent3">
    <w:name w:val="Light Shading Accent 3"/>
    <w:basedOn w:val="TableNormal"/>
    <w:uiPriority w:val="60"/>
    <w:rsid w:val="00826C45"/>
    <w:rPr>
      <w:rFonts w:eastAsia="Times New Roman" w:cs="Times New Roman"/>
      <w:color w:val="76923C" w:themeColor="accent3" w:themeShade="BF"/>
      <w:sz w:val="20"/>
      <w:szCs w:val="20"/>
      <w:lang w:eastAsia="lv-LV"/>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BalloonText">
    <w:name w:val="Balloon Text"/>
    <w:basedOn w:val="Normal"/>
    <w:link w:val="BalloonTextChar"/>
    <w:uiPriority w:val="99"/>
    <w:semiHidden/>
    <w:unhideWhenUsed/>
    <w:rsid w:val="00826C4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C45"/>
    <w:rPr>
      <w:rFonts w:ascii="Tahoma" w:eastAsia="Calibri" w:hAnsi="Tahoma" w:cs="Tahoma"/>
      <w:sz w:val="16"/>
      <w:szCs w:val="16"/>
    </w:rPr>
  </w:style>
  <w:style w:type="character" w:customStyle="1" w:styleId="hps">
    <w:name w:val="hps"/>
    <w:basedOn w:val="DefaultParagraphFont"/>
    <w:rsid w:val="00E8168E"/>
  </w:style>
  <w:style w:type="table" w:styleId="MediumList1-Accent4">
    <w:name w:val="Medium List 1 Accent 4"/>
    <w:basedOn w:val="TableNormal"/>
    <w:uiPriority w:val="65"/>
    <w:rsid w:val="00B066AA"/>
    <w:rPr>
      <w:rFonts w:cs="Times New Roman"/>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5"/>
    <w:rsid w:val="00B066A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ColorfulGrid-Accent4">
    <w:name w:val="Colorful Grid Accent 4"/>
    <w:basedOn w:val="TableNormal"/>
    <w:uiPriority w:val="73"/>
    <w:rsid w:val="00AE1980"/>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NoSpacing">
    <w:name w:val="No Spacing"/>
    <w:uiPriority w:val="1"/>
    <w:qFormat/>
    <w:rsid w:val="00885969"/>
    <w:rPr>
      <w:rFonts w:eastAsia="Calibri" w:cs="Times New Roman"/>
      <w:sz w:val="22"/>
    </w:rPr>
  </w:style>
  <w:style w:type="paragraph" w:styleId="BodyTextIndent">
    <w:name w:val="Body Text Indent"/>
    <w:basedOn w:val="Normal"/>
    <w:link w:val="BodyTextIndentChar"/>
    <w:uiPriority w:val="99"/>
    <w:unhideWhenUsed/>
    <w:rsid w:val="004B7CE9"/>
    <w:pPr>
      <w:spacing w:after="120"/>
      <w:ind w:left="283"/>
    </w:pPr>
  </w:style>
  <w:style w:type="character" w:customStyle="1" w:styleId="BodyTextIndentChar">
    <w:name w:val="Body Text Indent Char"/>
    <w:basedOn w:val="DefaultParagraphFont"/>
    <w:link w:val="BodyTextIndent"/>
    <w:uiPriority w:val="99"/>
    <w:rsid w:val="004B7CE9"/>
    <w:rPr>
      <w:rFonts w:eastAsia="Calibri" w:cs="Times New Roman"/>
      <w:sz w:val="22"/>
    </w:rPr>
  </w:style>
  <w:style w:type="character" w:styleId="Strong">
    <w:name w:val="Strong"/>
    <w:basedOn w:val="DefaultParagraphFont"/>
    <w:uiPriority w:val="22"/>
    <w:qFormat/>
    <w:rsid w:val="004B7CE9"/>
    <w:rPr>
      <w:b/>
      <w:bCs/>
    </w:rPr>
  </w:style>
  <w:style w:type="paragraph" w:styleId="Header">
    <w:name w:val="header"/>
    <w:basedOn w:val="Normal"/>
    <w:link w:val="HeaderChar"/>
    <w:uiPriority w:val="99"/>
    <w:unhideWhenUsed/>
    <w:rsid w:val="00450186"/>
    <w:pPr>
      <w:tabs>
        <w:tab w:val="center" w:pos="4153"/>
        <w:tab w:val="right" w:pos="8306"/>
      </w:tabs>
      <w:spacing w:after="0"/>
    </w:pPr>
  </w:style>
  <w:style w:type="character" w:customStyle="1" w:styleId="HeaderChar">
    <w:name w:val="Header Char"/>
    <w:basedOn w:val="DefaultParagraphFont"/>
    <w:link w:val="Header"/>
    <w:uiPriority w:val="99"/>
    <w:rsid w:val="00450186"/>
    <w:rPr>
      <w:rFonts w:eastAsia="Calibri" w:cs="Times New Roman"/>
      <w:sz w:val="22"/>
    </w:rPr>
  </w:style>
  <w:style w:type="paragraph" w:styleId="Footer">
    <w:name w:val="footer"/>
    <w:basedOn w:val="Normal"/>
    <w:link w:val="FooterChar"/>
    <w:unhideWhenUsed/>
    <w:rsid w:val="00450186"/>
    <w:pPr>
      <w:tabs>
        <w:tab w:val="center" w:pos="4153"/>
        <w:tab w:val="right" w:pos="8306"/>
      </w:tabs>
      <w:spacing w:after="0"/>
    </w:pPr>
  </w:style>
  <w:style w:type="character" w:customStyle="1" w:styleId="FooterChar">
    <w:name w:val="Footer Char"/>
    <w:basedOn w:val="DefaultParagraphFont"/>
    <w:link w:val="Footer"/>
    <w:rsid w:val="00450186"/>
    <w:rPr>
      <w:rFonts w:eastAsia="Calibri" w:cs="Times New Roman"/>
      <w:sz w:val="22"/>
    </w:rPr>
  </w:style>
  <w:style w:type="paragraph" w:styleId="TOC2">
    <w:name w:val="toc 2"/>
    <w:basedOn w:val="Normal"/>
    <w:next w:val="Normal"/>
    <w:autoRedefine/>
    <w:uiPriority w:val="39"/>
    <w:unhideWhenUsed/>
    <w:qFormat/>
    <w:rsid w:val="000A297A"/>
    <w:pPr>
      <w:tabs>
        <w:tab w:val="right" w:pos="9072"/>
      </w:tabs>
      <w:spacing w:before="120" w:after="120"/>
      <w:ind w:left="198"/>
    </w:pPr>
    <w:rPr>
      <w:rFonts w:ascii="Aptos Narrow" w:hAnsi="Aptos Narrow"/>
      <w:b/>
      <w:bCs/>
      <w:iCs/>
      <w:caps/>
      <w:noProof/>
      <w:sz w:val="22"/>
    </w:rPr>
  </w:style>
  <w:style w:type="paragraph" w:styleId="TOC1">
    <w:name w:val="toc 1"/>
    <w:basedOn w:val="Normal"/>
    <w:next w:val="Normal"/>
    <w:autoRedefine/>
    <w:uiPriority w:val="39"/>
    <w:unhideWhenUsed/>
    <w:rsid w:val="008D586E"/>
    <w:pPr>
      <w:tabs>
        <w:tab w:val="right" w:pos="9072"/>
      </w:tabs>
      <w:spacing w:before="360" w:after="120"/>
    </w:pPr>
    <w:rPr>
      <w:rFonts w:ascii="Aptos Narrow" w:hAnsi="Aptos Narrow"/>
      <w:b/>
      <w:bCs/>
      <w:caps/>
      <w:noProof/>
      <w:color w:val="000000" w:themeColor="text1"/>
      <w:sz w:val="24"/>
      <w:szCs w:val="24"/>
    </w:rPr>
  </w:style>
  <w:style w:type="character" w:styleId="Hyperlink">
    <w:name w:val="Hyperlink"/>
    <w:basedOn w:val="DefaultParagraphFont"/>
    <w:uiPriority w:val="99"/>
    <w:unhideWhenUsed/>
    <w:rsid w:val="005C10E6"/>
    <w:rPr>
      <w:color w:val="0000FF" w:themeColor="hyperlink"/>
      <w:sz w:val="22"/>
      <w:u w:val="single"/>
    </w:rPr>
  </w:style>
  <w:style w:type="table" w:styleId="LightShading-Accent2">
    <w:name w:val="Light Shading Accent 2"/>
    <w:basedOn w:val="TableNormal"/>
    <w:uiPriority w:val="60"/>
    <w:rsid w:val="0077399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1-Accent2">
    <w:name w:val="Medium List 1 Accent 2"/>
    <w:basedOn w:val="TableNormal"/>
    <w:uiPriority w:val="65"/>
    <w:rsid w:val="0077399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Shading1-Accent4">
    <w:name w:val="Medium Shading 1 Accent 4"/>
    <w:basedOn w:val="TableNormal"/>
    <w:uiPriority w:val="63"/>
    <w:rsid w:val="00CA709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Shading-Accent4">
    <w:name w:val="Light Shading Accent 4"/>
    <w:basedOn w:val="TableNormal"/>
    <w:uiPriority w:val="60"/>
    <w:rsid w:val="00CA709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rmalWeb">
    <w:name w:val="Normal (Web)"/>
    <w:basedOn w:val="Normal"/>
    <w:uiPriority w:val="99"/>
    <w:unhideWhenUsed/>
    <w:rsid w:val="00C67AC2"/>
    <w:pPr>
      <w:spacing w:before="100" w:beforeAutospacing="1" w:after="100" w:afterAutospacing="1"/>
    </w:pPr>
    <w:rPr>
      <w:rFonts w:eastAsiaTheme="minorEastAsia"/>
      <w:sz w:val="24"/>
      <w:szCs w:val="24"/>
      <w:lang w:eastAsia="lv-LV"/>
    </w:rPr>
  </w:style>
  <w:style w:type="character" w:customStyle="1" w:styleId="Heading3Char">
    <w:name w:val="Heading 3 Char"/>
    <w:basedOn w:val="DefaultParagraphFont"/>
    <w:link w:val="Heading3"/>
    <w:uiPriority w:val="9"/>
    <w:rsid w:val="00080A71"/>
    <w:rPr>
      <w:rFonts w:ascii="Aptos Narrow" w:eastAsiaTheme="majorEastAsia" w:hAnsi="Aptos Narrow" w:cstheme="majorBidi"/>
      <w:b/>
      <w:bCs/>
      <w:smallCaps/>
      <w:color w:val="003E4C"/>
    </w:rPr>
  </w:style>
  <w:style w:type="paragraph" w:styleId="TOC3">
    <w:name w:val="toc 3"/>
    <w:basedOn w:val="Normal"/>
    <w:next w:val="Normal"/>
    <w:autoRedefine/>
    <w:uiPriority w:val="39"/>
    <w:unhideWhenUsed/>
    <w:rsid w:val="00B01A9B"/>
    <w:pPr>
      <w:tabs>
        <w:tab w:val="right" w:pos="9072"/>
      </w:tabs>
      <w:spacing w:after="120"/>
      <w:ind w:left="442"/>
    </w:pPr>
    <w:rPr>
      <w:rFonts w:ascii="Aptos Narrow" w:eastAsia="MS Gothic" w:hAnsi="Aptos Narrow"/>
      <w:bCs/>
      <w:smallCaps/>
      <w:noProof/>
      <w:sz w:val="22"/>
    </w:rPr>
  </w:style>
  <w:style w:type="paragraph" w:styleId="EnvelopeReturn">
    <w:name w:val="envelope return"/>
    <w:basedOn w:val="Normal"/>
    <w:uiPriority w:val="99"/>
    <w:unhideWhenUsed/>
    <w:rsid w:val="00B40358"/>
    <w:pPr>
      <w:spacing w:after="0"/>
    </w:pPr>
    <w:rPr>
      <w:rFonts w:ascii="Cambria" w:eastAsia="Times New Roman" w:hAnsi="Cambria"/>
      <w:szCs w:val="20"/>
      <w:lang w:eastAsia="lv-LV"/>
    </w:rPr>
  </w:style>
  <w:style w:type="character" w:styleId="CommentReference">
    <w:name w:val="annotation reference"/>
    <w:basedOn w:val="DefaultParagraphFont"/>
    <w:uiPriority w:val="99"/>
    <w:semiHidden/>
    <w:unhideWhenUsed/>
    <w:rsid w:val="00340CA7"/>
    <w:rPr>
      <w:sz w:val="16"/>
      <w:szCs w:val="16"/>
    </w:rPr>
  </w:style>
  <w:style w:type="paragraph" w:styleId="CommentText">
    <w:name w:val="annotation text"/>
    <w:basedOn w:val="Normal"/>
    <w:link w:val="CommentTextChar"/>
    <w:uiPriority w:val="99"/>
    <w:unhideWhenUsed/>
    <w:rsid w:val="00340CA7"/>
    <w:pPr>
      <w:spacing w:after="0"/>
    </w:pPr>
    <w:rPr>
      <w:rFonts w:eastAsiaTheme="minorHAnsi" w:cstheme="minorBidi"/>
      <w:szCs w:val="20"/>
    </w:rPr>
  </w:style>
  <w:style w:type="character" w:customStyle="1" w:styleId="CommentTextChar">
    <w:name w:val="Comment Text Char"/>
    <w:basedOn w:val="DefaultParagraphFont"/>
    <w:link w:val="CommentText"/>
    <w:uiPriority w:val="99"/>
    <w:rsid w:val="00340CA7"/>
    <w:rPr>
      <w:sz w:val="20"/>
      <w:szCs w:val="20"/>
    </w:rPr>
  </w:style>
  <w:style w:type="paragraph" w:styleId="BodyText3">
    <w:name w:val="Body Text 3"/>
    <w:basedOn w:val="Normal"/>
    <w:link w:val="BodyText3Char"/>
    <w:uiPriority w:val="99"/>
    <w:semiHidden/>
    <w:unhideWhenUsed/>
    <w:rsid w:val="001E4BA5"/>
    <w:pPr>
      <w:spacing w:after="120"/>
    </w:pPr>
    <w:rPr>
      <w:sz w:val="16"/>
      <w:szCs w:val="16"/>
    </w:rPr>
  </w:style>
  <w:style w:type="character" w:customStyle="1" w:styleId="BodyText3Char">
    <w:name w:val="Body Text 3 Char"/>
    <w:basedOn w:val="DefaultParagraphFont"/>
    <w:link w:val="BodyText3"/>
    <w:uiPriority w:val="99"/>
    <w:semiHidden/>
    <w:rsid w:val="001E4BA5"/>
    <w:rPr>
      <w:rFonts w:eastAsia="Calibri" w:cs="Times New Roman"/>
      <w:sz w:val="16"/>
      <w:szCs w:val="16"/>
    </w:rPr>
  </w:style>
  <w:style w:type="table" w:styleId="MediumList1-Accent1">
    <w:name w:val="Medium List 1 Accent 1"/>
    <w:basedOn w:val="TableNormal"/>
    <w:uiPriority w:val="65"/>
    <w:rsid w:val="00F867F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Default">
    <w:name w:val="Default"/>
    <w:rsid w:val="00F867F6"/>
    <w:pPr>
      <w:autoSpaceDE w:val="0"/>
      <w:autoSpaceDN w:val="0"/>
      <w:adjustRightInd w:val="0"/>
    </w:pPr>
    <w:rPr>
      <w:rFonts w:ascii="PF Square Sans Pro" w:hAnsi="PF Square Sans Pro" w:cs="PF Square Sans Pro"/>
      <w:color w:val="000000"/>
      <w:sz w:val="24"/>
      <w:szCs w:val="24"/>
    </w:rPr>
  </w:style>
  <w:style w:type="table" w:styleId="ColorfulList-Accent2">
    <w:name w:val="Colorful List Accent 2"/>
    <w:basedOn w:val="TableNormal"/>
    <w:uiPriority w:val="72"/>
    <w:rsid w:val="004453D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ghtList-Accent2">
    <w:name w:val="Light List Accent 2"/>
    <w:basedOn w:val="TableNormal"/>
    <w:uiPriority w:val="61"/>
    <w:rsid w:val="002F74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FollowedHyperlink">
    <w:name w:val="FollowedHyperlink"/>
    <w:basedOn w:val="DefaultParagraphFont"/>
    <w:uiPriority w:val="99"/>
    <w:semiHidden/>
    <w:unhideWhenUsed/>
    <w:rsid w:val="00345EA7"/>
    <w:rPr>
      <w:color w:val="800080" w:themeColor="followedHyperlink"/>
      <w:u w:val="single"/>
    </w:rPr>
  </w:style>
  <w:style w:type="table" w:customStyle="1" w:styleId="GridTable5Dark-Accent31">
    <w:name w:val="Grid Table 5 Dark - Accent 31"/>
    <w:basedOn w:val="TableNormal"/>
    <w:uiPriority w:val="50"/>
    <w:rsid w:val="00A71C3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GridLight1">
    <w:name w:val="Table Grid Light1"/>
    <w:basedOn w:val="TableNormal"/>
    <w:uiPriority w:val="40"/>
    <w:rsid w:val="000F00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5Dark-Accent21">
    <w:name w:val="Grid Table 5 Dark - Accent 21"/>
    <w:basedOn w:val="TableNormal"/>
    <w:uiPriority w:val="50"/>
    <w:rsid w:val="004D60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eGrid1">
    <w:name w:val="Table Grid1"/>
    <w:basedOn w:val="TableNormal"/>
    <w:next w:val="TableGrid"/>
    <w:uiPriority w:val="39"/>
    <w:rsid w:val="00BC774E"/>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43FF9"/>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43FF9"/>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810DE"/>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960BC4"/>
    <w:rPr>
      <w:rFonts w:eastAsia="Calibri" w:cs="Times New Roman"/>
      <w:sz w:val="22"/>
    </w:rPr>
  </w:style>
  <w:style w:type="paragraph" w:styleId="CommentSubject">
    <w:name w:val="annotation subject"/>
    <w:basedOn w:val="CommentText"/>
    <w:next w:val="CommentText"/>
    <w:link w:val="CommentSubjectChar"/>
    <w:uiPriority w:val="99"/>
    <w:semiHidden/>
    <w:unhideWhenUsed/>
    <w:rsid w:val="008C5137"/>
    <w:pPr>
      <w:spacing w:after="200"/>
    </w:pPr>
    <w:rPr>
      <w:rFonts w:eastAsia="Calibri" w:cs="Times New Roman"/>
      <w:b/>
      <w:bCs/>
    </w:rPr>
  </w:style>
  <w:style w:type="character" w:customStyle="1" w:styleId="CommentSubjectChar">
    <w:name w:val="Comment Subject Char"/>
    <w:basedOn w:val="CommentTextChar"/>
    <w:link w:val="CommentSubject"/>
    <w:uiPriority w:val="99"/>
    <w:semiHidden/>
    <w:rsid w:val="008C5137"/>
    <w:rPr>
      <w:rFonts w:eastAsia="Calibri" w:cs="Times New Roman"/>
      <w:b/>
      <w:bCs/>
      <w:sz w:val="20"/>
      <w:szCs w:val="20"/>
    </w:rPr>
  </w:style>
  <w:style w:type="character" w:styleId="Emphasis">
    <w:name w:val="Emphasis"/>
    <w:basedOn w:val="DefaultParagraphFont"/>
    <w:uiPriority w:val="20"/>
    <w:qFormat/>
    <w:rsid w:val="00334969"/>
    <w:rPr>
      <w:i/>
      <w:iCs/>
    </w:rPr>
  </w:style>
  <w:style w:type="character" w:customStyle="1" w:styleId="apple-converted-space">
    <w:name w:val="apple-converted-space"/>
    <w:basedOn w:val="DefaultParagraphFont"/>
    <w:rsid w:val="00334969"/>
  </w:style>
  <w:style w:type="paragraph" w:styleId="Revision">
    <w:name w:val="Revision"/>
    <w:hidden/>
    <w:uiPriority w:val="99"/>
    <w:semiHidden/>
    <w:rsid w:val="002E1294"/>
    <w:rPr>
      <w:rFonts w:eastAsia="Calibri" w:cs="Times New Roman"/>
      <w:sz w:val="22"/>
    </w:rPr>
  </w:style>
  <w:style w:type="table" w:customStyle="1" w:styleId="TableGrid5">
    <w:name w:val="Table Grid5"/>
    <w:basedOn w:val="TableNormal"/>
    <w:next w:val="TableGrid"/>
    <w:uiPriority w:val="39"/>
    <w:rsid w:val="00D46C70"/>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311">
    <w:name w:val="Grid Table 5 Dark - Accent 311"/>
    <w:basedOn w:val="TableNormal"/>
    <w:uiPriority w:val="50"/>
    <w:rsid w:val="00FA2A7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CharCharCharChar">
    <w:name w:val="Char Char Char Char"/>
    <w:aliases w:val="Char2"/>
    <w:basedOn w:val="Normal"/>
    <w:next w:val="Normal"/>
    <w:link w:val="FootnoteReference"/>
    <w:uiPriority w:val="99"/>
    <w:rsid w:val="00A26E0B"/>
    <w:pPr>
      <w:spacing w:after="160" w:line="240" w:lineRule="exact"/>
      <w:textAlignment w:val="baseline"/>
    </w:pPr>
    <w:rPr>
      <w:rFonts w:ascii="Times New Roman" w:eastAsiaTheme="minorHAnsi" w:hAnsi="Times New Roman" w:cstheme="minorBidi"/>
      <w:sz w:val="28"/>
      <w:vertAlign w:val="superscript"/>
    </w:rPr>
  </w:style>
  <w:style w:type="table" w:styleId="GridTable4-Accent1">
    <w:name w:val="Grid Table 4 Accent 1"/>
    <w:basedOn w:val="TableNormal"/>
    <w:uiPriority w:val="49"/>
    <w:rsid w:val="001B7B72"/>
    <w:rPr>
      <w:rFonts w:asciiTheme="minorHAnsi" w:hAnsiTheme="minorHAnsi"/>
      <w:sz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1B7B72"/>
    <w:rPr>
      <w:rFonts w:asciiTheme="minorHAnsi" w:hAnsiTheme="minorHAnsi"/>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11">
    <w:name w:val="Table Grid11"/>
    <w:basedOn w:val="TableNormal"/>
    <w:next w:val="TableGrid"/>
    <w:uiPriority w:val="59"/>
    <w:rsid w:val="00B06BCF"/>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06BCF"/>
    <w:rPr>
      <w:rFonts w:eastAsia="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85618A"/>
    <w:pPr>
      <w:spacing w:after="0"/>
    </w:pPr>
    <w:rPr>
      <w:szCs w:val="20"/>
    </w:rPr>
  </w:style>
  <w:style w:type="character" w:customStyle="1" w:styleId="EndnoteTextChar">
    <w:name w:val="Endnote Text Char"/>
    <w:basedOn w:val="DefaultParagraphFont"/>
    <w:link w:val="EndnoteText"/>
    <w:uiPriority w:val="99"/>
    <w:semiHidden/>
    <w:rsid w:val="0085618A"/>
    <w:rPr>
      <w:rFonts w:ascii="Calibri Light" w:eastAsia="Calibri" w:hAnsi="Calibri Light" w:cs="Times New Roman"/>
      <w:sz w:val="20"/>
      <w:szCs w:val="20"/>
    </w:rPr>
  </w:style>
  <w:style w:type="character" w:styleId="EndnoteReference">
    <w:name w:val="endnote reference"/>
    <w:basedOn w:val="DefaultParagraphFont"/>
    <w:unhideWhenUsed/>
    <w:rsid w:val="0085618A"/>
    <w:rPr>
      <w:vertAlign w:val="superscript"/>
    </w:rPr>
  </w:style>
  <w:style w:type="character" w:customStyle="1" w:styleId="UnresolvedMention1">
    <w:name w:val="Unresolved Mention1"/>
    <w:basedOn w:val="DefaultParagraphFont"/>
    <w:uiPriority w:val="99"/>
    <w:semiHidden/>
    <w:unhideWhenUsed/>
    <w:rsid w:val="0054545F"/>
    <w:rPr>
      <w:color w:val="605E5C"/>
      <w:shd w:val="clear" w:color="auto" w:fill="E1DFDD"/>
    </w:rPr>
  </w:style>
  <w:style w:type="paragraph" w:customStyle="1" w:styleId="p1">
    <w:name w:val="p1"/>
    <w:basedOn w:val="Normal"/>
    <w:rsid w:val="00C61ECF"/>
    <w:pPr>
      <w:spacing w:before="100" w:beforeAutospacing="1" w:after="100" w:afterAutospacing="1"/>
    </w:pPr>
    <w:rPr>
      <w:rFonts w:ascii="Times New Roman" w:eastAsia="Times New Roman" w:hAnsi="Times New Roman"/>
      <w:sz w:val="24"/>
      <w:szCs w:val="24"/>
      <w:lang w:eastAsia="lv-LV"/>
    </w:rPr>
  </w:style>
  <w:style w:type="character" w:customStyle="1" w:styleId="Hyperlink1">
    <w:name w:val="Hyperlink1"/>
    <w:basedOn w:val="DefaultParagraphFont"/>
    <w:uiPriority w:val="99"/>
    <w:rsid w:val="0057261C"/>
    <w:rPr>
      <w:color w:val="0000FF"/>
      <w:u w:val="single"/>
    </w:rPr>
  </w:style>
  <w:style w:type="character" w:customStyle="1" w:styleId="multiline">
    <w:name w:val="multiline"/>
    <w:basedOn w:val="DefaultParagraphFont"/>
    <w:rsid w:val="001A534A"/>
  </w:style>
  <w:style w:type="character" w:styleId="UnresolvedMention">
    <w:name w:val="Unresolved Mention"/>
    <w:basedOn w:val="DefaultParagraphFont"/>
    <w:uiPriority w:val="99"/>
    <w:semiHidden/>
    <w:unhideWhenUsed/>
    <w:rsid w:val="00E40D26"/>
    <w:rPr>
      <w:color w:val="605E5C"/>
      <w:shd w:val="clear" w:color="auto" w:fill="E1DFDD"/>
    </w:rPr>
  </w:style>
  <w:style w:type="character" w:customStyle="1" w:styleId="Heading4Char">
    <w:name w:val="Heading 4 Char"/>
    <w:basedOn w:val="DefaultParagraphFont"/>
    <w:link w:val="Heading4"/>
    <w:uiPriority w:val="9"/>
    <w:semiHidden/>
    <w:rsid w:val="00BE0A64"/>
    <w:rPr>
      <w:rFonts w:asciiTheme="majorHAnsi" w:eastAsiaTheme="majorEastAsia" w:hAnsiTheme="majorHAnsi" w:cstheme="majorBidi"/>
      <w:i/>
      <w:iCs/>
      <w:color w:val="365F91" w:themeColor="accent1" w:themeShade="BF"/>
      <w:sz w:val="20"/>
    </w:rPr>
  </w:style>
  <w:style w:type="table" w:customStyle="1" w:styleId="TableGrid7">
    <w:name w:val="Table Grid7"/>
    <w:basedOn w:val="TableNormal"/>
    <w:next w:val="TableGrid"/>
    <w:uiPriority w:val="39"/>
    <w:rsid w:val="001231A9"/>
    <w:rPr>
      <w:rFonts w:eastAsia="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312">
    <w:name w:val="Grid Table 5 Dark - Accent 312"/>
    <w:basedOn w:val="TableNormal"/>
    <w:uiPriority w:val="50"/>
    <w:rsid w:val="000629C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8">
    <w:name w:val="Table Grid8"/>
    <w:basedOn w:val="TableNormal"/>
    <w:next w:val="TableGrid"/>
    <w:uiPriority w:val="39"/>
    <w:rsid w:val="000629C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E74F0"/>
    <w:rPr>
      <w:rFonts w:asciiTheme="minorHAnsi" w:hAnsiTheme="minorHAnsi"/>
      <w:sz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AE74F0"/>
  </w:style>
  <w:style w:type="table" w:styleId="GridTable1Light-Accent5">
    <w:name w:val="Grid Table 1 Light Accent 5"/>
    <w:basedOn w:val="TableNormal"/>
    <w:uiPriority w:val="46"/>
    <w:rsid w:val="00AE74F0"/>
    <w:rPr>
      <w:rFonts w:asciiTheme="minorHAnsi" w:hAnsiTheme="minorHAnsi"/>
      <w:sz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FootnoteText1">
    <w:name w:val="Footnote Text1"/>
    <w:basedOn w:val="Normal"/>
    <w:next w:val="FootnoteText"/>
    <w:uiPriority w:val="99"/>
    <w:unhideWhenUsed/>
    <w:rsid w:val="00E029D7"/>
    <w:pPr>
      <w:spacing w:after="0"/>
    </w:pPr>
    <w:rPr>
      <w:rFonts w:ascii="Times New Roman" w:eastAsiaTheme="minorHAnsi" w:hAnsi="Times New Roman" w:cstheme="minorBidi"/>
      <w:szCs w:val="20"/>
    </w:rPr>
  </w:style>
  <w:style w:type="paragraph" w:customStyle="1" w:styleId="xmsonormal">
    <w:name w:val="x_msonormal"/>
    <w:basedOn w:val="Normal"/>
    <w:rsid w:val="00291E55"/>
    <w:pPr>
      <w:spacing w:before="100" w:beforeAutospacing="1" w:after="100" w:afterAutospacing="1"/>
    </w:pPr>
    <w:rPr>
      <w:rFonts w:ascii="Times New Roman" w:eastAsia="Times New Roman" w:hAnsi="Times New Roman"/>
      <w:sz w:val="24"/>
      <w:szCs w:val="24"/>
      <w:lang w:eastAsia="lv-LV"/>
    </w:rPr>
  </w:style>
  <w:style w:type="table" w:styleId="GridTable4-Accent4">
    <w:name w:val="Grid Table 4 Accent 4"/>
    <w:basedOn w:val="TableNormal"/>
    <w:uiPriority w:val="49"/>
    <w:rsid w:val="0066279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ui-provider">
    <w:name w:val="ui-provider"/>
    <w:basedOn w:val="DefaultParagraphFont"/>
    <w:rsid w:val="00A70DBF"/>
  </w:style>
  <w:style w:type="paragraph" w:styleId="TOCHeading">
    <w:name w:val="TOC Heading"/>
    <w:basedOn w:val="Heading1"/>
    <w:next w:val="Normal"/>
    <w:uiPriority w:val="39"/>
    <w:unhideWhenUsed/>
    <w:qFormat/>
    <w:rsid w:val="00137191"/>
    <w:pPr>
      <w:keepLines/>
      <w:spacing w:before="240" w:after="0"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paragraph" w:customStyle="1" w:styleId="tv213">
    <w:name w:val="tv213"/>
    <w:basedOn w:val="Normal"/>
    <w:uiPriority w:val="99"/>
    <w:rsid w:val="00B40C2D"/>
    <w:pPr>
      <w:spacing w:before="100" w:beforeAutospacing="1" w:after="100" w:afterAutospacing="1"/>
    </w:pPr>
    <w:rPr>
      <w:rFonts w:ascii="Times New Roman" w:eastAsia="Times New Roman" w:hAnsi="Times New Roman"/>
      <w:sz w:val="24"/>
      <w:szCs w:val="24"/>
      <w:lang w:eastAsia="lv-LV"/>
    </w:rPr>
  </w:style>
  <w:style w:type="paragraph" w:customStyle="1" w:styleId="paragraph">
    <w:name w:val="paragraph"/>
    <w:basedOn w:val="Normal"/>
    <w:rsid w:val="00B40C2D"/>
    <w:pPr>
      <w:spacing w:before="100" w:beforeAutospacing="1" w:after="100" w:afterAutospacing="1"/>
    </w:pPr>
    <w:rPr>
      <w:rFonts w:ascii="Times New Roman" w:eastAsia="Times New Roman" w:hAnsi="Times New Roman"/>
      <w:sz w:val="24"/>
      <w:szCs w:val="24"/>
      <w:lang w:val="en-GB" w:eastAsia="en-GB"/>
    </w:rPr>
  </w:style>
  <w:style w:type="paragraph" w:customStyle="1" w:styleId="Parasts">
    <w:name w:val="Parasts"/>
    <w:uiPriority w:val="99"/>
    <w:rsid w:val="00B40C2D"/>
    <w:pPr>
      <w:suppressAutoHyphens/>
      <w:autoSpaceDN w:val="0"/>
    </w:pPr>
    <w:rPr>
      <w:rFonts w:ascii="Calibri" w:eastAsia="Times New Roman" w:hAnsi="Calibri" w:cs="Calibri"/>
      <w:sz w:val="22"/>
      <w:lang w:eastAsia="lv-LV"/>
    </w:rPr>
  </w:style>
  <w:style w:type="character" w:customStyle="1" w:styleId="normaltextrun">
    <w:name w:val="normaltextrun"/>
    <w:basedOn w:val="DefaultParagraphFont"/>
    <w:rsid w:val="00B40C2D"/>
  </w:style>
  <w:style w:type="character" w:customStyle="1" w:styleId="eop">
    <w:name w:val="eop"/>
    <w:basedOn w:val="DefaultParagraphFont"/>
    <w:rsid w:val="00B40C2D"/>
  </w:style>
  <w:style w:type="character" w:styleId="Mention">
    <w:name w:val="Mention"/>
    <w:basedOn w:val="DefaultParagraphFont"/>
    <w:uiPriority w:val="99"/>
    <w:unhideWhenUsed/>
    <w:rsid w:val="00F7149A"/>
    <w:rPr>
      <w:color w:val="2B579A"/>
      <w:shd w:val="clear" w:color="auto" w:fill="E1DFDD"/>
    </w:rPr>
  </w:style>
  <w:style w:type="table" w:customStyle="1" w:styleId="GridTable5Dark-Accent313">
    <w:name w:val="Grid Table 5 Dark - Accent 313"/>
    <w:basedOn w:val="TableNormal"/>
    <w:uiPriority w:val="50"/>
    <w:rsid w:val="00C95688"/>
    <w:rPr>
      <w:rFonts w:eastAsia="Calibri" w:cs="Aria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Grid81">
    <w:name w:val="Table Grid81"/>
    <w:basedOn w:val="TableNormal"/>
    <w:uiPriority w:val="39"/>
    <w:rsid w:val="00C95688"/>
    <w:rPr>
      <w:rFonts w:ascii="Calibri" w:eastAsia="Calibri" w:hAnsi="Calibri" w:cs="Arial"/>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1714">
      <w:bodyDiv w:val="1"/>
      <w:marLeft w:val="0"/>
      <w:marRight w:val="0"/>
      <w:marTop w:val="0"/>
      <w:marBottom w:val="0"/>
      <w:divBdr>
        <w:top w:val="none" w:sz="0" w:space="0" w:color="auto"/>
        <w:left w:val="none" w:sz="0" w:space="0" w:color="auto"/>
        <w:bottom w:val="none" w:sz="0" w:space="0" w:color="auto"/>
        <w:right w:val="none" w:sz="0" w:space="0" w:color="auto"/>
      </w:divBdr>
    </w:div>
    <w:div w:id="5374248">
      <w:bodyDiv w:val="1"/>
      <w:marLeft w:val="0"/>
      <w:marRight w:val="0"/>
      <w:marTop w:val="0"/>
      <w:marBottom w:val="0"/>
      <w:divBdr>
        <w:top w:val="none" w:sz="0" w:space="0" w:color="auto"/>
        <w:left w:val="none" w:sz="0" w:space="0" w:color="auto"/>
        <w:bottom w:val="none" w:sz="0" w:space="0" w:color="auto"/>
        <w:right w:val="none" w:sz="0" w:space="0" w:color="auto"/>
      </w:divBdr>
    </w:div>
    <w:div w:id="8336412">
      <w:bodyDiv w:val="1"/>
      <w:marLeft w:val="0"/>
      <w:marRight w:val="0"/>
      <w:marTop w:val="0"/>
      <w:marBottom w:val="0"/>
      <w:divBdr>
        <w:top w:val="none" w:sz="0" w:space="0" w:color="auto"/>
        <w:left w:val="none" w:sz="0" w:space="0" w:color="auto"/>
        <w:bottom w:val="none" w:sz="0" w:space="0" w:color="auto"/>
        <w:right w:val="none" w:sz="0" w:space="0" w:color="auto"/>
      </w:divBdr>
    </w:div>
    <w:div w:id="20402872">
      <w:bodyDiv w:val="1"/>
      <w:marLeft w:val="0"/>
      <w:marRight w:val="0"/>
      <w:marTop w:val="0"/>
      <w:marBottom w:val="0"/>
      <w:divBdr>
        <w:top w:val="none" w:sz="0" w:space="0" w:color="auto"/>
        <w:left w:val="none" w:sz="0" w:space="0" w:color="auto"/>
        <w:bottom w:val="none" w:sz="0" w:space="0" w:color="auto"/>
        <w:right w:val="none" w:sz="0" w:space="0" w:color="auto"/>
      </w:divBdr>
    </w:div>
    <w:div w:id="22634547">
      <w:bodyDiv w:val="1"/>
      <w:marLeft w:val="0"/>
      <w:marRight w:val="0"/>
      <w:marTop w:val="0"/>
      <w:marBottom w:val="0"/>
      <w:divBdr>
        <w:top w:val="none" w:sz="0" w:space="0" w:color="auto"/>
        <w:left w:val="none" w:sz="0" w:space="0" w:color="auto"/>
        <w:bottom w:val="none" w:sz="0" w:space="0" w:color="auto"/>
        <w:right w:val="none" w:sz="0" w:space="0" w:color="auto"/>
      </w:divBdr>
    </w:div>
    <w:div w:id="26563655">
      <w:bodyDiv w:val="1"/>
      <w:marLeft w:val="0"/>
      <w:marRight w:val="0"/>
      <w:marTop w:val="0"/>
      <w:marBottom w:val="0"/>
      <w:divBdr>
        <w:top w:val="none" w:sz="0" w:space="0" w:color="auto"/>
        <w:left w:val="none" w:sz="0" w:space="0" w:color="auto"/>
        <w:bottom w:val="none" w:sz="0" w:space="0" w:color="auto"/>
        <w:right w:val="none" w:sz="0" w:space="0" w:color="auto"/>
      </w:divBdr>
    </w:div>
    <w:div w:id="40441132">
      <w:bodyDiv w:val="1"/>
      <w:marLeft w:val="0"/>
      <w:marRight w:val="0"/>
      <w:marTop w:val="0"/>
      <w:marBottom w:val="0"/>
      <w:divBdr>
        <w:top w:val="none" w:sz="0" w:space="0" w:color="auto"/>
        <w:left w:val="none" w:sz="0" w:space="0" w:color="auto"/>
        <w:bottom w:val="none" w:sz="0" w:space="0" w:color="auto"/>
        <w:right w:val="none" w:sz="0" w:space="0" w:color="auto"/>
      </w:divBdr>
    </w:div>
    <w:div w:id="135685899">
      <w:bodyDiv w:val="1"/>
      <w:marLeft w:val="0"/>
      <w:marRight w:val="0"/>
      <w:marTop w:val="0"/>
      <w:marBottom w:val="0"/>
      <w:divBdr>
        <w:top w:val="none" w:sz="0" w:space="0" w:color="auto"/>
        <w:left w:val="none" w:sz="0" w:space="0" w:color="auto"/>
        <w:bottom w:val="none" w:sz="0" w:space="0" w:color="auto"/>
        <w:right w:val="none" w:sz="0" w:space="0" w:color="auto"/>
      </w:divBdr>
    </w:div>
    <w:div w:id="146216261">
      <w:bodyDiv w:val="1"/>
      <w:marLeft w:val="0"/>
      <w:marRight w:val="0"/>
      <w:marTop w:val="0"/>
      <w:marBottom w:val="0"/>
      <w:divBdr>
        <w:top w:val="none" w:sz="0" w:space="0" w:color="auto"/>
        <w:left w:val="none" w:sz="0" w:space="0" w:color="auto"/>
        <w:bottom w:val="none" w:sz="0" w:space="0" w:color="auto"/>
        <w:right w:val="none" w:sz="0" w:space="0" w:color="auto"/>
      </w:divBdr>
    </w:div>
    <w:div w:id="188153965">
      <w:bodyDiv w:val="1"/>
      <w:marLeft w:val="0"/>
      <w:marRight w:val="0"/>
      <w:marTop w:val="0"/>
      <w:marBottom w:val="0"/>
      <w:divBdr>
        <w:top w:val="none" w:sz="0" w:space="0" w:color="auto"/>
        <w:left w:val="none" w:sz="0" w:space="0" w:color="auto"/>
        <w:bottom w:val="none" w:sz="0" w:space="0" w:color="auto"/>
        <w:right w:val="none" w:sz="0" w:space="0" w:color="auto"/>
      </w:divBdr>
    </w:div>
    <w:div w:id="251478940">
      <w:bodyDiv w:val="1"/>
      <w:marLeft w:val="0"/>
      <w:marRight w:val="0"/>
      <w:marTop w:val="0"/>
      <w:marBottom w:val="0"/>
      <w:divBdr>
        <w:top w:val="none" w:sz="0" w:space="0" w:color="auto"/>
        <w:left w:val="none" w:sz="0" w:space="0" w:color="auto"/>
        <w:bottom w:val="none" w:sz="0" w:space="0" w:color="auto"/>
        <w:right w:val="none" w:sz="0" w:space="0" w:color="auto"/>
      </w:divBdr>
    </w:div>
    <w:div w:id="273484736">
      <w:bodyDiv w:val="1"/>
      <w:marLeft w:val="0"/>
      <w:marRight w:val="0"/>
      <w:marTop w:val="0"/>
      <w:marBottom w:val="0"/>
      <w:divBdr>
        <w:top w:val="none" w:sz="0" w:space="0" w:color="auto"/>
        <w:left w:val="none" w:sz="0" w:space="0" w:color="auto"/>
        <w:bottom w:val="none" w:sz="0" w:space="0" w:color="auto"/>
        <w:right w:val="none" w:sz="0" w:space="0" w:color="auto"/>
      </w:divBdr>
    </w:div>
    <w:div w:id="313608373">
      <w:bodyDiv w:val="1"/>
      <w:marLeft w:val="0"/>
      <w:marRight w:val="0"/>
      <w:marTop w:val="0"/>
      <w:marBottom w:val="0"/>
      <w:divBdr>
        <w:top w:val="none" w:sz="0" w:space="0" w:color="auto"/>
        <w:left w:val="none" w:sz="0" w:space="0" w:color="auto"/>
        <w:bottom w:val="none" w:sz="0" w:space="0" w:color="auto"/>
        <w:right w:val="none" w:sz="0" w:space="0" w:color="auto"/>
      </w:divBdr>
    </w:div>
    <w:div w:id="316803860">
      <w:bodyDiv w:val="1"/>
      <w:marLeft w:val="0"/>
      <w:marRight w:val="0"/>
      <w:marTop w:val="0"/>
      <w:marBottom w:val="0"/>
      <w:divBdr>
        <w:top w:val="none" w:sz="0" w:space="0" w:color="auto"/>
        <w:left w:val="none" w:sz="0" w:space="0" w:color="auto"/>
        <w:bottom w:val="none" w:sz="0" w:space="0" w:color="auto"/>
        <w:right w:val="none" w:sz="0" w:space="0" w:color="auto"/>
      </w:divBdr>
    </w:div>
    <w:div w:id="345210301">
      <w:bodyDiv w:val="1"/>
      <w:marLeft w:val="0"/>
      <w:marRight w:val="0"/>
      <w:marTop w:val="0"/>
      <w:marBottom w:val="0"/>
      <w:divBdr>
        <w:top w:val="none" w:sz="0" w:space="0" w:color="auto"/>
        <w:left w:val="none" w:sz="0" w:space="0" w:color="auto"/>
        <w:bottom w:val="none" w:sz="0" w:space="0" w:color="auto"/>
        <w:right w:val="none" w:sz="0" w:space="0" w:color="auto"/>
      </w:divBdr>
    </w:div>
    <w:div w:id="363405851">
      <w:bodyDiv w:val="1"/>
      <w:marLeft w:val="0"/>
      <w:marRight w:val="0"/>
      <w:marTop w:val="0"/>
      <w:marBottom w:val="0"/>
      <w:divBdr>
        <w:top w:val="none" w:sz="0" w:space="0" w:color="auto"/>
        <w:left w:val="none" w:sz="0" w:space="0" w:color="auto"/>
        <w:bottom w:val="none" w:sz="0" w:space="0" w:color="auto"/>
        <w:right w:val="none" w:sz="0" w:space="0" w:color="auto"/>
      </w:divBdr>
    </w:div>
    <w:div w:id="376782415">
      <w:bodyDiv w:val="1"/>
      <w:marLeft w:val="0"/>
      <w:marRight w:val="0"/>
      <w:marTop w:val="0"/>
      <w:marBottom w:val="0"/>
      <w:divBdr>
        <w:top w:val="none" w:sz="0" w:space="0" w:color="auto"/>
        <w:left w:val="none" w:sz="0" w:space="0" w:color="auto"/>
        <w:bottom w:val="none" w:sz="0" w:space="0" w:color="auto"/>
        <w:right w:val="none" w:sz="0" w:space="0" w:color="auto"/>
      </w:divBdr>
    </w:div>
    <w:div w:id="379016514">
      <w:bodyDiv w:val="1"/>
      <w:marLeft w:val="0"/>
      <w:marRight w:val="0"/>
      <w:marTop w:val="0"/>
      <w:marBottom w:val="0"/>
      <w:divBdr>
        <w:top w:val="none" w:sz="0" w:space="0" w:color="auto"/>
        <w:left w:val="none" w:sz="0" w:space="0" w:color="auto"/>
        <w:bottom w:val="none" w:sz="0" w:space="0" w:color="auto"/>
        <w:right w:val="none" w:sz="0" w:space="0" w:color="auto"/>
      </w:divBdr>
      <w:divsChild>
        <w:div w:id="933901500">
          <w:marLeft w:val="0"/>
          <w:marRight w:val="0"/>
          <w:marTop w:val="0"/>
          <w:marBottom w:val="0"/>
          <w:divBdr>
            <w:top w:val="none" w:sz="0" w:space="0" w:color="auto"/>
            <w:left w:val="none" w:sz="0" w:space="0" w:color="auto"/>
            <w:bottom w:val="none" w:sz="0" w:space="0" w:color="auto"/>
            <w:right w:val="none" w:sz="0" w:space="0" w:color="auto"/>
          </w:divBdr>
          <w:divsChild>
            <w:div w:id="308637852">
              <w:marLeft w:val="0"/>
              <w:marRight w:val="0"/>
              <w:marTop w:val="0"/>
              <w:marBottom w:val="0"/>
              <w:divBdr>
                <w:top w:val="none" w:sz="0" w:space="0" w:color="auto"/>
                <w:left w:val="none" w:sz="0" w:space="0" w:color="auto"/>
                <w:bottom w:val="none" w:sz="0" w:space="0" w:color="auto"/>
                <w:right w:val="none" w:sz="0" w:space="0" w:color="auto"/>
              </w:divBdr>
              <w:divsChild>
                <w:div w:id="156190715">
                  <w:marLeft w:val="0"/>
                  <w:marRight w:val="0"/>
                  <w:marTop w:val="0"/>
                  <w:marBottom w:val="0"/>
                  <w:divBdr>
                    <w:top w:val="none" w:sz="0" w:space="0" w:color="auto"/>
                    <w:left w:val="none" w:sz="0" w:space="0" w:color="auto"/>
                    <w:bottom w:val="none" w:sz="0" w:space="0" w:color="auto"/>
                    <w:right w:val="none" w:sz="0" w:space="0" w:color="auto"/>
                  </w:divBdr>
                  <w:divsChild>
                    <w:div w:id="1328942705">
                      <w:marLeft w:val="0"/>
                      <w:marRight w:val="0"/>
                      <w:marTop w:val="0"/>
                      <w:marBottom w:val="0"/>
                      <w:divBdr>
                        <w:top w:val="none" w:sz="0" w:space="0" w:color="auto"/>
                        <w:left w:val="none" w:sz="0" w:space="0" w:color="auto"/>
                        <w:bottom w:val="none" w:sz="0" w:space="0" w:color="auto"/>
                        <w:right w:val="none" w:sz="0" w:space="0" w:color="auto"/>
                      </w:divBdr>
                      <w:divsChild>
                        <w:div w:id="1371490344">
                          <w:marLeft w:val="0"/>
                          <w:marRight w:val="0"/>
                          <w:marTop w:val="0"/>
                          <w:marBottom w:val="0"/>
                          <w:divBdr>
                            <w:top w:val="none" w:sz="0" w:space="0" w:color="auto"/>
                            <w:left w:val="none" w:sz="0" w:space="0" w:color="auto"/>
                            <w:bottom w:val="none" w:sz="0" w:space="0" w:color="auto"/>
                            <w:right w:val="none" w:sz="0" w:space="0" w:color="auto"/>
                          </w:divBdr>
                          <w:divsChild>
                            <w:div w:id="1494645711">
                              <w:marLeft w:val="0"/>
                              <w:marRight w:val="0"/>
                              <w:marTop w:val="0"/>
                              <w:marBottom w:val="0"/>
                              <w:divBdr>
                                <w:top w:val="single" w:sz="6" w:space="0" w:color="DDDDDD"/>
                                <w:left w:val="none" w:sz="0" w:space="0" w:color="auto"/>
                                <w:bottom w:val="none" w:sz="0" w:space="0" w:color="auto"/>
                                <w:right w:val="none" w:sz="0" w:space="0" w:color="auto"/>
                              </w:divBdr>
                              <w:divsChild>
                                <w:div w:id="627273258">
                                  <w:marLeft w:val="0"/>
                                  <w:marRight w:val="0"/>
                                  <w:marTop w:val="0"/>
                                  <w:marBottom w:val="0"/>
                                  <w:divBdr>
                                    <w:top w:val="none" w:sz="0" w:space="0" w:color="auto"/>
                                    <w:left w:val="none" w:sz="0" w:space="0" w:color="auto"/>
                                    <w:bottom w:val="single" w:sz="6" w:space="0" w:color="D1D1D1"/>
                                    <w:right w:val="none" w:sz="0" w:space="0" w:color="auto"/>
                                  </w:divBdr>
                                  <w:divsChild>
                                    <w:div w:id="1773353972">
                                      <w:marLeft w:val="0"/>
                                      <w:marRight w:val="0"/>
                                      <w:marTop w:val="0"/>
                                      <w:marBottom w:val="0"/>
                                      <w:divBdr>
                                        <w:top w:val="none" w:sz="0" w:space="0" w:color="auto"/>
                                        <w:left w:val="none" w:sz="0" w:space="0" w:color="auto"/>
                                        <w:bottom w:val="none" w:sz="0" w:space="0" w:color="auto"/>
                                        <w:right w:val="none" w:sz="0" w:space="0" w:color="auto"/>
                                      </w:divBdr>
                                      <w:divsChild>
                                        <w:div w:id="456490729">
                                          <w:marLeft w:val="0"/>
                                          <w:marRight w:val="0"/>
                                          <w:marTop w:val="0"/>
                                          <w:marBottom w:val="0"/>
                                          <w:divBdr>
                                            <w:top w:val="none" w:sz="0" w:space="0" w:color="auto"/>
                                            <w:left w:val="none" w:sz="0" w:space="0" w:color="auto"/>
                                            <w:bottom w:val="none" w:sz="0" w:space="0" w:color="auto"/>
                                            <w:right w:val="none" w:sz="0" w:space="0" w:color="auto"/>
                                          </w:divBdr>
                                        </w:div>
                                        <w:div w:id="9637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9251460">
      <w:bodyDiv w:val="1"/>
      <w:marLeft w:val="0"/>
      <w:marRight w:val="0"/>
      <w:marTop w:val="0"/>
      <w:marBottom w:val="0"/>
      <w:divBdr>
        <w:top w:val="none" w:sz="0" w:space="0" w:color="auto"/>
        <w:left w:val="none" w:sz="0" w:space="0" w:color="auto"/>
        <w:bottom w:val="none" w:sz="0" w:space="0" w:color="auto"/>
        <w:right w:val="none" w:sz="0" w:space="0" w:color="auto"/>
      </w:divBdr>
    </w:div>
    <w:div w:id="450056374">
      <w:bodyDiv w:val="1"/>
      <w:marLeft w:val="0"/>
      <w:marRight w:val="0"/>
      <w:marTop w:val="0"/>
      <w:marBottom w:val="0"/>
      <w:divBdr>
        <w:top w:val="none" w:sz="0" w:space="0" w:color="auto"/>
        <w:left w:val="none" w:sz="0" w:space="0" w:color="auto"/>
        <w:bottom w:val="none" w:sz="0" w:space="0" w:color="auto"/>
        <w:right w:val="none" w:sz="0" w:space="0" w:color="auto"/>
      </w:divBdr>
    </w:div>
    <w:div w:id="458914806">
      <w:bodyDiv w:val="1"/>
      <w:marLeft w:val="0"/>
      <w:marRight w:val="0"/>
      <w:marTop w:val="0"/>
      <w:marBottom w:val="0"/>
      <w:divBdr>
        <w:top w:val="none" w:sz="0" w:space="0" w:color="auto"/>
        <w:left w:val="none" w:sz="0" w:space="0" w:color="auto"/>
        <w:bottom w:val="none" w:sz="0" w:space="0" w:color="auto"/>
        <w:right w:val="none" w:sz="0" w:space="0" w:color="auto"/>
      </w:divBdr>
    </w:div>
    <w:div w:id="461267268">
      <w:bodyDiv w:val="1"/>
      <w:marLeft w:val="0"/>
      <w:marRight w:val="0"/>
      <w:marTop w:val="0"/>
      <w:marBottom w:val="0"/>
      <w:divBdr>
        <w:top w:val="none" w:sz="0" w:space="0" w:color="auto"/>
        <w:left w:val="none" w:sz="0" w:space="0" w:color="auto"/>
        <w:bottom w:val="none" w:sz="0" w:space="0" w:color="auto"/>
        <w:right w:val="none" w:sz="0" w:space="0" w:color="auto"/>
      </w:divBdr>
    </w:div>
    <w:div w:id="496847866">
      <w:bodyDiv w:val="1"/>
      <w:marLeft w:val="0"/>
      <w:marRight w:val="0"/>
      <w:marTop w:val="0"/>
      <w:marBottom w:val="0"/>
      <w:divBdr>
        <w:top w:val="none" w:sz="0" w:space="0" w:color="auto"/>
        <w:left w:val="none" w:sz="0" w:space="0" w:color="auto"/>
        <w:bottom w:val="none" w:sz="0" w:space="0" w:color="auto"/>
        <w:right w:val="none" w:sz="0" w:space="0" w:color="auto"/>
      </w:divBdr>
    </w:div>
    <w:div w:id="502748957">
      <w:bodyDiv w:val="1"/>
      <w:marLeft w:val="0"/>
      <w:marRight w:val="0"/>
      <w:marTop w:val="0"/>
      <w:marBottom w:val="0"/>
      <w:divBdr>
        <w:top w:val="none" w:sz="0" w:space="0" w:color="auto"/>
        <w:left w:val="none" w:sz="0" w:space="0" w:color="auto"/>
        <w:bottom w:val="none" w:sz="0" w:space="0" w:color="auto"/>
        <w:right w:val="none" w:sz="0" w:space="0" w:color="auto"/>
      </w:divBdr>
    </w:div>
    <w:div w:id="519901071">
      <w:bodyDiv w:val="1"/>
      <w:marLeft w:val="0"/>
      <w:marRight w:val="0"/>
      <w:marTop w:val="0"/>
      <w:marBottom w:val="0"/>
      <w:divBdr>
        <w:top w:val="none" w:sz="0" w:space="0" w:color="auto"/>
        <w:left w:val="none" w:sz="0" w:space="0" w:color="auto"/>
        <w:bottom w:val="none" w:sz="0" w:space="0" w:color="auto"/>
        <w:right w:val="none" w:sz="0" w:space="0" w:color="auto"/>
      </w:divBdr>
    </w:div>
    <w:div w:id="573274492">
      <w:bodyDiv w:val="1"/>
      <w:marLeft w:val="0"/>
      <w:marRight w:val="0"/>
      <w:marTop w:val="0"/>
      <w:marBottom w:val="0"/>
      <w:divBdr>
        <w:top w:val="none" w:sz="0" w:space="0" w:color="auto"/>
        <w:left w:val="none" w:sz="0" w:space="0" w:color="auto"/>
        <w:bottom w:val="none" w:sz="0" w:space="0" w:color="auto"/>
        <w:right w:val="none" w:sz="0" w:space="0" w:color="auto"/>
      </w:divBdr>
    </w:div>
    <w:div w:id="574970938">
      <w:bodyDiv w:val="1"/>
      <w:marLeft w:val="0"/>
      <w:marRight w:val="0"/>
      <w:marTop w:val="0"/>
      <w:marBottom w:val="0"/>
      <w:divBdr>
        <w:top w:val="none" w:sz="0" w:space="0" w:color="auto"/>
        <w:left w:val="none" w:sz="0" w:space="0" w:color="auto"/>
        <w:bottom w:val="none" w:sz="0" w:space="0" w:color="auto"/>
        <w:right w:val="none" w:sz="0" w:space="0" w:color="auto"/>
      </w:divBdr>
    </w:div>
    <w:div w:id="585651710">
      <w:bodyDiv w:val="1"/>
      <w:marLeft w:val="0"/>
      <w:marRight w:val="0"/>
      <w:marTop w:val="0"/>
      <w:marBottom w:val="0"/>
      <w:divBdr>
        <w:top w:val="none" w:sz="0" w:space="0" w:color="auto"/>
        <w:left w:val="none" w:sz="0" w:space="0" w:color="auto"/>
        <w:bottom w:val="none" w:sz="0" w:space="0" w:color="auto"/>
        <w:right w:val="none" w:sz="0" w:space="0" w:color="auto"/>
      </w:divBdr>
    </w:div>
    <w:div w:id="620456303">
      <w:bodyDiv w:val="1"/>
      <w:marLeft w:val="0"/>
      <w:marRight w:val="0"/>
      <w:marTop w:val="0"/>
      <w:marBottom w:val="0"/>
      <w:divBdr>
        <w:top w:val="none" w:sz="0" w:space="0" w:color="auto"/>
        <w:left w:val="none" w:sz="0" w:space="0" w:color="auto"/>
        <w:bottom w:val="none" w:sz="0" w:space="0" w:color="auto"/>
        <w:right w:val="none" w:sz="0" w:space="0" w:color="auto"/>
      </w:divBdr>
    </w:div>
    <w:div w:id="626737158">
      <w:bodyDiv w:val="1"/>
      <w:marLeft w:val="0"/>
      <w:marRight w:val="0"/>
      <w:marTop w:val="0"/>
      <w:marBottom w:val="0"/>
      <w:divBdr>
        <w:top w:val="none" w:sz="0" w:space="0" w:color="auto"/>
        <w:left w:val="none" w:sz="0" w:space="0" w:color="auto"/>
        <w:bottom w:val="none" w:sz="0" w:space="0" w:color="auto"/>
        <w:right w:val="none" w:sz="0" w:space="0" w:color="auto"/>
      </w:divBdr>
    </w:div>
    <w:div w:id="639723138">
      <w:bodyDiv w:val="1"/>
      <w:marLeft w:val="0"/>
      <w:marRight w:val="0"/>
      <w:marTop w:val="0"/>
      <w:marBottom w:val="0"/>
      <w:divBdr>
        <w:top w:val="none" w:sz="0" w:space="0" w:color="auto"/>
        <w:left w:val="none" w:sz="0" w:space="0" w:color="auto"/>
        <w:bottom w:val="none" w:sz="0" w:space="0" w:color="auto"/>
        <w:right w:val="none" w:sz="0" w:space="0" w:color="auto"/>
      </w:divBdr>
    </w:div>
    <w:div w:id="644507772">
      <w:bodyDiv w:val="1"/>
      <w:marLeft w:val="0"/>
      <w:marRight w:val="0"/>
      <w:marTop w:val="0"/>
      <w:marBottom w:val="0"/>
      <w:divBdr>
        <w:top w:val="none" w:sz="0" w:space="0" w:color="auto"/>
        <w:left w:val="none" w:sz="0" w:space="0" w:color="auto"/>
        <w:bottom w:val="none" w:sz="0" w:space="0" w:color="auto"/>
        <w:right w:val="none" w:sz="0" w:space="0" w:color="auto"/>
      </w:divBdr>
    </w:div>
    <w:div w:id="655380635">
      <w:bodyDiv w:val="1"/>
      <w:marLeft w:val="0"/>
      <w:marRight w:val="0"/>
      <w:marTop w:val="0"/>
      <w:marBottom w:val="0"/>
      <w:divBdr>
        <w:top w:val="none" w:sz="0" w:space="0" w:color="auto"/>
        <w:left w:val="none" w:sz="0" w:space="0" w:color="auto"/>
        <w:bottom w:val="none" w:sz="0" w:space="0" w:color="auto"/>
        <w:right w:val="none" w:sz="0" w:space="0" w:color="auto"/>
      </w:divBdr>
    </w:div>
    <w:div w:id="664163175">
      <w:bodyDiv w:val="1"/>
      <w:marLeft w:val="0"/>
      <w:marRight w:val="0"/>
      <w:marTop w:val="0"/>
      <w:marBottom w:val="0"/>
      <w:divBdr>
        <w:top w:val="none" w:sz="0" w:space="0" w:color="auto"/>
        <w:left w:val="none" w:sz="0" w:space="0" w:color="auto"/>
        <w:bottom w:val="none" w:sz="0" w:space="0" w:color="auto"/>
        <w:right w:val="none" w:sz="0" w:space="0" w:color="auto"/>
      </w:divBdr>
    </w:div>
    <w:div w:id="677074909">
      <w:bodyDiv w:val="1"/>
      <w:marLeft w:val="0"/>
      <w:marRight w:val="0"/>
      <w:marTop w:val="0"/>
      <w:marBottom w:val="0"/>
      <w:divBdr>
        <w:top w:val="none" w:sz="0" w:space="0" w:color="auto"/>
        <w:left w:val="none" w:sz="0" w:space="0" w:color="auto"/>
        <w:bottom w:val="none" w:sz="0" w:space="0" w:color="auto"/>
        <w:right w:val="none" w:sz="0" w:space="0" w:color="auto"/>
      </w:divBdr>
    </w:div>
    <w:div w:id="688797293">
      <w:bodyDiv w:val="1"/>
      <w:marLeft w:val="0"/>
      <w:marRight w:val="0"/>
      <w:marTop w:val="0"/>
      <w:marBottom w:val="0"/>
      <w:divBdr>
        <w:top w:val="none" w:sz="0" w:space="0" w:color="auto"/>
        <w:left w:val="none" w:sz="0" w:space="0" w:color="auto"/>
        <w:bottom w:val="none" w:sz="0" w:space="0" w:color="auto"/>
        <w:right w:val="none" w:sz="0" w:space="0" w:color="auto"/>
      </w:divBdr>
    </w:div>
    <w:div w:id="695473043">
      <w:bodyDiv w:val="1"/>
      <w:marLeft w:val="0"/>
      <w:marRight w:val="0"/>
      <w:marTop w:val="0"/>
      <w:marBottom w:val="0"/>
      <w:divBdr>
        <w:top w:val="none" w:sz="0" w:space="0" w:color="auto"/>
        <w:left w:val="none" w:sz="0" w:space="0" w:color="auto"/>
        <w:bottom w:val="none" w:sz="0" w:space="0" w:color="auto"/>
        <w:right w:val="none" w:sz="0" w:space="0" w:color="auto"/>
      </w:divBdr>
    </w:div>
    <w:div w:id="705065930">
      <w:bodyDiv w:val="1"/>
      <w:marLeft w:val="0"/>
      <w:marRight w:val="0"/>
      <w:marTop w:val="0"/>
      <w:marBottom w:val="0"/>
      <w:divBdr>
        <w:top w:val="none" w:sz="0" w:space="0" w:color="auto"/>
        <w:left w:val="none" w:sz="0" w:space="0" w:color="auto"/>
        <w:bottom w:val="none" w:sz="0" w:space="0" w:color="auto"/>
        <w:right w:val="none" w:sz="0" w:space="0" w:color="auto"/>
      </w:divBdr>
    </w:div>
    <w:div w:id="732897425">
      <w:bodyDiv w:val="1"/>
      <w:marLeft w:val="0"/>
      <w:marRight w:val="0"/>
      <w:marTop w:val="0"/>
      <w:marBottom w:val="0"/>
      <w:divBdr>
        <w:top w:val="none" w:sz="0" w:space="0" w:color="auto"/>
        <w:left w:val="none" w:sz="0" w:space="0" w:color="auto"/>
        <w:bottom w:val="none" w:sz="0" w:space="0" w:color="auto"/>
        <w:right w:val="none" w:sz="0" w:space="0" w:color="auto"/>
      </w:divBdr>
    </w:div>
    <w:div w:id="755132435">
      <w:bodyDiv w:val="1"/>
      <w:marLeft w:val="0"/>
      <w:marRight w:val="0"/>
      <w:marTop w:val="0"/>
      <w:marBottom w:val="0"/>
      <w:divBdr>
        <w:top w:val="none" w:sz="0" w:space="0" w:color="auto"/>
        <w:left w:val="none" w:sz="0" w:space="0" w:color="auto"/>
        <w:bottom w:val="none" w:sz="0" w:space="0" w:color="auto"/>
        <w:right w:val="none" w:sz="0" w:space="0" w:color="auto"/>
      </w:divBdr>
    </w:div>
    <w:div w:id="783646482">
      <w:bodyDiv w:val="1"/>
      <w:marLeft w:val="0"/>
      <w:marRight w:val="0"/>
      <w:marTop w:val="0"/>
      <w:marBottom w:val="0"/>
      <w:divBdr>
        <w:top w:val="none" w:sz="0" w:space="0" w:color="auto"/>
        <w:left w:val="none" w:sz="0" w:space="0" w:color="auto"/>
        <w:bottom w:val="none" w:sz="0" w:space="0" w:color="auto"/>
        <w:right w:val="none" w:sz="0" w:space="0" w:color="auto"/>
      </w:divBdr>
    </w:div>
    <w:div w:id="792402577">
      <w:bodyDiv w:val="1"/>
      <w:marLeft w:val="0"/>
      <w:marRight w:val="0"/>
      <w:marTop w:val="0"/>
      <w:marBottom w:val="0"/>
      <w:divBdr>
        <w:top w:val="none" w:sz="0" w:space="0" w:color="auto"/>
        <w:left w:val="none" w:sz="0" w:space="0" w:color="auto"/>
        <w:bottom w:val="none" w:sz="0" w:space="0" w:color="auto"/>
        <w:right w:val="none" w:sz="0" w:space="0" w:color="auto"/>
      </w:divBdr>
    </w:div>
    <w:div w:id="829826816">
      <w:bodyDiv w:val="1"/>
      <w:marLeft w:val="0"/>
      <w:marRight w:val="0"/>
      <w:marTop w:val="0"/>
      <w:marBottom w:val="0"/>
      <w:divBdr>
        <w:top w:val="none" w:sz="0" w:space="0" w:color="auto"/>
        <w:left w:val="none" w:sz="0" w:space="0" w:color="auto"/>
        <w:bottom w:val="none" w:sz="0" w:space="0" w:color="auto"/>
        <w:right w:val="none" w:sz="0" w:space="0" w:color="auto"/>
      </w:divBdr>
    </w:div>
    <w:div w:id="848178792">
      <w:bodyDiv w:val="1"/>
      <w:marLeft w:val="0"/>
      <w:marRight w:val="0"/>
      <w:marTop w:val="0"/>
      <w:marBottom w:val="0"/>
      <w:divBdr>
        <w:top w:val="none" w:sz="0" w:space="0" w:color="auto"/>
        <w:left w:val="none" w:sz="0" w:space="0" w:color="auto"/>
        <w:bottom w:val="none" w:sz="0" w:space="0" w:color="auto"/>
        <w:right w:val="none" w:sz="0" w:space="0" w:color="auto"/>
      </w:divBdr>
    </w:div>
    <w:div w:id="906109374">
      <w:bodyDiv w:val="1"/>
      <w:marLeft w:val="0"/>
      <w:marRight w:val="0"/>
      <w:marTop w:val="0"/>
      <w:marBottom w:val="0"/>
      <w:divBdr>
        <w:top w:val="none" w:sz="0" w:space="0" w:color="auto"/>
        <w:left w:val="none" w:sz="0" w:space="0" w:color="auto"/>
        <w:bottom w:val="none" w:sz="0" w:space="0" w:color="auto"/>
        <w:right w:val="none" w:sz="0" w:space="0" w:color="auto"/>
      </w:divBdr>
    </w:div>
    <w:div w:id="921329415">
      <w:bodyDiv w:val="1"/>
      <w:marLeft w:val="0"/>
      <w:marRight w:val="0"/>
      <w:marTop w:val="0"/>
      <w:marBottom w:val="0"/>
      <w:divBdr>
        <w:top w:val="none" w:sz="0" w:space="0" w:color="auto"/>
        <w:left w:val="none" w:sz="0" w:space="0" w:color="auto"/>
        <w:bottom w:val="none" w:sz="0" w:space="0" w:color="auto"/>
        <w:right w:val="none" w:sz="0" w:space="0" w:color="auto"/>
      </w:divBdr>
    </w:div>
    <w:div w:id="1055927440">
      <w:bodyDiv w:val="1"/>
      <w:marLeft w:val="0"/>
      <w:marRight w:val="0"/>
      <w:marTop w:val="0"/>
      <w:marBottom w:val="0"/>
      <w:divBdr>
        <w:top w:val="none" w:sz="0" w:space="0" w:color="auto"/>
        <w:left w:val="none" w:sz="0" w:space="0" w:color="auto"/>
        <w:bottom w:val="none" w:sz="0" w:space="0" w:color="auto"/>
        <w:right w:val="none" w:sz="0" w:space="0" w:color="auto"/>
      </w:divBdr>
    </w:div>
    <w:div w:id="1083142823">
      <w:bodyDiv w:val="1"/>
      <w:marLeft w:val="0"/>
      <w:marRight w:val="0"/>
      <w:marTop w:val="0"/>
      <w:marBottom w:val="0"/>
      <w:divBdr>
        <w:top w:val="none" w:sz="0" w:space="0" w:color="auto"/>
        <w:left w:val="none" w:sz="0" w:space="0" w:color="auto"/>
        <w:bottom w:val="none" w:sz="0" w:space="0" w:color="auto"/>
        <w:right w:val="none" w:sz="0" w:space="0" w:color="auto"/>
      </w:divBdr>
    </w:div>
    <w:div w:id="1114059075">
      <w:bodyDiv w:val="1"/>
      <w:marLeft w:val="0"/>
      <w:marRight w:val="0"/>
      <w:marTop w:val="0"/>
      <w:marBottom w:val="0"/>
      <w:divBdr>
        <w:top w:val="none" w:sz="0" w:space="0" w:color="auto"/>
        <w:left w:val="none" w:sz="0" w:space="0" w:color="auto"/>
        <w:bottom w:val="none" w:sz="0" w:space="0" w:color="auto"/>
        <w:right w:val="none" w:sz="0" w:space="0" w:color="auto"/>
      </w:divBdr>
    </w:div>
    <w:div w:id="1141650987">
      <w:bodyDiv w:val="1"/>
      <w:marLeft w:val="0"/>
      <w:marRight w:val="0"/>
      <w:marTop w:val="0"/>
      <w:marBottom w:val="0"/>
      <w:divBdr>
        <w:top w:val="none" w:sz="0" w:space="0" w:color="auto"/>
        <w:left w:val="none" w:sz="0" w:space="0" w:color="auto"/>
        <w:bottom w:val="none" w:sz="0" w:space="0" w:color="auto"/>
        <w:right w:val="none" w:sz="0" w:space="0" w:color="auto"/>
      </w:divBdr>
    </w:div>
    <w:div w:id="1159033523">
      <w:bodyDiv w:val="1"/>
      <w:marLeft w:val="0"/>
      <w:marRight w:val="0"/>
      <w:marTop w:val="0"/>
      <w:marBottom w:val="0"/>
      <w:divBdr>
        <w:top w:val="none" w:sz="0" w:space="0" w:color="auto"/>
        <w:left w:val="none" w:sz="0" w:space="0" w:color="auto"/>
        <w:bottom w:val="none" w:sz="0" w:space="0" w:color="auto"/>
        <w:right w:val="none" w:sz="0" w:space="0" w:color="auto"/>
      </w:divBdr>
    </w:div>
    <w:div w:id="1173960209">
      <w:bodyDiv w:val="1"/>
      <w:marLeft w:val="0"/>
      <w:marRight w:val="0"/>
      <w:marTop w:val="0"/>
      <w:marBottom w:val="0"/>
      <w:divBdr>
        <w:top w:val="none" w:sz="0" w:space="0" w:color="auto"/>
        <w:left w:val="none" w:sz="0" w:space="0" w:color="auto"/>
        <w:bottom w:val="none" w:sz="0" w:space="0" w:color="auto"/>
        <w:right w:val="none" w:sz="0" w:space="0" w:color="auto"/>
      </w:divBdr>
    </w:div>
    <w:div w:id="1204366888">
      <w:bodyDiv w:val="1"/>
      <w:marLeft w:val="0"/>
      <w:marRight w:val="0"/>
      <w:marTop w:val="0"/>
      <w:marBottom w:val="0"/>
      <w:divBdr>
        <w:top w:val="none" w:sz="0" w:space="0" w:color="auto"/>
        <w:left w:val="none" w:sz="0" w:space="0" w:color="auto"/>
        <w:bottom w:val="none" w:sz="0" w:space="0" w:color="auto"/>
        <w:right w:val="none" w:sz="0" w:space="0" w:color="auto"/>
      </w:divBdr>
    </w:div>
    <w:div w:id="1206869130">
      <w:bodyDiv w:val="1"/>
      <w:marLeft w:val="0"/>
      <w:marRight w:val="0"/>
      <w:marTop w:val="0"/>
      <w:marBottom w:val="0"/>
      <w:divBdr>
        <w:top w:val="none" w:sz="0" w:space="0" w:color="auto"/>
        <w:left w:val="none" w:sz="0" w:space="0" w:color="auto"/>
        <w:bottom w:val="none" w:sz="0" w:space="0" w:color="auto"/>
        <w:right w:val="none" w:sz="0" w:space="0" w:color="auto"/>
      </w:divBdr>
    </w:div>
    <w:div w:id="1274677738">
      <w:bodyDiv w:val="1"/>
      <w:marLeft w:val="0"/>
      <w:marRight w:val="0"/>
      <w:marTop w:val="0"/>
      <w:marBottom w:val="0"/>
      <w:divBdr>
        <w:top w:val="none" w:sz="0" w:space="0" w:color="auto"/>
        <w:left w:val="none" w:sz="0" w:space="0" w:color="auto"/>
        <w:bottom w:val="none" w:sz="0" w:space="0" w:color="auto"/>
        <w:right w:val="none" w:sz="0" w:space="0" w:color="auto"/>
      </w:divBdr>
    </w:div>
    <w:div w:id="1295675012">
      <w:bodyDiv w:val="1"/>
      <w:marLeft w:val="0"/>
      <w:marRight w:val="0"/>
      <w:marTop w:val="0"/>
      <w:marBottom w:val="0"/>
      <w:divBdr>
        <w:top w:val="none" w:sz="0" w:space="0" w:color="auto"/>
        <w:left w:val="none" w:sz="0" w:space="0" w:color="auto"/>
        <w:bottom w:val="none" w:sz="0" w:space="0" w:color="auto"/>
        <w:right w:val="none" w:sz="0" w:space="0" w:color="auto"/>
      </w:divBdr>
      <w:divsChild>
        <w:div w:id="875627969">
          <w:marLeft w:val="0"/>
          <w:marRight w:val="0"/>
          <w:marTop w:val="0"/>
          <w:marBottom w:val="0"/>
          <w:divBdr>
            <w:top w:val="none" w:sz="0" w:space="0" w:color="auto"/>
            <w:left w:val="none" w:sz="0" w:space="0" w:color="auto"/>
            <w:bottom w:val="none" w:sz="0" w:space="0" w:color="auto"/>
            <w:right w:val="none" w:sz="0" w:space="0" w:color="auto"/>
          </w:divBdr>
          <w:divsChild>
            <w:div w:id="43063488">
              <w:marLeft w:val="0"/>
              <w:marRight w:val="0"/>
              <w:marTop w:val="0"/>
              <w:marBottom w:val="0"/>
              <w:divBdr>
                <w:top w:val="none" w:sz="0" w:space="0" w:color="auto"/>
                <w:left w:val="none" w:sz="0" w:space="0" w:color="auto"/>
                <w:bottom w:val="none" w:sz="0" w:space="0" w:color="auto"/>
                <w:right w:val="none" w:sz="0" w:space="0" w:color="auto"/>
              </w:divBdr>
            </w:div>
            <w:div w:id="49152539">
              <w:marLeft w:val="0"/>
              <w:marRight w:val="0"/>
              <w:marTop w:val="0"/>
              <w:marBottom w:val="0"/>
              <w:divBdr>
                <w:top w:val="none" w:sz="0" w:space="0" w:color="auto"/>
                <w:left w:val="none" w:sz="0" w:space="0" w:color="auto"/>
                <w:bottom w:val="none" w:sz="0" w:space="0" w:color="auto"/>
                <w:right w:val="none" w:sz="0" w:space="0" w:color="auto"/>
              </w:divBdr>
            </w:div>
            <w:div w:id="120422126">
              <w:marLeft w:val="0"/>
              <w:marRight w:val="0"/>
              <w:marTop w:val="0"/>
              <w:marBottom w:val="0"/>
              <w:divBdr>
                <w:top w:val="none" w:sz="0" w:space="0" w:color="auto"/>
                <w:left w:val="none" w:sz="0" w:space="0" w:color="auto"/>
                <w:bottom w:val="none" w:sz="0" w:space="0" w:color="auto"/>
                <w:right w:val="none" w:sz="0" w:space="0" w:color="auto"/>
              </w:divBdr>
            </w:div>
            <w:div w:id="280916631">
              <w:marLeft w:val="0"/>
              <w:marRight w:val="0"/>
              <w:marTop w:val="0"/>
              <w:marBottom w:val="0"/>
              <w:divBdr>
                <w:top w:val="none" w:sz="0" w:space="0" w:color="auto"/>
                <w:left w:val="none" w:sz="0" w:space="0" w:color="auto"/>
                <w:bottom w:val="none" w:sz="0" w:space="0" w:color="auto"/>
                <w:right w:val="none" w:sz="0" w:space="0" w:color="auto"/>
              </w:divBdr>
            </w:div>
            <w:div w:id="298998113">
              <w:marLeft w:val="0"/>
              <w:marRight w:val="0"/>
              <w:marTop w:val="0"/>
              <w:marBottom w:val="0"/>
              <w:divBdr>
                <w:top w:val="none" w:sz="0" w:space="0" w:color="auto"/>
                <w:left w:val="none" w:sz="0" w:space="0" w:color="auto"/>
                <w:bottom w:val="none" w:sz="0" w:space="0" w:color="auto"/>
                <w:right w:val="none" w:sz="0" w:space="0" w:color="auto"/>
              </w:divBdr>
            </w:div>
            <w:div w:id="847601093">
              <w:marLeft w:val="0"/>
              <w:marRight w:val="0"/>
              <w:marTop w:val="0"/>
              <w:marBottom w:val="0"/>
              <w:divBdr>
                <w:top w:val="none" w:sz="0" w:space="0" w:color="auto"/>
                <w:left w:val="none" w:sz="0" w:space="0" w:color="auto"/>
                <w:bottom w:val="none" w:sz="0" w:space="0" w:color="auto"/>
                <w:right w:val="none" w:sz="0" w:space="0" w:color="auto"/>
              </w:divBdr>
            </w:div>
            <w:div w:id="863784527">
              <w:marLeft w:val="0"/>
              <w:marRight w:val="0"/>
              <w:marTop w:val="0"/>
              <w:marBottom w:val="0"/>
              <w:divBdr>
                <w:top w:val="none" w:sz="0" w:space="0" w:color="auto"/>
                <w:left w:val="none" w:sz="0" w:space="0" w:color="auto"/>
                <w:bottom w:val="none" w:sz="0" w:space="0" w:color="auto"/>
                <w:right w:val="none" w:sz="0" w:space="0" w:color="auto"/>
              </w:divBdr>
            </w:div>
            <w:div w:id="955453313">
              <w:marLeft w:val="0"/>
              <w:marRight w:val="0"/>
              <w:marTop w:val="0"/>
              <w:marBottom w:val="0"/>
              <w:divBdr>
                <w:top w:val="none" w:sz="0" w:space="0" w:color="auto"/>
                <w:left w:val="none" w:sz="0" w:space="0" w:color="auto"/>
                <w:bottom w:val="none" w:sz="0" w:space="0" w:color="auto"/>
                <w:right w:val="none" w:sz="0" w:space="0" w:color="auto"/>
              </w:divBdr>
            </w:div>
            <w:div w:id="962544177">
              <w:marLeft w:val="0"/>
              <w:marRight w:val="0"/>
              <w:marTop w:val="0"/>
              <w:marBottom w:val="0"/>
              <w:divBdr>
                <w:top w:val="none" w:sz="0" w:space="0" w:color="auto"/>
                <w:left w:val="none" w:sz="0" w:space="0" w:color="auto"/>
                <w:bottom w:val="none" w:sz="0" w:space="0" w:color="auto"/>
                <w:right w:val="none" w:sz="0" w:space="0" w:color="auto"/>
              </w:divBdr>
            </w:div>
            <w:div w:id="979071528">
              <w:marLeft w:val="0"/>
              <w:marRight w:val="0"/>
              <w:marTop w:val="0"/>
              <w:marBottom w:val="0"/>
              <w:divBdr>
                <w:top w:val="none" w:sz="0" w:space="0" w:color="auto"/>
                <w:left w:val="none" w:sz="0" w:space="0" w:color="auto"/>
                <w:bottom w:val="none" w:sz="0" w:space="0" w:color="auto"/>
                <w:right w:val="none" w:sz="0" w:space="0" w:color="auto"/>
              </w:divBdr>
            </w:div>
            <w:div w:id="1098212138">
              <w:marLeft w:val="0"/>
              <w:marRight w:val="0"/>
              <w:marTop w:val="0"/>
              <w:marBottom w:val="0"/>
              <w:divBdr>
                <w:top w:val="none" w:sz="0" w:space="0" w:color="auto"/>
                <w:left w:val="none" w:sz="0" w:space="0" w:color="auto"/>
                <w:bottom w:val="none" w:sz="0" w:space="0" w:color="auto"/>
                <w:right w:val="none" w:sz="0" w:space="0" w:color="auto"/>
              </w:divBdr>
            </w:div>
            <w:div w:id="1271664932">
              <w:marLeft w:val="0"/>
              <w:marRight w:val="0"/>
              <w:marTop w:val="0"/>
              <w:marBottom w:val="0"/>
              <w:divBdr>
                <w:top w:val="none" w:sz="0" w:space="0" w:color="auto"/>
                <w:left w:val="none" w:sz="0" w:space="0" w:color="auto"/>
                <w:bottom w:val="none" w:sz="0" w:space="0" w:color="auto"/>
                <w:right w:val="none" w:sz="0" w:space="0" w:color="auto"/>
              </w:divBdr>
            </w:div>
            <w:div w:id="1351251304">
              <w:marLeft w:val="0"/>
              <w:marRight w:val="0"/>
              <w:marTop w:val="0"/>
              <w:marBottom w:val="0"/>
              <w:divBdr>
                <w:top w:val="none" w:sz="0" w:space="0" w:color="auto"/>
                <w:left w:val="none" w:sz="0" w:space="0" w:color="auto"/>
                <w:bottom w:val="none" w:sz="0" w:space="0" w:color="auto"/>
                <w:right w:val="none" w:sz="0" w:space="0" w:color="auto"/>
              </w:divBdr>
            </w:div>
            <w:div w:id="1366754659">
              <w:marLeft w:val="0"/>
              <w:marRight w:val="0"/>
              <w:marTop w:val="0"/>
              <w:marBottom w:val="0"/>
              <w:divBdr>
                <w:top w:val="none" w:sz="0" w:space="0" w:color="auto"/>
                <w:left w:val="none" w:sz="0" w:space="0" w:color="auto"/>
                <w:bottom w:val="none" w:sz="0" w:space="0" w:color="auto"/>
                <w:right w:val="none" w:sz="0" w:space="0" w:color="auto"/>
              </w:divBdr>
            </w:div>
            <w:div w:id="1390763241">
              <w:marLeft w:val="0"/>
              <w:marRight w:val="0"/>
              <w:marTop w:val="0"/>
              <w:marBottom w:val="0"/>
              <w:divBdr>
                <w:top w:val="none" w:sz="0" w:space="0" w:color="auto"/>
                <w:left w:val="none" w:sz="0" w:space="0" w:color="auto"/>
                <w:bottom w:val="none" w:sz="0" w:space="0" w:color="auto"/>
                <w:right w:val="none" w:sz="0" w:space="0" w:color="auto"/>
              </w:divBdr>
            </w:div>
            <w:div w:id="1765689475">
              <w:marLeft w:val="0"/>
              <w:marRight w:val="0"/>
              <w:marTop w:val="0"/>
              <w:marBottom w:val="0"/>
              <w:divBdr>
                <w:top w:val="none" w:sz="0" w:space="0" w:color="auto"/>
                <w:left w:val="none" w:sz="0" w:space="0" w:color="auto"/>
                <w:bottom w:val="none" w:sz="0" w:space="0" w:color="auto"/>
                <w:right w:val="none" w:sz="0" w:space="0" w:color="auto"/>
              </w:divBdr>
            </w:div>
            <w:div w:id="1814714412">
              <w:marLeft w:val="0"/>
              <w:marRight w:val="0"/>
              <w:marTop w:val="0"/>
              <w:marBottom w:val="0"/>
              <w:divBdr>
                <w:top w:val="none" w:sz="0" w:space="0" w:color="auto"/>
                <w:left w:val="none" w:sz="0" w:space="0" w:color="auto"/>
                <w:bottom w:val="none" w:sz="0" w:space="0" w:color="auto"/>
                <w:right w:val="none" w:sz="0" w:space="0" w:color="auto"/>
              </w:divBdr>
            </w:div>
            <w:div w:id="2029289422">
              <w:marLeft w:val="0"/>
              <w:marRight w:val="0"/>
              <w:marTop w:val="0"/>
              <w:marBottom w:val="0"/>
              <w:divBdr>
                <w:top w:val="none" w:sz="0" w:space="0" w:color="auto"/>
                <w:left w:val="none" w:sz="0" w:space="0" w:color="auto"/>
                <w:bottom w:val="none" w:sz="0" w:space="0" w:color="auto"/>
                <w:right w:val="none" w:sz="0" w:space="0" w:color="auto"/>
              </w:divBdr>
            </w:div>
            <w:div w:id="2034455314">
              <w:marLeft w:val="0"/>
              <w:marRight w:val="0"/>
              <w:marTop w:val="0"/>
              <w:marBottom w:val="0"/>
              <w:divBdr>
                <w:top w:val="none" w:sz="0" w:space="0" w:color="auto"/>
                <w:left w:val="none" w:sz="0" w:space="0" w:color="auto"/>
                <w:bottom w:val="none" w:sz="0" w:space="0" w:color="auto"/>
                <w:right w:val="none" w:sz="0" w:space="0" w:color="auto"/>
              </w:divBdr>
            </w:div>
            <w:div w:id="2125804345">
              <w:marLeft w:val="0"/>
              <w:marRight w:val="0"/>
              <w:marTop w:val="0"/>
              <w:marBottom w:val="0"/>
              <w:divBdr>
                <w:top w:val="none" w:sz="0" w:space="0" w:color="auto"/>
                <w:left w:val="none" w:sz="0" w:space="0" w:color="auto"/>
                <w:bottom w:val="none" w:sz="0" w:space="0" w:color="auto"/>
                <w:right w:val="none" w:sz="0" w:space="0" w:color="auto"/>
              </w:divBdr>
            </w:div>
            <w:div w:id="2126844442">
              <w:marLeft w:val="0"/>
              <w:marRight w:val="0"/>
              <w:marTop w:val="0"/>
              <w:marBottom w:val="0"/>
              <w:divBdr>
                <w:top w:val="none" w:sz="0" w:space="0" w:color="auto"/>
                <w:left w:val="none" w:sz="0" w:space="0" w:color="auto"/>
                <w:bottom w:val="none" w:sz="0" w:space="0" w:color="auto"/>
                <w:right w:val="none" w:sz="0" w:space="0" w:color="auto"/>
              </w:divBdr>
            </w:div>
          </w:divsChild>
        </w:div>
        <w:div w:id="1009796943">
          <w:marLeft w:val="0"/>
          <w:marRight w:val="0"/>
          <w:marTop w:val="0"/>
          <w:marBottom w:val="0"/>
          <w:divBdr>
            <w:top w:val="none" w:sz="0" w:space="0" w:color="auto"/>
            <w:left w:val="none" w:sz="0" w:space="0" w:color="auto"/>
            <w:bottom w:val="none" w:sz="0" w:space="0" w:color="auto"/>
            <w:right w:val="none" w:sz="0" w:space="0" w:color="auto"/>
          </w:divBdr>
          <w:divsChild>
            <w:div w:id="240332405">
              <w:marLeft w:val="0"/>
              <w:marRight w:val="0"/>
              <w:marTop w:val="0"/>
              <w:marBottom w:val="0"/>
              <w:divBdr>
                <w:top w:val="none" w:sz="0" w:space="0" w:color="auto"/>
                <w:left w:val="none" w:sz="0" w:space="0" w:color="auto"/>
                <w:bottom w:val="none" w:sz="0" w:space="0" w:color="auto"/>
                <w:right w:val="none" w:sz="0" w:space="0" w:color="auto"/>
              </w:divBdr>
            </w:div>
            <w:div w:id="265425342">
              <w:marLeft w:val="0"/>
              <w:marRight w:val="0"/>
              <w:marTop w:val="0"/>
              <w:marBottom w:val="0"/>
              <w:divBdr>
                <w:top w:val="none" w:sz="0" w:space="0" w:color="auto"/>
                <w:left w:val="none" w:sz="0" w:space="0" w:color="auto"/>
                <w:bottom w:val="none" w:sz="0" w:space="0" w:color="auto"/>
                <w:right w:val="none" w:sz="0" w:space="0" w:color="auto"/>
              </w:divBdr>
            </w:div>
            <w:div w:id="443770852">
              <w:marLeft w:val="0"/>
              <w:marRight w:val="0"/>
              <w:marTop w:val="0"/>
              <w:marBottom w:val="0"/>
              <w:divBdr>
                <w:top w:val="none" w:sz="0" w:space="0" w:color="auto"/>
                <w:left w:val="none" w:sz="0" w:space="0" w:color="auto"/>
                <w:bottom w:val="none" w:sz="0" w:space="0" w:color="auto"/>
                <w:right w:val="none" w:sz="0" w:space="0" w:color="auto"/>
              </w:divBdr>
            </w:div>
            <w:div w:id="666708286">
              <w:marLeft w:val="0"/>
              <w:marRight w:val="0"/>
              <w:marTop w:val="0"/>
              <w:marBottom w:val="0"/>
              <w:divBdr>
                <w:top w:val="none" w:sz="0" w:space="0" w:color="auto"/>
                <w:left w:val="none" w:sz="0" w:space="0" w:color="auto"/>
                <w:bottom w:val="none" w:sz="0" w:space="0" w:color="auto"/>
                <w:right w:val="none" w:sz="0" w:space="0" w:color="auto"/>
              </w:divBdr>
            </w:div>
            <w:div w:id="1014303872">
              <w:marLeft w:val="0"/>
              <w:marRight w:val="0"/>
              <w:marTop w:val="0"/>
              <w:marBottom w:val="0"/>
              <w:divBdr>
                <w:top w:val="none" w:sz="0" w:space="0" w:color="auto"/>
                <w:left w:val="none" w:sz="0" w:space="0" w:color="auto"/>
                <w:bottom w:val="none" w:sz="0" w:space="0" w:color="auto"/>
                <w:right w:val="none" w:sz="0" w:space="0" w:color="auto"/>
              </w:divBdr>
            </w:div>
            <w:div w:id="1018653260">
              <w:marLeft w:val="0"/>
              <w:marRight w:val="0"/>
              <w:marTop w:val="0"/>
              <w:marBottom w:val="0"/>
              <w:divBdr>
                <w:top w:val="none" w:sz="0" w:space="0" w:color="auto"/>
                <w:left w:val="none" w:sz="0" w:space="0" w:color="auto"/>
                <w:bottom w:val="none" w:sz="0" w:space="0" w:color="auto"/>
                <w:right w:val="none" w:sz="0" w:space="0" w:color="auto"/>
              </w:divBdr>
            </w:div>
            <w:div w:id="1076783918">
              <w:marLeft w:val="0"/>
              <w:marRight w:val="0"/>
              <w:marTop w:val="0"/>
              <w:marBottom w:val="0"/>
              <w:divBdr>
                <w:top w:val="none" w:sz="0" w:space="0" w:color="auto"/>
                <w:left w:val="none" w:sz="0" w:space="0" w:color="auto"/>
                <w:bottom w:val="none" w:sz="0" w:space="0" w:color="auto"/>
                <w:right w:val="none" w:sz="0" w:space="0" w:color="auto"/>
              </w:divBdr>
            </w:div>
            <w:div w:id="1171726052">
              <w:marLeft w:val="0"/>
              <w:marRight w:val="0"/>
              <w:marTop w:val="0"/>
              <w:marBottom w:val="0"/>
              <w:divBdr>
                <w:top w:val="none" w:sz="0" w:space="0" w:color="auto"/>
                <w:left w:val="none" w:sz="0" w:space="0" w:color="auto"/>
                <w:bottom w:val="none" w:sz="0" w:space="0" w:color="auto"/>
                <w:right w:val="none" w:sz="0" w:space="0" w:color="auto"/>
              </w:divBdr>
            </w:div>
            <w:div w:id="1241332687">
              <w:marLeft w:val="0"/>
              <w:marRight w:val="0"/>
              <w:marTop w:val="0"/>
              <w:marBottom w:val="0"/>
              <w:divBdr>
                <w:top w:val="none" w:sz="0" w:space="0" w:color="auto"/>
                <w:left w:val="none" w:sz="0" w:space="0" w:color="auto"/>
                <w:bottom w:val="none" w:sz="0" w:space="0" w:color="auto"/>
                <w:right w:val="none" w:sz="0" w:space="0" w:color="auto"/>
              </w:divBdr>
            </w:div>
            <w:div w:id="1463301798">
              <w:marLeft w:val="0"/>
              <w:marRight w:val="0"/>
              <w:marTop w:val="0"/>
              <w:marBottom w:val="0"/>
              <w:divBdr>
                <w:top w:val="none" w:sz="0" w:space="0" w:color="auto"/>
                <w:left w:val="none" w:sz="0" w:space="0" w:color="auto"/>
                <w:bottom w:val="none" w:sz="0" w:space="0" w:color="auto"/>
                <w:right w:val="none" w:sz="0" w:space="0" w:color="auto"/>
              </w:divBdr>
            </w:div>
            <w:div w:id="1469474879">
              <w:marLeft w:val="0"/>
              <w:marRight w:val="0"/>
              <w:marTop w:val="0"/>
              <w:marBottom w:val="0"/>
              <w:divBdr>
                <w:top w:val="none" w:sz="0" w:space="0" w:color="auto"/>
                <w:left w:val="none" w:sz="0" w:space="0" w:color="auto"/>
                <w:bottom w:val="none" w:sz="0" w:space="0" w:color="auto"/>
                <w:right w:val="none" w:sz="0" w:space="0" w:color="auto"/>
              </w:divBdr>
            </w:div>
            <w:div w:id="1505197189">
              <w:marLeft w:val="0"/>
              <w:marRight w:val="0"/>
              <w:marTop w:val="0"/>
              <w:marBottom w:val="0"/>
              <w:divBdr>
                <w:top w:val="none" w:sz="0" w:space="0" w:color="auto"/>
                <w:left w:val="none" w:sz="0" w:space="0" w:color="auto"/>
                <w:bottom w:val="none" w:sz="0" w:space="0" w:color="auto"/>
                <w:right w:val="none" w:sz="0" w:space="0" w:color="auto"/>
              </w:divBdr>
            </w:div>
            <w:div w:id="1560167033">
              <w:marLeft w:val="0"/>
              <w:marRight w:val="0"/>
              <w:marTop w:val="0"/>
              <w:marBottom w:val="0"/>
              <w:divBdr>
                <w:top w:val="none" w:sz="0" w:space="0" w:color="auto"/>
                <w:left w:val="none" w:sz="0" w:space="0" w:color="auto"/>
                <w:bottom w:val="none" w:sz="0" w:space="0" w:color="auto"/>
                <w:right w:val="none" w:sz="0" w:space="0" w:color="auto"/>
              </w:divBdr>
            </w:div>
            <w:div w:id="1609849724">
              <w:marLeft w:val="0"/>
              <w:marRight w:val="0"/>
              <w:marTop w:val="0"/>
              <w:marBottom w:val="0"/>
              <w:divBdr>
                <w:top w:val="none" w:sz="0" w:space="0" w:color="auto"/>
                <w:left w:val="none" w:sz="0" w:space="0" w:color="auto"/>
                <w:bottom w:val="none" w:sz="0" w:space="0" w:color="auto"/>
                <w:right w:val="none" w:sz="0" w:space="0" w:color="auto"/>
              </w:divBdr>
            </w:div>
            <w:div w:id="1620330156">
              <w:marLeft w:val="0"/>
              <w:marRight w:val="0"/>
              <w:marTop w:val="0"/>
              <w:marBottom w:val="0"/>
              <w:divBdr>
                <w:top w:val="none" w:sz="0" w:space="0" w:color="auto"/>
                <w:left w:val="none" w:sz="0" w:space="0" w:color="auto"/>
                <w:bottom w:val="none" w:sz="0" w:space="0" w:color="auto"/>
                <w:right w:val="none" w:sz="0" w:space="0" w:color="auto"/>
              </w:divBdr>
            </w:div>
            <w:div w:id="1665089402">
              <w:marLeft w:val="0"/>
              <w:marRight w:val="0"/>
              <w:marTop w:val="0"/>
              <w:marBottom w:val="0"/>
              <w:divBdr>
                <w:top w:val="none" w:sz="0" w:space="0" w:color="auto"/>
                <w:left w:val="none" w:sz="0" w:space="0" w:color="auto"/>
                <w:bottom w:val="none" w:sz="0" w:space="0" w:color="auto"/>
                <w:right w:val="none" w:sz="0" w:space="0" w:color="auto"/>
              </w:divBdr>
            </w:div>
            <w:div w:id="1695108786">
              <w:marLeft w:val="0"/>
              <w:marRight w:val="0"/>
              <w:marTop w:val="0"/>
              <w:marBottom w:val="0"/>
              <w:divBdr>
                <w:top w:val="none" w:sz="0" w:space="0" w:color="auto"/>
                <w:left w:val="none" w:sz="0" w:space="0" w:color="auto"/>
                <w:bottom w:val="none" w:sz="0" w:space="0" w:color="auto"/>
                <w:right w:val="none" w:sz="0" w:space="0" w:color="auto"/>
              </w:divBdr>
            </w:div>
            <w:div w:id="1724672185">
              <w:marLeft w:val="0"/>
              <w:marRight w:val="0"/>
              <w:marTop w:val="0"/>
              <w:marBottom w:val="0"/>
              <w:divBdr>
                <w:top w:val="none" w:sz="0" w:space="0" w:color="auto"/>
                <w:left w:val="none" w:sz="0" w:space="0" w:color="auto"/>
                <w:bottom w:val="none" w:sz="0" w:space="0" w:color="auto"/>
                <w:right w:val="none" w:sz="0" w:space="0" w:color="auto"/>
              </w:divBdr>
            </w:div>
            <w:div w:id="1739589520">
              <w:marLeft w:val="0"/>
              <w:marRight w:val="0"/>
              <w:marTop w:val="0"/>
              <w:marBottom w:val="0"/>
              <w:divBdr>
                <w:top w:val="none" w:sz="0" w:space="0" w:color="auto"/>
                <w:left w:val="none" w:sz="0" w:space="0" w:color="auto"/>
                <w:bottom w:val="none" w:sz="0" w:space="0" w:color="auto"/>
                <w:right w:val="none" w:sz="0" w:space="0" w:color="auto"/>
              </w:divBdr>
            </w:div>
            <w:div w:id="2081050948">
              <w:marLeft w:val="0"/>
              <w:marRight w:val="0"/>
              <w:marTop w:val="0"/>
              <w:marBottom w:val="0"/>
              <w:divBdr>
                <w:top w:val="none" w:sz="0" w:space="0" w:color="auto"/>
                <w:left w:val="none" w:sz="0" w:space="0" w:color="auto"/>
                <w:bottom w:val="none" w:sz="0" w:space="0" w:color="auto"/>
                <w:right w:val="none" w:sz="0" w:space="0" w:color="auto"/>
              </w:divBdr>
            </w:div>
            <w:div w:id="2088381979">
              <w:marLeft w:val="0"/>
              <w:marRight w:val="0"/>
              <w:marTop w:val="0"/>
              <w:marBottom w:val="0"/>
              <w:divBdr>
                <w:top w:val="none" w:sz="0" w:space="0" w:color="auto"/>
                <w:left w:val="none" w:sz="0" w:space="0" w:color="auto"/>
                <w:bottom w:val="none" w:sz="0" w:space="0" w:color="auto"/>
                <w:right w:val="none" w:sz="0" w:space="0" w:color="auto"/>
              </w:divBdr>
            </w:div>
            <w:div w:id="2128810941">
              <w:marLeft w:val="0"/>
              <w:marRight w:val="0"/>
              <w:marTop w:val="0"/>
              <w:marBottom w:val="0"/>
              <w:divBdr>
                <w:top w:val="none" w:sz="0" w:space="0" w:color="auto"/>
                <w:left w:val="none" w:sz="0" w:space="0" w:color="auto"/>
                <w:bottom w:val="none" w:sz="0" w:space="0" w:color="auto"/>
                <w:right w:val="none" w:sz="0" w:space="0" w:color="auto"/>
              </w:divBdr>
            </w:div>
          </w:divsChild>
        </w:div>
        <w:div w:id="1684865060">
          <w:marLeft w:val="0"/>
          <w:marRight w:val="0"/>
          <w:marTop w:val="0"/>
          <w:marBottom w:val="0"/>
          <w:divBdr>
            <w:top w:val="none" w:sz="0" w:space="0" w:color="auto"/>
            <w:left w:val="none" w:sz="0" w:space="0" w:color="auto"/>
            <w:bottom w:val="none" w:sz="0" w:space="0" w:color="auto"/>
            <w:right w:val="none" w:sz="0" w:space="0" w:color="auto"/>
          </w:divBdr>
          <w:divsChild>
            <w:div w:id="94984494">
              <w:marLeft w:val="0"/>
              <w:marRight w:val="0"/>
              <w:marTop w:val="0"/>
              <w:marBottom w:val="0"/>
              <w:divBdr>
                <w:top w:val="none" w:sz="0" w:space="0" w:color="auto"/>
                <w:left w:val="none" w:sz="0" w:space="0" w:color="auto"/>
                <w:bottom w:val="none" w:sz="0" w:space="0" w:color="auto"/>
                <w:right w:val="none" w:sz="0" w:space="0" w:color="auto"/>
              </w:divBdr>
            </w:div>
            <w:div w:id="389421228">
              <w:marLeft w:val="0"/>
              <w:marRight w:val="0"/>
              <w:marTop w:val="0"/>
              <w:marBottom w:val="0"/>
              <w:divBdr>
                <w:top w:val="none" w:sz="0" w:space="0" w:color="auto"/>
                <w:left w:val="none" w:sz="0" w:space="0" w:color="auto"/>
                <w:bottom w:val="none" w:sz="0" w:space="0" w:color="auto"/>
                <w:right w:val="none" w:sz="0" w:space="0" w:color="auto"/>
              </w:divBdr>
            </w:div>
            <w:div w:id="577598306">
              <w:marLeft w:val="0"/>
              <w:marRight w:val="0"/>
              <w:marTop w:val="0"/>
              <w:marBottom w:val="0"/>
              <w:divBdr>
                <w:top w:val="none" w:sz="0" w:space="0" w:color="auto"/>
                <w:left w:val="none" w:sz="0" w:space="0" w:color="auto"/>
                <w:bottom w:val="none" w:sz="0" w:space="0" w:color="auto"/>
                <w:right w:val="none" w:sz="0" w:space="0" w:color="auto"/>
              </w:divBdr>
            </w:div>
            <w:div w:id="912813969">
              <w:marLeft w:val="0"/>
              <w:marRight w:val="0"/>
              <w:marTop w:val="0"/>
              <w:marBottom w:val="0"/>
              <w:divBdr>
                <w:top w:val="none" w:sz="0" w:space="0" w:color="auto"/>
                <w:left w:val="none" w:sz="0" w:space="0" w:color="auto"/>
                <w:bottom w:val="none" w:sz="0" w:space="0" w:color="auto"/>
                <w:right w:val="none" w:sz="0" w:space="0" w:color="auto"/>
              </w:divBdr>
            </w:div>
            <w:div w:id="1008866732">
              <w:marLeft w:val="0"/>
              <w:marRight w:val="0"/>
              <w:marTop w:val="0"/>
              <w:marBottom w:val="0"/>
              <w:divBdr>
                <w:top w:val="none" w:sz="0" w:space="0" w:color="auto"/>
                <w:left w:val="none" w:sz="0" w:space="0" w:color="auto"/>
                <w:bottom w:val="none" w:sz="0" w:space="0" w:color="auto"/>
                <w:right w:val="none" w:sz="0" w:space="0" w:color="auto"/>
              </w:divBdr>
            </w:div>
            <w:div w:id="1078936875">
              <w:marLeft w:val="0"/>
              <w:marRight w:val="0"/>
              <w:marTop w:val="0"/>
              <w:marBottom w:val="0"/>
              <w:divBdr>
                <w:top w:val="none" w:sz="0" w:space="0" w:color="auto"/>
                <w:left w:val="none" w:sz="0" w:space="0" w:color="auto"/>
                <w:bottom w:val="none" w:sz="0" w:space="0" w:color="auto"/>
                <w:right w:val="none" w:sz="0" w:space="0" w:color="auto"/>
              </w:divBdr>
            </w:div>
            <w:div w:id="1130855754">
              <w:marLeft w:val="0"/>
              <w:marRight w:val="0"/>
              <w:marTop w:val="0"/>
              <w:marBottom w:val="0"/>
              <w:divBdr>
                <w:top w:val="none" w:sz="0" w:space="0" w:color="auto"/>
                <w:left w:val="none" w:sz="0" w:space="0" w:color="auto"/>
                <w:bottom w:val="none" w:sz="0" w:space="0" w:color="auto"/>
                <w:right w:val="none" w:sz="0" w:space="0" w:color="auto"/>
              </w:divBdr>
            </w:div>
            <w:div w:id="1132595407">
              <w:marLeft w:val="0"/>
              <w:marRight w:val="0"/>
              <w:marTop w:val="0"/>
              <w:marBottom w:val="0"/>
              <w:divBdr>
                <w:top w:val="none" w:sz="0" w:space="0" w:color="auto"/>
                <w:left w:val="none" w:sz="0" w:space="0" w:color="auto"/>
                <w:bottom w:val="none" w:sz="0" w:space="0" w:color="auto"/>
                <w:right w:val="none" w:sz="0" w:space="0" w:color="auto"/>
              </w:divBdr>
            </w:div>
            <w:div w:id="1162161502">
              <w:marLeft w:val="0"/>
              <w:marRight w:val="0"/>
              <w:marTop w:val="0"/>
              <w:marBottom w:val="0"/>
              <w:divBdr>
                <w:top w:val="none" w:sz="0" w:space="0" w:color="auto"/>
                <w:left w:val="none" w:sz="0" w:space="0" w:color="auto"/>
                <w:bottom w:val="none" w:sz="0" w:space="0" w:color="auto"/>
                <w:right w:val="none" w:sz="0" w:space="0" w:color="auto"/>
              </w:divBdr>
            </w:div>
            <w:div w:id="1185363723">
              <w:marLeft w:val="0"/>
              <w:marRight w:val="0"/>
              <w:marTop w:val="0"/>
              <w:marBottom w:val="0"/>
              <w:divBdr>
                <w:top w:val="none" w:sz="0" w:space="0" w:color="auto"/>
                <w:left w:val="none" w:sz="0" w:space="0" w:color="auto"/>
                <w:bottom w:val="none" w:sz="0" w:space="0" w:color="auto"/>
                <w:right w:val="none" w:sz="0" w:space="0" w:color="auto"/>
              </w:divBdr>
            </w:div>
            <w:div w:id="1471440819">
              <w:marLeft w:val="0"/>
              <w:marRight w:val="0"/>
              <w:marTop w:val="0"/>
              <w:marBottom w:val="0"/>
              <w:divBdr>
                <w:top w:val="none" w:sz="0" w:space="0" w:color="auto"/>
                <w:left w:val="none" w:sz="0" w:space="0" w:color="auto"/>
                <w:bottom w:val="none" w:sz="0" w:space="0" w:color="auto"/>
                <w:right w:val="none" w:sz="0" w:space="0" w:color="auto"/>
              </w:divBdr>
            </w:div>
            <w:div w:id="1480880704">
              <w:marLeft w:val="0"/>
              <w:marRight w:val="0"/>
              <w:marTop w:val="0"/>
              <w:marBottom w:val="0"/>
              <w:divBdr>
                <w:top w:val="none" w:sz="0" w:space="0" w:color="auto"/>
                <w:left w:val="none" w:sz="0" w:space="0" w:color="auto"/>
                <w:bottom w:val="none" w:sz="0" w:space="0" w:color="auto"/>
                <w:right w:val="none" w:sz="0" w:space="0" w:color="auto"/>
              </w:divBdr>
            </w:div>
            <w:div w:id="1489440928">
              <w:marLeft w:val="0"/>
              <w:marRight w:val="0"/>
              <w:marTop w:val="0"/>
              <w:marBottom w:val="0"/>
              <w:divBdr>
                <w:top w:val="none" w:sz="0" w:space="0" w:color="auto"/>
                <w:left w:val="none" w:sz="0" w:space="0" w:color="auto"/>
                <w:bottom w:val="none" w:sz="0" w:space="0" w:color="auto"/>
                <w:right w:val="none" w:sz="0" w:space="0" w:color="auto"/>
              </w:divBdr>
            </w:div>
            <w:div w:id="1698383212">
              <w:marLeft w:val="0"/>
              <w:marRight w:val="0"/>
              <w:marTop w:val="0"/>
              <w:marBottom w:val="0"/>
              <w:divBdr>
                <w:top w:val="none" w:sz="0" w:space="0" w:color="auto"/>
                <w:left w:val="none" w:sz="0" w:space="0" w:color="auto"/>
                <w:bottom w:val="none" w:sz="0" w:space="0" w:color="auto"/>
                <w:right w:val="none" w:sz="0" w:space="0" w:color="auto"/>
              </w:divBdr>
            </w:div>
            <w:div w:id="1703239150">
              <w:marLeft w:val="0"/>
              <w:marRight w:val="0"/>
              <w:marTop w:val="0"/>
              <w:marBottom w:val="0"/>
              <w:divBdr>
                <w:top w:val="none" w:sz="0" w:space="0" w:color="auto"/>
                <w:left w:val="none" w:sz="0" w:space="0" w:color="auto"/>
                <w:bottom w:val="none" w:sz="0" w:space="0" w:color="auto"/>
                <w:right w:val="none" w:sz="0" w:space="0" w:color="auto"/>
              </w:divBdr>
            </w:div>
            <w:div w:id="20196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9010">
      <w:bodyDiv w:val="1"/>
      <w:marLeft w:val="0"/>
      <w:marRight w:val="0"/>
      <w:marTop w:val="0"/>
      <w:marBottom w:val="0"/>
      <w:divBdr>
        <w:top w:val="none" w:sz="0" w:space="0" w:color="auto"/>
        <w:left w:val="none" w:sz="0" w:space="0" w:color="auto"/>
        <w:bottom w:val="none" w:sz="0" w:space="0" w:color="auto"/>
        <w:right w:val="none" w:sz="0" w:space="0" w:color="auto"/>
      </w:divBdr>
    </w:div>
    <w:div w:id="1310986151">
      <w:bodyDiv w:val="1"/>
      <w:marLeft w:val="0"/>
      <w:marRight w:val="0"/>
      <w:marTop w:val="0"/>
      <w:marBottom w:val="0"/>
      <w:divBdr>
        <w:top w:val="none" w:sz="0" w:space="0" w:color="auto"/>
        <w:left w:val="none" w:sz="0" w:space="0" w:color="auto"/>
        <w:bottom w:val="none" w:sz="0" w:space="0" w:color="auto"/>
        <w:right w:val="none" w:sz="0" w:space="0" w:color="auto"/>
      </w:divBdr>
    </w:div>
    <w:div w:id="1316181951">
      <w:bodyDiv w:val="1"/>
      <w:marLeft w:val="0"/>
      <w:marRight w:val="0"/>
      <w:marTop w:val="0"/>
      <w:marBottom w:val="0"/>
      <w:divBdr>
        <w:top w:val="none" w:sz="0" w:space="0" w:color="auto"/>
        <w:left w:val="none" w:sz="0" w:space="0" w:color="auto"/>
        <w:bottom w:val="none" w:sz="0" w:space="0" w:color="auto"/>
        <w:right w:val="none" w:sz="0" w:space="0" w:color="auto"/>
      </w:divBdr>
    </w:div>
    <w:div w:id="1329752345">
      <w:bodyDiv w:val="1"/>
      <w:marLeft w:val="0"/>
      <w:marRight w:val="0"/>
      <w:marTop w:val="0"/>
      <w:marBottom w:val="0"/>
      <w:divBdr>
        <w:top w:val="none" w:sz="0" w:space="0" w:color="auto"/>
        <w:left w:val="none" w:sz="0" w:space="0" w:color="auto"/>
        <w:bottom w:val="none" w:sz="0" w:space="0" w:color="auto"/>
        <w:right w:val="none" w:sz="0" w:space="0" w:color="auto"/>
      </w:divBdr>
    </w:div>
    <w:div w:id="1355620069">
      <w:bodyDiv w:val="1"/>
      <w:marLeft w:val="0"/>
      <w:marRight w:val="0"/>
      <w:marTop w:val="0"/>
      <w:marBottom w:val="0"/>
      <w:divBdr>
        <w:top w:val="none" w:sz="0" w:space="0" w:color="auto"/>
        <w:left w:val="none" w:sz="0" w:space="0" w:color="auto"/>
        <w:bottom w:val="none" w:sz="0" w:space="0" w:color="auto"/>
        <w:right w:val="none" w:sz="0" w:space="0" w:color="auto"/>
      </w:divBdr>
    </w:div>
    <w:div w:id="1401949474">
      <w:bodyDiv w:val="1"/>
      <w:marLeft w:val="0"/>
      <w:marRight w:val="0"/>
      <w:marTop w:val="0"/>
      <w:marBottom w:val="0"/>
      <w:divBdr>
        <w:top w:val="none" w:sz="0" w:space="0" w:color="auto"/>
        <w:left w:val="none" w:sz="0" w:space="0" w:color="auto"/>
        <w:bottom w:val="none" w:sz="0" w:space="0" w:color="auto"/>
        <w:right w:val="none" w:sz="0" w:space="0" w:color="auto"/>
      </w:divBdr>
    </w:div>
    <w:div w:id="1417894713">
      <w:bodyDiv w:val="1"/>
      <w:marLeft w:val="0"/>
      <w:marRight w:val="0"/>
      <w:marTop w:val="0"/>
      <w:marBottom w:val="0"/>
      <w:divBdr>
        <w:top w:val="none" w:sz="0" w:space="0" w:color="auto"/>
        <w:left w:val="none" w:sz="0" w:space="0" w:color="auto"/>
        <w:bottom w:val="none" w:sz="0" w:space="0" w:color="auto"/>
        <w:right w:val="none" w:sz="0" w:space="0" w:color="auto"/>
      </w:divBdr>
    </w:div>
    <w:div w:id="1418357641">
      <w:bodyDiv w:val="1"/>
      <w:marLeft w:val="0"/>
      <w:marRight w:val="0"/>
      <w:marTop w:val="0"/>
      <w:marBottom w:val="0"/>
      <w:divBdr>
        <w:top w:val="none" w:sz="0" w:space="0" w:color="auto"/>
        <w:left w:val="none" w:sz="0" w:space="0" w:color="auto"/>
        <w:bottom w:val="none" w:sz="0" w:space="0" w:color="auto"/>
        <w:right w:val="none" w:sz="0" w:space="0" w:color="auto"/>
      </w:divBdr>
    </w:div>
    <w:div w:id="1420911758">
      <w:bodyDiv w:val="1"/>
      <w:marLeft w:val="0"/>
      <w:marRight w:val="0"/>
      <w:marTop w:val="0"/>
      <w:marBottom w:val="0"/>
      <w:divBdr>
        <w:top w:val="none" w:sz="0" w:space="0" w:color="auto"/>
        <w:left w:val="none" w:sz="0" w:space="0" w:color="auto"/>
        <w:bottom w:val="none" w:sz="0" w:space="0" w:color="auto"/>
        <w:right w:val="none" w:sz="0" w:space="0" w:color="auto"/>
      </w:divBdr>
    </w:div>
    <w:div w:id="1477990259">
      <w:bodyDiv w:val="1"/>
      <w:marLeft w:val="0"/>
      <w:marRight w:val="0"/>
      <w:marTop w:val="0"/>
      <w:marBottom w:val="0"/>
      <w:divBdr>
        <w:top w:val="none" w:sz="0" w:space="0" w:color="auto"/>
        <w:left w:val="none" w:sz="0" w:space="0" w:color="auto"/>
        <w:bottom w:val="none" w:sz="0" w:space="0" w:color="auto"/>
        <w:right w:val="none" w:sz="0" w:space="0" w:color="auto"/>
      </w:divBdr>
    </w:div>
    <w:div w:id="1489131364">
      <w:bodyDiv w:val="1"/>
      <w:marLeft w:val="0"/>
      <w:marRight w:val="0"/>
      <w:marTop w:val="0"/>
      <w:marBottom w:val="0"/>
      <w:divBdr>
        <w:top w:val="none" w:sz="0" w:space="0" w:color="auto"/>
        <w:left w:val="none" w:sz="0" w:space="0" w:color="auto"/>
        <w:bottom w:val="none" w:sz="0" w:space="0" w:color="auto"/>
        <w:right w:val="none" w:sz="0" w:space="0" w:color="auto"/>
      </w:divBdr>
    </w:div>
    <w:div w:id="1544320604">
      <w:bodyDiv w:val="1"/>
      <w:marLeft w:val="0"/>
      <w:marRight w:val="0"/>
      <w:marTop w:val="0"/>
      <w:marBottom w:val="0"/>
      <w:divBdr>
        <w:top w:val="none" w:sz="0" w:space="0" w:color="auto"/>
        <w:left w:val="none" w:sz="0" w:space="0" w:color="auto"/>
        <w:bottom w:val="none" w:sz="0" w:space="0" w:color="auto"/>
        <w:right w:val="none" w:sz="0" w:space="0" w:color="auto"/>
      </w:divBdr>
    </w:div>
    <w:div w:id="1561601289">
      <w:bodyDiv w:val="1"/>
      <w:marLeft w:val="0"/>
      <w:marRight w:val="0"/>
      <w:marTop w:val="0"/>
      <w:marBottom w:val="0"/>
      <w:divBdr>
        <w:top w:val="none" w:sz="0" w:space="0" w:color="auto"/>
        <w:left w:val="none" w:sz="0" w:space="0" w:color="auto"/>
        <w:bottom w:val="none" w:sz="0" w:space="0" w:color="auto"/>
        <w:right w:val="none" w:sz="0" w:space="0" w:color="auto"/>
      </w:divBdr>
    </w:div>
    <w:div w:id="1582830360">
      <w:bodyDiv w:val="1"/>
      <w:marLeft w:val="0"/>
      <w:marRight w:val="0"/>
      <w:marTop w:val="0"/>
      <w:marBottom w:val="0"/>
      <w:divBdr>
        <w:top w:val="none" w:sz="0" w:space="0" w:color="auto"/>
        <w:left w:val="none" w:sz="0" w:space="0" w:color="auto"/>
        <w:bottom w:val="none" w:sz="0" w:space="0" w:color="auto"/>
        <w:right w:val="none" w:sz="0" w:space="0" w:color="auto"/>
      </w:divBdr>
    </w:div>
    <w:div w:id="1628469955">
      <w:bodyDiv w:val="1"/>
      <w:marLeft w:val="0"/>
      <w:marRight w:val="0"/>
      <w:marTop w:val="0"/>
      <w:marBottom w:val="0"/>
      <w:divBdr>
        <w:top w:val="none" w:sz="0" w:space="0" w:color="auto"/>
        <w:left w:val="none" w:sz="0" w:space="0" w:color="auto"/>
        <w:bottom w:val="none" w:sz="0" w:space="0" w:color="auto"/>
        <w:right w:val="none" w:sz="0" w:space="0" w:color="auto"/>
      </w:divBdr>
    </w:div>
    <w:div w:id="1642803278">
      <w:bodyDiv w:val="1"/>
      <w:marLeft w:val="0"/>
      <w:marRight w:val="0"/>
      <w:marTop w:val="0"/>
      <w:marBottom w:val="0"/>
      <w:divBdr>
        <w:top w:val="none" w:sz="0" w:space="0" w:color="auto"/>
        <w:left w:val="none" w:sz="0" w:space="0" w:color="auto"/>
        <w:bottom w:val="none" w:sz="0" w:space="0" w:color="auto"/>
        <w:right w:val="none" w:sz="0" w:space="0" w:color="auto"/>
      </w:divBdr>
    </w:div>
    <w:div w:id="1646818809">
      <w:bodyDiv w:val="1"/>
      <w:marLeft w:val="0"/>
      <w:marRight w:val="0"/>
      <w:marTop w:val="0"/>
      <w:marBottom w:val="0"/>
      <w:divBdr>
        <w:top w:val="none" w:sz="0" w:space="0" w:color="auto"/>
        <w:left w:val="none" w:sz="0" w:space="0" w:color="auto"/>
        <w:bottom w:val="none" w:sz="0" w:space="0" w:color="auto"/>
        <w:right w:val="none" w:sz="0" w:space="0" w:color="auto"/>
      </w:divBdr>
    </w:div>
    <w:div w:id="1668747346">
      <w:bodyDiv w:val="1"/>
      <w:marLeft w:val="0"/>
      <w:marRight w:val="0"/>
      <w:marTop w:val="0"/>
      <w:marBottom w:val="0"/>
      <w:divBdr>
        <w:top w:val="none" w:sz="0" w:space="0" w:color="auto"/>
        <w:left w:val="none" w:sz="0" w:space="0" w:color="auto"/>
        <w:bottom w:val="none" w:sz="0" w:space="0" w:color="auto"/>
        <w:right w:val="none" w:sz="0" w:space="0" w:color="auto"/>
      </w:divBdr>
    </w:div>
    <w:div w:id="1683120931">
      <w:bodyDiv w:val="1"/>
      <w:marLeft w:val="0"/>
      <w:marRight w:val="0"/>
      <w:marTop w:val="0"/>
      <w:marBottom w:val="0"/>
      <w:divBdr>
        <w:top w:val="none" w:sz="0" w:space="0" w:color="auto"/>
        <w:left w:val="none" w:sz="0" w:space="0" w:color="auto"/>
        <w:bottom w:val="none" w:sz="0" w:space="0" w:color="auto"/>
        <w:right w:val="none" w:sz="0" w:space="0" w:color="auto"/>
      </w:divBdr>
    </w:div>
    <w:div w:id="1687517457">
      <w:bodyDiv w:val="1"/>
      <w:marLeft w:val="0"/>
      <w:marRight w:val="0"/>
      <w:marTop w:val="0"/>
      <w:marBottom w:val="0"/>
      <w:divBdr>
        <w:top w:val="none" w:sz="0" w:space="0" w:color="auto"/>
        <w:left w:val="none" w:sz="0" w:space="0" w:color="auto"/>
        <w:bottom w:val="none" w:sz="0" w:space="0" w:color="auto"/>
        <w:right w:val="none" w:sz="0" w:space="0" w:color="auto"/>
      </w:divBdr>
    </w:div>
    <w:div w:id="1702628986">
      <w:bodyDiv w:val="1"/>
      <w:marLeft w:val="0"/>
      <w:marRight w:val="0"/>
      <w:marTop w:val="0"/>
      <w:marBottom w:val="0"/>
      <w:divBdr>
        <w:top w:val="none" w:sz="0" w:space="0" w:color="auto"/>
        <w:left w:val="none" w:sz="0" w:space="0" w:color="auto"/>
        <w:bottom w:val="none" w:sz="0" w:space="0" w:color="auto"/>
        <w:right w:val="none" w:sz="0" w:space="0" w:color="auto"/>
      </w:divBdr>
    </w:div>
    <w:div w:id="1718698376">
      <w:bodyDiv w:val="1"/>
      <w:marLeft w:val="0"/>
      <w:marRight w:val="0"/>
      <w:marTop w:val="0"/>
      <w:marBottom w:val="0"/>
      <w:divBdr>
        <w:top w:val="none" w:sz="0" w:space="0" w:color="auto"/>
        <w:left w:val="none" w:sz="0" w:space="0" w:color="auto"/>
        <w:bottom w:val="none" w:sz="0" w:space="0" w:color="auto"/>
        <w:right w:val="none" w:sz="0" w:space="0" w:color="auto"/>
      </w:divBdr>
    </w:div>
    <w:div w:id="1720549246">
      <w:bodyDiv w:val="1"/>
      <w:marLeft w:val="0"/>
      <w:marRight w:val="0"/>
      <w:marTop w:val="0"/>
      <w:marBottom w:val="0"/>
      <w:divBdr>
        <w:top w:val="none" w:sz="0" w:space="0" w:color="auto"/>
        <w:left w:val="none" w:sz="0" w:space="0" w:color="auto"/>
        <w:bottom w:val="none" w:sz="0" w:space="0" w:color="auto"/>
        <w:right w:val="none" w:sz="0" w:space="0" w:color="auto"/>
      </w:divBdr>
    </w:div>
    <w:div w:id="1743332051">
      <w:bodyDiv w:val="1"/>
      <w:marLeft w:val="0"/>
      <w:marRight w:val="0"/>
      <w:marTop w:val="0"/>
      <w:marBottom w:val="0"/>
      <w:divBdr>
        <w:top w:val="none" w:sz="0" w:space="0" w:color="auto"/>
        <w:left w:val="none" w:sz="0" w:space="0" w:color="auto"/>
        <w:bottom w:val="none" w:sz="0" w:space="0" w:color="auto"/>
        <w:right w:val="none" w:sz="0" w:space="0" w:color="auto"/>
      </w:divBdr>
    </w:div>
    <w:div w:id="1748963248">
      <w:bodyDiv w:val="1"/>
      <w:marLeft w:val="0"/>
      <w:marRight w:val="0"/>
      <w:marTop w:val="0"/>
      <w:marBottom w:val="0"/>
      <w:divBdr>
        <w:top w:val="none" w:sz="0" w:space="0" w:color="auto"/>
        <w:left w:val="none" w:sz="0" w:space="0" w:color="auto"/>
        <w:bottom w:val="none" w:sz="0" w:space="0" w:color="auto"/>
        <w:right w:val="none" w:sz="0" w:space="0" w:color="auto"/>
      </w:divBdr>
    </w:div>
    <w:div w:id="1755780506">
      <w:bodyDiv w:val="1"/>
      <w:marLeft w:val="0"/>
      <w:marRight w:val="0"/>
      <w:marTop w:val="0"/>
      <w:marBottom w:val="0"/>
      <w:divBdr>
        <w:top w:val="none" w:sz="0" w:space="0" w:color="auto"/>
        <w:left w:val="none" w:sz="0" w:space="0" w:color="auto"/>
        <w:bottom w:val="none" w:sz="0" w:space="0" w:color="auto"/>
        <w:right w:val="none" w:sz="0" w:space="0" w:color="auto"/>
      </w:divBdr>
    </w:div>
    <w:div w:id="1760366127">
      <w:bodyDiv w:val="1"/>
      <w:marLeft w:val="0"/>
      <w:marRight w:val="0"/>
      <w:marTop w:val="0"/>
      <w:marBottom w:val="0"/>
      <w:divBdr>
        <w:top w:val="none" w:sz="0" w:space="0" w:color="auto"/>
        <w:left w:val="none" w:sz="0" w:space="0" w:color="auto"/>
        <w:bottom w:val="none" w:sz="0" w:space="0" w:color="auto"/>
        <w:right w:val="none" w:sz="0" w:space="0" w:color="auto"/>
      </w:divBdr>
    </w:div>
    <w:div w:id="1771271407">
      <w:bodyDiv w:val="1"/>
      <w:marLeft w:val="0"/>
      <w:marRight w:val="0"/>
      <w:marTop w:val="0"/>
      <w:marBottom w:val="0"/>
      <w:divBdr>
        <w:top w:val="none" w:sz="0" w:space="0" w:color="auto"/>
        <w:left w:val="none" w:sz="0" w:space="0" w:color="auto"/>
        <w:bottom w:val="none" w:sz="0" w:space="0" w:color="auto"/>
        <w:right w:val="none" w:sz="0" w:space="0" w:color="auto"/>
      </w:divBdr>
    </w:div>
    <w:div w:id="1773478604">
      <w:bodyDiv w:val="1"/>
      <w:marLeft w:val="0"/>
      <w:marRight w:val="0"/>
      <w:marTop w:val="0"/>
      <w:marBottom w:val="0"/>
      <w:divBdr>
        <w:top w:val="none" w:sz="0" w:space="0" w:color="auto"/>
        <w:left w:val="none" w:sz="0" w:space="0" w:color="auto"/>
        <w:bottom w:val="none" w:sz="0" w:space="0" w:color="auto"/>
        <w:right w:val="none" w:sz="0" w:space="0" w:color="auto"/>
      </w:divBdr>
    </w:div>
    <w:div w:id="1779182401">
      <w:bodyDiv w:val="1"/>
      <w:marLeft w:val="0"/>
      <w:marRight w:val="0"/>
      <w:marTop w:val="0"/>
      <w:marBottom w:val="0"/>
      <w:divBdr>
        <w:top w:val="none" w:sz="0" w:space="0" w:color="auto"/>
        <w:left w:val="none" w:sz="0" w:space="0" w:color="auto"/>
        <w:bottom w:val="none" w:sz="0" w:space="0" w:color="auto"/>
        <w:right w:val="none" w:sz="0" w:space="0" w:color="auto"/>
      </w:divBdr>
    </w:div>
    <w:div w:id="1860729644">
      <w:bodyDiv w:val="1"/>
      <w:marLeft w:val="0"/>
      <w:marRight w:val="0"/>
      <w:marTop w:val="0"/>
      <w:marBottom w:val="0"/>
      <w:divBdr>
        <w:top w:val="none" w:sz="0" w:space="0" w:color="auto"/>
        <w:left w:val="none" w:sz="0" w:space="0" w:color="auto"/>
        <w:bottom w:val="none" w:sz="0" w:space="0" w:color="auto"/>
        <w:right w:val="none" w:sz="0" w:space="0" w:color="auto"/>
      </w:divBdr>
    </w:div>
    <w:div w:id="1883319536">
      <w:bodyDiv w:val="1"/>
      <w:marLeft w:val="0"/>
      <w:marRight w:val="0"/>
      <w:marTop w:val="0"/>
      <w:marBottom w:val="0"/>
      <w:divBdr>
        <w:top w:val="none" w:sz="0" w:space="0" w:color="auto"/>
        <w:left w:val="none" w:sz="0" w:space="0" w:color="auto"/>
        <w:bottom w:val="none" w:sz="0" w:space="0" w:color="auto"/>
        <w:right w:val="none" w:sz="0" w:space="0" w:color="auto"/>
      </w:divBdr>
    </w:div>
    <w:div w:id="1889031383">
      <w:bodyDiv w:val="1"/>
      <w:marLeft w:val="0"/>
      <w:marRight w:val="0"/>
      <w:marTop w:val="0"/>
      <w:marBottom w:val="0"/>
      <w:divBdr>
        <w:top w:val="none" w:sz="0" w:space="0" w:color="auto"/>
        <w:left w:val="none" w:sz="0" w:space="0" w:color="auto"/>
        <w:bottom w:val="none" w:sz="0" w:space="0" w:color="auto"/>
        <w:right w:val="none" w:sz="0" w:space="0" w:color="auto"/>
      </w:divBdr>
    </w:div>
    <w:div w:id="1896164256">
      <w:bodyDiv w:val="1"/>
      <w:marLeft w:val="0"/>
      <w:marRight w:val="0"/>
      <w:marTop w:val="0"/>
      <w:marBottom w:val="0"/>
      <w:divBdr>
        <w:top w:val="none" w:sz="0" w:space="0" w:color="auto"/>
        <w:left w:val="none" w:sz="0" w:space="0" w:color="auto"/>
        <w:bottom w:val="none" w:sz="0" w:space="0" w:color="auto"/>
        <w:right w:val="none" w:sz="0" w:space="0" w:color="auto"/>
      </w:divBdr>
    </w:div>
    <w:div w:id="1931809702">
      <w:bodyDiv w:val="1"/>
      <w:marLeft w:val="0"/>
      <w:marRight w:val="0"/>
      <w:marTop w:val="0"/>
      <w:marBottom w:val="0"/>
      <w:divBdr>
        <w:top w:val="none" w:sz="0" w:space="0" w:color="auto"/>
        <w:left w:val="none" w:sz="0" w:space="0" w:color="auto"/>
        <w:bottom w:val="none" w:sz="0" w:space="0" w:color="auto"/>
        <w:right w:val="none" w:sz="0" w:space="0" w:color="auto"/>
      </w:divBdr>
    </w:div>
    <w:div w:id="1964268390">
      <w:bodyDiv w:val="1"/>
      <w:marLeft w:val="0"/>
      <w:marRight w:val="0"/>
      <w:marTop w:val="0"/>
      <w:marBottom w:val="0"/>
      <w:divBdr>
        <w:top w:val="none" w:sz="0" w:space="0" w:color="auto"/>
        <w:left w:val="none" w:sz="0" w:space="0" w:color="auto"/>
        <w:bottom w:val="none" w:sz="0" w:space="0" w:color="auto"/>
        <w:right w:val="none" w:sz="0" w:space="0" w:color="auto"/>
      </w:divBdr>
    </w:div>
    <w:div w:id="1986273202">
      <w:bodyDiv w:val="1"/>
      <w:marLeft w:val="0"/>
      <w:marRight w:val="0"/>
      <w:marTop w:val="0"/>
      <w:marBottom w:val="0"/>
      <w:divBdr>
        <w:top w:val="none" w:sz="0" w:space="0" w:color="auto"/>
        <w:left w:val="none" w:sz="0" w:space="0" w:color="auto"/>
        <w:bottom w:val="none" w:sz="0" w:space="0" w:color="auto"/>
        <w:right w:val="none" w:sz="0" w:space="0" w:color="auto"/>
      </w:divBdr>
    </w:div>
    <w:div w:id="2003661510">
      <w:bodyDiv w:val="1"/>
      <w:marLeft w:val="0"/>
      <w:marRight w:val="0"/>
      <w:marTop w:val="0"/>
      <w:marBottom w:val="0"/>
      <w:divBdr>
        <w:top w:val="none" w:sz="0" w:space="0" w:color="auto"/>
        <w:left w:val="none" w:sz="0" w:space="0" w:color="auto"/>
        <w:bottom w:val="none" w:sz="0" w:space="0" w:color="auto"/>
        <w:right w:val="none" w:sz="0" w:space="0" w:color="auto"/>
      </w:divBdr>
    </w:div>
    <w:div w:id="2016104024">
      <w:bodyDiv w:val="1"/>
      <w:marLeft w:val="0"/>
      <w:marRight w:val="0"/>
      <w:marTop w:val="0"/>
      <w:marBottom w:val="0"/>
      <w:divBdr>
        <w:top w:val="none" w:sz="0" w:space="0" w:color="auto"/>
        <w:left w:val="none" w:sz="0" w:space="0" w:color="auto"/>
        <w:bottom w:val="none" w:sz="0" w:space="0" w:color="auto"/>
        <w:right w:val="none" w:sz="0" w:space="0" w:color="auto"/>
      </w:divBdr>
    </w:div>
    <w:div w:id="2016416937">
      <w:bodyDiv w:val="1"/>
      <w:marLeft w:val="0"/>
      <w:marRight w:val="0"/>
      <w:marTop w:val="0"/>
      <w:marBottom w:val="0"/>
      <w:divBdr>
        <w:top w:val="none" w:sz="0" w:space="0" w:color="auto"/>
        <w:left w:val="none" w:sz="0" w:space="0" w:color="auto"/>
        <w:bottom w:val="none" w:sz="0" w:space="0" w:color="auto"/>
        <w:right w:val="none" w:sz="0" w:space="0" w:color="auto"/>
      </w:divBdr>
    </w:div>
    <w:div w:id="2024816612">
      <w:bodyDiv w:val="1"/>
      <w:marLeft w:val="0"/>
      <w:marRight w:val="0"/>
      <w:marTop w:val="0"/>
      <w:marBottom w:val="0"/>
      <w:divBdr>
        <w:top w:val="none" w:sz="0" w:space="0" w:color="auto"/>
        <w:left w:val="none" w:sz="0" w:space="0" w:color="auto"/>
        <w:bottom w:val="none" w:sz="0" w:space="0" w:color="auto"/>
        <w:right w:val="none" w:sz="0" w:space="0" w:color="auto"/>
      </w:divBdr>
    </w:div>
    <w:div w:id="2033798191">
      <w:bodyDiv w:val="1"/>
      <w:marLeft w:val="0"/>
      <w:marRight w:val="0"/>
      <w:marTop w:val="0"/>
      <w:marBottom w:val="0"/>
      <w:divBdr>
        <w:top w:val="none" w:sz="0" w:space="0" w:color="auto"/>
        <w:left w:val="none" w:sz="0" w:space="0" w:color="auto"/>
        <w:bottom w:val="none" w:sz="0" w:space="0" w:color="auto"/>
        <w:right w:val="none" w:sz="0" w:space="0" w:color="auto"/>
      </w:divBdr>
    </w:div>
    <w:div w:id="2046558422">
      <w:bodyDiv w:val="1"/>
      <w:marLeft w:val="0"/>
      <w:marRight w:val="0"/>
      <w:marTop w:val="0"/>
      <w:marBottom w:val="0"/>
      <w:divBdr>
        <w:top w:val="none" w:sz="0" w:space="0" w:color="auto"/>
        <w:left w:val="none" w:sz="0" w:space="0" w:color="auto"/>
        <w:bottom w:val="none" w:sz="0" w:space="0" w:color="auto"/>
        <w:right w:val="none" w:sz="0" w:space="0" w:color="auto"/>
      </w:divBdr>
    </w:div>
    <w:div w:id="2050914707">
      <w:bodyDiv w:val="1"/>
      <w:marLeft w:val="0"/>
      <w:marRight w:val="0"/>
      <w:marTop w:val="0"/>
      <w:marBottom w:val="0"/>
      <w:divBdr>
        <w:top w:val="none" w:sz="0" w:space="0" w:color="auto"/>
        <w:left w:val="none" w:sz="0" w:space="0" w:color="auto"/>
        <w:bottom w:val="none" w:sz="0" w:space="0" w:color="auto"/>
        <w:right w:val="none" w:sz="0" w:space="0" w:color="auto"/>
      </w:divBdr>
    </w:div>
    <w:div w:id="2056542608">
      <w:bodyDiv w:val="1"/>
      <w:marLeft w:val="0"/>
      <w:marRight w:val="0"/>
      <w:marTop w:val="0"/>
      <w:marBottom w:val="0"/>
      <w:divBdr>
        <w:top w:val="none" w:sz="0" w:space="0" w:color="auto"/>
        <w:left w:val="none" w:sz="0" w:space="0" w:color="auto"/>
        <w:bottom w:val="none" w:sz="0" w:space="0" w:color="auto"/>
        <w:right w:val="none" w:sz="0" w:space="0" w:color="auto"/>
      </w:divBdr>
    </w:div>
    <w:div w:id="2060737255">
      <w:bodyDiv w:val="1"/>
      <w:marLeft w:val="0"/>
      <w:marRight w:val="0"/>
      <w:marTop w:val="0"/>
      <w:marBottom w:val="0"/>
      <w:divBdr>
        <w:top w:val="none" w:sz="0" w:space="0" w:color="auto"/>
        <w:left w:val="none" w:sz="0" w:space="0" w:color="auto"/>
        <w:bottom w:val="none" w:sz="0" w:space="0" w:color="auto"/>
        <w:right w:val="none" w:sz="0" w:space="0" w:color="auto"/>
      </w:divBdr>
    </w:div>
    <w:div w:id="2098138582">
      <w:bodyDiv w:val="1"/>
      <w:marLeft w:val="0"/>
      <w:marRight w:val="0"/>
      <w:marTop w:val="0"/>
      <w:marBottom w:val="0"/>
      <w:divBdr>
        <w:top w:val="none" w:sz="0" w:space="0" w:color="auto"/>
        <w:left w:val="none" w:sz="0" w:space="0" w:color="auto"/>
        <w:bottom w:val="none" w:sz="0" w:space="0" w:color="auto"/>
        <w:right w:val="none" w:sz="0" w:space="0" w:color="auto"/>
      </w:divBdr>
    </w:div>
    <w:div w:id="2102792515">
      <w:bodyDiv w:val="1"/>
      <w:marLeft w:val="0"/>
      <w:marRight w:val="0"/>
      <w:marTop w:val="0"/>
      <w:marBottom w:val="0"/>
      <w:divBdr>
        <w:top w:val="none" w:sz="0" w:space="0" w:color="auto"/>
        <w:left w:val="none" w:sz="0" w:space="0" w:color="auto"/>
        <w:bottom w:val="none" w:sz="0" w:space="0" w:color="auto"/>
        <w:right w:val="none" w:sz="0" w:space="0" w:color="auto"/>
      </w:divBdr>
    </w:div>
    <w:div w:id="211945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png"/><Relationship Id="rId21" Type="http://schemas.openxmlformats.org/officeDocument/2006/relationships/chart" Target="charts/chart9.xml"/><Relationship Id="rId42" Type="http://schemas.openxmlformats.org/officeDocument/2006/relationships/chart" Target="charts/chart30.xml"/><Relationship Id="rId63" Type="http://schemas.openxmlformats.org/officeDocument/2006/relationships/chart" Target="charts/chart47.xml"/><Relationship Id="rId84" Type="http://schemas.openxmlformats.org/officeDocument/2006/relationships/chart" Target="charts/chart68.xml"/><Relationship Id="rId138" Type="http://schemas.openxmlformats.org/officeDocument/2006/relationships/chart" Target="charts/chart102.xml"/><Relationship Id="rId159" Type="http://schemas.openxmlformats.org/officeDocument/2006/relationships/chart" Target="charts/chart122.xml"/><Relationship Id="rId170" Type="http://schemas.openxmlformats.org/officeDocument/2006/relationships/chart" Target="charts/chart133.xml"/><Relationship Id="rId191" Type="http://schemas.openxmlformats.org/officeDocument/2006/relationships/chart" Target="charts/chart154.xml"/><Relationship Id="rId205" Type="http://schemas.openxmlformats.org/officeDocument/2006/relationships/chart" Target="charts/chart168.xml"/><Relationship Id="rId107" Type="http://schemas.openxmlformats.org/officeDocument/2006/relationships/image" Target="media/image4.png"/><Relationship Id="rId11" Type="http://schemas.openxmlformats.org/officeDocument/2006/relationships/chart" Target="charts/chart1.xml"/><Relationship Id="rId32" Type="http://schemas.openxmlformats.org/officeDocument/2006/relationships/chart" Target="charts/chart20.xml"/><Relationship Id="rId53" Type="http://schemas.openxmlformats.org/officeDocument/2006/relationships/chart" Target="charts/chart39.xml"/><Relationship Id="rId74" Type="http://schemas.openxmlformats.org/officeDocument/2006/relationships/chart" Target="charts/chart58.xml"/><Relationship Id="rId128" Type="http://schemas.openxmlformats.org/officeDocument/2006/relationships/chart" Target="charts/chart92.xml"/><Relationship Id="rId149" Type="http://schemas.openxmlformats.org/officeDocument/2006/relationships/chart" Target="charts/chart112.xml"/><Relationship Id="rId5" Type="http://schemas.openxmlformats.org/officeDocument/2006/relationships/webSettings" Target="webSettings.xml"/><Relationship Id="rId95" Type="http://schemas.openxmlformats.org/officeDocument/2006/relationships/chart" Target="charts/chart79.xml"/><Relationship Id="rId160" Type="http://schemas.openxmlformats.org/officeDocument/2006/relationships/chart" Target="charts/chart123.xml"/><Relationship Id="rId181" Type="http://schemas.openxmlformats.org/officeDocument/2006/relationships/chart" Target="charts/chart144.xml"/><Relationship Id="rId216" Type="http://schemas.openxmlformats.org/officeDocument/2006/relationships/footer" Target="footer3.xml"/><Relationship Id="rId22" Type="http://schemas.openxmlformats.org/officeDocument/2006/relationships/chart" Target="charts/chart10.xml"/><Relationship Id="rId43" Type="http://schemas.openxmlformats.org/officeDocument/2006/relationships/chart" Target="charts/chart31.xml"/><Relationship Id="rId64" Type="http://schemas.openxmlformats.org/officeDocument/2006/relationships/chart" Target="charts/chart48.xml"/><Relationship Id="rId118" Type="http://schemas.openxmlformats.org/officeDocument/2006/relationships/chart" Target="charts/chart89.xml"/><Relationship Id="rId139" Type="http://schemas.openxmlformats.org/officeDocument/2006/relationships/chart" Target="charts/chart103.xml"/><Relationship Id="rId85" Type="http://schemas.openxmlformats.org/officeDocument/2006/relationships/chart" Target="charts/chart69.xml"/><Relationship Id="rId150" Type="http://schemas.openxmlformats.org/officeDocument/2006/relationships/chart" Target="charts/chart113.xml"/><Relationship Id="rId171" Type="http://schemas.openxmlformats.org/officeDocument/2006/relationships/chart" Target="charts/chart134.xml"/><Relationship Id="rId192" Type="http://schemas.openxmlformats.org/officeDocument/2006/relationships/chart" Target="charts/chart155.xml"/><Relationship Id="rId206" Type="http://schemas.openxmlformats.org/officeDocument/2006/relationships/chart" Target="charts/chart169.xml"/><Relationship Id="rId12" Type="http://schemas.openxmlformats.org/officeDocument/2006/relationships/chart" Target="charts/chart2.xml"/><Relationship Id="rId33" Type="http://schemas.openxmlformats.org/officeDocument/2006/relationships/chart" Target="charts/chart21.xml"/><Relationship Id="rId108" Type="http://schemas.openxmlformats.org/officeDocument/2006/relationships/chart" Target="charts/chart84.xml"/><Relationship Id="rId129" Type="http://schemas.openxmlformats.org/officeDocument/2006/relationships/chart" Target="charts/chart93.xml"/><Relationship Id="rId54" Type="http://schemas.openxmlformats.org/officeDocument/2006/relationships/chart" Target="charts/chart40.xml"/><Relationship Id="rId75" Type="http://schemas.openxmlformats.org/officeDocument/2006/relationships/chart" Target="charts/chart59.xml"/><Relationship Id="rId96" Type="http://schemas.openxmlformats.org/officeDocument/2006/relationships/chart" Target="charts/chart80.xml"/><Relationship Id="rId140" Type="http://schemas.openxmlformats.org/officeDocument/2006/relationships/chart" Target="charts/chart104.xml"/><Relationship Id="rId161" Type="http://schemas.openxmlformats.org/officeDocument/2006/relationships/chart" Target="charts/chart124.xml"/><Relationship Id="rId182" Type="http://schemas.openxmlformats.org/officeDocument/2006/relationships/chart" Target="charts/chart145.xml"/><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chart" Target="charts/chart11.xml"/><Relationship Id="rId119" Type="http://schemas.openxmlformats.org/officeDocument/2006/relationships/image" Target="media/image9.png"/><Relationship Id="rId44" Type="http://schemas.openxmlformats.org/officeDocument/2006/relationships/chart" Target="charts/chart32.xml"/><Relationship Id="rId65" Type="http://schemas.openxmlformats.org/officeDocument/2006/relationships/chart" Target="charts/chart49.xml"/><Relationship Id="rId86" Type="http://schemas.openxmlformats.org/officeDocument/2006/relationships/chart" Target="charts/chart70.xml"/><Relationship Id="rId130" Type="http://schemas.openxmlformats.org/officeDocument/2006/relationships/chart" Target="charts/chart94.xml"/><Relationship Id="rId151" Type="http://schemas.openxmlformats.org/officeDocument/2006/relationships/chart" Target="charts/chart114.xml"/><Relationship Id="rId172" Type="http://schemas.openxmlformats.org/officeDocument/2006/relationships/chart" Target="charts/chart135.xml"/><Relationship Id="rId193" Type="http://schemas.openxmlformats.org/officeDocument/2006/relationships/chart" Target="charts/chart156.xml"/><Relationship Id="rId207" Type="http://schemas.openxmlformats.org/officeDocument/2006/relationships/chart" Target="charts/chart170.xml"/><Relationship Id="rId13" Type="http://schemas.openxmlformats.org/officeDocument/2006/relationships/chart" Target="charts/chart3.xml"/><Relationship Id="rId109" Type="http://schemas.openxmlformats.org/officeDocument/2006/relationships/chart" Target="charts/chart85.xml"/><Relationship Id="rId34" Type="http://schemas.openxmlformats.org/officeDocument/2006/relationships/chart" Target="charts/chart22.xml"/><Relationship Id="rId55" Type="http://schemas.openxmlformats.org/officeDocument/2006/relationships/chart" Target="charts/chart41.xml"/><Relationship Id="rId76" Type="http://schemas.openxmlformats.org/officeDocument/2006/relationships/chart" Target="charts/chart60.xml"/><Relationship Id="rId97" Type="http://schemas.openxmlformats.org/officeDocument/2006/relationships/chart" Target="charts/chart81.xml"/><Relationship Id="rId120" Type="http://schemas.openxmlformats.org/officeDocument/2006/relationships/image" Target="media/image10.png"/><Relationship Id="rId141" Type="http://schemas.openxmlformats.org/officeDocument/2006/relationships/chart" Target="charts/chart105.xml"/><Relationship Id="rId7" Type="http://schemas.openxmlformats.org/officeDocument/2006/relationships/endnotes" Target="endnotes.xml"/><Relationship Id="rId162" Type="http://schemas.openxmlformats.org/officeDocument/2006/relationships/chart" Target="charts/chart125.xml"/><Relationship Id="rId183" Type="http://schemas.openxmlformats.org/officeDocument/2006/relationships/chart" Target="charts/chart146.xml"/><Relationship Id="rId218" Type="http://schemas.openxmlformats.org/officeDocument/2006/relationships/theme" Target="theme/theme1.xml"/><Relationship Id="rId24" Type="http://schemas.openxmlformats.org/officeDocument/2006/relationships/chart" Target="charts/chart12.xml"/><Relationship Id="rId45" Type="http://schemas.openxmlformats.org/officeDocument/2006/relationships/chart" Target="charts/chart33.xml"/><Relationship Id="rId66" Type="http://schemas.openxmlformats.org/officeDocument/2006/relationships/chart" Target="charts/chart50.xml"/><Relationship Id="rId87" Type="http://schemas.openxmlformats.org/officeDocument/2006/relationships/chart" Target="charts/chart71.xml"/><Relationship Id="rId110" Type="http://schemas.openxmlformats.org/officeDocument/2006/relationships/chart" Target="charts/chart86.xml"/><Relationship Id="rId131" Type="http://schemas.openxmlformats.org/officeDocument/2006/relationships/chart" Target="charts/chart95.xml"/><Relationship Id="rId152" Type="http://schemas.openxmlformats.org/officeDocument/2006/relationships/chart" Target="charts/chart115.xml"/><Relationship Id="rId173" Type="http://schemas.openxmlformats.org/officeDocument/2006/relationships/chart" Target="charts/chart136.xml"/><Relationship Id="rId194" Type="http://schemas.openxmlformats.org/officeDocument/2006/relationships/chart" Target="charts/chart157.xml"/><Relationship Id="rId208" Type="http://schemas.openxmlformats.org/officeDocument/2006/relationships/chart" Target="charts/chart171.xml"/><Relationship Id="rId19" Type="http://schemas.openxmlformats.org/officeDocument/2006/relationships/chart" Target="charts/chart7.xml"/><Relationship Id="rId14" Type="http://schemas.openxmlformats.org/officeDocument/2006/relationships/chart" Target="charts/chart4.xml"/><Relationship Id="rId30" Type="http://schemas.openxmlformats.org/officeDocument/2006/relationships/chart" Target="charts/chart18.xml"/><Relationship Id="rId35" Type="http://schemas.openxmlformats.org/officeDocument/2006/relationships/chart" Target="charts/chart23.xml"/><Relationship Id="rId56" Type="http://schemas.openxmlformats.org/officeDocument/2006/relationships/chart" Target="charts/chart42.xml"/><Relationship Id="rId77" Type="http://schemas.openxmlformats.org/officeDocument/2006/relationships/chart" Target="charts/chart61.xml"/><Relationship Id="rId100" Type="http://schemas.microsoft.com/office/2014/relationships/chartEx" Target="charts/chartEx3.xml"/><Relationship Id="rId126" Type="http://schemas.openxmlformats.org/officeDocument/2006/relationships/chart" Target="charts/chart90.xml"/><Relationship Id="rId147" Type="http://schemas.openxmlformats.org/officeDocument/2006/relationships/chart" Target="charts/chart110.xml"/><Relationship Id="rId168" Type="http://schemas.openxmlformats.org/officeDocument/2006/relationships/chart" Target="charts/chart131.xml"/><Relationship Id="rId8" Type="http://schemas.openxmlformats.org/officeDocument/2006/relationships/hyperlink" Target="https://www.em.gov.lv/lv/darba-tirgus-zinojums" TargetMode="External"/><Relationship Id="rId51" Type="http://schemas.openxmlformats.org/officeDocument/2006/relationships/hyperlink" Target="https://skillspanorama.cedefop.europa.eu/en/skills-themes/future-jobs" TargetMode="External"/><Relationship Id="rId72" Type="http://schemas.openxmlformats.org/officeDocument/2006/relationships/chart" Target="charts/chart56.xml"/><Relationship Id="rId93" Type="http://schemas.openxmlformats.org/officeDocument/2006/relationships/chart" Target="charts/chart77.xml"/><Relationship Id="rId98" Type="http://schemas.openxmlformats.org/officeDocument/2006/relationships/chart" Target="charts/chart82.xml"/><Relationship Id="rId121" Type="http://schemas.openxmlformats.org/officeDocument/2006/relationships/image" Target="media/image11.png"/><Relationship Id="rId142" Type="http://schemas.openxmlformats.org/officeDocument/2006/relationships/chart" Target="charts/chart106.xml"/><Relationship Id="rId163" Type="http://schemas.openxmlformats.org/officeDocument/2006/relationships/chart" Target="charts/chart126.xml"/><Relationship Id="rId184" Type="http://schemas.openxmlformats.org/officeDocument/2006/relationships/chart" Target="charts/chart147.xml"/><Relationship Id="rId189" Type="http://schemas.openxmlformats.org/officeDocument/2006/relationships/chart" Target="charts/chart152.xml"/><Relationship Id="rId219" Type="http://schemas.microsoft.com/office/2019/05/relationships/documenttasks" Target="documenttasks/documenttasks1.xml"/><Relationship Id="rId3" Type="http://schemas.openxmlformats.org/officeDocument/2006/relationships/styles" Target="styles.xml"/><Relationship Id="rId214" Type="http://schemas.openxmlformats.org/officeDocument/2006/relationships/footer" Target="footer2.xml"/><Relationship Id="rId25" Type="http://schemas.openxmlformats.org/officeDocument/2006/relationships/chart" Target="charts/chart13.xml"/><Relationship Id="rId46" Type="http://schemas.openxmlformats.org/officeDocument/2006/relationships/image" Target="media/image2.jpeg"/><Relationship Id="rId67" Type="http://schemas.openxmlformats.org/officeDocument/2006/relationships/chart" Target="charts/chart51.xml"/><Relationship Id="rId116" Type="http://schemas.openxmlformats.org/officeDocument/2006/relationships/image" Target="media/image7.jpeg"/><Relationship Id="rId137" Type="http://schemas.openxmlformats.org/officeDocument/2006/relationships/chart" Target="charts/chart101.xml"/><Relationship Id="rId158" Type="http://schemas.openxmlformats.org/officeDocument/2006/relationships/chart" Target="charts/chart121.xml"/><Relationship Id="rId20" Type="http://schemas.openxmlformats.org/officeDocument/2006/relationships/chart" Target="charts/chart8.xml"/><Relationship Id="rId41" Type="http://schemas.openxmlformats.org/officeDocument/2006/relationships/chart" Target="charts/chart29.xml"/><Relationship Id="rId62" Type="http://schemas.openxmlformats.org/officeDocument/2006/relationships/chart" Target="charts/chart46.xml"/><Relationship Id="rId83" Type="http://schemas.openxmlformats.org/officeDocument/2006/relationships/chart" Target="charts/chart67.xml"/><Relationship Id="rId88" Type="http://schemas.openxmlformats.org/officeDocument/2006/relationships/chart" Target="charts/chart72.xml"/><Relationship Id="rId111" Type="http://schemas.openxmlformats.org/officeDocument/2006/relationships/chart" Target="charts/chart87.xml"/><Relationship Id="rId132" Type="http://schemas.openxmlformats.org/officeDocument/2006/relationships/chart" Target="charts/chart96.xml"/><Relationship Id="rId153" Type="http://schemas.openxmlformats.org/officeDocument/2006/relationships/chart" Target="charts/chart116.xml"/><Relationship Id="rId174" Type="http://schemas.openxmlformats.org/officeDocument/2006/relationships/chart" Target="charts/chart137.xml"/><Relationship Id="rId179" Type="http://schemas.openxmlformats.org/officeDocument/2006/relationships/chart" Target="charts/chart142.xml"/><Relationship Id="rId195" Type="http://schemas.openxmlformats.org/officeDocument/2006/relationships/chart" Target="charts/chart158.xml"/><Relationship Id="rId209" Type="http://schemas.openxmlformats.org/officeDocument/2006/relationships/chart" Target="charts/chart172.xml"/><Relationship Id="rId190" Type="http://schemas.openxmlformats.org/officeDocument/2006/relationships/chart" Target="charts/chart153.xml"/><Relationship Id="rId204" Type="http://schemas.openxmlformats.org/officeDocument/2006/relationships/chart" Target="charts/chart167.xml"/><Relationship Id="rId15" Type="http://schemas.microsoft.com/office/2014/relationships/chartEx" Target="charts/chartEx1.xml"/><Relationship Id="rId36" Type="http://schemas.openxmlformats.org/officeDocument/2006/relationships/chart" Target="charts/chart24.xml"/><Relationship Id="rId57" Type="http://schemas.openxmlformats.org/officeDocument/2006/relationships/chart" Target="charts/chart43.xml"/><Relationship Id="rId127" Type="http://schemas.openxmlformats.org/officeDocument/2006/relationships/chart" Target="charts/chart91.xml"/><Relationship Id="rId10" Type="http://schemas.openxmlformats.org/officeDocument/2006/relationships/image" Target="media/image1.jpg"/><Relationship Id="rId31" Type="http://schemas.openxmlformats.org/officeDocument/2006/relationships/chart" Target="charts/chart19.xml"/><Relationship Id="rId52" Type="http://schemas.openxmlformats.org/officeDocument/2006/relationships/chart" Target="charts/chart38.xml"/><Relationship Id="rId73" Type="http://schemas.openxmlformats.org/officeDocument/2006/relationships/chart" Target="charts/chart57.xml"/><Relationship Id="rId78" Type="http://schemas.openxmlformats.org/officeDocument/2006/relationships/chart" Target="charts/chart62.xml"/><Relationship Id="rId94" Type="http://schemas.openxmlformats.org/officeDocument/2006/relationships/chart" Target="charts/chart78.xml"/><Relationship Id="rId99" Type="http://schemas.openxmlformats.org/officeDocument/2006/relationships/chart" Target="charts/chart83.xml"/><Relationship Id="rId122" Type="http://schemas.openxmlformats.org/officeDocument/2006/relationships/image" Target="media/image12.jpeg"/><Relationship Id="rId143" Type="http://schemas.openxmlformats.org/officeDocument/2006/relationships/image" Target="media/image16.png"/><Relationship Id="rId148" Type="http://schemas.openxmlformats.org/officeDocument/2006/relationships/chart" Target="charts/chart111.xml"/><Relationship Id="rId164" Type="http://schemas.openxmlformats.org/officeDocument/2006/relationships/chart" Target="charts/chart127.xml"/><Relationship Id="rId169" Type="http://schemas.openxmlformats.org/officeDocument/2006/relationships/chart" Target="charts/chart132.xml"/><Relationship Id="rId185" Type="http://schemas.openxmlformats.org/officeDocument/2006/relationships/chart" Target="charts/chart148.xml"/><Relationship Id="rId4" Type="http://schemas.openxmlformats.org/officeDocument/2006/relationships/settings" Target="settings.xml"/><Relationship Id="rId9" Type="http://schemas.openxmlformats.org/officeDocument/2006/relationships/hyperlink" Target="https://prognozes.em.gov.lv" TargetMode="External"/><Relationship Id="rId180" Type="http://schemas.openxmlformats.org/officeDocument/2006/relationships/chart" Target="charts/chart143.xml"/><Relationship Id="rId210" Type="http://schemas.openxmlformats.org/officeDocument/2006/relationships/image" Target="media/image17.jpeg"/><Relationship Id="rId215" Type="http://schemas.openxmlformats.org/officeDocument/2006/relationships/header" Target="header3.xml"/><Relationship Id="rId26" Type="http://schemas.openxmlformats.org/officeDocument/2006/relationships/chart" Target="charts/chart14.xml"/><Relationship Id="rId47" Type="http://schemas.openxmlformats.org/officeDocument/2006/relationships/chart" Target="charts/chart34.xml"/><Relationship Id="rId68" Type="http://schemas.openxmlformats.org/officeDocument/2006/relationships/chart" Target="charts/chart52.xml"/><Relationship Id="rId89" Type="http://schemas.openxmlformats.org/officeDocument/2006/relationships/chart" Target="charts/chart73.xml"/><Relationship Id="rId112" Type="http://schemas.openxmlformats.org/officeDocument/2006/relationships/image" Target="media/image3.jpeg"/><Relationship Id="rId133" Type="http://schemas.openxmlformats.org/officeDocument/2006/relationships/chart" Target="charts/chart97.xml"/><Relationship Id="rId154" Type="http://schemas.openxmlformats.org/officeDocument/2006/relationships/chart" Target="charts/chart117.xml"/><Relationship Id="rId175" Type="http://schemas.openxmlformats.org/officeDocument/2006/relationships/chart" Target="charts/chart138.xml"/><Relationship Id="rId196" Type="http://schemas.openxmlformats.org/officeDocument/2006/relationships/chart" Target="charts/chart159.xml"/><Relationship Id="rId200" Type="http://schemas.openxmlformats.org/officeDocument/2006/relationships/chart" Target="charts/chart163.xml"/><Relationship Id="rId16" Type="http://schemas.openxmlformats.org/officeDocument/2006/relationships/image" Target="media/image2.png"/><Relationship Id="rId37" Type="http://schemas.openxmlformats.org/officeDocument/2006/relationships/chart" Target="charts/chart25.xml"/><Relationship Id="rId58" Type="http://schemas.microsoft.com/office/2014/relationships/chartEx" Target="charts/chartEx2.xml"/><Relationship Id="rId79" Type="http://schemas.openxmlformats.org/officeDocument/2006/relationships/chart" Target="charts/chart63.xml"/><Relationship Id="rId123" Type="http://schemas.openxmlformats.org/officeDocument/2006/relationships/image" Target="media/image13.png"/><Relationship Id="rId144" Type="http://schemas.openxmlformats.org/officeDocument/2006/relationships/chart" Target="charts/chart107.xml"/><Relationship Id="rId90" Type="http://schemas.openxmlformats.org/officeDocument/2006/relationships/chart" Target="charts/chart74.xml"/><Relationship Id="rId165" Type="http://schemas.openxmlformats.org/officeDocument/2006/relationships/chart" Target="charts/chart128.xml"/><Relationship Id="rId186" Type="http://schemas.openxmlformats.org/officeDocument/2006/relationships/chart" Target="charts/chart149.xml"/><Relationship Id="rId211" Type="http://schemas.openxmlformats.org/officeDocument/2006/relationships/header" Target="header1.xml"/><Relationship Id="rId27" Type="http://schemas.openxmlformats.org/officeDocument/2006/relationships/chart" Target="charts/chart15.xml"/><Relationship Id="rId48" Type="http://schemas.openxmlformats.org/officeDocument/2006/relationships/chart" Target="charts/chart35.xml"/><Relationship Id="rId69" Type="http://schemas.openxmlformats.org/officeDocument/2006/relationships/chart" Target="charts/chart53.xml"/><Relationship Id="rId113" Type="http://schemas.openxmlformats.org/officeDocument/2006/relationships/chart" Target="charts/chart88.xml"/><Relationship Id="rId134" Type="http://schemas.openxmlformats.org/officeDocument/2006/relationships/chart" Target="charts/chart98.xml"/><Relationship Id="rId80" Type="http://schemas.openxmlformats.org/officeDocument/2006/relationships/chart" Target="charts/chart64.xml"/><Relationship Id="rId155" Type="http://schemas.openxmlformats.org/officeDocument/2006/relationships/chart" Target="charts/chart118.xml"/><Relationship Id="rId176" Type="http://schemas.openxmlformats.org/officeDocument/2006/relationships/chart" Target="charts/chart139.xml"/><Relationship Id="rId197" Type="http://schemas.openxmlformats.org/officeDocument/2006/relationships/chart" Target="charts/chart160.xml"/><Relationship Id="rId201" Type="http://schemas.openxmlformats.org/officeDocument/2006/relationships/chart" Target="charts/chart164.xml"/><Relationship Id="rId17" Type="http://schemas.openxmlformats.org/officeDocument/2006/relationships/chart" Target="charts/chart5.xml"/><Relationship Id="rId38" Type="http://schemas.openxmlformats.org/officeDocument/2006/relationships/chart" Target="charts/chart26.xml"/><Relationship Id="rId59" Type="http://schemas.openxmlformats.org/officeDocument/2006/relationships/image" Target="media/image3.png"/><Relationship Id="rId124" Type="http://schemas.openxmlformats.org/officeDocument/2006/relationships/image" Target="media/image14.jpeg"/><Relationship Id="rId70" Type="http://schemas.openxmlformats.org/officeDocument/2006/relationships/chart" Target="charts/chart54.xml"/><Relationship Id="rId91" Type="http://schemas.openxmlformats.org/officeDocument/2006/relationships/chart" Target="charts/chart75.xml"/><Relationship Id="rId145" Type="http://schemas.openxmlformats.org/officeDocument/2006/relationships/chart" Target="charts/chart108.xml"/><Relationship Id="rId166" Type="http://schemas.openxmlformats.org/officeDocument/2006/relationships/chart" Target="charts/chart129.xml"/><Relationship Id="rId187" Type="http://schemas.openxmlformats.org/officeDocument/2006/relationships/chart" Target="charts/chart150.xml"/><Relationship Id="rId1" Type="http://schemas.openxmlformats.org/officeDocument/2006/relationships/customXml" Target="../customXml/item1.xml"/><Relationship Id="rId212" Type="http://schemas.openxmlformats.org/officeDocument/2006/relationships/header" Target="header2.xml"/><Relationship Id="rId28" Type="http://schemas.openxmlformats.org/officeDocument/2006/relationships/chart" Target="charts/chart16.xml"/><Relationship Id="rId49" Type="http://schemas.openxmlformats.org/officeDocument/2006/relationships/chart" Target="charts/chart36.xml"/><Relationship Id="rId114" Type="http://schemas.openxmlformats.org/officeDocument/2006/relationships/image" Target="media/image5.png"/><Relationship Id="rId60" Type="http://schemas.openxmlformats.org/officeDocument/2006/relationships/chart" Target="charts/chart44.xml"/><Relationship Id="rId81" Type="http://schemas.openxmlformats.org/officeDocument/2006/relationships/chart" Target="charts/chart65.xml"/><Relationship Id="rId135" Type="http://schemas.openxmlformats.org/officeDocument/2006/relationships/chart" Target="charts/chart99.xml"/><Relationship Id="rId156" Type="http://schemas.openxmlformats.org/officeDocument/2006/relationships/chart" Target="charts/chart119.xml"/><Relationship Id="rId177" Type="http://schemas.openxmlformats.org/officeDocument/2006/relationships/chart" Target="charts/chart140.xml"/><Relationship Id="rId198" Type="http://schemas.openxmlformats.org/officeDocument/2006/relationships/chart" Target="charts/chart161.xml"/><Relationship Id="rId202" Type="http://schemas.openxmlformats.org/officeDocument/2006/relationships/chart" Target="charts/chart165.xml"/><Relationship Id="rId18" Type="http://schemas.openxmlformats.org/officeDocument/2006/relationships/chart" Target="charts/chart6.xml"/><Relationship Id="rId39" Type="http://schemas.openxmlformats.org/officeDocument/2006/relationships/chart" Target="charts/chart27.xml"/><Relationship Id="rId50" Type="http://schemas.openxmlformats.org/officeDocument/2006/relationships/chart" Target="charts/chart37.xml"/><Relationship Id="rId125" Type="http://schemas.openxmlformats.org/officeDocument/2006/relationships/image" Target="media/image15.png"/><Relationship Id="rId146" Type="http://schemas.openxmlformats.org/officeDocument/2006/relationships/chart" Target="charts/chart109.xml"/><Relationship Id="rId167" Type="http://schemas.openxmlformats.org/officeDocument/2006/relationships/chart" Target="charts/chart130.xml"/><Relationship Id="rId188" Type="http://schemas.openxmlformats.org/officeDocument/2006/relationships/chart" Target="charts/chart151.xml"/><Relationship Id="rId71" Type="http://schemas.openxmlformats.org/officeDocument/2006/relationships/chart" Target="charts/chart55.xml"/><Relationship Id="rId92" Type="http://schemas.openxmlformats.org/officeDocument/2006/relationships/chart" Target="charts/chart76.xml"/><Relationship Id="rId213"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chart" Target="charts/chart17.xml"/><Relationship Id="rId40" Type="http://schemas.openxmlformats.org/officeDocument/2006/relationships/chart" Target="charts/chart28.xml"/><Relationship Id="rId115" Type="http://schemas.openxmlformats.org/officeDocument/2006/relationships/image" Target="media/image6.jpeg"/><Relationship Id="rId136" Type="http://schemas.openxmlformats.org/officeDocument/2006/relationships/chart" Target="charts/chart100.xml"/><Relationship Id="rId157" Type="http://schemas.openxmlformats.org/officeDocument/2006/relationships/chart" Target="charts/chart120.xml"/><Relationship Id="rId178" Type="http://schemas.openxmlformats.org/officeDocument/2006/relationships/chart" Target="charts/chart141.xml"/><Relationship Id="rId61" Type="http://schemas.openxmlformats.org/officeDocument/2006/relationships/chart" Target="charts/chart45.xml"/><Relationship Id="rId82" Type="http://schemas.openxmlformats.org/officeDocument/2006/relationships/chart" Target="charts/chart66.xml"/><Relationship Id="rId199" Type="http://schemas.openxmlformats.org/officeDocument/2006/relationships/chart" Target="charts/chart162.xml"/><Relationship Id="rId203" Type="http://schemas.openxmlformats.org/officeDocument/2006/relationships/chart" Target="charts/chart166.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qid=1588580774040&amp;uri=CELEX:52019DC0640" TargetMode="External"/><Relationship Id="rId3" Type="http://schemas.openxmlformats.org/officeDocument/2006/relationships/hyperlink" Target="https://pkc.gov.lv/lv/valsts-attistibas-planosana/latvijas-ilgtspejigas-attistibas-strategija" TargetMode="External"/><Relationship Id="rId7" Type="http://schemas.openxmlformats.org/officeDocument/2006/relationships/hyperlink" Target="https://ec.europa.eu/info/strategy/priorities-2019-2024/european-green-deal_lv" TargetMode="External"/><Relationship Id="rId2" Type="http://schemas.openxmlformats.org/officeDocument/2006/relationships/hyperlink" Target="https://data.stat.gov.lv/pxweb/lv/OSP_OD/OSP_OD__apsekojumi__arodizgl__2010_2015_2020/?tablelist=true" TargetMode="External"/><Relationship Id="rId1" Type="http://schemas.openxmlformats.org/officeDocument/2006/relationships/hyperlink" Target="https://stat.gov.lv/lv/metadati/2878-aiznemtas-un-brivas-darbvietas" TargetMode="External"/><Relationship Id="rId6" Type="http://schemas.openxmlformats.org/officeDocument/2006/relationships/hyperlink" Target="https://www.researchgate.net/publication/273515631_The_Grand_Challenges_in_Smart_Materials_Researc" TargetMode="External"/><Relationship Id="rId5" Type="http://schemas.openxmlformats.org/officeDocument/2006/relationships/hyperlink" Target="https://www.em.gov.lv/lv/industriala-politika" TargetMode="External"/><Relationship Id="rId4" Type="http://schemas.openxmlformats.org/officeDocument/2006/relationships/hyperlink" Target="https://pkc.gov.lv/lv/nap202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00.xml.rels><?xml version="1.0" encoding="UTF-8" standalone="yes"?>
<Relationships xmlns="http://schemas.openxmlformats.org/package/2006/relationships"><Relationship Id="rId3" Type="http://schemas.openxmlformats.org/officeDocument/2006/relationships/oleObject" Target="file:///C:\Users\linda.kurpniece\Desktop\DTZ_2026\3.2.1.ielikums.xlsx" TargetMode="External"/><Relationship Id="rId2" Type="http://schemas.microsoft.com/office/2011/relationships/chartColorStyle" Target="colors45.xml"/><Relationship Id="rId1" Type="http://schemas.microsoft.com/office/2011/relationships/chartStyle" Target="style45.xml"/></Relationships>
</file>

<file path=word/charts/_rels/chart101.xml.rels><?xml version="1.0" encoding="UTF-8" standalone="yes"?>
<Relationships xmlns="http://schemas.openxmlformats.org/package/2006/relationships"><Relationship Id="rId3" Type="http://schemas.openxmlformats.org/officeDocument/2006/relationships/oleObject" Target="file:///C:\Users\linda.kurpniece\Desktop\cedefopgraf_automatiz&#257;cija.xlsx" TargetMode="Externa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chartUserShapes" Target="../drawings/drawing9.xml"/></Relationships>
</file>

<file path=word/charts/_rels/chart102.xml.rels><?xml version="1.0" encoding="UTF-8" standalone="yes"?>
<Relationships xmlns="http://schemas.openxmlformats.org/package/2006/relationships"><Relationship Id="rId3" Type="http://schemas.openxmlformats.org/officeDocument/2006/relationships/oleObject" Target="file:///C:\Users\linda.kurpniece\Downloads\cedefop-barChartRotatedNormalisedVisualisation%20(3).xlsx" TargetMode="External"/><Relationship Id="rId2" Type="http://schemas.microsoft.com/office/2011/relationships/chartColorStyle" Target="colors47.xml"/><Relationship Id="rId1" Type="http://schemas.microsoft.com/office/2011/relationships/chartStyle" Target="style47.xml"/></Relationships>
</file>

<file path=word/charts/_rels/chart103.xml.rels><?xml version="1.0" encoding="UTF-8" standalone="yes"?>
<Relationships xmlns="http://schemas.openxmlformats.org/package/2006/relationships"><Relationship Id="rId2" Type="http://schemas.openxmlformats.org/officeDocument/2006/relationships/package" Target="../embeddings/Microsoft_Excel_Worksheet94.xlsx"/><Relationship Id="rId1" Type="http://schemas.openxmlformats.org/officeDocument/2006/relationships/themeOverride" Target="../theme/themeOverride52.xml"/></Relationships>
</file>

<file path=word/charts/_rels/chart104.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95.xlsx"/></Relationships>
</file>

<file path=word/charts/_rels/chart10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9.xml"/><Relationship Id="rId1" Type="http://schemas.microsoft.com/office/2011/relationships/chartStyle" Target="style49.xml"/></Relationships>
</file>

<file path=word/charts/_rels/chart106.xml.rels><?xml version="1.0" encoding="UTF-8" standalone="yes"?>
<Relationships xmlns="http://schemas.openxmlformats.org/package/2006/relationships"><Relationship Id="rId3" Type="http://schemas.openxmlformats.org/officeDocument/2006/relationships/package" Target="../embeddings/Microsoft_Excel_Worksheet96.xlsx"/><Relationship Id="rId2" Type="http://schemas.microsoft.com/office/2011/relationships/chartColorStyle" Target="colors50.xml"/><Relationship Id="rId1" Type="http://schemas.microsoft.com/office/2011/relationships/chartStyle" Target="style50.xml"/></Relationships>
</file>

<file path=word/charts/_rels/chart107.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97.xlsx"/></Relationships>
</file>

<file path=word/charts/_rels/chart108.xml.rels><?xml version="1.0" encoding="UTF-8" standalone="yes"?>
<Relationships xmlns="http://schemas.openxmlformats.org/package/2006/relationships"><Relationship Id="rId2" Type="http://schemas.openxmlformats.org/officeDocument/2006/relationships/package" Target="../embeddings/Microsoft_Excel_Worksheet98.xlsx"/><Relationship Id="rId1" Type="http://schemas.openxmlformats.org/officeDocument/2006/relationships/themeOverride" Target="../theme/themeOverride54.xml"/></Relationships>
</file>

<file path=word/charts/_rels/chart109.xml.rels><?xml version="1.0" encoding="UTF-8" standalone="yes"?>
<Relationships xmlns="http://schemas.openxmlformats.org/package/2006/relationships"><Relationship Id="rId2" Type="http://schemas.openxmlformats.org/officeDocument/2006/relationships/package" Target="../embeddings/Microsoft_Excel_Worksheet99.xlsx"/><Relationship Id="rId1" Type="http://schemas.openxmlformats.org/officeDocument/2006/relationships/themeOverride" Target="../theme/themeOverride55.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1.xlsx"/></Relationships>
</file>

<file path=word/charts/_rels/chart110.xml.rels><?xml version="1.0" encoding="UTF-8" standalone="yes"?>
<Relationships xmlns="http://schemas.openxmlformats.org/package/2006/relationships"><Relationship Id="rId2" Type="http://schemas.openxmlformats.org/officeDocument/2006/relationships/package" Target="../embeddings/Microsoft_Excel_Worksheet100.xlsx"/><Relationship Id="rId1" Type="http://schemas.openxmlformats.org/officeDocument/2006/relationships/themeOverride" Target="../theme/themeOverride56.xml"/></Relationships>
</file>

<file path=word/charts/_rels/chart111.xml.rels><?xml version="1.0" encoding="UTF-8" standalone="yes"?>
<Relationships xmlns="http://schemas.openxmlformats.org/package/2006/relationships"><Relationship Id="rId2" Type="http://schemas.openxmlformats.org/officeDocument/2006/relationships/package" Target="../embeddings/Microsoft_Excel_Worksheet101.xlsx"/><Relationship Id="rId1" Type="http://schemas.openxmlformats.org/officeDocument/2006/relationships/themeOverride" Target="../theme/themeOverride57.xml"/></Relationships>
</file>

<file path=word/charts/_rels/chart112.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NULL" TargetMode="External"/></Relationships>
</file>

<file path=word/charts/_rels/chart113.xml.rels><?xml version="1.0" encoding="UTF-8" standalone="yes"?>
<Relationships xmlns="http://schemas.openxmlformats.org/package/2006/relationships"><Relationship Id="rId2" Type="http://schemas.openxmlformats.org/officeDocument/2006/relationships/package" Target="../embeddings/Microsoft_Excel_Worksheet102.xlsx"/><Relationship Id="rId1" Type="http://schemas.openxmlformats.org/officeDocument/2006/relationships/themeOverride" Target="../theme/themeOverride58.xml"/></Relationships>
</file>

<file path=word/charts/_rels/chart114.xml.rels><?xml version="1.0" encoding="UTF-8" standalone="yes"?>
<Relationships xmlns="http://schemas.openxmlformats.org/package/2006/relationships"><Relationship Id="rId2" Type="http://schemas.openxmlformats.org/officeDocument/2006/relationships/package" Target="../embeddings/Microsoft_Excel_Worksheet103.xlsx"/><Relationship Id="rId1" Type="http://schemas.openxmlformats.org/officeDocument/2006/relationships/themeOverride" Target="../theme/themeOverride59.xml"/></Relationships>
</file>

<file path=word/charts/_rels/chart115.xml.rels><?xml version="1.0" encoding="UTF-8" standalone="yes"?>
<Relationships xmlns="http://schemas.openxmlformats.org/package/2006/relationships"><Relationship Id="rId2" Type="http://schemas.openxmlformats.org/officeDocument/2006/relationships/package" Target="../embeddings/Microsoft_Excel_Worksheet104.xlsx"/><Relationship Id="rId1" Type="http://schemas.openxmlformats.org/officeDocument/2006/relationships/themeOverride" Target="../theme/themeOverride60.xml"/></Relationships>
</file>

<file path=word/charts/_rels/chart116.xml.rels><?xml version="1.0" encoding="UTF-8" standalone="yes"?>
<Relationships xmlns="http://schemas.openxmlformats.org/package/2006/relationships"><Relationship Id="rId2" Type="http://schemas.openxmlformats.org/officeDocument/2006/relationships/package" Target="../embeddings/Microsoft_Excel_Worksheet105.xlsx"/><Relationship Id="rId1" Type="http://schemas.openxmlformats.org/officeDocument/2006/relationships/themeOverride" Target="../theme/themeOverride61.xml"/></Relationships>
</file>

<file path=word/charts/_rels/chart117.xml.rels><?xml version="1.0" encoding="UTF-8" standalone="yes"?>
<Relationships xmlns="http://schemas.openxmlformats.org/package/2006/relationships"><Relationship Id="rId2" Type="http://schemas.openxmlformats.org/officeDocument/2006/relationships/package" Target="../embeddings/Microsoft_Excel_Worksheet106.xlsx"/><Relationship Id="rId1" Type="http://schemas.openxmlformats.org/officeDocument/2006/relationships/themeOverride" Target="../theme/themeOverride62.xml"/></Relationships>
</file>

<file path=word/charts/_rels/chart118.xml.rels><?xml version="1.0" encoding="UTF-8" standalone="yes"?>
<Relationships xmlns="http://schemas.openxmlformats.org/package/2006/relationships"><Relationship Id="rId2" Type="http://schemas.openxmlformats.org/officeDocument/2006/relationships/package" Target="../embeddings/Microsoft_Excel_Worksheet107.xlsx"/><Relationship Id="rId1" Type="http://schemas.openxmlformats.org/officeDocument/2006/relationships/themeOverride" Target="../theme/themeOverride63.xml"/></Relationships>
</file>

<file path=word/charts/_rels/chart119.xml.rels><?xml version="1.0" encoding="UTF-8" standalone="yes"?>
<Relationships xmlns="http://schemas.openxmlformats.org/package/2006/relationships"><Relationship Id="rId2" Type="http://schemas.openxmlformats.org/officeDocument/2006/relationships/package" Target="../embeddings/Microsoft_Excel_Worksheet108.xlsx"/><Relationship Id="rId1" Type="http://schemas.openxmlformats.org/officeDocument/2006/relationships/themeOverride" Target="../theme/themeOverride64.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7.xml"/></Relationships>
</file>

<file path=word/charts/_rels/chart120.xml.rels><?xml version="1.0" encoding="UTF-8" standalone="yes"?>
<Relationships xmlns="http://schemas.openxmlformats.org/package/2006/relationships"><Relationship Id="rId2" Type="http://schemas.openxmlformats.org/officeDocument/2006/relationships/package" Target="../embeddings/Microsoft_Excel_Worksheet109.xlsx"/><Relationship Id="rId1" Type="http://schemas.openxmlformats.org/officeDocument/2006/relationships/themeOverride" Target="../theme/themeOverride65.xml"/></Relationships>
</file>

<file path=word/charts/_rels/chart121.xml.rels><?xml version="1.0" encoding="UTF-8" standalone="yes"?>
<Relationships xmlns="http://schemas.openxmlformats.org/package/2006/relationships"><Relationship Id="rId2" Type="http://schemas.openxmlformats.org/officeDocument/2006/relationships/package" Target="../embeddings/Microsoft_Excel_Worksheet110.xlsx"/><Relationship Id="rId1" Type="http://schemas.openxmlformats.org/officeDocument/2006/relationships/themeOverride" Target="../theme/themeOverride66.xml"/></Relationships>
</file>

<file path=word/charts/_rels/chart122.xml.rels><?xml version="1.0" encoding="UTF-8" standalone="yes"?>
<Relationships xmlns="http://schemas.openxmlformats.org/package/2006/relationships"><Relationship Id="rId2" Type="http://schemas.openxmlformats.org/officeDocument/2006/relationships/package" Target="../embeddings/Microsoft_Excel_Worksheet111.xlsx"/><Relationship Id="rId1" Type="http://schemas.openxmlformats.org/officeDocument/2006/relationships/themeOverride" Target="../theme/themeOverride67.xml"/></Relationships>
</file>

<file path=word/charts/_rels/chart123.xml.rels><?xml version="1.0" encoding="UTF-8" standalone="yes"?>
<Relationships xmlns="http://schemas.openxmlformats.org/package/2006/relationships"><Relationship Id="rId2" Type="http://schemas.openxmlformats.org/officeDocument/2006/relationships/package" Target="../embeddings/Microsoft_Excel_Worksheet112.xlsx"/><Relationship Id="rId1" Type="http://schemas.openxmlformats.org/officeDocument/2006/relationships/themeOverride" Target="../theme/themeOverride68.xml"/></Relationships>
</file>

<file path=word/charts/_rels/chart124.xml.rels><?xml version="1.0" encoding="UTF-8" standalone="yes"?>
<Relationships xmlns="http://schemas.openxmlformats.org/package/2006/relationships"><Relationship Id="rId2" Type="http://schemas.openxmlformats.org/officeDocument/2006/relationships/package" Target="../embeddings/Microsoft_Excel_Worksheet113.xlsx"/><Relationship Id="rId1" Type="http://schemas.openxmlformats.org/officeDocument/2006/relationships/themeOverride" Target="../theme/themeOverride69.xml"/></Relationships>
</file>

<file path=word/charts/_rels/chart125.xml.rels><?xml version="1.0" encoding="UTF-8" standalone="yes"?>
<Relationships xmlns="http://schemas.openxmlformats.org/package/2006/relationships"><Relationship Id="rId2" Type="http://schemas.openxmlformats.org/officeDocument/2006/relationships/package" Target="../embeddings/Microsoft_Excel_Worksheet114.xlsx"/><Relationship Id="rId1" Type="http://schemas.openxmlformats.org/officeDocument/2006/relationships/themeOverride" Target="../theme/themeOverride70.xml"/></Relationships>
</file>

<file path=word/charts/_rels/chart126.xml.rels><?xml version="1.0" encoding="UTF-8" standalone="yes"?>
<Relationships xmlns="http://schemas.openxmlformats.org/package/2006/relationships"><Relationship Id="rId2" Type="http://schemas.openxmlformats.org/officeDocument/2006/relationships/package" Target="../embeddings/Microsoft_Excel_Worksheet115.xlsx"/><Relationship Id="rId1" Type="http://schemas.openxmlformats.org/officeDocument/2006/relationships/themeOverride" Target="../theme/themeOverride71.xml"/></Relationships>
</file>

<file path=word/charts/_rels/chart127.xml.rels><?xml version="1.0" encoding="UTF-8" standalone="yes"?>
<Relationships xmlns="http://schemas.openxmlformats.org/package/2006/relationships"><Relationship Id="rId2" Type="http://schemas.openxmlformats.org/officeDocument/2006/relationships/package" Target="../embeddings/Microsoft_Excel_Worksheet116.xlsx"/><Relationship Id="rId1" Type="http://schemas.openxmlformats.org/officeDocument/2006/relationships/themeOverride" Target="../theme/themeOverride72.xml"/></Relationships>
</file>

<file path=word/charts/_rels/chart128.xml.rels><?xml version="1.0" encoding="UTF-8" standalone="yes"?>
<Relationships xmlns="http://schemas.openxmlformats.org/package/2006/relationships"><Relationship Id="rId2" Type="http://schemas.openxmlformats.org/officeDocument/2006/relationships/package" Target="../embeddings/Microsoft_Excel_Worksheet117.xlsx"/><Relationship Id="rId1" Type="http://schemas.openxmlformats.org/officeDocument/2006/relationships/themeOverride" Target="../theme/themeOverride73.xml"/></Relationships>
</file>

<file path=word/charts/_rels/chart129.xml.rels><?xml version="1.0" encoding="UTF-8" standalone="yes"?>
<Relationships xmlns="http://schemas.openxmlformats.org/package/2006/relationships"><Relationship Id="rId2" Type="http://schemas.openxmlformats.org/officeDocument/2006/relationships/package" Target="../embeddings/Microsoft_Excel_Worksheet118.xlsx"/><Relationship Id="rId1" Type="http://schemas.openxmlformats.org/officeDocument/2006/relationships/themeOverride" Target="../theme/themeOverride7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8.xml"/></Relationships>
</file>

<file path=word/charts/_rels/chart130.xml.rels><?xml version="1.0" encoding="UTF-8" standalone="yes"?>
<Relationships xmlns="http://schemas.openxmlformats.org/package/2006/relationships"><Relationship Id="rId2" Type="http://schemas.openxmlformats.org/officeDocument/2006/relationships/package" Target="../embeddings/Microsoft_Excel_Worksheet119.xlsx"/><Relationship Id="rId1" Type="http://schemas.openxmlformats.org/officeDocument/2006/relationships/themeOverride" Target="../theme/themeOverride75.xml"/></Relationships>
</file>

<file path=word/charts/_rels/chart131.xml.rels><?xml version="1.0" encoding="UTF-8" standalone="yes"?>
<Relationships xmlns="http://schemas.openxmlformats.org/package/2006/relationships"><Relationship Id="rId2" Type="http://schemas.openxmlformats.org/officeDocument/2006/relationships/package" Target="../embeddings/Microsoft_Excel_Worksheet120.xlsx"/><Relationship Id="rId1" Type="http://schemas.openxmlformats.org/officeDocument/2006/relationships/themeOverride" Target="../theme/themeOverride76.xml"/></Relationships>
</file>

<file path=word/charts/_rels/chart132.xml.rels><?xml version="1.0" encoding="UTF-8" standalone="yes"?>
<Relationships xmlns="http://schemas.openxmlformats.org/package/2006/relationships"><Relationship Id="rId2" Type="http://schemas.openxmlformats.org/officeDocument/2006/relationships/package" Target="../embeddings/Microsoft_Excel_Worksheet121.xlsx"/><Relationship Id="rId1" Type="http://schemas.openxmlformats.org/officeDocument/2006/relationships/themeOverride" Target="../theme/themeOverride77.xml"/></Relationships>
</file>

<file path=word/charts/_rels/chart133.xml.rels><?xml version="1.0" encoding="UTF-8" standalone="yes"?>
<Relationships xmlns="http://schemas.openxmlformats.org/package/2006/relationships"><Relationship Id="rId2" Type="http://schemas.openxmlformats.org/officeDocument/2006/relationships/package" Target="../embeddings/Microsoft_Excel_Worksheet122.xlsx"/><Relationship Id="rId1" Type="http://schemas.openxmlformats.org/officeDocument/2006/relationships/themeOverride" Target="../theme/themeOverride78.xml"/></Relationships>
</file>

<file path=word/charts/_rels/chart134.xml.rels><?xml version="1.0" encoding="UTF-8" standalone="yes"?>
<Relationships xmlns="http://schemas.openxmlformats.org/package/2006/relationships"><Relationship Id="rId2" Type="http://schemas.openxmlformats.org/officeDocument/2006/relationships/package" Target="../embeddings/Microsoft_Excel_Worksheet123.xlsx"/><Relationship Id="rId1" Type="http://schemas.openxmlformats.org/officeDocument/2006/relationships/themeOverride" Target="../theme/themeOverride79.xml"/></Relationships>
</file>

<file path=word/charts/_rels/chart135.xml.rels><?xml version="1.0" encoding="UTF-8" standalone="yes"?>
<Relationships xmlns="http://schemas.openxmlformats.org/package/2006/relationships"><Relationship Id="rId2" Type="http://schemas.openxmlformats.org/officeDocument/2006/relationships/package" Target="../embeddings/Microsoft_Excel_Worksheet124.xlsx"/><Relationship Id="rId1" Type="http://schemas.openxmlformats.org/officeDocument/2006/relationships/themeOverride" Target="../theme/themeOverride80.xml"/></Relationships>
</file>

<file path=word/charts/_rels/chart136.xml.rels><?xml version="1.0" encoding="UTF-8" standalone="yes"?>
<Relationships xmlns="http://schemas.openxmlformats.org/package/2006/relationships"><Relationship Id="rId2" Type="http://schemas.openxmlformats.org/officeDocument/2006/relationships/package" Target="../embeddings/Microsoft_Excel_Worksheet125.xlsx"/><Relationship Id="rId1" Type="http://schemas.openxmlformats.org/officeDocument/2006/relationships/themeOverride" Target="../theme/themeOverride81.xml"/></Relationships>
</file>

<file path=word/charts/_rels/chart137.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package" Target="../embeddings/Microsoft_Excel_Worksheet126.xlsx"/></Relationships>
</file>

<file path=word/charts/_rels/chart138.xml.rels><?xml version="1.0" encoding="UTF-8" standalone="yes"?>
<Relationships xmlns="http://schemas.openxmlformats.org/package/2006/relationships"><Relationship Id="rId2" Type="http://schemas.openxmlformats.org/officeDocument/2006/relationships/package" Target="../embeddings/Microsoft_Excel_Worksheet127.xlsx"/><Relationship Id="rId1" Type="http://schemas.openxmlformats.org/officeDocument/2006/relationships/themeOverride" Target="../theme/themeOverride82.xml"/></Relationships>
</file>

<file path=word/charts/_rels/chart139.xml.rels><?xml version="1.0" encoding="UTF-8" standalone="yes"?>
<Relationships xmlns="http://schemas.openxmlformats.org/package/2006/relationships"><Relationship Id="rId2" Type="http://schemas.openxmlformats.org/officeDocument/2006/relationships/package" Target="../embeddings/Microsoft_Excel_Worksheet128.xlsx"/><Relationship Id="rId1" Type="http://schemas.openxmlformats.org/officeDocument/2006/relationships/themeOverride" Target="../theme/themeOverride8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40.xml.rels><?xml version="1.0" encoding="UTF-8" standalone="yes"?>
<Relationships xmlns="http://schemas.openxmlformats.org/package/2006/relationships"><Relationship Id="rId2" Type="http://schemas.openxmlformats.org/officeDocument/2006/relationships/package" Target="../embeddings/Microsoft_Excel_Worksheet129.xlsx"/><Relationship Id="rId1" Type="http://schemas.openxmlformats.org/officeDocument/2006/relationships/themeOverride" Target="../theme/themeOverride84.xml"/></Relationships>
</file>

<file path=word/charts/_rels/chart141.xml.rels><?xml version="1.0" encoding="UTF-8" standalone="yes"?>
<Relationships xmlns="http://schemas.openxmlformats.org/package/2006/relationships"><Relationship Id="rId2" Type="http://schemas.openxmlformats.org/officeDocument/2006/relationships/package" Target="../embeddings/Microsoft_Excel_Worksheet130.xlsx"/><Relationship Id="rId1" Type="http://schemas.openxmlformats.org/officeDocument/2006/relationships/themeOverride" Target="../theme/themeOverride85.xml"/></Relationships>
</file>

<file path=word/charts/_rels/chart142.xml.rels><?xml version="1.0" encoding="UTF-8" standalone="yes"?>
<Relationships xmlns="http://schemas.openxmlformats.org/package/2006/relationships"><Relationship Id="rId2" Type="http://schemas.openxmlformats.org/officeDocument/2006/relationships/package" Target="../embeddings/Microsoft_Excel_Worksheet131.xlsx"/><Relationship Id="rId1" Type="http://schemas.openxmlformats.org/officeDocument/2006/relationships/themeOverride" Target="../theme/themeOverride86.xml"/></Relationships>
</file>

<file path=word/charts/_rels/chart143.xml.rels><?xml version="1.0" encoding="UTF-8" standalone="yes"?>
<Relationships xmlns="http://schemas.openxmlformats.org/package/2006/relationships"><Relationship Id="rId2" Type="http://schemas.openxmlformats.org/officeDocument/2006/relationships/package" Target="../embeddings/Microsoft_Excel_Worksheet132.xlsx"/><Relationship Id="rId1" Type="http://schemas.openxmlformats.org/officeDocument/2006/relationships/themeOverride" Target="../theme/themeOverride87.xml"/></Relationships>
</file>

<file path=word/charts/_rels/chart144.xml.rels><?xml version="1.0" encoding="UTF-8" standalone="yes"?>
<Relationships xmlns="http://schemas.openxmlformats.org/package/2006/relationships"><Relationship Id="rId2" Type="http://schemas.openxmlformats.org/officeDocument/2006/relationships/package" Target="../embeddings/Microsoft_Excel_Worksheet133.xlsx"/><Relationship Id="rId1" Type="http://schemas.openxmlformats.org/officeDocument/2006/relationships/themeOverride" Target="../theme/themeOverride88.xml"/></Relationships>
</file>

<file path=word/charts/_rels/chart145.xml.rels><?xml version="1.0" encoding="UTF-8" standalone="yes"?>
<Relationships xmlns="http://schemas.openxmlformats.org/package/2006/relationships"><Relationship Id="rId2" Type="http://schemas.openxmlformats.org/officeDocument/2006/relationships/package" Target="../embeddings/Microsoft_Excel_Worksheet134.xlsx"/><Relationship Id="rId1" Type="http://schemas.openxmlformats.org/officeDocument/2006/relationships/themeOverride" Target="../theme/themeOverride89.xml"/></Relationships>
</file>

<file path=word/charts/_rels/chart146.xml.rels><?xml version="1.0" encoding="UTF-8" standalone="yes"?>
<Relationships xmlns="http://schemas.openxmlformats.org/package/2006/relationships"><Relationship Id="rId2" Type="http://schemas.openxmlformats.org/officeDocument/2006/relationships/package" Target="../embeddings/Microsoft_Excel_Worksheet135.xlsx"/><Relationship Id="rId1" Type="http://schemas.openxmlformats.org/officeDocument/2006/relationships/themeOverride" Target="../theme/themeOverride90.xml"/></Relationships>
</file>

<file path=word/charts/_rels/chart147.xml.rels><?xml version="1.0" encoding="UTF-8" standalone="yes"?>
<Relationships xmlns="http://schemas.openxmlformats.org/package/2006/relationships"><Relationship Id="rId2" Type="http://schemas.openxmlformats.org/officeDocument/2006/relationships/package" Target="../embeddings/Microsoft_Excel_Worksheet136.xlsx"/><Relationship Id="rId1" Type="http://schemas.openxmlformats.org/officeDocument/2006/relationships/themeOverride" Target="../theme/themeOverride91.xml"/></Relationships>
</file>

<file path=word/charts/_rels/chart148.xml.rels><?xml version="1.0" encoding="UTF-8" standalone="yes"?>
<Relationships xmlns="http://schemas.openxmlformats.org/package/2006/relationships"><Relationship Id="rId2" Type="http://schemas.openxmlformats.org/officeDocument/2006/relationships/package" Target="../embeddings/Microsoft_Excel_Worksheet137.xlsx"/><Relationship Id="rId1" Type="http://schemas.openxmlformats.org/officeDocument/2006/relationships/themeOverride" Target="../theme/themeOverride92.xml"/></Relationships>
</file>

<file path=word/charts/_rels/chart149.xml.rels><?xml version="1.0" encoding="UTF-8" standalone="yes"?>
<Relationships xmlns="http://schemas.openxmlformats.org/package/2006/relationships"><Relationship Id="rId2" Type="http://schemas.openxmlformats.org/officeDocument/2006/relationships/package" Target="../embeddings/Microsoft_Excel_Worksheet138.xlsx"/><Relationship Id="rId1" Type="http://schemas.openxmlformats.org/officeDocument/2006/relationships/themeOverride" Target="../theme/themeOverride93.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5.xlsx"/></Relationships>
</file>

<file path=word/charts/_rels/chart150.xml.rels><?xml version="1.0" encoding="UTF-8" standalone="yes"?>
<Relationships xmlns="http://schemas.openxmlformats.org/package/2006/relationships"><Relationship Id="rId2" Type="http://schemas.openxmlformats.org/officeDocument/2006/relationships/package" Target="../embeddings/Microsoft_Excel_Worksheet139.xlsx"/><Relationship Id="rId1" Type="http://schemas.openxmlformats.org/officeDocument/2006/relationships/themeOverride" Target="../theme/themeOverride94.xml"/></Relationships>
</file>

<file path=word/charts/_rels/chart151.xml.rels><?xml version="1.0" encoding="UTF-8" standalone="yes"?>
<Relationships xmlns="http://schemas.openxmlformats.org/package/2006/relationships"><Relationship Id="rId2" Type="http://schemas.openxmlformats.org/officeDocument/2006/relationships/package" Target="../embeddings/Microsoft_Excel_Worksheet140.xlsx"/><Relationship Id="rId1" Type="http://schemas.openxmlformats.org/officeDocument/2006/relationships/themeOverride" Target="../theme/themeOverride95.xml"/></Relationships>
</file>

<file path=word/charts/_rels/chart152.xml.rels><?xml version="1.0" encoding="UTF-8" standalone="yes"?>
<Relationships xmlns="http://schemas.openxmlformats.org/package/2006/relationships"><Relationship Id="rId2" Type="http://schemas.openxmlformats.org/officeDocument/2006/relationships/package" Target="../embeddings/Microsoft_Excel_Worksheet141.xlsx"/><Relationship Id="rId1" Type="http://schemas.openxmlformats.org/officeDocument/2006/relationships/themeOverride" Target="../theme/themeOverride96.xml"/></Relationships>
</file>

<file path=word/charts/_rels/chart153.xml.rels><?xml version="1.0" encoding="UTF-8" standalone="yes"?>
<Relationships xmlns="http://schemas.openxmlformats.org/package/2006/relationships"><Relationship Id="rId2" Type="http://schemas.openxmlformats.org/officeDocument/2006/relationships/package" Target="../embeddings/Microsoft_Excel_Worksheet142.xlsx"/><Relationship Id="rId1" Type="http://schemas.openxmlformats.org/officeDocument/2006/relationships/themeOverride" Target="../theme/themeOverride97.xml"/></Relationships>
</file>

<file path=word/charts/_rels/chart154.xml.rels><?xml version="1.0" encoding="UTF-8" standalone="yes"?>
<Relationships xmlns="http://schemas.openxmlformats.org/package/2006/relationships"><Relationship Id="rId2" Type="http://schemas.openxmlformats.org/officeDocument/2006/relationships/package" Target="../embeddings/Microsoft_Excel_Worksheet143.xlsx"/><Relationship Id="rId1" Type="http://schemas.openxmlformats.org/officeDocument/2006/relationships/themeOverride" Target="../theme/themeOverride98.xml"/></Relationships>
</file>

<file path=word/charts/_rels/chart155.xml.rels><?xml version="1.0" encoding="UTF-8" standalone="yes"?>
<Relationships xmlns="http://schemas.openxmlformats.org/package/2006/relationships"><Relationship Id="rId2" Type="http://schemas.openxmlformats.org/officeDocument/2006/relationships/package" Target="../embeddings/Microsoft_Excel_Worksheet144.xlsx"/><Relationship Id="rId1" Type="http://schemas.openxmlformats.org/officeDocument/2006/relationships/themeOverride" Target="../theme/themeOverride99.xml"/></Relationships>
</file>

<file path=word/charts/_rels/chart156.xml.rels><?xml version="1.0" encoding="UTF-8" standalone="yes"?>
<Relationships xmlns="http://schemas.openxmlformats.org/package/2006/relationships"><Relationship Id="rId2" Type="http://schemas.openxmlformats.org/officeDocument/2006/relationships/package" Target="../embeddings/Microsoft_Excel_Worksheet145.xlsx"/><Relationship Id="rId1" Type="http://schemas.openxmlformats.org/officeDocument/2006/relationships/themeOverride" Target="../theme/themeOverride100.xml"/></Relationships>
</file>

<file path=word/charts/_rels/chart157.xml.rels><?xml version="1.0" encoding="UTF-8" standalone="yes"?>
<Relationships xmlns="http://schemas.openxmlformats.org/package/2006/relationships"><Relationship Id="rId2" Type="http://schemas.openxmlformats.org/officeDocument/2006/relationships/package" Target="../embeddings/Microsoft_Excel_Worksheet146.xlsx"/><Relationship Id="rId1" Type="http://schemas.openxmlformats.org/officeDocument/2006/relationships/themeOverride" Target="../theme/themeOverride101.xml"/></Relationships>
</file>

<file path=word/charts/_rels/chart158.xml.rels><?xml version="1.0" encoding="UTF-8" standalone="yes"?>
<Relationships xmlns="http://schemas.openxmlformats.org/package/2006/relationships"><Relationship Id="rId2" Type="http://schemas.openxmlformats.org/officeDocument/2006/relationships/package" Target="../embeddings/Microsoft_Excel_Worksheet147.xlsx"/><Relationship Id="rId1" Type="http://schemas.openxmlformats.org/officeDocument/2006/relationships/themeOverride" Target="../theme/themeOverride102.xml"/></Relationships>
</file>

<file path=word/charts/_rels/chart159.xml.rels><?xml version="1.0" encoding="UTF-8" standalone="yes"?>
<Relationships xmlns="http://schemas.openxmlformats.org/package/2006/relationships"><Relationship Id="rId2" Type="http://schemas.openxmlformats.org/officeDocument/2006/relationships/package" Target="../embeddings/Microsoft_Excel_Worksheet148.xlsx"/><Relationship Id="rId1" Type="http://schemas.openxmlformats.org/officeDocument/2006/relationships/themeOverride" Target="../theme/themeOverride103.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6.xlsx"/></Relationships>
</file>

<file path=word/charts/_rels/chart160.xml.rels><?xml version="1.0" encoding="UTF-8" standalone="yes"?>
<Relationships xmlns="http://schemas.openxmlformats.org/package/2006/relationships"><Relationship Id="rId2" Type="http://schemas.openxmlformats.org/officeDocument/2006/relationships/package" Target="../embeddings/Microsoft_Excel_Worksheet149.xlsx"/><Relationship Id="rId1" Type="http://schemas.openxmlformats.org/officeDocument/2006/relationships/themeOverride" Target="../theme/themeOverride104.xml"/></Relationships>
</file>

<file path=word/charts/_rels/chart161.xml.rels><?xml version="1.0" encoding="UTF-8" standalone="yes"?>
<Relationships xmlns="http://schemas.openxmlformats.org/package/2006/relationships"><Relationship Id="rId2" Type="http://schemas.openxmlformats.org/officeDocument/2006/relationships/package" Target="../embeddings/Microsoft_Excel_Worksheet150.xlsx"/><Relationship Id="rId1" Type="http://schemas.openxmlformats.org/officeDocument/2006/relationships/themeOverride" Target="../theme/themeOverride105.xml"/></Relationships>
</file>

<file path=word/charts/_rels/chart162.xml.rels><?xml version="1.0" encoding="UTF-8" standalone="yes"?>
<Relationships xmlns="http://schemas.openxmlformats.org/package/2006/relationships"><Relationship Id="rId2" Type="http://schemas.openxmlformats.org/officeDocument/2006/relationships/package" Target="../embeddings/Microsoft_Excel_Worksheet151.xlsx"/><Relationship Id="rId1" Type="http://schemas.openxmlformats.org/officeDocument/2006/relationships/themeOverride" Target="../theme/themeOverride106.xml"/></Relationships>
</file>

<file path=word/charts/_rels/chart163.xml.rels><?xml version="1.0" encoding="UTF-8" standalone="yes"?>
<Relationships xmlns="http://schemas.openxmlformats.org/package/2006/relationships"><Relationship Id="rId2" Type="http://schemas.openxmlformats.org/officeDocument/2006/relationships/package" Target="../embeddings/Microsoft_Excel_Worksheet152.xlsx"/><Relationship Id="rId1" Type="http://schemas.openxmlformats.org/officeDocument/2006/relationships/themeOverride" Target="../theme/themeOverride107.xml"/></Relationships>
</file>

<file path=word/charts/_rels/chart164.xml.rels><?xml version="1.0" encoding="UTF-8" standalone="yes"?>
<Relationships xmlns="http://schemas.openxmlformats.org/package/2006/relationships"><Relationship Id="rId2" Type="http://schemas.openxmlformats.org/officeDocument/2006/relationships/package" Target="../embeddings/Microsoft_Excel_Worksheet153.xlsx"/><Relationship Id="rId1" Type="http://schemas.openxmlformats.org/officeDocument/2006/relationships/themeOverride" Target="../theme/themeOverride108.xml"/></Relationships>
</file>

<file path=word/charts/_rels/chart165.xml.rels><?xml version="1.0" encoding="UTF-8" standalone="yes"?>
<Relationships xmlns="http://schemas.openxmlformats.org/package/2006/relationships"><Relationship Id="rId2" Type="http://schemas.openxmlformats.org/officeDocument/2006/relationships/package" Target="../embeddings/Microsoft_Excel_Worksheet154.xlsx"/><Relationship Id="rId1" Type="http://schemas.openxmlformats.org/officeDocument/2006/relationships/themeOverride" Target="../theme/themeOverride109.xml"/></Relationships>
</file>

<file path=word/charts/_rels/chart166.xml.rels><?xml version="1.0" encoding="UTF-8" standalone="yes"?>
<Relationships xmlns="http://schemas.openxmlformats.org/package/2006/relationships"><Relationship Id="rId2" Type="http://schemas.openxmlformats.org/officeDocument/2006/relationships/package" Target="../embeddings/Microsoft_Excel_Worksheet155.xlsx"/><Relationship Id="rId1" Type="http://schemas.openxmlformats.org/officeDocument/2006/relationships/themeOverride" Target="../theme/themeOverride110.xml"/></Relationships>
</file>

<file path=word/charts/_rels/chart167.xml.rels><?xml version="1.0" encoding="UTF-8" standalone="yes"?>
<Relationships xmlns="http://schemas.openxmlformats.org/package/2006/relationships"><Relationship Id="rId2" Type="http://schemas.openxmlformats.org/officeDocument/2006/relationships/package" Target="../embeddings/Microsoft_Excel_Worksheet156.xlsx"/><Relationship Id="rId1" Type="http://schemas.openxmlformats.org/officeDocument/2006/relationships/themeOverride" Target="../theme/themeOverride111.xml"/></Relationships>
</file>

<file path=word/charts/_rels/chart168.xml.rels><?xml version="1.0" encoding="UTF-8" standalone="yes"?>
<Relationships xmlns="http://schemas.openxmlformats.org/package/2006/relationships"><Relationship Id="rId2" Type="http://schemas.openxmlformats.org/officeDocument/2006/relationships/package" Target="../embeddings/Microsoft_Excel_Worksheet157.xlsx"/><Relationship Id="rId1" Type="http://schemas.openxmlformats.org/officeDocument/2006/relationships/themeOverride" Target="../theme/themeOverride112.xml"/></Relationships>
</file>

<file path=word/charts/_rels/chart169.xml.rels><?xml version="1.0" encoding="UTF-8" standalone="yes"?>
<Relationships xmlns="http://schemas.openxmlformats.org/package/2006/relationships"><Relationship Id="rId2" Type="http://schemas.openxmlformats.org/officeDocument/2006/relationships/package" Target="../embeddings/Microsoft_Excel_Worksheet158.xlsx"/><Relationship Id="rId1" Type="http://schemas.openxmlformats.org/officeDocument/2006/relationships/themeOverride" Target="../theme/themeOverride113.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7.xlsx"/></Relationships>
</file>

<file path=word/charts/_rels/chart170.xml.rels><?xml version="1.0" encoding="UTF-8" standalone="yes"?>
<Relationships xmlns="http://schemas.openxmlformats.org/package/2006/relationships"><Relationship Id="rId2" Type="http://schemas.openxmlformats.org/officeDocument/2006/relationships/package" Target="../embeddings/Microsoft_Excel_Worksheet159.xlsx"/><Relationship Id="rId1" Type="http://schemas.openxmlformats.org/officeDocument/2006/relationships/themeOverride" Target="../theme/themeOverride114.xml"/></Relationships>
</file>

<file path=word/charts/_rels/chart171.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package" Target="../embeddings/Microsoft_Excel_Worksheet160.xlsx"/></Relationships>
</file>

<file path=word/charts/_rels/chart172.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package" Target="../embeddings/Microsoft_Excel_Worksheet161.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5.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17.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9.xml"/><Relationship Id="rId1" Type="http://schemas.microsoft.com/office/2011/relationships/chartStyle" Target="style9.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2.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4.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25.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26.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27.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13.xml"/><Relationship Id="rId1" Type="http://schemas.microsoft.com/office/2011/relationships/chartStyle" Target="style13.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14.xml"/><Relationship Id="rId1" Type="http://schemas.microsoft.com/office/2011/relationships/chartStyle" Target="style14.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15.xml"/><Relationship Id="rId1" Type="http://schemas.microsoft.com/office/2011/relationships/chartStyle" Target="style15.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16.xml"/><Relationship Id="rId1" Type="http://schemas.microsoft.com/office/2011/relationships/chartStyle" Target="style16.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2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17.xml"/><Relationship Id="rId1" Type="http://schemas.microsoft.com/office/2011/relationships/chartStyle" Target="style17.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18.xml"/><Relationship Id="rId1" Type="http://schemas.microsoft.com/office/2011/relationships/chartStyle" Target="style18.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19.xml"/><Relationship Id="rId1" Type="http://schemas.microsoft.com/office/2011/relationships/chartStyle" Target="style19.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29.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20.xml"/><Relationship Id="rId1" Type="http://schemas.microsoft.com/office/2011/relationships/chartStyle" Target="style20.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45.xlsx"/><Relationship Id="rId1" Type="http://schemas.openxmlformats.org/officeDocument/2006/relationships/themeOverride" Target="../theme/themeOverride30.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linda.kurpniece\Downloads\top20_pa_OECD_grupam.xlsx" TargetMode="External"/><Relationship Id="rId2" Type="http://schemas.microsoft.com/office/2011/relationships/chartColorStyle" Target="colors22.xml"/><Relationship Id="rId1" Type="http://schemas.microsoft.com/office/2011/relationships/chartStyle" Target="style22.xml"/></Relationships>
</file>

<file path=word/charts/_rels/chart46.xml.rels><?xml version="1.0" encoding="UTF-8" standalone="yes"?>
<Relationships xmlns="http://schemas.openxmlformats.org/package/2006/relationships"><Relationship Id="rId1" Type="http://schemas.openxmlformats.org/officeDocument/2006/relationships/oleObject" Target="file:///C:\Users\linda.kurpniece\Downloads\top10_5menesi.xlsx" TargetMode="External"/></Relationships>
</file>

<file path=word/charts/_rels/chart47.xml.rels><?xml version="1.0" encoding="UTF-8" standalone="yes"?>
<Relationships xmlns="http://schemas.openxmlformats.org/package/2006/relationships"><Relationship Id="rId3" Type="http://schemas.openxmlformats.org/officeDocument/2006/relationships/oleObject" Target="file:///C:\Users\linda.kurpniece\Desktop\DTZ_2026\top20_pa_OECD_grupam.xlsx" TargetMode="External"/><Relationship Id="rId2" Type="http://schemas.microsoft.com/office/2011/relationships/chartColorStyle" Target="colors23.xml"/><Relationship Id="rId1" Type="http://schemas.microsoft.com/office/2011/relationships/chartStyle" Target="style23.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linda.kurpniece\Desktop\dinamika_visas_profesijas11.xlsx" TargetMode="External"/><Relationship Id="rId2" Type="http://schemas.microsoft.com/office/2011/relationships/chartColorStyle" Target="colors24.xml"/><Relationship Id="rId1" Type="http://schemas.microsoft.com/office/2011/relationships/chartStyle" Target="style24.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linda.kurpniece\Downloads\regionala_isco_analize.xlsx" TargetMode="External"/><Relationship Id="rId2" Type="http://schemas.microsoft.com/office/2011/relationships/chartColorStyle" Target="colors25.xml"/><Relationship Id="rId1" Type="http://schemas.microsoft.com/office/2011/relationships/chartStyle" Target="style25.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50.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26.xml"/><Relationship Id="rId1" Type="http://schemas.microsoft.com/office/2011/relationships/chartStyle" Target="style26.xml"/></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47.xlsx"/><Relationship Id="rId1" Type="http://schemas.openxmlformats.org/officeDocument/2006/relationships/themeOverride" Target="../theme/themeOverride31.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48.xlsx"/><Relationship Id="rId1" Type="http://schemas.openxmlformats.org/officeDocument/2006/relationships/themeOverride" Target="../theme/themeOverride32.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49.xlsx"/><Relationship Id="rId1" Type="http://schemas.openxmlformats.org/officeDocument/2006/relationships/themeOverride" Target="../theme/themeOverride33.xml"/></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5.xml.rels><?xml version="1.0" encoding="UTF-8" standalone="yes"?>
<Relationships xmlns="http://schemas.openxmlformats.org/package/2006/relationships"><Relationship Id="rId2" Type="http://schemas.openxmlformats.org/officeDocument/2006/relationships/package" Target="../embeddings/Microsoft_Excel_Worksheet51.xlsx"/><Relationship Id="rId1" Type="http://schemas.openxmlformats.org/officeDocument/2006/relationships/themeOverride" Target="../theme/themeOverride34.xml"/></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5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3.xml"/><Relationship Id="rId1" Type="http://schemas.microsoft.com/office/2011/relationships/chartStyle" Target="style3.xml"/></Relationships>
</file>

<file path=word/charts/_rels/chart60.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56.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59.xlsx"/></Relationships>
</file>

<file path=word/charts/_rels/chart64.xml.rels><?xml version="1.0" encoding="UTF-8" standalone="yes"?>
<Relationships xmlns="http://schemas.openxmlformats.org/package/2006/relationships"><Relationship Id="rId3" Type="http://schemas.openxmlformats.org/officeDocument/2006/relationships/package" Target="../embeddings/Microsoft_Excel_Worksheet60.xlsx"/><Relationship Id="rId2" Type="http://schemas.microsoft.com/office/2011/relationships/chartColorStyle" Target="colors28.xml"/><Relationship Id="rId1" Type="http://schemas.microsoft.com/office/2011/relationships/chartStyle" Target="style28.xml"/></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6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4.xm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62.xlsx"/></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63.xlsx"/></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64.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2.xml"/></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73.xml.rels><?xml version="1.0" encoding="UTF-8" standalone="yes"?>
<Relationships xmlns="http://schemas.openxmlformats.org/package/2006/relationships"><Relationship Id="rId3" Type="http://schemas.openxmlformats.org/officeDocument/2006/relationships/oleObject" Target="file:///C:\Users\linda.kurpniece\Desktop\Studentu%20skaita%20sadal&#299;jums%20augstskol&#257;s%20un%20koled&#382;&#257;s%20pa%20izgl&#299;t&#299;bas%20tematiskaj&#257;m%20grup&#257;m%20akad&#275;miskaj&#257;%20gad&#257;.xlsx" TargetMode="External"/><Relationship Id="rId2" Type="http://schemas.microsoft.com/office/2011/relationships/chartColorStyle" Target="colors33.xml"/><Relationship Id="rId1" Type="http://schemas.microsoft.com/office/2011/relationships/chartStyle" Target="style33.xml"/></Relationships>
</file>

<file path=word/charts/_rels/chart74.xml.rels><?xml version="1.0" encoding="UTF-8" standalone="yes"?>
<Relationships xmlns="http://schemas.openxmlformats.org/package/2006/relationships"><Relationship Id="rId3" Type="http://schemas.openxmlformats.org/officeDocument/2006/relationships/oleObject" Target="file:///C:\Users\linda.kurpniece\Desktop\iwguv&#299;pat%20pret%20studentiem.xlsx" TargetMode="External"/><Relationship Id="rId2" Type="http://schemas.microsoft.com/office/2011/relationships/chartColorStyle" Target="colors34.xml"/><Relationship Id="rId1" Type="http://schemas.microsoft.com/office/2011/relationships/chartStyle" Target="style34.xml"/></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76.xml.rels><?xml version="1.0" encoding="UTF-8" standalone="yes"?>
<Relationships xmlns="http://schemas.openxmlformats.org/package/2006/relationships"><Relationship Id="rId2" Type="http://schemas.openxmlformats.org/officeDocument/2006/relationships/package" Target="../embeddings/Microsoft_Excel_Worksheet69.xlsx"/><Relationship Id="rId1" Type="http://schemas.openxmlformats.org/officeDocument/2006/relationships/themeOverride" Target="../theme/themeOverride39.xml"/></Relationships>
</file>

<file path=word/charts/_rels/chart77.xml.rels><?xml version="1.0" encoding="UTF-8" standalone="yes"?>
<Relationships xmlns="http://schemas.openxmlformats.org/package/2006/relationships"><Relationship Id="rId2" Type="http://schemas.openxmlformats.org/officeDocument/2006/relationships/package" Target="../embeddings/Microsoft_Excel_Worksheet70.xlsx"/><Relationship Id="rId1" Type="http://schemas.openxmlformats.org/officeDocument/2006/relationships/themeOverride" Target="../theme/themeOverride40.xml"/></Relationships>
</file>

<file path=word/charts/_rels/chart78.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9.xml.rels><?xml version="1.0" encoding="UTF-8" standalone="yes"?>
<Relationships xmlns="http://schemas.openxmlformats.org/package/2006/relationships"><Relationship Id="rId1" Type="http://schemas.openxmlformats.org/officeDocument/2006/relationships/package" Target="../embeddings/Microsoft_Excel_Worksheet72.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3.xml"/></Relationships>
</file>

<file path=word/charts/_rels/chart80.xml.rels><?xml version="1.0" encoding="UTF-8" standalone="yes"?>
<Relationships xmlns="http://schemas.openxmlformats.org/package/2006/relationships"><Relationship Id="rId1" Type="http://schemas.openxmlformats.org/officeDocument/2006/relationships/package" Target="../embeddings/Microsoft_Excel_Worksheet73.xlsx"/></Relationships>
</file>

<file path=word/charts/_rels/chart81.xml.rels><?xml version="1.0" encoding="UTF-8" standalone="yes"?>
<Relationships xmlns="http://schemas.openxmlformats.org/package/2006/relationships"><Relationship Id="rId2" Type="http://schemas.openxmlformats.org/officeDocument/2006/relationships/package" Target="../embeddings/Microsoft_Excel_Worksheet74.xlsx"/><Relationship Id="rId1" Type="http://schemas.openxmlformats.org/officeDocument/2006/relationships/themeOverride" Target="../theme/themeOverride41.xml"/></Relationships>
</file>

<file path=word/charts/_rels/chart82.xml.rels><?xml version="1.0" encoding="UTF-8" standalone="yes"?>
<Relationships xmlns="http://schemas.openxmlformats.org/package/2006/relationships"><Relationship Id="rId3" Type="http://schemas.openxmlformats.org/officeDocument/2006/relationships/package" Target="../embeddings/Microsoft_Excel_Worksheet75.xlsx"/><Relationship Id="rId2" Type="http://schemas.microsoft.com/office/2011/relationships/chartColorStyle" Target="colors35.xml"/><Relationship Id="rId1" Type="http://schemas.microsoft.com/office/2011/relationships/chartStyle" Target="style35.xml"/></Relationships>
</file>

<file path=word/charts/_rels/chart83.xml.rels><?xml version="1.0" encoding="UTF-8" standalone="yes"?>
<Relationships xmlns="http://schemas.openxmlformats.org/package/2006/relationships"><Relationship Id="rId3" Type="http://schemas.openxmlformats.org/officeDocument/2006/relationships/package" Target="../embeddings/Microsoft_Excel_Worksheet76.xlsx"/><Relationship Id="rId2" Type="http://schemas.microsoft.com/office/2011/relationships/chartColorStyle" Target="colors36.xml"/><Relationship Id="rId1" Type="http://schemas.microsoft.com/office/2011/relationships/chartStyle" Target="style36.xml"/></Relationships>
</file>

<file path=word/charts/_rels/chart84.xml.rels><?xml version="1.0" encoding="UTF-8" standalone="yes"?>
<Relationships xmlns="http://schemas.openxmlformats.org/package/2006/relationships"><Relationship Id="rId3" Type="http://schemas.openxmlformats.org/officeDocument/2006/relationships/package" Target="../embeddings/Microsoft_Excel_Worksheet78.xlsx"/><Relationship Id="rId2" Type="http://schemas.microsoft.com/office/2011/relationships/chartColorStyle" Target="colors38.xml"/><Relationship Id="rId1" Type="http://schemas.microsoft.com/office/2011/relationships/chartStyle" Target="style38.xml"/></Relationships>
</file>

<file path=word/charts/_rels/chart85.xml.rels><?xml version="1.0" encoding="UTF-8" standalone="yes"?>
<Relationships xmlns="http://schemas.openxmlformats.org/package/2006/relationships"><Relationship Id="rId1" Type="http://schemas.openxmlformats.org/officeDocument/2006/relationships/package" Target="../embeddings/Microsoft_Excel_Worksheet79.xlsx"/></Relationships>
</file>

<file path=word/charts/_rels/chart86.xml.rels><?xml version="1.0" encoding="UTF-8" standalone="yes"?>
<Relationships xmlns="http://schemas.openxmlformats.org/package/2006/relationships"><Relationship Id="rId3" Type="http://schemas.openxmlformats.org/officeDocument/2006/relationships/package" Target="../embeddings/Microsoft_Excel_Worksheet80.xlsx"/><Relationship Id="rId2" Type="http://schemas.microsoft.com/office/2011/relationships/chartColorStyle" Target="colors39.xml"/><Relationship Id="rId1" Type="http://schemas.microsoft.com/office/2011/relationships/chartStyle" Target="style39.xml"/></Relationships>
</file>

<file path=word/charts/_rels/chart87.xml.rels><?xml version="1.0" encoding="UTF-8" standalone="yes"?>
<Relationships xmlns="http://schemas.openxmlformats.org/package/2006/relationships"><Relationship Id="rId3" Type="http://schemas.openxmlformats.org/officeDocument/2006/relationships/package" Target="../embeddings/Microsoft_Excel_Worksheet81.xlsx"/><Relationship Id="rId2" Type="http://schemas.microsoft.com/office/2011/relationships/chartColorStyle" Target="colors40.xml"/><Relationship Id="rId1" Type="http://schemas.microsoft.com/office/2011/relationships/chartStyle" Target="style40.xm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82.xlsx"/></Relationships>
</file>

<file path=word/charts/_rels/chart89.xml.rels><?xml version="1.0" encoding="UTF-8" standalone="yes"?>
<Relationships xmlns="http://schemas.openxmlformats.org/package/2006/relationships"><Relationship Id="rId3" Type="http://schemas.openxmlformats.org/officeDocument/2006/relationships/package" Target="../embeddings/Microsoft_Excel_Worksheet83.xlsx"/><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chartUserShapes" Target="../drawings/drawing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90.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84.xlsx"/><Relationship Id="rId1" Type="http://schemas.openxmlformats.org/officeDocument/2006/relationships/themeOverride" Target="../theme/themeOverride43.xm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85.xlsx"/></Relationships>
</file>

<file path=word/charts/_rels/chart92.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86.xlsx"/><Relationship Id="rId1" Type="http://schemas.openxmlformats.org/officeDocument/2006/relationships/themeOverride" Target="../theme/themeOverride45.xml"/></Relationships>
</file>

<file path=word/charts/_rels/chart93.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87.xlsx"/><Relationship Id="rId1" Type="http://schemas.openxmlformats.org/officeDocument/2006/relationships/themeOverride" Target="../theme/themeOverride46.xml"/></Relationships>
</file>

<file path=word/charts/_rels/chart94.xml.rels><?xml version="1.0" encoding="UTF-8" standalone="yes"?>
<Relationships xmlns="http://schemas.openxmlformats.org/package/2006/relationships"><Relationship Id="rId2" Type="http://schemas.openxmlformats.org/officeDocument/2006/relationships/package" Target="../embeddings/Microsoft_Excel_Worksheet88.xlsx"/><Relationship Id="rId1" Type="http://schemas.openxmlformats.org/officeDocument/2006/relationships/themeOverride" Target="../theme/themeOverride47.xml"/></Relationships>
</file>

<file path=word/charts/_rels/chart95.xml.rels><?xml version="1.0" encoding="UTF-8" standalone="yes"?>
<Relationships xmlns="http://schemas.openxmlformats.org/package/2006/relationships"><Relationship Id="rId2" Type="http://schemas.openxmlformats.org/officeDocument/2006/relationships/package" Target="../embeddings/Microsoft_Excel_Worksheet89.xlsx"/><Relationship Id="rId1" Type="http://schemas.openxmlformats.org/officeDocument/2006/relationships/themeOverride" Target="../theme/themeOverride48.xml"/></Relationships>
</file>

<file path=word/charts/_rels/chart96.xml.rels><?xml version="1.0" encoding="UTF-8" standalone="yes"?>
<Relationships xmlns="http://schemas.openxmlformats.org/package/2006/relationships"><Relationship Id="rId2" Type="http://schemas.openxmlformats.org/officeDocument/2006/relationships/package" Target="../embeddings/Microsoft_Excel_Worksheet90.xlsx"/><Relationship Id="rId1" Type="http://schemas.openxmlformats.org/officeDocument/2006/relationships/themeOverride" Target="../theme/themeOverride49.xml"/></Relationships>
</file>

<file path=word/charts/_rels/chart97.xml.rels><?xml version="1.0" encoding="UTF-8" standalone="yes"?>
<Relationships xmlns="http://schemas.openxmlformats.org/package/2006/relationships"><Relationship Id="rId2" Type="http://schemas.openxmlformats.org/officeDocument/2006/relationships/package" Target="../embeddings/Microsoft_Excel_Worksheet91.xlsx"/><Relationship Id="rId1" Type="http://schemas.openxmlformats.org/officeDocument/2006/relationships/themeOverride" Target="../theme/themeOverride50.xml"/></Relationships>
</file>

<file path=word/charts/_rels/chart98.xml.rels><?xml version="1.0" encoding="UTF-8" standalone="yes"?>
<Relationships xmlns="http://schemas.openxmlformats.org/package/2006/relationships"><Relationship Id="rId2" Type="http://schemas.openxmlformats.org/officeDocument/2006/relationships/package" Target="../embeddings/Microsoft_Excel_Worksheet92.xlsx"/><Relationship Id="rId1" Type="http://schemas.openxmlformats.org/officeDocument/2006/relationships/themeOverride" Target="../theme/themeOverride51.xml"/></Relationships>
</file>

<file path=word/charts/_rels/chart99.xml.rels><?xml version="1.0" encoding="UTF-8" standalone="yes"?>
<Relationships xmlns="http://schemas.openxmlformats.org/package/2006/relationships"><Relationship Id="rId3" Type="http://schemas.openxmlformats.org/officeDocument/2006/relationships/package" Target="../embeddings/Microsoft_Excel_Worksheet93.xlsx"/><Relationship Id="rId2" Type="http://schemas.microsoft.com/office/2011/relationships/chartColorStyle" Target="colors44.xml"/><Relationship Id="rId1" Type="http://schemas.microsoft.com/office/2011/relationships/chartStyle" Target="style44.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4.xlsx"/><Relationship Id="rId4" Type="http://schemas.openxmlformats.org/officeDocument/2006/relationships/themeOverride" Target="../theme/themeOverride1.xml"/></Relationships>
</file>

<file path=word/charts/_rels/chartEx2.xml.rels><?xml version="1.0" encoding="UTF-8" standalone="yes"?>
<Relationships xmlns="http://schemas.openxmlformats.org/package/2006/relationships"><Relationship Id="rId3" Type="http://schemas.microsoft.com/office/2011/relationships/chartColorStyle" Target="colors21.xml"/><Relationship Id="rId2" Type="http://schemas.microsoft.com/office/2011/relationships/chartStyle" Target="style21.xml"/><Relationship Id="rId1" Type="http://schemas.openxmlformats.org/officeDocument/2006/relationships/package" Target="../embeddings/Microsoft_Excel_Worksheet44.xlsx"/></Relationships>
</file>

<file path=word/charts/_rels/chartEx3.xml.rels><?xml version="1.0" encoding="UTF-8" standalone="yes"?>
<Relationships xmlns="http://schemas.openxmlformats.org/package/2006/relationships"><Relationship Id="rId3" Type="http://schemas.microsoft.com/office/2011/relationships/chartColorStyle" Target="colors37.xml"/><Relationship Id="rId2" Type="http://schemas.microsoft.com/office/2011/relationships/chartStyle" Target="style37.xml"/><Relationship Id="rId1" Type="http://schemas.openxmlformats.org/officeDocument/2006/relationships/package" Target="../embeddings/Microsoft_Excel_Worksheet7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2019</c:v>
                </c:pt>
              </c:strCache>
            </c:strRef>
          </c:tx>
          <c:spPr>
            <a:solidFill>
              <a:schemeClr val="accent5">
                <a:lumMod val="50000"/>
              </a:schemeClr>
            </a:solidFill>
            <a:ln>
              <a:noFill/>
            </a:ln>
          </c:spPr>
          <c:invertIfNegative val="0"/>
          <c:dPt>
            <c:idx val="5"/>
            <c:invertIfNegative val="0"/>
            <c:bubble3D val="0"/>
            <c:extLst>
              <c:ext xmlns:c16="http://schemas.microsoft.com/office/drawing/2014/chart" uri="{C3380CC4-5D6E-409C-BE32-E72D297353CC}">
                <c16:uniqueId val="{00000000-716E-49EE-B55A-FC1FCD3A7E26}"/>
              </c:ext>
            </c:extLst>
          </c:dPt>
          <c:dPt>
            <c:idx val="7"/>
            <c:invertIfNegative val="0"/>
            <c:bubble3D val="0"/>
            <c:extLst>
              <c:ext xmlns:c16="http://schemas.microsoft.com/office/drawing/2014/chart" uri="{C3380CC4-5D6E-409C-BE32-E72D297353CC}">
                <c16:uniqueId val="{00000001-716E-49EE-B55A-FC1FCD3A7E26}"/>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6E-49EE-B55A-FC1FCD3A7E26}"/>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6E-49EE-B55A-FC1FCD3A7E26}"/>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6E-49EE-B55A-FC1FCD3A7E26}"/>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6E-49EE-B55A-FC1FCD3A7E26}"/>
                </c:ext>
              </c:extLst>
            </c:dLbl>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Sheet1!$A$2:$A$8</c:f>
              <c:numCache>
                <c:formatCode>General</c:formatCode>
                <c:ptCount val="6"/>
                <c:pt idx="0">
                  <c:v>2020</c:v>
                </c:pt>
                <c:pt idx="1">
                  <c:v>2021</c:v>
                </c:pt>
                <c:pt idx="2">
                  <c:v>2022</c:v>
                </c:pt>
                <c:pt idx="3">
                  <c:v>2023</c:v>
                </c:pt>
                <c:pt idx="4">
                  <c:v>2024</c:v>
                </c:pt>
                <c:pt idx="5">
                  <c:v>2025</c:v>
                </c:pt>
              </c:numCache>
            </c:numRef>
          </c:cat>
          <c:val>
            <c:numRef>
              <c:f>Sheet1!$B$2:$B$8</c:f>
              <c:numCache>
                <c:formatCode>0.0</c:formatCode>
                <c:ptCount val="6"/>
                <c:pt idx="0">
                  <c:v>-3.4692275078055417</c:v>
                </c:pt>
                <c:pt idx="1">
                  <c:v>6.9425417306259192</c:v>
                </c:pt>
                <c:pt idx="2">
                  <c:v>1.9085341902980133</c:v>
                </c:pt>
                <c:pt idx="3">
                  <c:v>-0.9416060688236314</c:v>
                </c:pt>
                <c:pt idx="4">
                  <c:v>-3.7055664828898216E-2</c:v>
                </c:pt>
                <c:pt idx="5">
                  <c:v>2.1378685573128848</c:v>
                </c:pt>
              </c:numCache>
            </c:numRef>
          </c:val>
          <c:extLst>
            <c:ext xmlns:c16="http://schemas.microsoft.com/office/drawing/2014/chart" uri="{C3380CC4-5D6E-409C-BE32-E72D297353CC}">
              <c16:uniqueId val="{00000005-716E-49EE-B55A-FC1FCD3A7E26}"/>
            </c:ext>
          </c:extLst>
        </c:ser>
        <c:dLbls>
          <c:dLblPos val="outEnd"/>
          <c:showLegendKey val="0"/>
          <c:showVal val="1"/>
          <c:showCatName val="0"/>
          <c:showSerName val="0"/>
          <c:showPercent val="0"/>
          <c:showBubbleSize val="0"/>
        </c:dLbls>
        <c:gapWidth val="30"/>
        <c:axId val="742129488"/>
        <c:axId val="742133800"/>
      </c:barChart>
      <c:catAx>
        <c:axId val="742129488"/>
        <c:scaling>
          <c:orientation val="minMax"/>
        </c:scaling>
        <c:delete val="0"/>
        <c:axPos val="b"/>
        <c:numFmt formatCode="General" sourceLinked="1"/>
        <c:majorTickMark val="out"/>
        <c:minorTickMark val="none"/>
        <c:tickLblPos val="low"/>
        <c:spPr>
          <a:ln w="6350"/>
        </c:spPr>
        <c:txPr>
          <a:bodyPr rot="-5400000" vert="horz"/>
          <a:lstStyle/>
          <a:p>
            <a:pPr>
              <a:defRPr/>
            </a:pPr>
            <a:endParaRPr lang="en-US"/>
          </a:p>
        </c:txPr>
        <c:crossAx val="742133800"/>
        <c:crosses val="autoZero"/>
        <c:auto val="1"/>
        <c:lblAlgn val="ctr"/>
        <c:lblOffset val="0"/>
        <c:noMultiLvlLbl val="0"/>
      </c:catAx>
      <c:valAx>
        <c:axId val="742133800"/>
        <c:scaling>
          <c:orientation val="minMax"/>
          <c:min val="-6"/>
        </c:scaling>
        <c:delete val="1"/>
        <c:axPos val="l"/>
        <c:numFmt formatCode="0" sourceLinked="0"/>
        <c:majorTickMark val="out"/>
        <c:minorTickMark val="none"/>
        <c:tickLblPos val="nextTo"/>
        <c:crossAx val="742129488"/>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172624542285732E-2"/>
          <c:y val="6.63511782233802E-2"/>
          <c:w val="0.88246790332983815"/>
          <c:h val="0.80415209051529546"/>
        </c:manualLayout>
      </c:layout>
      <c:barChart>
        <c:barDir val="col"/>
        <c:grouping val="clustered"/>
        <c:varyColors val="0"/>
        <c:ser>
          <c:idx val="0"/>
          <c:order val="0"/>
          <c:tx>
            <c:strRef>
              <c:f>Sheet1!$A$3</c:f>
              <c:strCache>
                <c:ptCount val="1"/>
                <c:pt idx="0">
                  <c:v>Bezdarba līmenis</c:v>
                </c:pt>
              </c:strCache>
            </c:strRef>
          </c:tx>
          <c:spPr>
            <a:solidFill>
              <a:srgbClr val="228B9D"/>
            </a:solidFill>
          </c:spPr>
          <c:invertIfNegative val="0"/>
          <c:dPt>
            <c:idx val="7"/>
            <c:invertIfNegative val="0"/>
            <c:bubble3D val="0"/>
            <c:extLst>
              <c:ext xmlns:c16="http://schemas.microsoft.com/office/drawing/2014/chart" uri="{C3380CC4-5D6E-409C-BE32-E72D297353CC}">
                <c16:uniqueId val="{00000000-A733-4AC6-A298-0E48CE38F79A}"/>
              </c:ext>
            </c:extLst>
          </c:dPt>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Sheet1!$B$2:$Q$2</c:f>
              <c:numCache>
                <c:formatCode>0</c:formatCode>
                <c:ptCount val="11"/>
                <c:pt idx="0">
                  <c:v>2010</c:v>
                </c:pt>
                <c:pt idx="1">
                  <c:v>2012</c:v>
                </c:pt>
                <c:pt idx="2">
                  <c:v>2014</c:v>
                </c:pt>
                <c:pt idx="3">
                  <c:v>2016</c:v>
                </c:pt>
                <c:pt idx="4" formatCode="General">
                  <c:v>2019</c:v>
                </c:pt>
                <c:pt idx="5" formatCode="General">
                  <c:v>2020</c:v>
                </c:pt>
                <c:pt idx="6" formatCode="General">
                  <c:v>2021</c:v>
                </c:pt>
                <c:pt idx="7" formatCode="General">
                  <c:v>2022</c:v>
                </c:pt>
                <c:pt idx="8" formatCode="General">
                  <c:v>2023</c:v>
                </c:pt>
                <c:pt idx="9" formatCode="General">
                  <c:v>2024</c:v>
                </c:pt>
                <c:pt idx="10" formatCode="General">
                  <c:v>2025</c:v>
                </c:pt>
              </c:numCache>
            </c:numRef>
          </c:cat>
          <c:val>
            <c:numRef>
              <c:f>Sheet1!$B$3:$Q$3</c:f>
              <c:numCache>
                <c:formatCode>General</c:formatCode>
                <c:ptCount val="11"/>
                <c:pt idx="0">
                  <c:v>19.5</c:v>
                </c:pt>
                <c:pt idx="1">
                  <c:v>15</c:v>
                </c:pt>
                <c:pt idx="2" formatCode="0.0">
                  <c:v>10.8</c:v>
                </c:pt>
                <c:pt idx="3">
                  <c:v>9.6</c:v>
                </c:pt>
                <c:pt idx="4" formatCode="0.0">
                  <c:v>6.3</c:v>
                </c:pt>
                <c:pt idx="5" formatCode="0.0">
                  <c:v>8.1</c:v>
                </c:pt>
                <c:pt idx="6" formatCode="0.0">
                  <c:v>7.6</c:v>
                </c:pt>
                <c:pt idx="7" formatCode="0.0">
                  <c:v>6.9</c:v>
                </c:pt>
                <c:pt idx="8" formatCode="0.0">
                  <c:v>6.5</c:v>
                </c:pt>
                <c:pt idx="9" formatCode="0.0">
                  <c:v>6.9</c:v>
                </c:pt>
                <c:pt idx="10" formatCode="0.0">
                  <c:v>6.9</c:v>
                </c:pt>
              </c:numCache>
            </c:numRef>
          </c:val>
          <c:extLst>
            <c:ext xmlns:c16="http://schemas.microsoft.com/office/drawing/2014/chart" uri="{C3380CC4-5D6E-409C-BE32-E72D297353CC}">
              <c16:uniqueId val="{00000001-A733-4AC6-A298-0E48CE38F79A}"/>
            </c:ext>
          </c:extLst>
        </c:ser>
        <c:dLbls>
          <c:dLblPos val="outEnd"/>
          <c:showLegendKey val="0"/>
          <c:showVal val="1"/>
          <c:showCatName val="0"/>
          <c:showSerName val="0"/>
          <c:showPercent val="0"/>
          <c:showBubbleSize val="0"/>
        </c:dLbls>
        <c:gapWidth val="40"/>
        <c:axId val="742144384"/>
        <c:axId val="742151440"/>
      </c:barChart>
      <c:catAx>
        <c:axId val="742144384"/>
        <c:scaling>
          <c:orientation val="minMax"/>
        </c:scaling>
        <c:delete val="0"/>
        <c:axPos val="b"/>
        <c:numFmt formatCode="0" sourceLinked="0"/>
        <c:majorTickMark val="out"/>
        <c:minorTickMark val="none"/>
        <c:tickLblPos val="low"/>
        <c:txPr>
          <a:bodyPr rot="0" vert="horz"/>
          <a:lstStyle/>
          <a:p>
            <a:pPr>
              <a:defRPr/>
            </a:pPr>
            <a:endParaRPr lang="en-US"/>
          </a:p>
        </c:txPr>
        <c:crossAx val="742151440"/>
        <c:crosses val="autoZero"/>
        <c:auto val="1"/>
        <c:lblAlgn val="ctr"/>
        <c:lblOffset val="100"/>
        <c:noMultiLvlLbl val="0"/>
      </c:catAx>
      <c:valAx>
        <c:axId val="742151440"/>
        <c:scaling>
          <c:orientation val="minMax"/>
          <c:max val="20"/>
        </c:scaling>
        <c:delete val="0"/>
        <c:axPos val="l"/>
        <c:numFmt formatCode="0" sourceLinked="0"/>
        <c:majorTickMark val="out"/>
        <c:minorTickMark val="none"/>
        <c:tickLblPos val="nextTo"/>
        <c:spPr>
          <a:ln>
            <a:noFill/>
          </a:ln>
        </c:spPr>
        <c:crossAx val="742144384"/>
        <c:crosses val="autoZero"/>
        <c:crossBetween val="between"/>
        <c:majorUnit val="5"/>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externalData r:id="rId2">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847831238601511E-2"/>
          <c:y val="8.2028337061894108E-2"/>
          <c:w val="0.92289905444103693"/>
          <c:h val="0.42271897220901078"/>
        </c:manualLayout>
      </c:layout>
      <c:barChart>
        <c:barDir val="col"/>
        <c:grouping val="stacked"/>
        <c:varyColors val="0"/>
        <c:ser>
          <c:idx val="0"/>
          <c:order val="0"/>
          <c:tx>
            <c:strRef>
              <c:f>'Sheet 1'!$F$2</c:f>
              <c:strCache>
                <c:ptCount val="1"/>
                <c:pt idx="0">
                  <c:v>Augsta kvalifikācija</c:v>
                </c:pt>
              </c:strCache>
            </c:strRef>
          </c:tx>
          <c:spPr>
            <a:solidFill>
              <a:schemeClr val="accent1"/>
            </a:solidFill>
            <a:ln>
              <a:noFill/>
            </a:ln>
            <a:effectLst/>
          </c:spPr>
          <c:invertIfNegative val="0"/>
          <c:cat>
            <c:strRef>
              <c:f>'Sheet 1'!$E$3:$E$11</c:f>
              <c:strCache>
                <c:ptCount val="9"/>
                <c:pt idx="0">
                  <c:v>Vecākie speciālisti</c:v>
                </c:pt>
                <c:pt idx="1">
                  <c:v>Pakalpojumu un tirdzniecības darbinieki</c:v>
                </c:pt>
                <c:pt idx="2">
                  <c:v>Speciālisti</c:v>
                </c:pt>
                <c:pt idx="3">
                  <c:v>Kalpotāji</c:v>
                </c:pt>
                <c:pt idx="4">
                  <c:v>Kvalificēti strādnieki un amatnieki</c:v>
                </c:pt>
                <c:pt idx="5">
                  <c:v>Vienkāršas profesijas</c:v>
                </c:pt>
                <c:pt idx="6">
                  <c:v>Vadītāji</c:v>
                </c:pt>
                <c:pt idx="7">
                  <c:v>Operatori un montieri</c:v>
                </c:pt>
                <c:pt idx="8">
                  <c:v>Lauksaimniecības un saistīti darbinieki</c:v>
                </c:pt>
              </c:strCache>
            </c:strRef>
          </c:cat>
          <c:val>
            <c:numRef>
              <c:f>'Sheet 1'!$F$3:$F$11</c:f>
              <c:numCache>
                <c:formatCode>General</c:formatCode>
                <c:ptCount val="9"/>
                <c:pt idx="0">
                  <c:v>42.9</c:v>
                </c:pt>
                <c:pt idx="2">
                  <c:v>21.9</c:v>
                </c:pt>
                <c:pt idx="6">
                  <c:v>7.6</c:v>
                </c:pt>
              </c:numCache>
            </c:numRef>
          </c:val>
          <c:extLst>
            <c:ext xmlns:c16="http://schemas.microsoft.com/office/drawing/2014/chart" uri="{C3380CC4-5D6E-409C-BE32-E72D297353CC}">
              <c16:uniqueId val="{00000000-8517-4DDB-A3C3-DA6BE95959E8}"/>
            </c:ext>
          </c:extLst>
        </c:ser>
        <c:ser>
          <c:idx val="1"/>
          <c:order val="1"/>
          <c:tx>
            <c:strRef>
              <c:f>'Sheet 1'!$G$2</c:f>
              <c:strCache>
                <c:ptCount val="1"/>
                <c:pt idx="0">
                  <c:v>Vidēja kvalifikācija</c:v>
                </c:pt>
              </c:strCache>
            </c:strRef>
          </c:tx>
          <c:spPr>
            <a:solidFill>
              <a:schemeClr val="accent2"/>
            </a:solidFill>
            <a:ln>
              <a:noFill/>
            </a:ln>
            <a:effectLst/>
          </c:spPr>
          <c:invertIfNegative val="0"/>
          <c:cat>
            <c:strRef>
              <c:f>'Sheet 1'!$E$3:$E$11</c:f>
              <c:strCache>
                <c:ptCount val="9"/>
                <c:pt idx="0">
                  <c:v>Vecākie speciālisti</c:v>
                </c:pt>
                <c:pt idx="1">
                  <c:v>Pakalpojumu un tirdzniecības darbinieki</c:v>
                </c:pt>
                <c:pt idx="2">
                  <c:v>Speciālisti</c:v>
                </c:pt>
                <c:pt idx="3">
                  <c:v>Kalpotāji</c:v>
                </c:pt>
                <c:pt idx="4">
                  <c:v>Kvalificēti strādnieki un amatnieki</c:v>
                </c:pt>
                <c:pt idx="5">
                  <c:v>Vienkāršas profesijas</c:v>
                </c:pt>
                <c:pt idx="6">
                  <c:v>Vadītāji</c:v>
                </c:pt>
                <c:pt idx="7">
                  <c:v>Operatori un montieri</c:v>
                </c:pt>
                <c:pt idx="8">
                  <c:v>Lauksaimniecības un saistīti darbinieki</c:v>
                </c:pt>
              </c:strCache>
            </c:strRef>
          </c:cat>
          <c:val>
            <c:numRef>
              <c:f>'Sheet 1'!$G$3:$G$11</c:f>
              <c:numCache>
                <c:formatCode>General</c:formatCode>
                <c:ptCount val="9"/>
                <c:pt idx="1">
                  <c:v>22.7</c:v>
                </c:pt>
                <c:pt idx="3">
                  <c:v>12.7</c:v>
                </c:pt>
                <c:pt idx="4">
                  <c:v>11</c:v>
                </c:pt>
                <c:pt idx="7">
                  <c:v>7.6</c:v>
                </c:pt>
              </c:numCache>
            </c:numRef>
          </c:val>
          <c:extLst>
            <c:ext xmlns:c16="http://schemas.microsoft.com/office/drawing/2014/chart" uri="{C3380CC4-5D6E-409C-BE32-E72D297353CC}">
              <c16:uniqueId val="{00000001-8517-4DDB-A3C3-DA6BE95959E8}"/>
            </c:ext>
          </c:extLst>
        </c:ser>
        <c:ser>
          <c:idx val="2"/>
          <c:order val="2"/>
          <c:tx>
            <c:strRef>
              <c:f>'Sheet 1'!$H$2</c:f>
              <c:strCache>
                <c:ptCount val="1"/>
                <c:pt idx="0">
                  <c:v>Zema kvalifikācija</c:v>
                </c:pt>
              </c:strCache>
            </c:strRef>
          </c:tx>
          <c:spPr>
            <a:solidFill>
              <a:schemeClr val="accent3"/>
            </a:solidFill>
            <a:ln>
              <a:noFill/>
            </a:ln>
            <a:effectLst/>
          </c:spPr>
          <c:invertIfNegative val="0"/>
          <c:cat>
            <c:strRef>
              <c:f>'Sheet 1'!$E$3:$E$11</c:f>
              <c:strCache>
                <c:ptCount val="9"/>
                <c:pt idx="0">
                  <c:v>Vecākie speciālisti</c:v>
                </c:pt>
                <c:pt idx="1">
                  <c:v>Pakalpojumu un tirdzniecības darbinieki</c:v>
                </c:pt>
                <c:pt idx="2">
                  <c:v>Speciālisti</c:v>
                </c:pt>
                <c:pt idx="3">
                  <c:v>Kalpotāji</c:v>
                </c:pt>
                <c:pt idx="4">
                  <c:v>Kvalificēti strādnieki un amatnieki</c:v>
                </c:pt>
                <c:pt idx="5">
                  <c:v>Vienkāršas profesijas</c:v>
                </c:pt>
                <c:pt idx="6">
                  <c:v>Vadītāji</c:v>
                </c:pt>
                <c:pt idx="7">
                  <c:v>Operatori un montieri</c:v>
                </c:pt>
                <c:pt idx="8">
                  <c:v>Lauksaimniecības un saistīti darbinieki</c:v>
                </c:pt>
              </c:strCache>
            </c:strRef>
          </c:cat>
          <c:val>
            <c:numRef>
              <c:f>'Sheet 1'!$H$3:$H$11</c:f>
              <c:numCache>
                <c:formatCode>General</c:formatCode>
                <c:ptCount val="9"/>
                <c:pt idx="5">
                  <c:v>10.3</c:v>
                </c:pt>
                <c:pt idx="8">
                  <c:v>0.6</c:v>
                </c:pt>
              </c:numCache>
            </c:numRef>
          </c:val>
          <c:extLst>
            <c:ext xmlns:c16="http://schemas.microsoft.com/office/drawing/2014/chart" uri="{C3380CC4-5D6E-409C-BE32-E72D297353CC}">
              <c16:uniqueId val="{00000002-8517-4DDB-A3C3-DA6BE95959E8}"/>
            </c:ext>
          </c:extLst>
        </c:ser>
        <c:dLbls>
          <c:showLegendKey val="0"/>
          <c:showVal val="0"/>
          <c:showCatName val="0"/>
          <c:showSerName val="0"/>
          <c:showPercent val="0"/>
          <c:showBubbleSize val="0"/>
        </c:dLbls>
        <c:gapWidth val="150"/>
        <c:overlap val="100"/>
        <c:axId val="579917168"/>
        <c:axId val="579913328"/>
      </c:barChart>
      <c:catAx>
        <c:axId val="5799171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579913328"/>
        <c:crosses val="autoZero"/>
        <c:auto val="1"/>
        <c:lblAlgn val="ctr"/>
        <c:lblOffset val="100"/>
        <c:noMultiLvlLbl val="0"/>
      </c:catAx>
      <c:valAx>
        <c:axId val="579913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579917168"/>
        <c:crosses val="autoZero"/>
        <c:crossBetween val="between"/>
      </c:valAx>
      <c:spPr>
        <a:noFill/>
        <a:ln>
          <a:noFill/>
        </a:ln>
        <a:effectLst/>
      </c:spPr>
    </c:plotArea>
    <c:legend>
      <c:legendPos val="b"/>
      <c:layout>
        <c:manualLayout>
          <c:xMode val="edge"/>
          <c:yMode val="edge"/>
          <c:x val="0.42991448910910168"/>
          <c:y val="5.1504073605030488E-2"/>
          <c:w val="0.53649522207782274"/>
          <c:h val="7.812554680664918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148968287794367E-2"/>
          <c:y val="5.9613013054067493E-2"/>
          <c:w val="0.91759791739184404"/>
          <c:h val="0.45585916102263885"/>
        </c:manualLayout>
      </c:layout>
      <c:barChart>
        <c:barDir val="col"/>
        <c:grouping val="clustered"/>
        <c:varyColors val="0"/>
        <c:ser>
          <c:idx val="0"/>
          <c:order val="0"/>
          <c:tx>
            <c:strRef>
              <c:f>'Sheet 1'!$H$1:$H$2</c:f>
              <c:strCache>
                <c:ptCount val="2"/>
                <c:pt idx="0">
                  <c:v>Atbilstošais profesijas nosaukums L kolonnā</c:v>
                </c:pt>
              </c:strCache>
            </c:strRef>
          </c:tx>
          <c:spPr>
            <a:solidFill>
              <a:schemeClr val="accent1"/>
            </a:solidFill>
            <a:ln>
              <a:noFill/>
            </a:ln>
            <a:effectLst/>
          </c:spPr>
          <c:invertIfNegative val="0"/>
          <c:dPt>
            <c:idx val="0"/>
            <c:invertIfNegative val="0"/>
            <c:bubble3D val="0"/>
            <c:spPr>
              <a:solidFill>
                <a:schemeClr val="accent5">
                  <a:lumMod val="50000"/>
                </a:schemeClr>
              </a:solidFill>
              <a:ln>
                <a:noFill/>
              </a:ln>
              <a:effectLst/>
            </c:spPr>
            <c:extLst>
              <c:ext xmlns:c16="http://schemas.microsoft.com/office/drawing/2014/chart" uri="{C3380CC4-5D6E-409C-BE32-E72D297353CC}">
                <c16:uniqueId val="{00000001-892F-4CA4-9FFF-E05DCA159D9C}"/>
              </c:ext>
            </c:extLst>
          </c:dPt>
          <c:dPt>
            <c:idx val="1"/>
            <c:invertIfNegative val="0"/>
            <c:bubble3D val="0"/>
            <c:spPr>
              <a:solidFill>
                <a:schemeClr val="accent5">
                  <a:lumMod val="50000"/>
                </a:schemeClr>
              </a:solidFill>
              <a:ln>
                <a:noFill/>
              </a:ln>
              <a:effectLst/>
            </c:spPr>
            <c:extLst>
              <c:ext xmlns:c16="http://schemas.microsoft.com/office/drawing/2014/chart" uri="{C3380CC4-5D6E-409C-BE32-E72D297353CC}">
                <c16:uniqueId val="{00000002-892F-4CA4-9FFF-E05DCA159D9C}"/>
              </c:ext>
            </c:extLst>
          </c:dPt>
          <c:dPt>
            <c:idx val="2"/>
            <c:invertIfNegative val="0"/>
            <c:bubble3D val="0"/>
            <c:spPr>
              <a:solidFill>
                <a:schemeClr val="accent5">
                  <a:lumMod val="50000"/>
                </a:schemeClr>
              </a:solidFill>
              <a:ln>
                <a:noFill/>
              </a:ln>
              <a:effectLst/>
            </c:spPr>
            <c:extLst>
              <c:ext xmlns:c16="http://schemas.microsoft.com/office/drawing/2014/chart" uri="{C3380CC4-5D6E-409C-BE32-E72D297353CC}">
                <c16:uniqueId val="{00000003-892F-4CA4-9FFF-E05DCA159D9C}"/>
              </c:ext>
            </c:extLst>
          </c:dPt>
          <c:dPt>
            <c:idx val="3"/>
            <c:invertIfNegative val="0"/>
            <c:bubble3D val="0"/>
            <c:spPr>
              <a:solidFill>
                <a:schemeClr val="accent5">
                  <a:lumMod val="50000"/>
                </a:schemeClr>
              </a:solidFill>
              <a:ln>
                <a:noFill/>
              </a:ln>
              <a:effectLst/>
            </c:spPr>
            <c:extLst>
              <c:ext xmlns:c16="http://schemas.microsoft.com/office/drawing/2014/chart" uri="{C3380CC4-5D6E-409C-BE32-E72D297353CC}">
                <c16:uniqueId val="{00000004-892F-4CA4-9FFF-E05DCA159D9C}"/>
              </c:ext>
            </c:extLst>
          </c:dPt>
          <c:dPt>
            <c:idx val="4"/>
            <c:invertIfNegative val="0"/>
            <c:bubble3D val="0"/>
            <c:spPr>
              <a:solidFill>
                <a:schemeClr val="accent5">
                  <a:lumMod val="50000"/>
                </a:schemeClr>
              </a:solidFill>
              <a:ln>
                <a:noFill/>
              </a:ln>
              <a:effectLst/>
            </c:spPr>
            <c:extLst>
              <c:ext xmlns:c16="http://schemas.microsoft.com/office/drawing/2014/chart" uri="{C3380CC4-5D6E-409C-BE32-E72D297353CC}">
                <c16:uniqueId val="{00000005-892F-4CA4-9FFF-E05DCA159D9C}"/>
              </c:ext>
            </c:extLst>
          </c:dPt>
          <c:dPt>
            <c:idx val="7"/>
            <c:invertIfNegative val="0"/>
            <c:bubble3D val="0"/>
            <c:spPr>
              <a:solidFill>
                <a:schemeClr val="accent6">
                  <a:lumMod val="50000"/>
                </a:schemeClr>
              </a:solidFill>
              <a:ln>
                <a:noFill/>
              </a:ln>
              <a:effectLst/>
            </c:spPr>
            <c:extLst>
              <c:ext xmlns:c16="http://schemas.microsoft.com/office/drawing/2014/chart" uri="{C3380CC4-5D6E-409C-BE32-E72D297353CC}">
                <c16:uniqueId val="{00000006-892F-4CA4-9FFF-E05DCA159D9C}"/>
              </c:ext>
            </c:extLst>
          </c:dPt>
          <c:dPt>
            <c:idx val="8"/>
            <c:invertIfNegative val="0"/>
            <c:bubble3D val="0"/>
            <c:spPr>
              <a:solidFill>
                <a:schemeClr val="accent6">
                  <a:lumMod val="50000"/>
                </a:schemeClr>
              </a:solidFill>
              <a:ln>
                <a:noFill/>
              </a:ln>
              <a:effectLst/>
            </c:spPr>
            <c:extLst>
              <c:ext xmlns:c16="http://schemas.microsoft.com/office/drawing/2014/chart" uri="{C3380CC4-5D6E-409C-BE32-E72D297353CC}">
                <c16:uniqueId val="{00000007-892F-4CA4-9FFF-E05DCA159D9C}"/>
              </c:ext>
            </c:extLst>
          </c:dPt>
          <c:dPt>
            <c:idx val="9"/>
            <c:invertIfNegative val="0"/>
            <c:bubble3D val="0"/>
            <c:spPr>
              <a:solidFill>
                <a:schemeClr val="accent6">
                  <a:lumMod val="50000"/>
                </a:schemeClr>
              </a:solidFill>
              <a:ln>
                <a:noFill/>
              </a:ln>
              <a:effectLst/>
            </c:spPr>
            <c:extLst>
              <c:ext xmlns:c16="http://schemas.microsoft.com/office/drawing/2014/chart" uri="{C3380CC4-5D6E-409C-BE32-E72D297353CC}">
                <c16:uniqueId val="{00000008-892F-4CA4-9FFF-E05DCA159D9C}"/>
              </c:ext>
            </c:extLst>
          </c:dPt>
          <c:dPt>
            <c:idx val="10"/>
            <c:invertIfNegative val="0"/>
            <c:bubble3D val="0"/>
            <c:spPr>
              <a:solidFill>
                <a:schemeClr val="accent6">
                  <a:lumMod val="50000"/>
                </a:schemeClr>
              </a:solidFill>
              <a:ln>
                <a:noFill/>
              </a:ln>
              <a:effectLst/>
            </c:spPr>
            <c:extLst>
              <c:ext xmlns:c16="http://schemas.microsoft.com/office/drawing/2014/chart" uri="{C3380CC4-5D6E-409C-BE32-E72D297353CC}">
                <c16:uniqueId val="{00000009-892F-4CA4-9FFF-E05DCA159D9C}"/>
              </c:ext>
            </c:extLst>
          </c:dPt>
          <c:dPt>
            <c:idx val="20"/>
            <c:invertIfNegative val="0"/>
            <c:bubble3D val="0"/>
            <c:spPr>
              <a:solidFill>
                <a:schemeClr val="accent4">
                  <a:lumMod val="50000"/>
                </a:schemeClr>
              </a:solidFill>
              <a:ln>
                <a:noFill/>
              </a:ln>
              <a:effectLst/>
            </c:spPr>
            <c:extLst>
              <c:ext xmlns:c16="http://schemas.microsoft.com/office/drawing/2014/chart" uri="{C3380CC4-5D6E-409C-BE32-E72D297353CC}">
                <c16:uniqueId val="{0000000A-892F-4CA4-9FFF-E05DCA159D9C}"/>
              </c:ext>
            </c:extLst>
          </c:dPt>
          <c:dPt>
            <c:idx val="21"/>
            <c:invertIfNegative val="0"/>
            <c:bubble3D val="0"/>
            <c:spPr>
              <a:solidFill>
                <a:schemeClr val="accent4">
                  <a:lumMod val="50000"/>
                </a:schemeClr>
              </a:solidFill>
              <a:ln>
                <a:noFill/>
              </a:ln>
              <a:effectLst/>
            </c:spPr>
            <c:extLst>
              <c:ext xmlns:c16="http://schemas.microsoft.com/office/drawing/2014/chart" uri="{C3380CC4-5D6E-409C-BE32-E72D297353CC}">
                <c16:uniqueId val="{0000000B-892F-4CA4-9FFF-E05DCA159D9C}"/>
              </c:ext>
            </c:extLst>
          </c:dPt>
          <c:dPt>
            <c:idx val="24"/>
            <c:invertIfNegative val="0"/>
            <c:bubble3D val="0"/>
            <c:spPr>
              <a:solidFill>
                <a:schemeClr val="bg2">
                  <a:lumMod val="50000"/>
                </a:schemeClr>
              </a:solidFill>
              <a:ln>
                <a:noFill/>
              </a:ln>
              <a:effectLst/>
            </c:spPr>
            <c:extLst>
              <c:ext xmlns:c16="http://schemas.microsoft.com/office/drawing/2014/chart" uri="{C3380CC4-5D6E-409C-BE32-E72D297353CC}">
                <c16:uniqueId val="{0000000C-892F-4CA4-9FFF-E05DCA159D9C}"/>
              </c:ext>
            </c:extLst>
          </c:dPt>
          <c:dPt>
            <c:idx val="25"/>
            <c:invertIfNegative val="0"/>
            <c:bubble3D val="0"/>
            <c:spPr>
              <a:solidFill>
                <a:schemeClr val="bg2">
                  <a:lumMod val="50000"/>
                </a:schemeClr>
              </a:solidFill>
              <a:ln>
                <a:noFill/>
              </a:ln>
              <a:effectLst/>
            </c:spPr>
            <c:extLst>
              <c:ext xmlns:c16="http://schemas.microsoft.com/office/drawing/2014/chart" uri="{C3380CC4-5D6E-409C-BE32-E72D297353CC}">
                <c16:uniqueId val="{0000000D-892F-4CA4-9FFF-E05DCA159D9C}"/>
              </c:ext>
            </c:extLst>
          </c:dPt>
          <c:dPt>
            <c:idx val="26"/>
            <c:invertIfNegative val="0"/>
            <c:bubble3D val="0"/>
            <c:spPr>
              <a:solidFill>
                <a:schemeClr val="bg2">
                  <a:lumMod val="50000"/>
                </a:schemeClr>
              </a:solidFill>
              <a:ln>
                <a:noFill/>
              </a:ln>
              <a:effectLst/>
            </c:spPr>
            <c:extLst>
              <c:ext xmlns:c16="http://schemas.microsoft.com/office/drawing/2014/chart" uri="{C3380CC4-5D6E-409C-BE32-E72D297353CC}">
                <c16:uniqueId val="{0000000E-892F-4CA4-9FFF-E05DCA159D9C}"/>
              </c:ext>
            </c:extLst>
          </c:dPt>
          <c:dPt>
            <c:idx val="27"/>
            <c:invertIfNegative val="0"/>
            <c:bubble3D val="0"/>
            <c:spPr>
              <a:solidFill>
                <a:schemeClr val="bg2">
                  <a:lumMod val="50000"/>
                </a:schemeClr>
              </a:solidFill>
              <a:ln>
                <a:noFill/>
              </a:ln>
              <a:effectLst/>
            </c:spPr>
            <c:extLst>
              <c:ext xmlns:c16="http://schemas.microsoft.com/office/drawing/2014/chart" uri="{C3380CC4-5D6E-409C-BE32-E72D297353CC}">
                <c16:uniqueId val="{0000000F-892F-4CA4-9FFF-E05DCA159D9C}"/>
              </c:ext>
            </c:extLst>
          </c:dPt>
          <c:dPt>
            <c:idx val="30"/>
            <c:invertIfNegative val="0"/>
            <c:bubble3D val="0"/>
            <c:spPr>
              <a:solidFill>
                <a:schemeClr val="accent2">
                  <a:lumMod val="50000"/>
                </a:schemeClr>
              </a:solidFill>
              <a:ln>
                <a:noFill/>
              </a:ln>
              <a:effectLst/>
            </c:spPr>
            <c:extLst>
              <c:ext xmlns:c16="http://schemas.microsoft.com/office/drawing/2014/chart" uri="{C3380CC4-5D6E-409C-BE32-E72D297353CC}">
                <c16:uniqueId val="{00000010-892F-4CA4-9FFF-E05DCA159D9C}"/>
              </c:ext>
            </c:extLst>
          </c:dPt>
          <c:dPt>
            <c:idx val="31"/>
            <c:invertIfNegative val="0"/>
            <c:bubble3D val="0"/>
            <c:spPr>
              <a:solidFill>
                <a:schemeClr val="accent2">
                  <a:lumMod val="50000"/>
                </a:schemeClr>
              </a:solidFill>
              <a:ln>
                <a:noFill/>
              </a:ln>
              <a:effectLst/>
            </c:spPr>
            <c:extLst>
              <c:ext xmlns:c16="http://schemas.microsoft.com/office/drawing/2014/chart" uri="{C3380CC4-5D6E-409C-BE32-E72D297353CC}">
                <c16:uniqueId val="{00000011-892F-4CA4-9FFF-E05DCA159D9C}"/>
              </c:ext>
            </c:extLst>
          </c:dPt>
          <c:dPt>
            <c:idx val="32"/>
            <c:invertIfNegative val="0"/>
            <c:bubble3D val="0"/>
            <c:spPr>
              <a:solidFill>
                <a:schemeClr val="accent2">
                  <a:lumMod val="50000"/>
                </a:schemeClr>
              </a:solidFill>
              <a:ln>
                <a:noFill/>
              </a:ln>
              <a:effectLst/>
            </c:spPr>
            <c:extLst>
              <c:ext xmlns:c16="http://schemas.microsoft.com/office/drawing/2014/chart" uri="{C3380CC4-5D6E-409C-BE32-E72D297353CC}">
                <c16:uniqueId val="{00000012-892F-4CA4-9FFF-E05DCA159D9C}"/>
              </c:ext>
            </c:extLst>
          </c:dPt>
          <c:dPt>
            <c:idx val="35"/>
            <c:invertIfNegative val="0"/>
            <c:bubble3D val="0"/>
            <c:spPr>
              <a:solidFill>
                <a:srgbClr val="DCB034"/>
              </a:solidFill>
              <a:ln>
                <a:noFill/>
              </a:ln>
              <a:effectLst/>
            </c:spPr>
            <c:extLst>
              <c:ext xmlns:c16="http://schemas.microsoft.com/office/drawing/2014/chart" uri="{C3380CC4-5D6E-409C-BE32-E72D297353CC}">
                <c16:uniqueId val="{00000013-892F-4CA4-9FFF-E05DCA159D9C}"/>
              </c:ext>
            </c:extLst>
          </c:dPt>
          <c:dPt>
            <c:idx val="36"/>
            <c:invertIfNegative val="0"/>
            <c:bubble3D val="0"/>
            <c:spPr>
              <a:solidFill>
                <a:srgbClr val="DCB034"/>
              </a:solidFill>
              <a:ln>
                <a:noFill/>
              </a:ln>
              <a:effectLst/>
            </c:spPr>
            <c:extLst>
              <c:ext xmlns:c16="http://schemas.microsoft.com/office/drawing/2014/chart" uri="{C3380CC4-5D6E-409C-BE32-E72D297353CC}">
                <c16:uniqueId val="{00000014-892F-4CA4-9FFF-E05DCA159D9C}"/>
              </c:ext>
            </c:extLst>
          </c:dPt>
          <c:dPt>
            <c:idx val="37"/>
            <c:invertIfNegative val="0"/>
            <c:bubble3D val="0"/>
            <c:spPr>
              <a:solidFill>
                <a:srgbClr val="DCB034"/>
              </a:solidFill>
              <a:ln>
                <a:noFill/>
              </a:ln>
              <a:effectLst/>
            </c:spPr>
            <c:extLst>
              <c:ext xmlns:c16="http://schemas.microsoft.com/office/drawing/2014/chart" uri="{C3380CC4-5D6E-409C-BE32-E72D297353CC}">
                <c16:uniqueId val="{00000015-892F-4CA4-9FFF-E05DCA159D9C}"/>
              </c:ext>
            </c:extLst>
          </c:dPt>
          <c:dPt>
            <c:idx val="38"/>
            <c:invertIfNegative val="0"/>
            <c:bubble3D val="0"/>
            <c:spPr>
              <a:solidFill>
                <a:srgbClr val="DCB034"/>
              </a:solidFill>
              <a:ln>
                <a:noFill/>
              </a:ln>
              <a:effectLst/>
            </c:spPr>
            <c:extLst>
              <c:ext xmlns:c16="http://schemas.microsoft.com/office/drawing/2014/chart" uri="{C3380CC4-5D6E-409C-BE32-E72D297353CC}">
                <c16:uniqueId val="{00000016-892F-4CA4-9FFF-E05DCA159D9C}"/>
              </c:ext>
            </c:extLst>
          </c:dPt>
          <c:dPt>
            <c:idx val="39"/>
            <c:invertIfNegative val="0"/>
            <c:bubble3D val="0"/>
            <c:spPr>
              <a:solidFill>
                <a:srgbClr val="DCB034"/>
              </a:solidFill>
              <a:ln>
                <a:noFill/>
              </a:ln>
              <a:effectLst/>
            </c:spPr>
            <c:extLst>
              <c:ext xmlns:c16="http://schemas.microsoft.com/office/drawing/2014/chart" uri="{C3380CC4-5D6E-409C-BE32-E72D297353CC}">
                <c16:uniqueId val="{00000017-892F-4CA4-9FFF-E05DCA159D9C}"/>
              </c:ext>
            </c:extLst>
          </c:dPt>
          <c:dPt>
            <c:idx val="40"/>
            <c:invertIfNegative val="0"/>
            <c:bubble3D val="0"/>
            <c:spPr>
              <a:solidFill>
                <a:srgbClr val="DCB034"/>
              </a:solidFill>
              <a:ln>
                <a:noFill/>
              </a:ln>
              <a:effectLst/>
            </c:spPr>
            <c:extLst>
              <c:ext xmlns:c16="http://schemas.microsoft.com/office/drawing/2014/chart" uri="{C3380CC4-5D6E-409C-BE32-E72D297353CC}">
                <c16:uniqueId val="{00000018-892F-4CA4-9FFF-E05DCA159D9C}"/>
              </c:ext>
            </c:extLst>
          </c:dPt>
          <c:dPt>
            <c:idx val="43"/>
            <c:invertIfNegative val="0"/>
            <c:bubble3D val="0"/>
            <c:spPr>
              <a:solidFill>
                <a:schemeClr val="accent5">
                  <a:lumMod val="75000"/>
                </a:schemeClr>
              </a:solidFill>
              <a:ln>
                <a:noFill/>
              </a:ln>
              <a:effectLst/>
            </c:spPr>
            <c:extLst>
              <c:ext xmlns:c16="http://schemas.microsoft.com/office/drawing/2014/chart" uri="{C3380CC4-5D6E-409C-BE32-E72D297353CC}">
                <c16:uniqueId val="{00000019-892F-4CA4-9FFF-E05DCA159D9C}"/>
              </c:ext>
            </c:extLst>
          </c:dPt>
          <c:dPt>
            <c:idx val="44"/>
            <c:invertIfNegative val="0"/>
            <c:bubble3D val="0"/>
            <c:spPr>
              <a:solidFill>
                <a:schemeClr val="accent5">
                  <a:lumMod val="75000"/>
                </a:schemeClr>
              </a:solidFill>
              <a:ln>
                <a:noFill/>
              </a:ln>
              <a:effectLst/>
            </c:spPr>
            <c:extLst>
              <c:ext xmlns:c16="http://schemas.microsoft.com/office/drawing/2014/chart" uri="{C3380CC4-5D6E-409C-BE32-E72D297353CC}">
                <c16:uniqueId val="{0000001A-892F-4CA4-9FFF-E05DCA159D9C}"/>
              </c:ext>
            </c:extLst>
          </c:dPt>
          <c:dPt>
            <c:idx val="45"/>
            <c:invertIfNegative val="0"/>
            <c:bubble3D val="0"/>
            <c:spPr>
              <a:solidFill>
                <a:schemeClr val="accent5">
                  <a:lumMod val="75000"/>
                </a:schemeClr>
              </a:solidFill>
              <a:ln>
                <a:noFill/>
              </a:ln>
              <a:effectLst/>
            </c:spPr>
            <c:extLst>
              <c:ext xmlns:c16="http://schemas.microsoft.com/office/drawing/2014/chart" uri="{C3380CC4-5D6E-409C-BE32-E72D297353CC}">
                <c16:uniqueId val="{0000001B-892F-4CA4-9FFF-E05DCA159D9C}"/>
              </c:ext>
            </c:extLst>
          </c:dPt>
          <c:dPt>
            <c:idx val="46"/>
            <c:invertIfNegative val="0"/>
            <c:bubble3D val="0"/>
            <c:spPr>
              <a:solidFill>
                <a:schemeClr val="accent5">
                  <a:lumMod val="75000"/>
                </a:schemeClr>
              </a:solidFill>
              <a:ln>
                <a:noFill/>
              </a:ln>
              <a:effectLst/>
            </c:spPr>
            <c:extLst>
              <c:ext xmlns:c16="http://schemas.microsoft.com/office/drawing/2014/chart" uri="{C3380CC4-5D6E-409C-BE32-E72D297353CC}">
                <c16:uniqueId val="{0000001C-892F-4CA4-9FFF-E05DCA159D9C}"/>
              </c:ext>
            </c:extLst>
          </c:dPt>
          <c:dPt>
            <c:idx val="49"/>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1D-892F-4CA4-9FFF-E05DCA159D9C}"/>
              </c:ext>
            </c:extLst>
          </c:dPt>
          <c:dPt>
            <c:idx val="50"/>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1E-892F-4CA4-9FFF-E05DCA159D9C}"/>
              </c:ext>
            </c:extLst>
          </c:dPt>
          <c:dPt>
            <c:idx val="5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1F-892F-4CA4-9FFF-E05DCA159D9C}"/>
              </c:ext>
            </c:extLst>
          </c:dPt>
          <c:dPt>
            <c:idx val="52"/>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20-892F-4CA4-9FFF-E05DCA159D9C}"/>
              </c:ext>
            </c:extLst>
          </c:dPt>
          <c:dPt>
            <c:idx val="53"/>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21-892F-4CA4-9FFF-E05DCA159D9C}"/>
              </c:ext>
            </c:extLst>
          </c:dPt>
          <c:cat>
            <c:strRef>
              <c:f>'Sheet 1'!$E$3:$E$56</c:f>
              <c:strCache>
                <c:ptCount val="54"/>
                <c:pt idx="0">
                  <c:v>Veselības aprūpes asociētie speciālisti</c:v>
                </c:pt>
                <c:pt idx="1">
                  <c:v>IKT tehniķi</c:v>
                </c:pt>
                <c:pt idx="2">
                  <c:v>Juridisko un sociālo jomu asociētie speciālisti</c:v>
                </c:pt>
                <c:pt idx="3">
                  <c:v>Biroja asociētie speciālisti</c:v>
                </c:pt>
                <c:pt idx="4">
                  <c:v>Zinātnes un inženierzinātņu tehniķi</c:v>
                </c:pt>
                <c:pt idx="7">
                  <c:v>Grāmatveži</c:v>
                </c:pt>
                <c:pt idx="8">
                  <c:v>Klientu apkalpotāji</c:v>
                </c:pt>
                <c:pt idx="9">
                  <c:v>Biroja darbinieki</c:v>
                </c:pt>
                <c:pt idx="10">
                  <c:v>Citi palīgdarbinieki</c:v>
                </c:pt>
                <c:pt idx="13">
                  <c:v>Lauksaimniecības strādnieki</c:v>
                </c:pt>
                <c:pt idx="14">
                  <c:v>Tīrītāji un palīgstrādnieki</c:v>
                </c:pt>
                <c:pt idx="15">
                  <c:v>Pārtikas sagatavošanas palīgstrādnieki</c:v>
                </c:pt>
                <c:pt idx="16">
                  <c:v>Citi vienkāršo darbu strādnieki</c:v>
                </c:pt>
                <c:pt idx="17">
                  <c:v>Tehniskie palīgstrādnieki</c:v>
                </c:pt>
                <c:pt idx="20">
                  <c:v>Lauksaimniecības darbinieki un dārznieki</c:v>
                </c:pt>
                <c:pt idx="21">
                  <c:v>Mežsaimniecības un zivsaimniecības darbinieki</c:v>
                </c:pt>
                <c:pt idx="24">
                  <c:v>Uzņēmumu vadītāji</c:v>
                </c:pt>
                <c:pt idx="25">
                  <c:v>Izpilddirektori, ierēdņi un likumdevēji</c:v>
                </c:pt>
                <c:pt idx="26">
                  <c:v>Viesmīlības un mazumtirdzniecības vadītāji</c:v>
                </c:pt>
                <c:pt idx="27">
                  <c:v>Tehniskie vadītāji</c:v>
                </c:pt>
                <c:pt idx="30">
                  <c:v>Montieri</c:v>
                </c:pt>
                <c:pt idx="31">
                  <c:v>Autovadītāji un transportlīdzekļu operatori</c:v>
                </c:pt>
                <c:pt idx="32">
                  <c:v>Iekārtu un ražošanas iekārtu operatori</c:v>
                </c:pt>
                <c:pt idx="35">
                  <c:v>Veselības aprūpes speciālisti</c:v>
                </c:pt>
                <c:pt idx="36">
                  <c:v>IKT speciālisti</c:v>
                </c:pt>
                <c:pt idx="37">
                  <c:v>Juridisko un sociālo jomu speciālisti</c:v>
                </c:pt>
                <c:pt idx="38">
                  <c:v>Biroja speciālisti</c:v>
                </c:pt>
                <c:pt idx="39">
                  <c:v>Pētnieki un inženieri</c:v>
                </c:pt>
                <c:pt idx="40">
                  <c:v>Pedagogi</c:v>
                </c:pt>
                <c:pt idx="43">
                  <c:v>Aprūpes darbinieki</c:v>
                </c:pt>
                <c:pt idx="44">
                  <c:v>Personīgo pakalpojumu darbinieki</c:v>
                </c:pt>
                <c:pt idx="45">
                  <c:v>Drošības dienestu darbinieki</c:v>
                </c:pt>
                <c:pt idx="46">
                  <c:v>Pārdevēji</c:v>
                </c:pt>
                <c:pt idx="49">
                  <c:v>Būvstrādnieki</c:v>
                </c:pt>
                <c:pt idx="50">
                  <c:v>Elektrotehnikas darbinieki</c:v>
                </c:pt>
                <c:pt idx="51">
                  <c:v>Amatniecības un poligrāfijas darbinieki</c:v>
                </c:pt>
                <c:pt idx="52">
                  <c:v>Metālapstrādes un mašīnbūves darbinieki</c:v>
                </c:pt>
                <c:pt idx="53">
                  <c:v>Citi apstrādes rūpniecības darbinieki</c:v>
                </c:pt>
              </c:strCache>
            </c:strRef>
          </c:cat>
          <c:val>
            <c:numRef>
              <c:f>'Sheet 1'!$H$3:$H$56</c:f>
              <c:numCache>
                <c:formatCode>0.000</c:formatCode>
                <c:ptCount val="54"/>
                <c:pt idx="0">
                  <c:v>0.16524886502407368</c:v>
                </c:pt>
                <c:pt idx="1">
                  <c:v>0.22976467650068075</c:v>
                </c:pt>
                <c:pt idx="2">
                  <c:v>7.7073472531960618E-2</c:v>
                </c:pt>
                <c:pt idx="3">
                  <c:v>0.1645398891582667</c:v>
                </c:pt>
                <c:pt idx="4">
                  <c:v>0.14830103734578415</c:v>
                </c:pt>
                <c:pt idx="7">
                  <c:v>9.2138166794355394E-2</c:v>
                </c:pt>
                <c:pt idx="8">
                  <c:v>0.19282733140841232</c:v>
                </c:pt>
                <c:pt idx="9">
                  <c:v>0.10406134529477729</c:v>
                </c:pt>
                <c:pt idx="10">
                  <c:v>0.14709450170277386</c:v>
                </c:pt>
                <c:pt idx="13">
                  <c:v>0.14117566079295155</c:v>
                </c:pt>
                <c:pt idx="14">
                  <c:v>3.6603503426531452E-2</c:v>
                </c:pt>
                <c:pt idx="15">
                  <c:v>6.4311019138222653E-2</c:v>
                </c:pt>
                <c:pt idx="16">
                  <c:v>0.10959878572817019</c:v>
                </c:pt>
                <c:pt idx="17">
                  <c:v>0.11060688066391884</c:v>
                </c:pt>
                <c:pt idx="20">
                  <c:v>0.16100475142910883</c:v>
                </c:pt>
                <c:pt idx="21">
                  <c:v>0.30692386053695248</c:v>
                </c:pt>
                <c:pt idx="24">
                  <c:v>0.20727531447036845</c:v>
                </c:pt>
                <c:pt idx="25">
                  <c:v>0.21480224597613784</c:v>
                </c:pt>
                <c:pt idx="26">
                  <c:v>0.18133665560939816</c:v>
                </c:pt>
                <c:pt idx="27">
                  <c:v>0.13503800938724575</c:v>
                </c:pt>
                <c:pt idx="30">
                  <c:v>0.10218100161657848</c:v>
                </c:pt>
                <c:pt idx="31">
                  <c:v>9.0288235751852686E-2</c:v>
                </c:pt>
                <c:pt idx="32">
                  <c:v>0.1579755971962736</c:v>
                </c:pt>
                <c:pt idx="35">
                  <c:v>0.11300896438839464</c:v>
                </c:pt>
                <c:pt idx="36">
                  <c:v>0.21111188455938873</c:v>
                </c:pt>
                <c:pt idx="37">
                  <c:v>0.15396092746723311</c:v>
                </c:pt>
                <c:pt idx="38">
                  <c:v>0.14721757950655778</c:v>
                </c:pt>
                <c:pt idx="39">
                  <c:v>0.19389066099592414</c:v>
                </c:pt>
                <c:pt idx="40">
                  <c:v>0.15699456290198771</c:v>
                </c:pt>
                <c:pt idx="43">
                  <c:v>7.9907625558173365E-2</c:v>
                </c:pt>
                <c:pt idx="44">
                  <c:v>0.10835966610303063</c:v>
                </c:pt>
                <c:pt idx="45">
                  <c:v>8.5670934257059225E-2</c:v>
                </c:pt>
                <c:pt idx="46">
                  <c:v>8.7193875560636E-2</c:v>
                </c:pt>
                <c:pt idx="49">
                  <c:v>0.12605658528405309</c:v>
                </c:pt>
                <c:pt idx="50">
                  <c:v>0.14940039305338307</c:v>
                </c:pt>
                <c:pt idx="51">
                  <c:v>0.17074127690663349</c:v>
                </c:pt>
                <c:pt idx="52">
                  <c:v>0.13681795954910092</c:v>
                </c:pt>
                <c:pt idx="53">
                  <c:v>0.15652110845174932</c:v>
                </c:pt>
              </c:numCache>
            </c:numRef>
          </c:val>
          <c:extLst>
            <c:ext xmlns:c16="http://schemas.microsoft.com/office/drawing/2014/chart" uri="{C3380CC4-5D6E-409C-BE32-E72D297353CC}">
              <c16:uniqueId val="{00000000-892F-4CA4-9FFF-E05DCA159D9C}"/>
            </c:ext>
          </c:extLst>
        </c:ser>
        <c:dLbls>
          <c:showLegendKey val="0"/>
          <c:showVal val="0"/>
          <c:showCatName val="0"/>
          <c:showSerName val="0"/>
          <c:showPercent val="0"/>
          <c:showBubbleSize val="0"/>
        </c:dLbls>
        <c:gapWidth val="45"/>
        <c:axId val="1972954528"/>
        <c:axId val="1972957408"/>
      </c:barChart>
      <c:lineChart>
        <c:grouping val="standard"/>
        <c:varyColors val="0"/>
        <c:ser>
          <c:idx val="1"/>
          <c:order val="1"/>
          <c:tx>
            <c:strRef>
              <c:f>'Sheet 1'!$I$1</c:f>
              <c:strCache>
                <c:ptCount val="1"/>
                <c:pt idx="0">
                  <c:v>Vidējais grupa</c:v>
                </c:pt>
              </c:strCache>
            </c:strRef>
          </c:tx>
          <c:spPr>
            <a:ln w="28575" cap="rnd">
              <a:solidFill>
                <a:schemeClr val="accent2"/>
              </a:solidFill>
              <a:round/>
            </a:ln>
            <a:effectLst/>
          </c:spPr>
          <c:marker>
            <c:symbol val="none"/>
          </c:marker>
          <c:dLbls>
            <c:dLbl>
              <c:idx val="5"/>
              <c:layout>
                <c:manualLayout>
                  <c:x val="-2.8662771469518285E-2"/>
                  <c:y val="-2.4973242953977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892F-4CA4-9FFF-E05DCA159D9C}"/>
                </c:ext>
              </c:extLst>
            </c:dLbl>
            <c:dLbl>
              <c:idx val="11"/>
              <c:layout>
                <c:manualLayout>
                  <c:x val="-1.9843457171204937E-2"/>
                  <c:y val="-2.49732429539779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892F-4CA4-9FFF-E05DCA159D9C}"/>
                </c:ext>
              </c:extLst>
            </c:dLbl>
            <c:dLbl>
              <c:idx val="18"/>
              <c:layout>
                <c:manualLayout>
                  <c:x val="-1.9843457171204937E-2"/>
                  <c:y val="-3.5676061362825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892F-4CA4-9FFF-E05DCA159D9C}"/>
                </c:ext>
              </c:extLst>
            </c:dLbl>
            <c:dLbl>
              <c:idx val="22"/>
              <c:layout>
                <c:manualLayout>
                  <c:x val="-1.3228971447469959E-2"/>
                  <c:y val="-2.8540849090260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892F-4CA4-9FFF-E05DCA159D9C}"/>
                </c:ext>
              </c:extLst>
            </c:dLbl>
            <c:dLbl>
              <c:idx val="28"/>
              <c:layout>
                <c:manualLayout>
                  <c:x val="-2.6457942894939999E-2"/>
                  <c:y val="-3.2108455226543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892F-4CA4-9FFF-E05DCA159D9C}"/>
                </c:ext>
              </c:extLst>
            </c:dLbl>
            <c:dLbl>
              <c:idx val="33"/>
              <c:layout>
                <c:manualLayout>
                  <c:x val="-2.2048285745783266E-2"/>
                  <c:y val="-2.4973242953977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892F-4CA4-9FFF-E05DCA159D9C}"/>
                </c:ext>
              </c:extLst>
            </c:dLbl>
            <c:dLbl>
              <c:idx val="41"/>
              <c:layout>
                <c:manualLayout>
                  <c:x val="-2.4253114320361591E-2"/>
                  <c:y val="-2.8540849090260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892F-4CA4-9FFF-E05DCA159D9C}"/>
                </c:ext>
              </c:extLst>
            </c:dLbl>
            <c:dLbl>
              <c:idx val="47"/>
              <c:layout>
                <c:manualLayout>
                  <c:x val="-2.4253114320361591E-2"/>
                  <c:y val="-2.85408490902604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892F-4CA4-9FFF-E05DCA159D9C}"/>
                </c:ext>
              </c:extLst>
            </c:dLbl>
            <c:dLbl>
              <c:idx val="54"/>
              <c:layout>
                <c:manualLayout>
                  <c:x val="-1.5433800022048286E-2"/>
                  <c:y val="-2.85408490902604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892F-4CA4-9FFF-E05DCA159D9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val>
            <c:numRef>
              <c:f>'Sheet 1'!$I$2:$I$56</c:f>
              <c:numCache>
                <c:formatCode>0.00</c:formatCode>
                <c:ptCount val="55"/>
                <c:pt idx="0" formatCode="General">
                  <c:v>0.15698558811215318</c:v>
                </c:pt>
                <c:pt idx="1">
                  <c:v>0.15698558811215318</c:v>
                </c:pt>
                <c:pt idx="2">
                  <c:v>0.15698558811215318</c:v>
                </c:pt>
                <c:pt idx="3">
                  <c:v>0.15698558811215318</c:v>
                </c:pt>
                <c:pt idx="4">
                  <c:v>0.15698558811215318</c:v>
                </c:pt>
                <c:pt idx="5">
                  <c:v>0.15698558811215318</c:v>
                </c:pt>
                <c:pt idx="7" formatCode="General">
                  <c:v>0.13403033630007971</c:v>
                </c:pt>
                <c:pt idx="8" formatCode="0.000">
                  <c:v>0.13403033630007971</c:v>
                </c:pt>
                <c:pt idx="9" formatCode="0.000">
                  <c:v>0.13403033630007971</c:v>
                </c:pt>
                <c:pt idx="10" formatCode="0.000">
                  <c:v>0.13403033630007971</c:v>
                </c:pt>
                <c:pt idx="11" formatCode="0.000">
                  <c:v>0.13403033630007971</c:v>
                </c:pt>
                <c:pt idx="13" formatCode="General">
                  <c:v>9.2459169949958939E-2</c:v>
                </c:pt>
                <c:pt idx="14" formatCode="0.000">
                  <c:v>9.2459169949958939E-2</c:v>
                </c:pt>
                <c:pt idx="15" formatCode="0.000">
                  <c:v>9.2459169949958939E-2</c:v>
                </c:pt>
                <c:pt idx="16" formatCode="0.000">
                  <c:v>9.2459169949958939E-2</c:v>
                </c:pt>
                <c:pt idx="17" formatCode="0.000">
                  <c:v>9.2459169949958939E-2</c:v>
                </c:pt>
                <c:pt idx="18" formatCode="0.000">
                  <c:v>9.2459169949958939E-2</c:v>
                </c:pt>
                <c:pt idx="20" formatCode="General">
                  <c:v>0.23396430598303064</c:v>
                </c:pt>
                <c:pt idx="21" formatCode="0.000">
                  <c:v>0.23396430598303064</c:v>
                </c:pt>
                <c:pt idx="22" formatCode="0.000">
                  <c:v>0.23396430598303064</c:v>
                </c:pt>
                <c:pt idx="24" formatCode="General">
                  <c:v>0.18461305636078754</c:v>
                </c:pt>
                <c:pt idx="25" formatCode="0.000">
                  <c:v>0.18461305636078754</c:v>
                </c:pt>
                <c:pt idx="26" formatCode="0.000">
                  <c:v>0.18461305636078754</c:v>
                </c:pt>
                <c:pt idx="27" formatCode="0.000">
                  <c:v>0.18461305636078754</c:v>
                </c:pt>
                <c:pt idx="28" formatCode="0.000">
                  <c:v>0.18461305636078754</c:v>
                </c:pt>
                <c:pt idx="30" formatCode="General">
                  <c:v>0.11681494485490158</c:v>
                </c:pt>
                <c:pt idx="31" formatCode="0.000">
                  <c:v>0.11681494485490158</c:v>
                </c:pt>
                <c:pt idx="32" formatCode="0.000">
                  <c:v>0.11681494485490158</c:v>
                </c:pt>
                <c:pt idx="33" formatCode="0.000">
                  <c:v>0.11681494485490158</c:v>
                </c:pt>
                <c:pt idx="35" formatCode="General">
                  <c:v>0.16269742996991435</c:v>
                </c:pt>
                <c:pt idx="36" formatCode="0.000">
                  <c:v>0.16269742996991435</c:v>
                </c:pt>
                <c:pt idx="37" formatCode="0.000">
                  <c:v>0.16269742996991435</c:v>
                </c:pt>
                <c:pt idx="38" formatCode="0.000">
                  <c:v>0.16269742996991435</c:v>
                </c:pt>
                <c:pt idx="39" formatCode="0.000">
                  <c:v>0.16269742996991435</c:v>
                </c:pt>
                <c:pt idx="40" formatCode="0.000">
                  <c:v>0.16269742996991435</c:v>
                </c:pt>
                <c:pt idx="41" formatCode="0.000">
                  <c:v>0.16269742996991435</c:v>
                </c:pt>
                <c:pt idx="43" formatCode="General">
                  <c:v>9.0283025369724809E-2</c:v>
                </c:pt>
                <c:pt idx="44" formatCode="0.000">
                  <c:v>9.0283025369724809E-2</c:v>
                </c:pt>
                <c:pt idx="45" formatCode="0.000">
                  <c:v>9.0283025369724809E-2</c:v>
                </c:pt>
                <c:pt idx="46" formatCode="0.000">
                  <c:v>9.0283025369724809E-2</c:v>
                </c:pt>
                <c:pt idx="47" formatCode="0.000">
                  <c:v>9.0283025369724809E-2</c:v>
                </c:pt>
                <c:pt idx="49" formatCode="General">
                  <c:v>0.14790746464898397</c:v>
                </c:pt>
                <c:pt idx="50" formatCode="0.000">
                  <c:v>0.14790746464898397</c:v>
                </c:pt>
                <c:pt idx="51" formatCode="0.000">
                  <c:v>0.14790746464898397</c:v>
                </c:pt>
                <c:pt idx="52" formatCode="0.000">
                  <c:v>0.14790746464898397</c:v>
                </c:pt>
                <c:pt idx="53" formatCode="0.000">
                  <c:v>0.14790746464898397</c:v>
                </c:pt>
                <c:pt idx="54" formatCode="0.000">
                  <c:v>0.14790746464898397</c:v>
                </c:pt>
              </c:numCache>
            </c:numRef>
          </c:val>
          <c:smooth val="0"/>
          <c:extLst>
            <c:ext xmlns:c16="http://schemas.microsoft.com/office/drawing/2014/chart" uri="{C3380CC4-5D6E-409C-BE32-E72D297353CC}">
              <c16:uniqueId val="{00000022-892F-4CA4-9FFF-E05DCA159D9C}"/>
            </c:ext>
          </c:extLst>
        </c:ser>
        <c:dLbls>
          <c:showLegendKey val="0"/>
          <c:showVal val="0"/>
          <c:showCatName val="0"/>
          <c:showSerName val="0"/>
          <c:showPercent val="0"/>
          <c:showBubbleSize val="0"/>
        </c:dLbls>
        <c:marker val="1"/>
        <c:smooth val="0"/>
        <c:axId val="193141664"/>
        <c:axId val="193147424"/>
      </c:lineChart>
      <c:catAx>
        <c:axId val="197295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1972957408"/>
        <c:crosses val="autoZero"/>
        <c:auto val="1"/>
        <c:lblAlgn val="ctr"/>
        <c:lblOffset val="100"/>
        <c:noMultiLvlLbl val="0"/>
      </c:catAx>
      <c:valAx>
        <c:axId val="197295740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1972954528"/>
        <c:crosses val="autoZero"/>
        <c:crossBetween val="between"/>
      </c:valAx>
      <c:valAx>
        <c:axId val="193147424"/>
        <c:scaling>
          <c:orientation val="minMax"/>
          <c:max val="0.35000000000000003"/>
        </c:scaling>
        <c:delete val="1"/>
        <c:axPos val="r"/>
        <c:numFmt formatCode="0.00%" sourceLinked="0"/>
        <c:majorTickMark val="out"/>
        <c:minorTickMark val="none"/>
        <c:tickLblPos val="nextTo"/>
        <c:crossAx val="193141664"/>
        <c:crosses val="max"/>
        <c:crossBetween val="between"/>
      </c:valAx>
      <c:catAx>
        <c:axId val="193141664"/>
        <c:scaling>
          <c:orientation val="minMax"/>
        </c:scaling>
        <c:delete val="1"/>
        <c:axPos val="b"/>
        <c:majorTickMark val="out"/>
        <c:minorTickMark val="none"/>
        <c:tickLblPos val="nextTo"/>
        <c:crossAx val="193147424"/>
        <c:crosses val="autoZero"/>
        <c:auto val="1"/>
        <c:lblAlgn val="ctr"/>
        <c:lblOffset val="100"/>
        <c:noMultiLvlLbl val="0"/>
      </c:catAx>
      <c:spPr>
        <a:noFill/>
        <a:ln>
          <a:noFill/>
        </a:ln>
        <a:effectLst/>
      </c:spPr>
    </c:plotArea>
    <c:legend>
      <c:legendPos val="r"/>
      <c:legendEntry>
        <c:idx val="0"/>
        <c:delete val="1"/>
      </c:legendEntry>
      <c:legendEntry>
        <c:idx val="1"/>
        <c:txPr>
          <a:bodyPr rot="0" spcFirstLastPara="1" vertOverflow="ellipsis" vert="horz" wrap="square" anchor="ctr" anchorCtr="1"/>
          <a:lstStyle/>
          <a:p>
            <a:pPr>
              <a:defRPr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legendEntry>
      <c:layout>
        <c:manualLayout>
          <c:xMode val="edge"/>
          <c:yMode val="edge"/>
          <c:x val="0.72511204261742668"/>
          <c:y val="0.15059567785921157"/>
          <c:w val="0.15750253685492491"/>
          <c:h val="6.050468840500305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userShapes r:id="rId4"/>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592570426383437E-3"/>
          <c:y val="5.7730094916383187E-2"/>
          <c:w val="0.97576697493117392"/>
          <c:h val="0.44971017595610219"/>
        </c:manualLayout>
      </c:layout>
      <c:barChart>
        <c:barDir val="col"/>
        <c:grouping val="clustered"/>
        <c:varyColors val="0"/>
        <c:ser>
          <c:idx val="0"/>
          <c:order val="0"/>
          <c:tx>
            <c:strRef>
              <c:f>'Sheet 1'!$H$22</c:f>
              <c:strCache>
                <c:ptCount val="1"/>
                <c:pt idx="0">
                  <c:v>proc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1'!$G$23:$G$39</c:f>
              <c:strCache>
                <c:ptCount val="17"/>
                <c:pt idx="0">
                  <c:v>Finanšu un apdrošināšanas pakalpojumi</c:v>
                </c:pt>
                <c:pt idx="1">
                  <c:v>Ūdens un atkritumu attīrīšana</c:v>
                </c:pt>
                <c:pt idx="2">
                  <c:v>IKT pakalpojumi</c:v>
                </c:pt>
                <c:pt idx="3">
                  <c:v>Profesionālie pakalpojumi</c:v>
                </c:pt>
                <c:pt idx="4">
                  <c:v>Ieguves rūpniecība un karjeru izstrāde</c:v>
                </c:pt>
                <c:pt idx="5">
                  <c:v>Ražošana</c:v>
                </c:pt>
                <c:pt idx="6">
                  <c:v>Publiskais sektors un aizsardzība</c:v>
                </c:pt>
                <c:pt idx="7">
                  <c:v>Lauksaimniecība, mežsaimniecība un zivsaimniecība</c:v>
                </c:pt>
                <c:pt idx="8">
                  <c:v>Izglītība</c:v>
                </c:pt>
                <c:pt idx="9">
                  <c:v>Transports un uzglabāšana</c:v>
                </c:pt>
                <c:pt idx="10">
                  <c:v>Administratīvie pakalpojumi</c:v>
                </c:pt>
                <c:pt idx="11">
                  <c:v>Būvniecība</c:v>
                </c:pt>
                <c:pt idx="12">
                  <c:v>Energoapgādes pakalpojumi</c:v>
                </c:pt>
                <c:pt idx="13">
                  <c:v>Tirdzniecība</c:v>
                </c:pt>
                <c:pt idx="14">
                  <c:v>Veselība un sociālā aprūpe</c:v>
                </c:pt>
                <c:pt idx="15">
                  <c:v>Izmitināšana un ēdināšana</c:v>
                </c:pt>
                <c:pt idx="16">
                  <c:v>Māksla un izklaide</c:v>
                </c:pt>
              </c:strCache>
            </c:strRef>
          </c:cat>
          <c:val>
            <c:numRef>
              <c:f>'Sheet 1'!$H$23:$H$39</c:f>
              <c:numCache>
                <c:formatCode>0%</c:formatCode>
                <c:ptCount val="17"/>
                <c:pt idx="0">
                  <c:v>0.279671517232566</c:v>
                </c:pt>
                <c:pt idx="1">
                  <c:v>0.22017373083448658</c:v>
                </c:pt>
                <c:pt idx="2">
                  <c:v>0.19864011207766041</c:v>
                </c:pt>
                <c:pt idx="3">
                  <c:v>0.17553840154014722</c:v>
                </c:pt>
                <c:pt idx="4">
                  <c:v>0.14855979531761535</c:v>
                </c:pt>
                <c:pt idx="5">
                  <c:v>0.14614270533984491</c:v>
                </c:pt>
                <c:pt idx="6">
                  <c:v>0.13785559321620353</c:v>
                </c:pt>
                <c:pt idx="7">
                  <c:v>0.1364147944228101</c:v>
                </c:pt>
                <c:pt idx="8">
                  <c:v>0.13276652224263896</c:v>
                </c:pt>
                <c:pt idx="9">
                  <c:v>0.12886283641903643</c:v>
                </c:pt>
                <c:pt idx="10">
                  <c:v>0.12618459278952843</c:v>
                </c:pt>
                <c:pt idx="11">
                  <c:v>0.12351724963305238</c:v>
                </c:pt>
                <c:pt idx="12">
                  <c:v>0.11566404147033195</c:v>
                </c:pt>
                <c:pt idx="13">
                  <c:v>0.11360610470948281</c:v>
                </c:pt>
                <c:pt idx="14">
                  <c:v>9.7752697298495936E-2</c:v>
                </c:pt>
                <c:pt idx="15">
                  <c:v>9.7393006088544176E-2</c:v>
                </c:pt>
                <c:pt idx="16">
                  <c:v>4.6705592870399541E-2</c:v>
                </c:pt>
              </c:numCache>
            </c:numRef>
          </c:val>
          <c:extLst>
            <c:ext xmlns:c16="http://schemas.microsoft.com/office/drawing/2014/chart" uri="{C3380CC4-5D6E-409C-BE32-E72D297353CC}">
              <c16:uniqueId val="{00000000-27A0-4934-8D65-B81DC85BFF4B}"/>
            </c:ext>
          </c:extLst>
        </c:ser>
        <c:dLbls>
          <c:dLblPos val="outEnd"/>
          <c:showLegendKey val="0"/>
          <c:showVal val="1"/>
          <c:showCatName val="0"/>
          <c:showSerName val="0"/>
          <c:showPercent val="0"/>
          <c:showBubbleSize val="0"/>
        </c:dLbls>
        <c:gapWidth val="103"/>
        <c:overlap val="100"/>
        <c:axId val="1395665279"/>
        <c:axId val="1395666239"/>
      </c:barChart>
      <c:catAx>
        <c:axId val="1395665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1395666239"/>
        <c:crosses val="autoZero"/>
        <c:auto val="1"/>
        <c:lblAlgn val="ctr"/>
        <c:lblOffset val="100"/>
        <c:noMultiLvlLbl val="0"/>
      </c:catAx>
      <c:valAx>
        <c:axId val="1395666239"/>
        <c:scaling>
          <c:orientation val="minMax"/>
        </c:scaling>
        <c:delete val="1"/>
        <c:axPos val="l"/>
        <c:numFmt formatCode="0%" sourceLinked="1"/>
        <c:majorTickMark val="none"/>
        <c:minorTickMark val="none"/>
        <c:tickLblPos val="nextTo"/>
        <c:crossAx val="139566527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87794841521326"/>
          <c:y val="3.5195299205652807E-2"/>
          <c:w val="0.8803017649254703"/>
          <c:h val="0.85877862595420063"/>
        </c:manualLayout>
      </c:layout>
      <c:barChart>
        <c:barDir val="col"/>
        <c:grouping val="clustered"/>
        <c:varyColors val="0"/>
        <c:ser>
          <c:idx val="2"/>
          <c:order val="0"/>
          <c:tx>
            <c:strRef>
              <c:f>Sheet1!$A$7</c:f>
              <c:strCache>
                <c:ptCount val="1"/>
              </c:strCache>
            </c:strRef>
          </c:tx>
          <c:spPr>
            <a:solidFill>
              <a:srgbClr val="92B7C4"/>
            </a:solidFill>
            <a:ln w="3175">
              <a:noFill/>
              <a:prstDash val="solid"/>
            </a:ln>
          </c:spPr>
          <c:invertIfNegative val="0"/>
          <c:dPt>
            <c:idx val="0"/>
            <c:invertIfNegative val="0"/>
            <c:bubble3D val="0"/>
            <c:spPr>
              <a:solidFill>
                <a:srgbClr val="92B7C4"/>
              </a:solidFill>
              <a:ln w="3175">
                <a:noFill/>
                <a:prstDash val="solid"/>
              </a:ln>
            </c:spPr>
            <c:extLst>
              <c:ext xmlns:c16="http://schemas.microsoft.com/office/drawing/2014/chart" uri="{C3380CC4-5D6E-409C-BE32-E72D297353CC}">
                <c16:uniqueId val="{00000001-6463-46F9-854C-3032B7FE432A}"/>
              </c:ext>
            </c:extLst>
          </c:dPt>
          <c:dPt>
            <c:idx val="1"/>
            <c:invertIfNegative val="0"/>
            <c:bubble3D val="0"/>
            <c:extLst>
              <c:ext xmlns:c16="http://schemas.microsoft.com/office/drawing/2014/chart" uri="{C3380CC4-5D6E-409C-BE32-E72D297353CC}">
                <c16:uniqueId val="{00000002-6463-46F9-854C-3032B7FE432A}"/>
              </c:ext>
            </c:extLst>
          </c:dPt>
          <c:dPt>
            <c:idx val="2"/>
            <c:invertIfNegative val="0"/>
            <c:bubble3D val="0"/>
            <c:extLst>
              <c:ext xmlns:c16="http://schemas.microsoft.com/office/drawing/2014/chart" uri="{C3380CC4-5D6E-409C-BE32-E72D297353CC}">
                <c16:uniqueId val="{00000003-6463-46F9-854C-3032B7FE432A}"/>
              </c:ext>
            </c:extLst>
          </c:dPt>
          <c:dPt>
            <c:idx val="3"/>
            <c:invertIfNegative val="0"/>
            <c:bubble3D val="0"/>
            <c:extLst>
              <c:ext xmlns:c16="http://schemas.microsoft.com/office/drawing/2014/chart" uri="{C3380CC4-5D6E-409C-BE32-E72D297353CC}">
                <c16:uniqueId val="{00000004-6463-46F9-854C-3032B7FE432A}"/>
              </c:ext>
            </c:extLst>
          </c:dPt>
          <c:dLbls>
            <c:dLbl>
              <c:idx val="3"/>
              <c:layout>
                <c:manualLayout>
                  <c:x val="3.0307824883775377E-3"/>
                  <c:y val="1.8150246886232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63-46F9-854C-3032B7FE432A}"/>
                </c:ext>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Sheet1!$B$6:$E$6</c:f>
              <c:numCache>
                <c:formatCode>General</c:formatCode>
                <c:ptCount val="4"/>
                <c:pt idx="0">
                  <c:v>2025</c:v>
                </c:pt>
                <c:pt idx="1">
                  <c:v>2026</c:v>
                </c:pt>
                <c:pt idx="2">
                  <c:v>2030</c:v>
                </c:pt>
                <c:pt idx="3">
                  <c:v>2040</c:v>
                </c:pt>
              </c:numCache>
            </c:numRef>
          </c:cat>
          <c:val>
            <c:numRef>
              <c:f>Sheet1!$B$7:$E$7</c:f>
              <c:numCache>
                <c:formatCode>0</c:formatCode>
                <c:ptCount val="4"/>
                <c:pt idx="0">
                  <c:v>883.05499999999995</c:v>
                </c:pt>
                <c:pt idx="1">
                  <c:v>884.99</c:v>
                </c:pt>
                <c:pt idx="2">
                  <c:v>900.34299999999996</c:v>
                </c:pt>
                <c:pt idx="3">
                  <c:v>889.37199999999996</c:v>
                </c:pt>
              </c:numCache>
            </c:numRef>
          </c:val>
          <c:extLst>
            <c:ext xmlns:c16="http://schemas.microsoft.com/office/drawing/2014/chart" uri="{C3380CC4-5D6E-409C-BE32-E72D297353CC}">
              <c16:uniqueId val="{00000005-6463-46F9-854C-3032B7FE432A}"/>
            </c:ext>
          </c:extLst>
        </c:ser>
        <c:dLbls>
          <c:showLegendKey val="0"/>
          <c:showVal val="1"/>
          <c:showCatName val="0"/>
          <c:showSerName val="0"/>
          <c:showPercent val="0"/>
          <c:showBubbleSize val="0"/>
        </c:dLbls>
        <c:gapWidth val="80"/>
        <c:axId val="652745672"/>
        <c:axId val="652737832"/>
      </c:barChart>
      <c:catAx>
        <c:axId val="652745672"/>
        <c:scaling>
          <c:orientation val="minMax"/>
        </c:scaling>
        <c:delete val="0"/>
        <c:axPos val="b"/>
        <c:numFmt formatCode="General" sourceLinked="1"/>
        <c:majorTickMark val="out"/>
        <c:minorTickMark val="none"/>
        <c:tickLblPos val="nextTo"/>
        <c:spPr>
          <a:ln w="3175"/>
        </c:spPr>
        <c:txPr>
          <a:bodyPr rot="0" vert="horz"/>
          <a:lstStyle/>
          <a:p>
            <a:pPr>
              <a:defRPr/>
            </a:pPr>
            <a:endParaRPr lang="en-US"/>
          </a:p>
        </c:txPr>
        <c:crossAx val="652737832"/>
        <c:crosses val="autoZero"/>
        <c:auto val="1"/>
        <c:lblAlgn val="ctr"/>
        <c:lblOffset val="100"/>
        <c:tickLblSkip val="1"/>
        <c:tickMarkSkip val="1"/>
        <c:noMultiLvlLbl val="0"/>
      </c:catAx>
      <c:valAx>
        <c:axId val="652737832"/>
        <c:scaling>
          <c:orientation val="minMax"/>
          <c:max val="920"/>
          <c:min val="800"/>
        </c:scaling>
        <c:delete val="0"/>
        <c:axPos val="l"/>
        <c:numFmt formatCode="0" sourceLinked="0"/>
        <c:majorTickMark val="out"/>
        <c:minorTickMark val="none"/>
        <c:tickLblPos val="nextTo"/>
        <c:spPr>
          <a:ln>
            <a:noFill/>
          </a:ln>
        </c:spPr>
        <c:txPr>
          <a:bodyPr rot="0" vert="horz"/>
          <a:lstStyle/>
          <a:p>
            <a:pPr>
              <a:defRPr/>
            </a:pPr>
            <a:endParaRPr lang="en-US"/>
          </a:p>
        </c:txPr>
        <c:crossAx val="652745672"/>
        <c:crosses val="autoZero"/>
        <c:crossBetween val="between"/>
        <c:majorUnit val="30"/>
      </c:valAx>
      <c:spPr>
        <a:solidFill>
          <a:srgbClr val="FFFFFF"/>
        </a:solidFill>
        <a:ln w="12689">
          <a:noFill/>
          <a:prstDash val="solid"/>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4433129025005708"/>
          <c:y val="2.6645375621753568E-2"/>
          <c:w val="0.42398540993752698"/>
          <c:h val="0.87720243011581589"/>
        </c:manualLayout>
      </c:layout>
      <c:barChart>
        <c:barDir val="bar"/>
        <c:grouping val="stacked"/>
        <c:varyColors val="0"/>
        <c:ser>
          <c:idx val="0"/>
          <c:order val="0"/>
          <c:tx>
            <c:v>Paplašinošais pieprasījums</c:v>
          </c:tx>
          <c:spPr>
            <a:solidFill>
              <a:srgbClr val="006666"/>
            </a:solidFill>
            <a:ln>
              <a:noFill/>
            </a:ln>
            <a:effectLst/>
          </c:spPr>
          <c:invertIfNegative val="0"/>
          <c:cat>
            <c:strRef>
              <c:f>Sheet2!$A$7:$A$15</c:f>
              <c:strCache>
                <c:ptCount val="9"/>
                <c:pt idx="0">
                  <c:v>Kalpotāji</c:v>
                </c:pt>
                <c:pt idx="1">
                  <c:v>Vienkāršās profesijas</c:v>
                </c:pt>
                <c:pt idx="2">
                  <c:v>Kvalificēti lauksaimniecības, mežsaimniecības un zivsaimniecības darbinieki</c:v>
                </c:pt>
                <c:pt idx="3">
                  <c:v>Pakalpojumu un tirdzniecības darbinieki</c:v>
                </c:pt>
                <c:pt idx="4">
                  <c:v>Iekārtu un mašīnu operatori un izstrādājumu montieri</c:v>
                </c:pt>
                <c:pt idx="5">
                  <c:v>Kvalificēti strādnieki un amatnieki</c:v>
                </c:pt>
                <c:pt idx="6">
                  <c:v>Vadītāji</c:v>
                </c:pt>
                <c:pt idx="7">
                  <c:v>Speciālisti</c:v>
                </c:pt>
                <c:pt idx="8">
                  <c:v>Vecākie speciālisti</c:v>
                </c:pt>
              </c:strCache>
            </c:strRef>
          </c:cat>
          <c:val>
            <c:numRef>
              <c:f>Sheet2!$B$7:$B$15</c:f>
              <c:numCache>
                <c:formatCode>###\ ###\ ###\ ##0;\-###\ ###\ ###\ ##0;\:</c:formatCode>
                <c:ptCount val="9"/>
                <c:pt idx="0">
                  <c:v>-18005.152808648345</c:v>
                </c:pt>
                <c:pt idx="1">
                  <c:v>-28959.900015881278</c:v>
                </c:pt>
                <c:pt idx="2">
                  <c:v>-1771.2331276148279</c:v>
                </c:pt>
                <c:pt idx="3">
                  <c:v>-24366.675064855219</c:v>
                </c:pt>
                <c:pt idx="4">
                  <c:v>4592.0993820434187</c:v>
                </c:pt>
                <c:pt idx="5">
                  <c:v>14293.43172352822</c:v>
                </c:pt>
                <c:pt idx="6">
                  <c:v>8998.6478661720594</c:v>
                </c:pt>
                <c:pt idx="7">
                  <c:v>24271.640442378273</c:v>
                </c:pt>
                <c:pt idx="8">
                  <c:v>24287.089870295582</c:v>
                </c:pt>
              </c:numCache>
            </c:numRef>
          </c:val>
          <c:extLst>
            <c:ext xmlns:c16="http://schemas.microsoft.com/office/drawing/2014/chart" uri="{C3380CC4-5D6E-409C-BE32-E72D297353CC}">
              <c16:uniqueId val="{00000000-5490-4470-BB8C-0B3803E13800}"/>
            </c:ext>
          </c:extLst>
        </c:ser>
        <c:ser>
          <c:idx val="1"/>
          <c:order val="1"/>
          <c:tx>
            <c:v>Aizvietojošais pieprasījums</c:v>
          </c:tx>
          <c:spPr>
            <a:solidFill>
              <a:schemeClr val="accent2"/>
            </a:solidFill>
            <a:ln>
              <a:noFill/>
            </a:ln>
            <a:effectLst/>
          </c:spPr>
          <c:invertIfNegative val="0"/>
          <c:cat>
            <c:strRef>
              <c:f>Sheet2!$A$7:$A$15</c:f>
              <c:strCache>
                <c:ptCount val="9"/>
                <c:pt idx="0">
                  <c:v>Kalpotāji</c:v>
                </c:pt>
                <c:pt idx="1">
                  <c:v>Vienkāršās profesijas</c:v>
                </c:pt>
                <c:pt idx="2">
                  <c:v>Kvalificēti lauksaimniecības, mežsaimniecības un zivsaimniecības darbinieki</c:v>
                </c:pt>
                <c:pt idx="3">
                  <c:v>Pakalpojumu un tirdzniecības darbinieki</c:v>
                </c:pt>
                <c:pt idx="4">
                  <c:v>Iekārtu un mašīnu operatori un izstrādājumu montieri</c:v>
                </c:pt>
                <c:pt idx="5">
                  <c:v>Kvalificēti strādnieki un amatnieki</c:v>
                </c:pt>
                <c:pt idx="6">
                  <c:v>Vadītāji</c:v>
                </c:pt>
                <c:pt idx="7">
                  <c:v>Speciālisti</c:v>
                </c:pt>
                <c:pt idx="8">
                  <c:v>Vecākie speciālisti</c:v>
                </c:pt>
              </c:strCache>
            </c:strRef>
          </c:cat>
          <c:val>
            <c:numRef>
              <c:f>Sheet2!$C$7:$C$15</c:f>
              <c:numCache>
                <c:formatCode>###\ ###\ ###\ ##0;\-###\ ###\ ###\ ##0;\:</c:formatCode>
                <c:ptCount val="9"/>
                <c:pt idx="0">
                  <c:v>7412.7642328715774</c:v>
                </c:pt>
                <c:pt idx="1">
                  <c:v>26667.757819887582</c:v>
                </c:pt>
                <c:pt idx="2">
                  <c:v>9604.1776086699974</c:v>
                </c:pt>
                <c:pt idx="3">
                  <c:v>34296.126941776427</c:v>
                </c:pt>
                <c:pt idx="4">
                  <c:v>29157.961298145736</c:v>
                </c:pt>
                <c:pt idx="5">
                  <c:v>26487.791785441652</c:v>
                </c:pt>
                <c:pt idx="6">
                  <c:v>33285.759296241988</c:v>
                </c:pt>
                <c:pt idx="7">
                  <c:v>25394.066999542461</c:v>
                </c:pt>
                <c:pt idx="8">
                  <c:v>50958.472695036813</c:v>
                </c:pt>
              </c:numCache>
            </c:numRef>
          </c:val>
          <c:extLst>
            <c:ext xmlns:c16="http://schemas.microsoft.com/office/drawing/2014/chart" uri="{C3380CC4-5D6E-409C-BE32-E72D297353CC}">
              <c16:uniqueId val="{00000001-5490-4470-BB8C-0B3803E13800}"/>
            </c:ext>
          </c:extLst>
        </c:ser>
        <c:dLbls>
          <c:showLegendKey val="0"/>
          <c:showVal val="0"/>
          <c:showCatName val="0"/>
          <c:showSerName val="0"/>
          <c:showPercent val="0"/>
          <c:showBubbleSize val="0"/>
        </c:dLbls>
        <c:gapWidth val="67"/>
        <c:overlap val="100"/>
        <c:axId val="1508280447"/>
        <c:axId val="1508265055"/>
      </c:barChart>
      <c:catAx>
        <c:axId val="1508280447"/>
        <c:scaling>
          <c:orientation val="minMax"/>
        </c:scaling>
        <c:delete val="0"/>
        <c:axPos val="l"/>
        <c:numFmt formatCode="General" sourceLinked="1"/>
        <c:majorTickMark val="out"/>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1508265055"/>
        <c:crosses val="autoZero"/>
        <c:auto val="1"/>
        <c:lblAlgn val="ctr"/>
        <c:lblOffset val="100"/>
        <c:noMultiLvlLbl val="0"/>
      </c:catAx>
      <c:valAx>
        <c:axId val="1508265055"/>
        <c:scaling>
          <c:orientation val="minMax"/>
          <c:max val="80000"/>
          <c:min val="-40000"/>
        </c:scaling>
        <c:delete val="0"/>
        <c:axPos val="b"/>
        <c:numFmt formatCode="0" sourceLinked="0"/>
        <c:majorTickMark val="out"/>
        <c:minorTickMark val="none"/>
        <c:tickLblPos val="nextTo"/>
        <c:spPr>
          <a:noFill/>
          <a:ln w="3175">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1508280447"/>
        <c:crosses val="autoZero"/>
        <c:crossBetween val="between"/>
        <c:majorUnit val="20000"/>
        <c:dispUnits>
          <c:builtInUnit val="thousands"/>
        </c:dispUnits>
      </c:valAx>
      <c:spPr>
        <a:noFill/>
        <a:ln>
          <a:noFill/>
        </a:ln>
        <a:effectLst/>
      </c:spPr>
    </c:plotArea>
    <c:legend>
      <c:legendPos val="b"/>
      <c:layout>
        <c:manualLayout>
          <c:xMode val="edge"/>
          <c:yMode val="edge"/>
          <c:x val="0.80748235486108277"/>
          <c:y val="0.41963659724452856"/>
          <c:w val="0.16608504909215752"/>
          <c:h val="0.26327305558690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751039264177529E-2"/>
          <c:y val="3.9926506158175279E-2"/>
          <c:w val="0.90508545615003355"/>
          <c:h val="0.8260371693515236"/>
        </c:manualLayout>
      </c:layout>
      <c:lineChart>
        <c:grouping val="standard"/>
        <c:varyColors val="0"/>
        <c:ser>
          <c:idx val="1"/>
          <c:order val="0"/>
          <c:spPr>
            <a:ln w="28575" cap="rnd">
              <a:solidFill>
                <a:srgbClr val="006666"/>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51-4C94-9FB0-9BC2FB95DF67}"/>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51-4C94-9FB0-9BC2FB95DF67}"/>
                </c:ext>
              </c:extLst>
            </c:dLbl>
            <c:dLbl>
              <c:idx val="1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51-4C94-9FB0-9BC2FB95DF6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[darbaspēka_piedāvājums_3.1.1.xlsx]Sheet1!$B$12:$AK$12</c:f>
              <c:numCache>
                <c:formatCode>General</c:formatCode>
                <c:ptCount val="36"/>
                <c:pt idx="0">
                  <c:v>2005</c:v>
                </c:pt>
                <c:pt idx="5">
                  <c:v>2010</c:v>
                </c:pt>
                <c:pt idx="10">
                  <c:v>2015</c:v>
                </c:pt>
                <c:pt idx="15">
                  <c:v>2020</c:v>
                </c:pt>
                <c:pt idx="20">
                  <c:v>2025</c:v>
                </c:pt>
                <c:pt idx="25">
                  <c:v>2030</c:v>
                </c:pt>
                <c:pt idx="30">
                  <c:v>2035</c:v>
                </c:pt>
                <c:pt idx="35">
                  <c:v>2040</c:v>
                </c:pt>
              </c:numCache>
            </c:numRef>
          </c:cat>
          <c:val>
            <c:numRef>
              <c:f>[darbaspēka_piedāvājums_3.1.1.xlsx]Sheet1!$A$13:$AK$13</c:f>
              <c:numCache>
                <c:formatCode>0.0</c:formatCode>
                <c:ptCount val="37"/>
                <c:pt idx="1">
                  <c:v>1080.8</c:v>
                </c:pt>
                <c:pt idx="2">
                  <c:v>1108.9000000000001</c:v>
                </c:pt>
                <c:pt idx="3">
                  <c:v>1125.5</c:v>
                </c:pt>
                <c:pt idx="4">
                  <c:v>1143.4000000000001</c:v>
                </c:pt>
                <c:pt idx="5">
                  <c:v>1101.4000000000001</c:v>
                </c:pt>
                <c:pt idx="6">
                  <c:v>1056.5</c:v>
                </c:pt>
                <c:pt idx="7">
                  <c:v>1028.2</c:v>
                </c:pt>
                <c:pt idx="8">
                  <c:v>1030.7</c:v>
                </c:pt>
                <c:pt idx="9">
                  <c:v>1014.3</c:v>
                </c:pt>
                <c:pt idx="10">
                  <c:v>992.3</c:v>
                </c:pt>
                <c:pt idx="11">
                  <c:v>994.2</c:v>
                </c:pt>
                <c:pt idx="12">
                  <c:v>988.6</c:v>
                </c:pt>
                <c:pt idx="13">
                  <c:v>980.3</c:v>
                </c:pt>
                <c:pt idx="14">
                  <c:v>982.17419000000018</c:v>
                </c:pt>
                <c:pt idx="15">
                  <c:v>971.34152000000017</c:v>
                </c:pt>
                <c:pt idx="16">
                  <c:v>971.67090500000006</c:v>
                </c:pt>
                <c:pt idx="17">
                  <c:v>934.62000892500009</c:v>
                </c:pt>
                <c:pt idx="18">
                  <c:v>951.32326502500007</c:v>
                </c:pt>
                <c:pt idx="19">
                  <c:v>945.67088770000078</c:v>
                </c:pt>
                <c:pt idx="20">
                  <c:v>942.73451392499987</c:v>
                </c:pt>
                <c:pt idx="21">
                  <c:v>948.85009550000063</c:v>
                </c:pt>
              </c:numCache>
            </c:numRef>
          </c:val>
          <c:smooth val="1"/>
          <c:extLst>
            <c:ext xmlns:c16="http://schemas.microsoft.com/office/drawing/2014/chart" uri="{C3380CC4-5D6E-409C-BE32-E72D297353CC}">
              <c16:uniqueId val="{00000003-3151-4C94-9FB0-9BC2FB95DF67}"/>
            </c:ext>
          </c:extLst>
        </c:ser>
        <c:ser>
          <c:idx val="2"/>
          <c:order val="1"/>
          <c:spPr>
            <a:ln w="28575" cap="rnd">
              <a:solidFill>
                <a:srgbClr val="006666"/>
              </a:solidFill>
              <a:prstDash val="sysDash"/>
              <a:round/>
            </a:ln>
            <a:effectLst/>
          </c:spPr>
          <c:marker>
            <c:symbol val="none"/>
          </c:marker>
          <c:dLbls>
            <c:dLbl>
              <c:idx val="2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51-4C94-9FB0-9BC2FB95DF67}"/>
                </c:ext>
              </c:extLst>
            </c:dLbl>
            <c:dLbl>
              <c:idx val="3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51-4C94-9FB0-9BC2FB95DF67}"/>
                </c:ext>
              </c:extLst>
            </c:dLbl>
            <c:dLbl>
              <c:idx val="3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151-4C94-9FB0-9BC2FB95DF6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[darbaspēka_piedāvājums_3.1.1.xlsx]Sheet1!$B$12:$AK$12</c:f>
              <c:numCache>
                <c:formatCode>General</c:formatCode>
                <c:ptCount val="36"/>
                <c:pt idx="0">
                  <c:v>2005</c:v>
                </c:pt>
                <c:pt idx="5">
                  <c:v>2010</c:v>
                </c:pt>
                <c:pt idx="10">
                  <c:v>2015</c:v>
                </c:pt>
                <c:pt idx="15">
                  <c:v>2020</c:v>
                </c:pt>
                <c:pt idx="20">
                  <c:v>2025</c:v>
                </c:pt>
                <c:pt idx="25">
                  <c:v>2030</c:v>
                </c:pt>
                <c:pt idx="30">
                  <c:v>2035</c:v>
                </c:pt>
                <c:pt idx="35">
                  <c:v>2040</c:v>
                </c:pt>
              </c:numCache>
            </c:numRef>
          </c:cat>
          <c:val>
            <c:numRef>
              <c:f>[darbaspēka_piedāvājums_3.1.1.xlsx]Sheet1!$A$14:$AK$14</c:f>
              <c:numCache>
                <c:formatCode>General</c:formatCode>
                <c:ptCount val="37"/>
                <c:pt idx="21" formatCode="0.0">
                  <c:v>948.85009550000063</c:v>
                </c:pt>
                <c:pt idx="22" formatCode="0.0">
                  <c:v>946.50561043521873</c:v>
                </c:pt>
                <c:pt idx="23" formatCode="0.0">
                  <c:v>946.230148430604</c:v>
                </c:pt>
                <c:pt idx="24" formatCode="0.0">
                  <c:v>948.11086695638789</c:v>
                </c:pt>
                <c:pt idx="25" formatCode="0.0">
                  <c:v>950.41879756701167</c:v>
                </c:pt>
                <c:pt idx="26" formatCode="0.0">
                  <c:v>953.90027039377219</c:v>
                </c:pt>
                <c:pt idx="27" formatCode="0.0">
                  <c:v>955.30992011394039</c:v>
                </c:pt>
                <c:pt idx="28" formatCode="0.0">
                  <c:v>954.23417761709902</c:v>
                </c:pt>
                <c:pt idx="29" formatCode="0.0">
                  <c:v>952.13213873235497</c:v>
                </c:pt>
                <c:pt idx="30" formatCode="0.0">
                  <c:v>951.13855994861433</c:v>
                </c:pt>
                <c:pt idx="31" formatCode="0.0">
                  <c:v>950.20394263083961</c:v>
                </c:pt>
                <c:pt idx="32" formatCode="0.0">
                  <c:v>948.01556845696473</c:v>
                </c:pt>
                <c:pt idx="33" formatCode="0.0">
                  <c:v>945.85644940505483</c:v>
                </c:pt>
                <c:pt idx="34" formatCode="0.0">
                  <c:v>942.93549557834001</c:v>
                </c:pt>
                <c:pt idx="35" formatCode="0.0">
                  <c:v>939.64220943898431</c:v>
                </c:pt>
                <c:pt idx="36" formatCode="0.0">
                  <c:v>936.14586723002515</c:v>
                </c:pt>
              </c:numCache>
            </c:numRef>
          </c:val>
          <c:smooth val="1"/>
          <c:extLst>
            <c:ext xmlns:c16="http://schemas.microsoft.com/office/drawing/2014/chart" uri="{C3380CC4-5D6E-409C-BE32-E72D297353CC}">
              <c16:uniqueId val="{00000007-3151-4C94-9FB0-9BC2FB95DF67}"/>
            </c:ext>
          </c:extLst>
        </c:ser>
        <c:dLbls>
          <c:showLegendKey val="0"/>
          <c:showVal val="0"/>
          <c:showCatName val="0"/>
          <c:showSerName val="0"/>
          <c:showPercent val="0"/>
          <c:showBubbleSize val="0"/>
        </c:dLbls>
        <c:smooth val="0"/>
        <c:axId val="467400271"/>
        <c:axId val="467405551"/>
      </c:lineChart>
      <c:catAx>
        <c:axId val="467400271"/>
        <c:scaling>
          <c:orientation val="minMax"/>
        </c:scaling>
        <c:delete val="0"/>
        <c:axPos val="b"/>
        <c:numFmt formatCode="General" sourceLinked="1"/>
        <c:majorTickMark val="out"/>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467405551"/>
        <c:crosses val="autoZero"/>
        <c:auto val="1"/>
        <c:lblAlgn val="ctr"/>
        <c:lblOffset val="100"/>
        <c:noMultiLvlLbl val="0"/>
      </c:catAx>
      <c:valAx>
        <c:axId val="467405551"/>
        <c:scaling>
          <c:orientation val="minMax"/>
          <c:min val="9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467400271"/>
        <c:crosses val="autoZero"/>
        <c:crossBetween val="between"/>
        <c:majorUnit val="1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5177702085466E-2"/>
          <c:y val="2.1633182015534057E-2"/>
          <c:w val="0.96057613465509262"/>
          <c:h val="0.90696682381086358"/>
        </c:manualLayout>
      </c:layout>
      <c:barChart>
        <c:barDir val="col"/>
        <c:grouping val="clustered"/>
        <c:varyColors val="0"/>
        <c:ser>
          <c:idx val="1"/>
          <c:order val="0"/>
          <c:tx>
            <c:strRef>
              <c:f>Sheet1!$A$3</c:f>
              <c:strCache>
                <c:ptCount val="1"/>
                <c:pt idx="0">
                  <c:v>Bezdarba līmenis</c:v>
                </c:pt>
              </c:strCache>
            </c:strRef>
          </c:tx>
          <c:spPr>
            <a:solidFill>
              <a:schemeClr val="accent4">
                <a:lumMod val="20000"/>
                <a:lumOff val="80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2D-31A1-4A44-B60A-53E235F261F3}"/>
              </c:ext>
            </c:extLst>
          </c:dPt>
          <c:dPt>
            <c:idx val="1"/>
            <c:invertIfNegative val="0"/>
            <c:bubble3D val="0"/>
            <c:spPr>
              <a:solidFill>
                <a:schemeClr val="bg1">
                  <a:lumMod val="85000"/>
                </a:schemeClr>
              </a:solidFill>
              <a:ln>
                <a:noFill/>
              </a:ln>
              <a:effectLst/>
            </c:spPr>
            <c:extLst>
              <c:ext xmlns:c16="http://schemas.microsoft.com/office/drawing/2014/chart" uri="{C3380CC4-5D6E-409C-BE32-E72D297353CC}">
                <c16:uniqueId val="{0000002E-31A1-4A44-B60A-53E235F261F3}"/>
              </c:ext>
            </c:extLst>
          </c:dPt>
          <c:dPt>
            <c:idx val="2"/>
            <c:invertIfNegative val="0"/>
            <c:bubble3D val="0"/>
            <c:spPr>
              <a:solidFill>
                <a:schemeClr val="bg1">
                  <a:lumMod val="85000"/>
                </a:schemeClr>
              </a:solidFill>
              <a:ln>
                <a:noFill/>
              </a:ln>
              <a:effectLst/>
            </c:spPr>
            <c:extLst>
              <c:ext xmlns:c16="http://schemas.microsoft.com/office/drawing/2014/chart" uri="{C3380CC4-5D6E-409C-BE32-E72D297353CC}">
                <c16:uniqueId val="{0000002F-31A1-4A44-B60A-53E235F261F3}"/>
              </c:ext>
            </c:extLst>
          </c:dPt>
          <c:dPt>
            <c:idx val="3"/>
            <c:invertIfNegative val="0"/>
            <c:bubble3D val="0"/>
            <c:spPr>
              <a:solidFill>
                <a:schemeClr val="bg1">
                  <a:lumMod val="85000"/>
                  <a:alpha val="90000"/>
                </a:schemeClr>
              </a:solidFill>
              <a:ln>
                <a:noFill/>
              </a:ln>
              <a:effectLst/>
            </c:spPr>
            <c:extLst>
              <c:ext xmlns:c16="http://schemas.microsoft.com/office/drawing/2014/chart" uri="{C3380CC4-5D6E-409C-BE32-E72D297353CC}">
                <c16:uniqueId val="{00000030-31A1-4A44-B60A-53E235F261F3}"/>
              </c:ext>
            </c:extLst>
          </c:dPt>
          <c:dPt>
            <c:idx val="4"/>
            <c:invertIfNegative val="0"/>
            <c:bubble3D val="0"/>
            <c:spPr>
              <a:solidFill>
                <a:schemeClr val="bg1">
                  <a:lumMod val="85000"/>
                  <a:alpha val="80000"/>
                </a:schemeClr>
              </a:solidFill>
              <a:ln>
                <a:noFill/>
              </a:ln>
              <a:effectLst/>
            </c:spPr>
            <c:extLst>
              <c:ext xmlns:c16="http://schemas.microsoft.com/office/drawing/2014/chart" uri="{C3380CC4-5D6E-409C-BE32-E72D297353CC}">
                <c16:uniqueId val="{00000031-31A1-4A44-B60A-53E235F261F3}"/>
              </c:ext>
            </c:extLst>
          </c:dPt>
          <c:dPt>
            <c:idx val="5"/>
            <c:invertIfNegative val="0"/>
            <c:bubble3D val="0"/>
            <c:spPr>
              <a:solidFill>
                <a:schemeClr val="bg1">
                  <a:lumMod val="85000"/>
                  <a:alpha val="70000"/>
                </a:schemeClr>
              </a:solidFill>
              <a:ln>
                <a:noFill/>
              </a:ln>
              <a:effectLst/>
            </c:spPr>
            <c:extLst>
              <c:ext xmlns:c16="http://schemas.microsoft.com/office/drawing/2014/chart" uri="{C3380CC4-5D6E-409C-BE32-E72D297353CC}">
                <c16:uniqueId val="{00000032-31A1-4A44-B60A-53E235F261F3}"/>
              </c:ext>
            </c:extLst>
          </c:dPt>
          <c:dPt>
            <c:idx val="6"/>
            <c:invertIfNegative val="0"/>
            <c:bubble3D val="0"/>
            <c:spPr>
              <a:solidFill>
                <a:schemeClr val="bg1">
                  <a:lumMod val="85000"/>
                  <a:alpha val="40000"/>
                </a:schemeClr>
              </a:solidFill>
              <a:ln>
                <a:noFill/>
              </a:ln>
              <a:effectLst/>
            </c:spPr>
            <c:extLst>
              <c:ext xmlns:c16="http://schemas.microsoft.com/office/drawing/2014/chart" uri="{C3380CC4-5D6E-409C-BE32-E72D297353CC}">
                <c16:uniqueId val="{00000033-31A1-4A44-B60A-53E235F261F3}"/>
              </c:ext>
            </c:extLst>
          </c:dPt>
          <c:dPt>
            <c:idx val="7"/>
            <c:invertIfNegative val="0"/>
            <c:bubble3D val="0"/>
            <c:spPr>
              <a:solidFill>
                <a:srgbClr val="FF0000">
                  <a:alpha val="13000"/>
                </a:srgbClr>
              </a:solidFill>
              <a:ln>
                <a:noFill/>
              </a:ln>
              <a:effectLst/>
            </c:spPr>
            <c:extLst>
              <c:ext xmlns:c16="http://schemas.microsoft.com/office/drawing/2014/chart" uri="{C3380CC4-5D6E-409C-BE32-E72D297353CC}">
                <c16:uniqueId val="{00000001-31A1-4A44-B60A-53E235F261F3}"/>
              </c:ext>
            </c:extLst>
          </c:dPt>
          <c:dPt>
            <c:idx val="8"/>
            <c:invertIfNegative val="0"/>
            <c:bubble3D val="0"/>
            <c:spPr>
              <a:solidFill>
                <a:schemeClr val="bg1">
                  <a:lumMod val="85000"/>
                  <a:alpha val="30000"/>
                </a:schemeClr>
              </a:solidFill>
              <a:ln>
                <a:noFill/>
              </a:ln>
              <a:effectLst/>
            </c:spPr>
            <c:extLst>
              <c:ext xmlns:c16="http://schemas.microsoft.com/office/drawing/2014/chart" uri="{C3380CC4-5D6E-409C-BE32-E72D297353CC}">
                <c16:uniqueId val="{00000034-31A1-4A44-B60A-53E235F261F3}"/>
              </c:ext>
            </c:extLst>
          </c:dPt>
          <c:dPt>
            <c:idx val="9"/>
            <c:invertIfNegative val="0"/>
            <c:bubble3D val="0"/>
            <c:spPr>
              <a:solidFill>
                <a:schemeClr val="bg1">
                  <a:lumMod val="75000"/>
                  <a:alpha val="80000"/>
                </a:schemeClr>
              </a:solidFill>
              <a:ln>
                <a:noFill/>
              </a:ln>
              <a:effectLst/>
            </c:spPr>
            <c:extLst>
              <c:ext xmlns:c16="http://schemas.microsoft.com/office/drawing/2014/chart" uri="{C3380CC4-5D6E-409C-BE32-E72D297353CC}">
                <c16:uniqueId val="{00000035-31A1-4A44-B60A-53E235F261F3}"/>
              </c:ext>
            </c:extLst>
          </c:dPt>
          <c:dPt>
            <c:idx val="10"/>
            <c:invertIfNegative val="0"/>
            <c:bubble3D val="0"/>
            <c:spPr>
              <a:solidFill>
                <a:schemeClr val="bg1">
                  <a:lumMod val="75000"/>
                </a:schemeClr>
              </a:solidFill>
              <a:ln>
                <a:noFill/>
              </a:ln>
              <a:effectLst/>
            </c:spPr>
            <c:extLst>
              <c:ext xmlns:c16="http://schemas.microsoft.com/office/drawing/2014/chart" uri="{C3380CC4-5D6E-409C-BE32-E72D297353CC}">
                <c16:uniqueId val="{00000036-31A1-4A44-B60A-53E235F261F3}"/>
              </c:ext>
            </c:extLst>
          </c:dPt>
          <c:dPt>
            <c:idx val="11"/>
            <c:invertIfNegative val="0"/>
            <c:bubble3D val="0"/>
            <c:spPr>
              <a:solidFill>
                <a:schemeClr val="bg1">
                  <a:lumMod val="75000"/>
                  <a:alpha val="90000"/>
                </a:schemeClr>
              </a:solidFill>
              <a:ln>
                <a:noFill/>
              </a:ln>
              <a:effectLst/>
            </c:spPr>
            <c:extLst>
              <c:ext xmlns:c16="http://schemas.microsoft.com/office/drawing/2014/chart" uri="{C3380CC4-5D6E-409C-BE32-E72D297353CC}">
                <c16:uniqueId val="{00000037-31A1-4A44-B60A-53E235F261F3}"/>
              </c:ext>
            </c:extLst>
          </c:dPt>
          <c:dPt>
            <c:idx val="12"/>
            <c:invertIfNegative val="0"/>
            <c:bubble3D val="0"/>
            <c:spPr>
              <a:solidFill>
                <a:schemeClr val="bg1">
                  <a:lumMod val="75000"/>
                  <a:alpha val="80000"/>
                </a:schemeClr>
              </a:solidFill>
              <a:ln>
                <a:noFill/>
              </a:ln>
              <a:effectLst/>
            </c:spPr>
            <c:extLst>
              <c:ext xmlns:c16="http://schemas.microsoft.com/office/drawing/2014/chart" uri="{C3380CC4-5D6E-409C-BE32-E72D297353CC}">
                <c16:uniqueId val="{00000038-31A1-4A44-B60A-53E235F261F3}"/>
              </c:ext>
            </c:extLst>
          </c:dPt>
          <c:dPt>
            <c:idx val="13"/>
            <c:invertIfNegative val="0"/>
            <c:bubble3D val="0"/>
            <c:spPr>
              <a:solidFill>
                <a:schemeClr val="bg1">
                  <a:lumMod val="75000"/>
                  <a:alpha val="70000"/>
                </a:schemeClr>
              </a:solidFill>
              <a:ln>
                <a:noFill/>
              </a:ln>
              <a:effectLst/>
            </c:spPr>
            <c:extLst>
              <c:ext xmlns:c16="http://schemas.microsoft.com/office/drawing/2014/chart" uri="{C3380CC4-5D6E-409C-BE32-E72D297353CC}">
                <c16:uniqueId val="{00000039-31A1-4A44-B60A-53E235F261F3}"/>
              </c:ext>
            </c:extLst>
          </c:dPt>
          <c:dPt>
            <c:idx val="14"/>
            <c:invertIfNegative val="0"/>
            <c:bubble3D val="0"/>
            <c:spPr>
              <a:solidFill>
                <a:schemeClr val="bg1">
                  <a:lumMod val="85000"/>
                </a:schemeClr>
              </a:solidFill>
              <a:ln>
                <a:noFill/>
              </a:ln>
              <a:effectLst/>
            </c:spPr>
            <c:extLst>
              <c:ext xmlns:c16="http://schemas.microsoft.com/office/drawing/2014/chart" uri="{C3380CC4-5D6E-409C-BE32-E72D297353CC}">
                <c16:uniqueId val="{0000003A-31A1-4A44-B60A-53E235F261F3}"/>
              </c:ext>
            </c:extLst>
          </c:dPt>
          <c:dPt>
            <c:idx val="15"/>
            <c:invertIfNegative val="0"/>
            <c:bubble3D val="0"/>
            <c:spPr>
              <a:solidFill>
                <a:schemeClr val="bg1">
                  <a:lumMod val="85000"/>
                </a:schemeClr>
              </a:solidFill>
              <a:ln>
                <a:noFill/>
              </a:ln>
              <a:effectLst/>
            </c:spPr>
            <c:extLst>
              <c:ext xmlns:c16="http://schemas.microsoft.com/office/drawing/2014/chart" uri="{C3380CC4-5D6E-409C-BE32-E72D297353CC}">
                <c16:uniqueId val="{0000003B-31A1-4A44-B60A-53E235F261F3}"/>
              </c:ext>
            </c:extLst>
          </c:dPt>
          <c:dPt>
            <c:idx val="16"/>
            <c:invertIfNegative val="0"/>
            <c:bubble3D val="0"/>
            <c:spPr>
              <a:solidFill>
                <a:schemeClr val="bg1">
                  <a:lumMod val="85000"/>
                  <a:alpha val="80000"/>
                </a:schemeClr>
              </a:solidFill>
              <a:ln>
                <a:noFill/>
              </a:ln>
              <a:effectLst/>
            </c:spPr>
            <c:extLst>
              <c:ext xmlns:c16="http://schemas.microsoft.com/office/drawing/2014/chart" uri="{C3380CC4-5D6E-409C-BE32-E72D297353CC}">
                <c16:uniqueId val="{0000003C-31A1-4A44-B60A-53E235F261F3}"/>
              </c:ext>
            </c:extLst>
          </c:dPt>
          <c:dPt>
            <c:idx val="17"/>
            <c:invertIfNegative val="0"/>
            <c:bubble3D val="0"/>
            <c:spPr>
              <a:solidFill>
                <a:schemeClr val="bg1">
                  <a:lumMod val="85000"/>
                  <a:alpha val="75000"/>
                </a:schemeClr>
              </a:solidFill>
              <a:ln>
                <a:noFill/>
              </a:ln>
              <a:effectLst/>
            </c:spPr>
            <c:extLst>
              <c:ext xmlns:c16="http://schemas.microsoft.com/office/drawing/2014/chart" uri="{C3380CC4-5D6E-409C-BE32-E72D297353CC}">
                <c16:uniqueId val="{00000002-31A1-4A44-B60A-53E235F261F3}"/>
              </c:ext>
            </c:extLst>
          </c:dPt>
          <c:dPt>
            <c:idx val="18"/>
            <c:invertIfNegative val="0"/>
            <c:bubble3D val="0"/>
            <c:spPr>
              <a:solidFill>
                <a:schemeClr val="bg1">
                  <a:lumMod val="85000"/>
                  <a:alpha val="70000"/>
                </a:schemeClr>
              </a:solidFill>
              <a:ln>
                <a:noFill/>
              </a:ln>
              <a:effectLst/>
            </c:spPr>
            <c:extLst>
              <c:ext xmlns:c16="http://schemas.microsoft.com/office/drawing/2014/chart" uri="{C3380CC4-5D6E-409C-BE32-E72D297353CC}">
                <c16:uniqueId val="{00000003-31A1-4A44-B60A-53E235F261F3}"/>
              </c:ext>
            </c:extLst>
          </c:dPt>
          <c:dPt>
            <c:idx val="19"/>
            <c:invertIfNegative val="0"/>
            <c:bubble3D val="0"/>
            <c:spPr>
              <a:solidFill>
                <a:srgbClr val="FF0000">
                  <a:alpha val="5000"/>
                </a:srgbClr>
              </a:solidFill>
              <a:ln>
                <a:noFill/>
              </a:ln>
              <a:effectLst/>
            </c:spPr>
            <c:extLst>
              <c:ext xmlns:c16="http://schemas.microsoft.com/office/drawing/2014/chart" uri="{C3380CC4-5D6E-409C-BE32-E72D297353CC}">
                <c16:uniqueId val="{00000005-31A1-4A44-B60A-53E235F261F3}"/>
              </c:ext>
            </c:extLst>
          </c:dPt>
          <c:dPt>
            <c:idx val="20"/>
            <c:invertIfNegative val="0"/>
            <c:bubble3D val="0"/>
            <c:spPr>
              <a:solidFill>
                <a:schemeClr val="bg1">
                  <a:lumMod val="85000"/>
                  <a:alpha val="60000"/>
                </a:schemeClr>
              </a:solidFill>
              <a:ln>
                <a:noFill/>
              </a:ln>
              <a:effectLst/>
            </c:spPr>
            <c:extLst>
              <c:ext xmlns:c16="http://schemas.microsoft.com/office/drawing/2014/chart" uri="{C3380CC4-5D6E-409C-BE32-E72D297353CC}">
                <c16:uniqueId val="{00000006-31A1-4A44-B60A-53E235F261F3}"/>
              </c:ext>
            </c:extLst>
          </c:dPt>
          <c:dPt>
            <c:idx val="21"/>
            <c:invertIfNegative val="0"/>
            <c:bubble3D val="0"/>
            <c:spPr>
              <a:solidFill>
                <a:schemeClr val="bg1">
                  <a:lumMod val="85000"/>
                  <a:alpha val="40000"/>
                </a:schemeClr>
              </a:solidFill>
              <a:ln>
                <a:noFill/>
              </a:ln>
              <a:effectLst/>
            </c:spPr>
            <c:extLst>
              <c:ext xmlns:c16="http://schemas.microsoft.com/office/drawing/2014/chart" uri="{C3380CC4-5D6E-409C-BE32-E72D297353CC}">
                <c16:uniqueId val="{00000007-31A1-4A44-B60A-53E235F261F3}"/>
              </c:ext>
            </c:extLst>
          </c:dPt>
          <c:dPt>
            <c:idx val="22"/>
            <c:invertIfNegative val="0"/>
            <c:bubble3D val="0"/>
            <c:spPr>
              <a:solidFill>
                <a:schemeClr val="bg1">
                  <a:lumMod val="85000"/>
                  <a:alpha val="30000"/>
                </a:schemeClr>
              </a:solidFill>
              <a:ln>
                <a:noFill/>
              </a:ln>
              <a:effectLst/>
            </c:spPr>
            <c:extLst>
              <c:ext xmlns:c16="http://schemas.microsoft.com/office/drawing/2014/chart" uri="{C3380CC4-5D6E-409C-BE32-E72D297353CC}">
                <c16:uniqueId val="{00000008-31A1-4A44-B60A-53E235F261F3}"/>
              </c:ext>
            </c:extLst>
          </c:dPt>
          <c:dPt>
            <c:idx val="23"/>
            <c:invertIfNegative val="0"/>
            <c:bubble3D val="0"/>
            <c:spPr>
              <a:solidFill>
                <a:srgbClr val="FF0000">
                  <a:alpha val="10000"/>
                </a:srgbClr>
              </a:solidFill>
              <a:ln>
                <a:noFill/>
              </a:ln>
              <a:effectLst/>
            </c:spPr>
            <c:extLst>
              <c:ext xmlns:c16="http://schemas.microsoft.com/office/drawing/2014/chart" uri="{C3380CC4-5D6E-409C-BE32-E72D297353CC}">
                <c16:uniqueId val="{0000000A-31A1-4A44-B60A-53E235F261F3}"/>
              </c:ext>
            </c:extLst>
          </c:dPt>
          <c:dPt>
            <c:idx val="24"/>
            <c:invertIfNegative val="0"/>
            <c:bubble3D val="0"/>
            <c:spPr>
              <a:solidFill>
                <a:srgbClr val="FF0000">
                  <a:alpha val="5000"/>
                </a:srgbClr>
              </a:solidFill>
              <a:ln>
                <a:noFill/>
              </a:ln>
              <a:effectLst/>
            </c:spPr>
            <c:extLst>
              <c:ext xmlns:c16="http://schemas.microsoft.com/office/drawing/2014/chart" uri="{C3380CC4-5D6E-409C-BE32-E72D297353CC}">
                <c16:uniqueId val="{0000000C-31A1-4A44-B60A-53E235F261F3}"/>
              </c:ext>
            </c:extLst>
          </c:dPt>
          <c:dPt>
            <c:idx val="25"/>
            <c:invertIfNegative val="0"/>
            <c:bubble3D val="0"/>
            <c:spPr>
              <a:solidFill>
                <a:srgbClr val="FF0000">
                  <a:alpha val="10000"/>
                </a:srgbClr>
              </a:solidFill>
              <a:ln>
                <a:noFill/>
              </a:ln>
              <a:effectLst/>
            </c:spPr>
            <c:extLst>
              <c:ext xmlns:c16="http://schemas.microsoft.com/office/drawing/2014/chart" uri="{C3380CC4-5D6E-409C-BE32-E72D297353CC}">
                <c16:uniqueId val="{0000000E-31A1-4A44-B60A-53E235F261F3}"/>
              </c:ext>
            </c:extLst>
          </c:dPt>
          <c:dPt>
            <c:idx val="26"/>
            <c:invertIfNegative val="0"/>
            <c:bubble3D val="0"/>
            <c:spPr>
              <a:solidFill>
                <a:srgbClr val="FF0000">
                  <a:alpha val="13000"/>
                </a:srgbClr>
              </a:solidFill>
              <a:ln>
                <a:noFill/>
              </a:ln>
              <a:effectLst/>
            </c:spPr>
            <c:extLst>
              <c:ext xmlns:c16="http://schemas.microsoft.com/office/drawing/2014/chart" uri="{C3380CC4-5D6E-409C-BE32-E72D297353CC}">
                <c16:uniqueId val="{00000010-31A1-4A44-B60A-53E235F261F3}"/>
              </c:ext>
            </c:extLst>
          </c:dPt>
          <c:dPt>
            <c:idx val="27"/>
            <c:invertIfNegative val="0"/>
            <c:bubble3D val="0"/>
            <c:spPr>
              <a:solidFill>
                <a:srgbClr val="FF0000">
                  <a:alpha val="17000"/>
                </a:srgbClr>
              </a:solidFill>
              <a:ln>
                <a:noFill/>
              </a:ln>
              <a:effectLst/>
            </c:spPr>
            <c:extLst>
              <c:ext xmlns:c16="http://schemas.microsoft.com/office/drawing/2014/chart" uri="{C3380CC4-5D6E-409C-BE32-E72D297353CC}">
                <c16:uniqueId val="{00000012-31A1-4A44-B60A-53E235F261F3}"/>
              </c:ext>
            </c:extLst>
          </c:dPt>
          <c:dPt>
            <c:idx val="28"/>
            <c:invertIfNegative val="0"/>
            <c:bubble3D val="0"/>
            <c:spPr>
              <a:solidFill>
                <a:srgbClr val="FF0000">
                  <a:alpha val="20000"/>
                </a:srgbClr>
              </a:solidFill>
              <a:ln>
                <a:noFill/>
              </a:ln>
              <a:effectLst/>
            </c:spPr>
            <c:extLst>
              <c:ext xmlns:c16="http://schemas.microsoft.com/office/drawing/2014/chart" uri="{C3380CC4-5D6E-409C-BE32-E72D297353CC}">
                <c16:uniqueId val="{00000014-31A1-4A44-B60A-53E235F261F3}"/>
              </c:ext>
            </c:extLst>
          </c:dPt>
          <c:dPt>
            <c:idx val="29"/>
            <c:invertIfNegative val="0"/>
            <c:bubble3D val="0"/>
            <c:spPr>
              <a:solidFill>
                <a:srgbClr val="FF0000">
                  <a:alpha val="22000"/>
                </a:srgbClr>
              </a:solidFill>
              <a:ln>
                <a:noFill/>
              </a:ln>
              <a:effectLst/>
            </c:spPr>
            <c:extLst>
              <c:ext xmlns:c16="http://schemas.microsoft.com/office/drawing/2014/chart" uri="{C3380CC4-5D6E-409C-BE32-E72D297353CC}">
                <c16:uniqueId val="{00000016-31A1-4A44-B60A-53E235F261F3}"/>
              </c:ext>
            </c:extLst>
          </c:dPt>
          <c:dPt>
            <c:idx val="30"/>
            <c:invertIfNegative val="0"/>
            <c:bubble3D val="0"/>
            <c:spPr>
              <a:solidFill>
                <a:srgbClr val="FF0000">
                  <a:alpha val="25000"/>
                </a:srgbClr>
              </a:solidFill>
              <a:ln>
                <a:noFill/>
              </a:ln>
              <a:effectLst/>
            </c:spPr>
            <c:extLst>
              <c:ext xmlns:c16="http://schemas.microsoft.com/office/drawing/2014/chart" uri="{C3380CC4-5D6E-409C-BE32-E72D297353CC}">
                <c16:uniqueId val="{00000018-31A1-4A44-B60A-53E235F261F3}"/>
              </c:ext>
            </c:extLst>
          </c:dPt>
          <c:dPt>
            <c:idx val="31"/>
            <c:invertIfNegative val="0"/>
            <c:bubble3D val="0"/>
            <c:spPr>
              <a:solidFill>
                <a:srgbClr val="FF0000">
                  <a:alpha val="27000"/>
                </a:srgbClr>
              </a:solidFill>
              <a:ln>
                <a:noFill/>
              </a:ln>
              <a:effectLst/>
            </c:spPr>
            <c:extLst>
              <c:ext xmlns:c16="http://schemas.microsoft.com/office/drawing/2014/chart" uri="{C3380CC4-5D6E-409C-BE32-E72D297353CC}">
                <c16:uniqueId val="{0000001A-31A1-4A44-B60A-53E235F261F3}"/>
              </c:ext>
            </c:extLst>
          </c:dPt>
          <c:dPt>
            <c:idx val="32"/>
            <c:invertIfNegative val="0"/>
            <c:bubble3D val="0"/>
            <c:spPr>
              <a:solidFill>
                <a:srgbClr val="FF0000">
                  <a:alpha val="30000"/>
                </a:srgbClr>
              </a:solidFill>
              <a:ln>
                <a:noFill/>
              </a:ln>
              <a:effectLst/>
            </c:spPr>
            <c:extLst>
              <c:ext xmlns:c16="http://schemas.microsoft.com/office/drawing/2014/chart" uri="{C3380CC4-5D6E-409C-BE32-E72D297353CC}">
                <c16:uniqueId val="{0000001C-31A1-4A44-B60A-53E235F261F3}"/>
              </c:ext>
            </c:extLst>
          </c:dPt>
          <c:dPt>
            <c:idx val="33"/>
            <c:invertIfNegative val="0"/>
            <c:bubble3D val="0"/>
            <c:spPr>
              <a:solidFill>
                <a:srgbClr val="FF0000">
                  <a:alpha val="31000"/>
                </a:srgbClr>
              </a:solidFill>
              <a:ln>
                <a:noFill/>
              </a:ln>
              <a:effectLst/>
            </c:spPr>
            <c:extLst>
              <c:ext xmlns:c16="http://schemas.microsoft.com/office/drawing/2014/chart" uri="{C3380CC4-5D6E-409C-BE32-E72D297353CC}">
                <c16:uniqueId val="{0000001E-31A1-4A44-B60A-53E235F261F3}"/>
              </c:ext>
            </c:extLst>
          </c:dPt>
          <c:dPt>
            <c:idx val="34"/>
            <c:invertIfNegative val="0"/>
            <c:bubble3D val="0"/>
            <c:spPr>
              <a:solidFill>
                <a:srgbClr val="FF0000">
                  <a:alpha val="33000"/>
                </a:srgbClr>
              </a:solidFill>
              <a:ln>
                <a:noFill/>
              </a:ln>
              <a:effectLst/>
            </c:spPr>
            <c:extLst>
              <c:ext xmlns:c16="http://schemas.microsoft.com/office/drawing/2014/chart" uri="{C3380CC4-5D6E-409C-BE32-E72D297353CC}">
                <c16:uniqueId val="{00000020-31A1-4A44-B60A-53E235F261F3}"/>
              </c:ext>
            </c:extLst>
          </c:dPt>
          <c:dPt>
            <c:idx val="35"/>
            <c:invertIfNegative val="0"/>
            <c:bubble3D val="0"/>
            <c:spPr>
              <a:solidFill>
                <a:srgbClr val="FF0000">
                  <a:alpha val="35000"/>
                </a:srgbClr>
              </a:solidFill>
              <a:ln>
                <a:noFill/>
              </a:ln>
              <a:effectLst/>
            </c:spPr>
            <c:extLst>
              <c:ext xmlns:c16="http://schemas.microsoft.com/office/drawing/2014/chart" uri="{C3380CC4-5D6E-409C-BE32-E72D297353CC}">
                <c16:uniqueId val="{00000022-31A1-4A44-B60A-53E235F261F3}"/>
              </c:ext>
            </c:extLst>
          </c:dPt>
          <c:dPt>
            <c:idx val="36"/>
            <c:invertIfNegative val="0"/>
            <c:bubble3D val="0"/>
            <c:spPr>
              <a:solidFill>
                <a:srgbClr val="FF0000">
                  <a:alpha val="37000"/>
                </a:srgbClr>
              </a:solidFill>
              <a:ln>
                <a:noFill/>
              </a:ln>
              <a:effectLst/>
            </c:spPr>
            <c:extLst>
              <c:ext xmlns:c16="http://schemas.microsoft.com/office/drawing/2014/chart" uri="{C3380CC4-5D6E-409C-BE32-E72D297353CC}">
                <c16:uniqueId val="{00000024-31A1-4A44-B60A-53E235F261F3}"/>
              </c:ext>
            </c:extLst>
          </c:dPt>
          <c:dPt>
            <c:idx val="37"/>
            <c:invertIfNegative val="0"/>
            <c:bubble3D val="0"/>
            <c:spPr>
              <a:solidFill>
                <a:srgbClr val="FF0000">
                  <a:alpha val="39000"/>
                </a:srgbClr>
              </a:solidFill>
              <a:ln>
                <a:noFill/>
              </a:ln>
              <a:effectLst/>
            </c:spPr>
            <c:extLst>
              <c:ext xmlns:c16="http://schemas.microsoft.com/office/drawing/2014/chart" uri="{C3380CC4-5D6E-409C-BE32-E72D297353CC}">
                <c16:uniqueId val="{00000026-31A1-4A44-B60A-53E235F261F3}"/>
              </c:ext>
            </c:extLst>
          </c:dPt>
          <c:dPt>
            <c:idx val="38"/>
            <c:invertIfNegative val="0"/>
            <c:bubble3D val="0"/>
            <c:spPr>
              <a:solidFill>
                <a:srgbClr val="FF0000">
                  <a:alpha val="40000"/>
                </a:srgbClr>
              </a:solidFill>
              <a:ln>
                <a:noFill/>
              </a:ln>
              <a:effectLst/>
            </c:spPr>
            <c:extLst>
              <c:ext xmlns:c16="http://schemas.microsoft.com/office/drawing/2014/chart" uri="{C3380CC4-5D6E-409C-BE32-E72D297353CC}">
                <c16:uniqueId val="{00000028-31A1-4A44-B60A-53E235F261F3}"/>
              </c:ext>
            </c:extLst>
          </c:dPt>
          <c:dPt>
            <c:idx val="39"/>
            <c:invertIfNegative val="0"/>
            <c:bubble3D val="0"/>
            <c:spPr>
              <a:solidFill>
                <a:srgbClr val="FF0000">
                  <a:alpha val="41000"/>
                </a:srgbClr>
              </a:solidFill>
              <a:ln>
                <a:noFill/>
              </a:ln>
              <a:effectLst/>
            </c:spPr>
            <c:extLst>
              <c:ext xmlns:c16="http://schemas.microsoft.com/office/drawing/2014/chart" uri="{C3380CC4-5D6E-409C-BE32-E72D297353CC}">
                <c16:uniqueId val="{0000002A-31A1-4A44-B60A-53E235F261F3}"/>
              </c:ext>
            </c:extLst>
          </c:dPt>
          <c:dPt>
            <c:idx val="40"/>
            <c:invertIfNegative val="0"/>
            <c:bubble3D val="0"/>
            <c:spPr>
              <a:solidFill>
                <a:srgbClr val="FF0000">
                  <a:alpha val="42000"/>
                </a:srgbClr>
              </a:solidFill>
              <a:ln>
                <a:noFill/>
              </a:ln>
              <a:effectLst/>
            </c:spPr>
            <c:extLst>
              <c:ext xmlns:c16="http://schemas.microsoft.com/office/drawing/2014/chart" uri="{C3380CC4-5D6E-409C-BE32-E72D297353CC}">
                <c16:uniqueId val="{0000002C-31A1-4A44-B60A-53E235F261F3}"/>
              </c:ext>
            </c:extLst>
          </c:dPt>
          <c:dLbls>
            <c:dLbl>
              <c:idx val="0"/>
              <c:tx>
                <c:rich>
                  <a:bodyPr/>
                  <a:lstStyle/>
                  <a:p>
                    <a:fld id="{BCCCF2C8-671C-491B-B80F-2B6C5FAC84CF}" type="CELLRANGE">
                      <a:rPr lang="en-US"/>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31A1-4A44-B60A-53E235F261F3}"/>
                </c:ext>
              </c:extLst>
            </c:dLbl>
            <c:dLbl>
              <c:idx val="1"/>
              <c:tx>
                <c:rich>
                  <a:bodyPr/>
                  <a:lstStyle/>
                  <a:p>
                    <a:fld id="{5B338378-0B25-4F68-BD25-999438889128}"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E-31A1-4A44-B60A-53E235F261F3}"/>
                </c:ext>
              </c:extLst>
            </c:dLbl>
            <c:dLbl>
              <c:idx val="2"/>
              <c:tx>
                <c:rich>
                  <a:bodyPr/>
                  <a:lstStyle/>
                  <a:p>
                    <a:fld id="{7CF48070-029D-4284-BD86-D8203DC1DB62}"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F-31A1-4A44-B60A-53E235F261F3}"/>
                </c:ext>
              </c:extLst>
            </c:dLbl>
            <c:dLbl>
              <c:idx val="3"/>
              <c:tx>
                <c:rich>
                  <a:bodyPr/>
                  <a:lstStyle/>
                  <a:p>
                    <a:fld id="{A3A7F642-ADF8-4AC0-9ECB-9B76D3BC1A41}"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0-31A1-4A44-B60A-53E235F261F3}"/>
                </c:ext>
              </c:extLst>
            </c:dLbl>
            <c:dLbl>
              <c:idx val="4"/>
              <c:tx>
                <c:rich>
                  <a:bodyPr/>
                  <a:lstStyle/>
                  <a:p>
                    <a:fld id="{0E57B093-BA4C-4CEC-ABA9-F0E43267FDC2}"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1-31A1-4A44-B60A-53E235F261F3}"/>
                </c:ext>
              </c:extLst>
            </c:dLbl>
            <c:dLbl>
              <c:idx val="5"/>
              <c:tx>
                <c:rich>
                  <a:bodyPr/>
                  <a:lstStyle/>
                  <a:p>
                    <a:fld id="{179B0766-76FA-42E9-B0E0-D3893F17BDAF}"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2-31A1-4A44-B60A-53E235F261F3}"/>
                </c:ext>
              </c:extLst>
            </c:dLbl>
            <c:dLbl>
              <c:idx val="6"/>
              <c:tx>
                <c:rich>
                  <a:bodyPr/>
                  <a:lstStyle/>
                  <a:p>
                    <a:fld id="{7D5BADC8-E9B4-42C6-A3E1-CD528B66A30E}"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3-31A1-4A44-B60A-53E235F261F3}"/>
                </c:ext>
              </c:extLst>
            </c:dLbl>
            <c:dLbl>
              <c:idx val="7"/>
              <c:tx>
                <c:rich>
                  <a:bodyPr/>
                  <a:lstStyle/>
                  <a:p>
                    <a:fld id="{71EEDFAD-4CAC-4006-B7C6-5A1C22742BDC}"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1A1-4A44-B60A-53E235F261F3}"/>
                </c:ext>
              </c:extLst>
            </c:dLbl>
            <c:dLbl>
              <c:idx val="8"/>
              <c:tx>
                <c:rich>
                  <a:bodyPr/>
                  <a:lstStyle/>
                  <a:p>
                    <a:fld id="{0B507359-9B8F-4A9A-8379-5E5310AF1ACC}"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4-31A1-4A44-B60A-53E235F261F3}"/>
                </c:ext>
              </c:extLst>
            </c:dLbl>
            <c:dLbl>
              <c:idx val="9"/>
              <c:tx>
                <c:rich>
                  <a:bodyPr/>
                  <a:lstStyle/>
                  <a:p>
                    <a:fld id="{B2656722-B83E-40D3-8A8E-4327F32FA9B8}"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5-31A1-4A44-B60A-53E235F261F3}"/>
                </c:ext>
              </c:extLst>
            </c:dLbl>
            <c:dLbl>
              <c:idx val="10"/>
              <c:tx>
                <c:rich>
                  <a:bodyPr/>
                  <a:lstStyle/>
                  <a:p>
                    <a:fld id="{A8C3BC2E-1E67-4D1C-A5BC-D6CB30809C39}"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31A1-4A44-B60A-53E235F261F3}"/>
                </c:ext>
              </c:extLst>
            </c:dLbl>
            <c:dLbl>
              <c:idx val="11"/>
              <c:tx>
                <c:rich>
                  <a:bodyPr/>
                  <a:lstStyle/>
                  <a:p>
                    <a:fld id="{A4A1377E-315B-449F-B6FA-FBECFDFC93D3}"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7-31A1-4A44-B60A-53E235F261F3}"/>
                </c:ext>
              </c:extLst>
            </c:dLbl>
            <c:dLbl>
              <c:idx val="12"/>
              <c:tx>
                <c:rich>
                  <a:bodyPr/>
                  <a:lstStyle/>
                  <a:p>
                    <a:fld id="{F7784345-64E3-4889-8B08-3A074A41AE23}"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8-31A1-4A44-B60A-53E235F261F3}"/>
                </c:ext>
              </c:extLst>
            </c:dLbl>
            <c:dLbl>
              <c:idx val="13"/>
              <c:tx>
                <c:rich>
                  <a:bodyPr/>
                  <a:lstStyle/>
                  <a:p>
                    <a:fld id="{B0DD8B6C-492C-4D59-BC52-451B9DB79C97}"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9-31A1-4A44-B60A-53E235F261F3}"/>
                </c:ext>
              </c:extLst>
            </c:dLbl>
            <c:dLbl>
              <c:idx val="14"/>
              <c:tx>
                <c:rich>
                  <a:bodyPr/>
                  <a:lstStyle/>
                  <a:p>
                    <a:fld id="{9EECC235-1FFA-4666-A4F4-E76698E2D983}"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A-31A1-4A44-B60A-53E235F261F3}"/>
                </c:ext>
              </c:extLst>
            </c:dLbl>
            <c:dLbl>
              <c:idx val="15"/>
              <c:tx>
                <c:rich>
                  <a:bodyPr/>
                  <a:lstStyle/>
                  <a:p>
                    <a:fld id="{04DB4699-6D40-4BDD-86C4-F4E77850EDBD}"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B-31A1-4A44-B60A-53E235F261F3}"/>
                </c:ext>
              </c:extLst>
            </c:dLbl>
            <c:dLbl>
              <c:idx val="16"/>
              <c:tx>
                <c:rich>
                  <a:bodyPr/>
                  <a:lstStyle/>
                  <a:p>
                    <a:fld id="{16413C3C-DE3C-4B97-980D-63CF44006A19}"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C-31A1-4A44-B60A-53E235F261F3}"/>
                </c:ext>
              </c:extLst>
            </c:dLbl>
            <c:dLbl>
              <c:idx val="17"/>
              <c:tx>
                <c:rich>
                  <a:bodyPr/>
                  <a:lstStyle/>
                  <a:p>
                    <a:fld id="{BC67D221-5243-4A81-89D1-AD78E811E237}"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31A1-4A44-B60A-53E235F261F3}"/>
                </c:ext>
              </c:extLst>
            </c:dLbl>
            <c:dLbl>
              <c:idx val="18"/>
              <c:tx>
                <c:rich>
                  <a:bodyPr/>
                  <a:lstStyle/>
                  <a:p>
                    <a:fld id="{80BC72F6-61E8-4A47-B8DC-EAB5D1544560}"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31A1-4A44-B60A-53E235F261F3}"/>
                </c:ext>
              </c:extLst>
            </c:dLbl>
            <c:dLbl>
              <c:idx val="19"/>
              <c:tx>
                <c:rich>
                  <a:bodyPr/>
                  <a:lstStyle/>
                  <a:p>
                    <a:fld id="{99F65905-7702-4835-AB5E-3DCC57DF754D}"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31A1-4A44-B60A-53E235F261F3}"/>
                </c:ext>
              </c:extLst>
            </c:dLbl>
            <c:dLbl>
              <c:idx val="20"/>
              <c:tx>
                <c:rich>
                  <a:bodyPr/>
                  <a:lstStyle/>
                  <a:p>
                    <a:fld id="{136D3EEA-C223-4B2C-BBBD-15E881BF3847}"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31A1-4A44-B60A-53E235F261F3}"/>
                </c:ext>
              </c:extLst>
            </c:dLbl>
            <c:dLbl>
              <c:idx val="21"/>
              <c:layout>
                <c:manualLayout>
                  <c:x val="0"/>
                  <c:y val="0.19181286549707591"/>
                </c:manualLayout>
              </c:layout>
              <c:tx>
                <c:rich>
                  <a:bodyPr/>
                  <a:lstStyle/>
                  <a:p>
                    <a:fld id="{1255F44A-B1DB-46FF-9EC3-267C4D0BBA24}"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31A1-4A44-B60A-53E235F261F3}"/>
                </c:ext>
              </c:extLst>
            </c:dLbl>
            <c:dLbl>
              <c:idx val="22"/>
              <c:tx>
                <c:rich>
                  <a:bodyPr/>
                  <a:lstStyle/>
                  <a:p>
                    <a:fld id="{25F2C0FC-6340-45B9-B3A3-68095858404E}"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31A1-4A44-B60A-53E235F261F3}"/>
                </c:ext>
              </c:extLst>
            </c:dLbl>
            <c:dLbl>
              <c:idx val="23"/>
              <c:layout>
                <c:manualLayout>
                  <c:x val="-2.2048285745784072E-3"/>
                  <c:y val="0.16799015081563548"/>
                </c:manualLayout>
              </c:layout>
              <c:tx>
                <c:rich>
                  <a:bodyPr/>
                  <a:lstStyle/>
                  <a:p>
                    <a:fld id="{15391751-E3CA-4069-A6CE-65D241AD583A}"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31A1-4A44-B60A-53E235F261F3}"/>
                </c:ext>
              </c:extLst>
            </c:dLbl>
            <c:dLbl>
              <c:idx val="24"/>
              <c:tx>
                <c:rich>
                  <a:bodyPr/>
                  <a:lstStyle/>
                  <a:p>
                    <a:fld id="{9C4C9892-0307-4BAD-AF3A-C2D6DBBE3D47}"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31A1-4A44-B60A-53E235F261F3}"/>
                </c:ext>
              </c:extLst>
            </c:dLbl>
            <c:dLbl>
              <c:idx val="25"/>
              <c:tx>
                <c:rich>
                  <a:bodyPr/>
                  <a:lstStyle/>
                  <a:p>
                    <a:fld id="{5AAC1778-121C-4646-9265-6699ED105B68}"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31A1-4A44-B60A-53E235F261F3}"/>
                </c:ext>
              </c:extLst>
            </c:dLbl>
            <c:dLbl>
              <c:idx val="26"/>
              <c:tx>
                <c:rich>
                  <a:bodyPr/>
                  <a:lstStyle/>
                  <a:p>
                    <a:fld id="{F43AC9B7-05AB-424D-959D-59D4A4B90DE1}"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31A1-4A44-B60A-53E235F261F3}"/>
                </c:ext>
              </c:extLst>
            </c:dLbl>
            <c:dLbl>
              <c:idx val="27"/>
              <c:tx>
                <c:rich>
                  <a:bodyPr/>
                  <a:lstStyle/>
                  <a:p>
                    <a:fld id="{8AAF7774-881C-4557-B5C7-70B4FA841D1F}"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31A1-4A44-B60A-53E235F261F3}"/>
                </c:ext>
              </c:extLst>
            </c:dLbl>
            <c:dLbl>
              <c:idx val="28"/>
              <c:tx>
                <c:rich>
                  <a:bodyPr/>
                  <a:lstStyle/>
                  <a:p>
                    <a:fld id="{1E37F55D-6A7F-4269-9C6D-18C8DC0D03C6}"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31A1-4A44-B60A-53E235F261F3}"/>
                </c:ext>
              </c:extLst>
            </c:dLbl>
            <c:dLbl>
              <c:idx val="29"/>
              <c:tx>
                <c:rich>
                  <a:bodyPr/>
                  <a:lstStyle/>
                  <a:p>
                    <a:fld id="{FB446693-2CBB-4076-A7BD-110DB962B60C}"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31A1-4A44-B60A-53E235F261F3}"/>
                </c:ext>
              </c:extLst>
            </c:dLbl>
            <c:dLbl>
              <c:idx val="30"/>
              <c:layout>
                <c:manualLayout>
                  <c:x val="0"/>
                  <c:y val="0.16183441058787307"/>
                </c:manualLayout>
              </c:layout>
              <c:tx>
                <c:rich>
                  <a:bodyPr/>
                  <a:lstStyle/>
                  <a:p>
                    <a:fld id="{EE198660-C8BA-4A71-83E4-831E7088CC8B}"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31A1-4A44-B60A-53E235F261F3}"/>
                </c:ext>
              </c:extLst>
            </c:dLbl>
            <c:dLbl>
              <c:idx val="31"/>
              <c:tx>
                <c:rich>
                  <a:bodyPr/>
                  <a:lstStyle/>
                  <a:p>
                    <a:fld id="{92DCFB7B-5CC1-4038-A9BE-6903C6D966C2}"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31A1-4A44-B60A-53E235F261F3}"/>
                </c:ext>
              </c:extLst>
            </c:dLbl>
            <c:dLbl>
              <c:idx val="32"/>
              <c:tx>
                <c:rich>
                  <a:bodyPr/>
                  <a:lstStyle/>
                  <a:p>
                    <a:fld id="{8DC117BE-0D49-424A-BC8D-9DDB5404EC6B}"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31A1-4A44-B60A-53E235F261F3}"/>
                </c:ext>
              </c:extLst>
            </c:dLbl>
            <c:dLbl>
              <c:idx val="33"/>
              <c:tx>
                <c:rich>
                  <a:bodyPr/>
                  <a:lstStyle/>
                  <a:p>
                    <a:fld id="{74E06964-31FE-4F8A-B8E2-CDC39F527C24}"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31A1-4A44-B60A-53E235F261F3}"/>
                </c:ext>
              </c:extLst>
            </c:dLbl>
            <c:dLbl>
              <c:idx val="34"/>
              <c:tx>
                <c:rich>
                  <a:bodyPr/>
                  <a:lstStyle/>
                  <a:p>
                    <a:fld id="{1DD87082-C3D2-48FB-848D-EF65896200AB}"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31A1-4A44-B60A-53E235F261F3}"/>
                </c:ext>
              </c:extLst>
            </c:dLbl>
            <c:dLbl>
              <c:idx val="35"/>
              <c:tx>
                <c:rich>
                  <a:bodyPr/>
                  <a:lstStyle/>
                  <a:p>
                    <a:fld id="{46C8D7CE-F4AF-4AE0-A565-89FA6293FEF3}"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31A1-4A44-B60A-53E235F261F3}"/>
                </c:ext>
              </c:extLst>
            </c:dLbl>
            <c:dLbl>
              <c:idx val="36"/>
              <c:tx>
                <c:rich>
                  <a:bodyPr/>
                  <a:lstStyle/>
                  <a:p>
                    <a:fld id="{9882F01D-F27C-4C43-8CDE-FBBAAA999C1E}"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31A1-4A44-B60A-53E235F261F3}"/>
                </c:ext>
              </c:extLst>
            </c:dLbl>
            <c:dLbl>
              <c:idx val="37"/>
              <c:tx>
                <c:rich>
                  <a:bodyPr/>
                  <a:lstStyle/>
                  <a:p>
                    <a:fld id="{32273427-8E9A-4046-AD13-E4474C9E6DD1}"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31A1-4A44-B60A-53E235F261F3}"/>
                </c:ext>
              </c:extLst>
            </c:dLbl>
            <c:dLbl>
              <c:idx val="38"/>
              <c:tx>
                <c:rich>
                  <a:bodyPr/>
                  <a:lstStyle/>
                  <a:p>
                    <a:fld id="{AF982388-3683-4F0E-B563-C6C911FB4BFC}"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31A1-4A44-B60A-53E235F261F3}"/>
                </c:ext>
              </c:extLst>
            </c:dLbl>
            <c:dLbl>
              <c:idx val="39"/>
              <c:tx>
                <c:rich>
                  <a:bodyPr/>
                  <a:lstStyle/>
                  <a:p>
                    <a:fld id="{D40A6509-D0AE-4EEA-9C5B-3BE2BFE82891}"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31A1-4A44-B60A-53E235F261F3}"/>
                </c:ext>
              </c:extLst>
            </c:dLbl>
            <c:dLbl>
              <c:idx val="40"/>
              <c:layout>
                <c:manualLayout>
                  <c:x val="-1.6168556099701281E-16"/>
                  <c:y val="0.14952293013234841"/>
                </c:manualLayout>
              </c:layout>
              <c:tx>
                <c:rich>
                  <a:bodyPr/>
                  <a:lstStyle/>
                  <a:p>
                    <a:fld id="{885ED987-5386-41CE-8CA1-C57D0F043E33}"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31A1-4A44-B60A-53E235F261F3}"/>
                </c:ext>
              </c:extLst>
            </c:dLbl>
            <c:spPr>
              <a:noFill/>
              <a:ln>
                <a:noFill/>
              </a:ln>
              <a:effectLst/>
            </c:spPr>
            <c:txPr>
              <a:bodyPr rot="-540000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Segoe UI Light" panose="020B0502040204020203" pitchFamily="34" charset="0"/>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6350" cap="flat" cmpd="sng" algn="ctr">
                      <a:solidFill>
                        <a:schemeClr val="tx1"/>
                      </a:solidFill>
                      <a:prstDash val="solid"/>
                      <a:round/>
                    </a:ln>
                    <a:effectLst/>
                  </c:spPr>
                </c15:leaderLines>
              </c:ext>
            </c:extLst>
          </c:dLbls>
          <c:cat>
            <c:numRef>
              <c:f>Sheet1!$B$1:$AP$1</c:f>
              <c:numCache>
                <c:formatCode>0</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Sheet1!$B$3:$AP$3</c:f>
              <c:numCache>
                <c:formatCode>0</c:formatCode>
                <c:ptCount val="41"/>
                <c:pt idx="0">
                  <c:v>1097.3</c:v>
                </c:pt>
                <c:pt idx="1">
                  <c:v>1081.8</c:v>
                </c:pt>
                <c:pt idx="2">
                  <c:v>1091.7</c:v>
                </c:pt>
                <c:pt idx="3">
                  <c:v>1088.8</c:v>
                </c:pt>
                <c:pt idx="4">
                  <c:v>1092.0999999999999</c:v>
                </c:pt>
                <c:pt idx="5">
                  <c:v>1080.8</c:v>
                </c:pt>
                <c:pt idx="6">
                  <c:v>1108.9000000000001</c:v>
                </c:pt>
                <c:pt idx="7">
                  <c:v>1125.5</c:v>
                </c:pt>
                <c:pt idx="8">
                  <c:v>1143.4000000000001</c:v>
                </c:pt>
                <c:pt idx="9">
                  <c:v>1101.4000000000001</c:v>
                </c:pt>
                <c:pt idx="10">
                  <c:v>1056.5</c:v>
                </c:pt>
                <c:pt idx="11">
                  <c:v>1028.2</c:v>
                </c:pt>
                <c:pt idx="12">
                  <c:v>1030.7</c:v>
                </c:pt>
                <c:pt idx="13">
                  <c:v>1014.3</c:v>
                </c:pt>
                <c:pt idx="14">
                  <c:v>992.3</c:v>
                </c:pt>
                <c:pt idx="15">
                  <c:v>994.2</c:v>
                </c:pt>
                <c:pt idx="16">
                  <c:v>988.6</c:v>
                </c:pt>
                <c:pt idx="17">
                  <c:v>980.3</c:v>
                </c:pt>
                <c:pt idx="18">
                  <c:v>982.17419000000018</c:v>
                </c:pt>
                <c:pt idx="19">
                  <c:v>971.34152000000017</c:v>
                </c:pt>
                <c:pt idx="20">
                  <c:v>971.67090500000006</c:v>
                </c:pt>
                <c:pt idx="21">
                  <c:v>934.62000892500009</c:v>
                </c:pt>
                <c:pt idx="22">
                  <c:v>951.32326502500007</c:v>
                </c:pt>
                <c:pt idx="23">
                  <c:v>945.67088770000078</c:v>
                </c:pt>
                <c:pt idx="24">
                  <c:v>942.73451392499987</c:v>
                </c:pt>
                <c:pt idx="25">
                  <c:v>948.85009550000063</c:v>
                </c:pt>
                <c:pt idx="26">
                  <c:v>946.50561043521873</c:v>
                </c:pt>
                <c:pt idx="27">
                  <c:v>946.230148430604</c:v>
                </c:pt>
                <c:pt idx="28">
                  <c:v>948.11086695638789</c:v>
                </c:pt>
                <c:pt idx="29">
                  <c:v>950.41879756701167</c:v>
                </c:pt>
                <c:pt idx="30">
                  <c:v>953.90027039377219</c:v>
                </c:pt>
                <c:pt idx="31">
                  <c:v>955.30992011394039</c:v>
                </c:pt>
                <c:pt idx="32">
                  <c:v>954.23417761709902</c:v>
                </c:pt>
                <c:pt idx="33">
                  <c:v>952.13213873235497</c:v>
                </c:pt>
                <c:pt idx="34">
                  <c:v>951.13855994861433</c:v>
                </c:pt>
                <c:pt idx="35">
                  <c:v>950.20394263083961</c:v>
                </c:pt>
                <c:pt idx="36">
                  <c:v>948.01556845696473</c:v>
                </c:pt>
                <c:pt idx="37">
                  <c:v>945.85644940505483</c:v>
                </c:pt>
                <c:pt idx="38">
                  <c:v>942.93549557834001</c:v>
                </c:pt>
                <c:pt idx="39">
                  <c:v>939.64220943898431</c:v>
                </c:pt>
                <c:pt idx="40">
                  <c:v>936.14586723002515</c:v>
                </c:pt>
              </c:numCache>
            </c:numRef>
          </c:val>
          <c:extLst>
            <c:ext xmlns:c15="http://schemas.microsoft.com/office/drawing/2012/chart" uri="{02D57815-91ED-43cb-92C2-25804820EDAC}">
              <c15:datalabelsRange>
                <c15:f>Sheet1!$B$7:$AP$7</c15:f>
                <c15:dlblRangeCache>
                  <c:ptCount val="41"/>
                  <c:pt idx="7">
                    <c:v>6.1%</c:v>
                  </c:pt>
                  <c:pt idx="10">
                    <c:v>19.5%</c:v>
                  </c:pt>
                  <c:pt idx="19">
                    <c:v>6.3%</c:v>
                  </c:pt>
                  <c:pt idx="21">
                    <c:v>7.6%</c:v>
                  </c:pt>
                  <c:pt idx="23">
                    <c:v>6.5%</c:v>
                  </c:pt>
                  <c:pt idx="25">
                    <c:v>6.9%</c:v>
                  </c:pt>
                  <c:pt idx="30">
                    <c:v>5.6%</c:v>
                  </c:pt>
                  <c:pt idx="40">
                    <c:v>5.0%</c:v>
                  </c:pt>
                </c15:dlblRangeCache>
              </c15:datalabelsRange>
            </c:ext>
            <c:ext xmlns:c16="http://schemas.microsoft.com/office/drawing/2014/chart" uri="{C3380CC4-5D6E-409C-BE32-E72D297353CC}">
              <c16:uniqueId val="{0000003D-31A1-4A44-B60A-53E235F261F3}"/>
            </c:ext>
          </c:extLst>
        </c:ser>
        <c:ser>
          <c:idx val="4"/>
          <c:order val="1"/>
          <c:tx>
            <c:strRef>
              <c:f>Sheet1!$A$2</c:f>
              <c:strCache>
                <c:ptCount val="1"/>
                <c:pt idx="0">
                  <c:v>Pieprasījums pēc darbaspēka</c:v>
                </c:pt>
              </c:strCache>
            </c:strRef>
          </c:tx>
          <c:spPr>
            <a:solidFill>
              <a:schemeClr val="bg1"/>
            </a:solidFill>
            <a:ln>
              <a:noFill/>
            </a:ln>
            <a:effectLst/>
          </c:spPr>
          <c:invertIfNegative val="0"/>
          <c:dPt>
            <c:idx val="13"/>
            <c:invertIfNegative val="0"/>
            <c:bubble3D val="0"/>
            <c:spPr>
              <a:solidFill>
                <a:schemeClr val="bg1"/>
              </a:solidFill>
              <a:ln>
                <a:noFill/>
              </a:ln>
              <a:effectLst/>
            </c:spPr>
            <c:extLst>
              <c:ext xmlns:c16="http://schemas.microsoft.com/office/drawing/2014/chart" uri="{C3380CC4-5D6E-409C-BE32-E72D297353CC}">
                <c16:uniqueId val="{0000003F-31A1-4A44-B60A-53E235F261F3}"/>
              </c:ext>
            </c:extLst>
          </c:dPt>
          <c:dPt>
            <c:idx val="17"/>
            <c:invertIfNegative val="0"/>
            <c:bubble3D val="0"/>
            <c:extLst>
              <c:ext xmlns:c16="http://schemas.microsoft.com/office/drawing/2014/chart" uri="{C3380CC4-5D6E-409C-BE32-E72D297353CC}">
                <c16:uniqueId val="{00000040-31A1-4A44-B60A-53E235F261F3}"/>
              </c:ext>
            </c:extLst>
          </c:dPt>
          <c:dPt>
            <c:idx val="18"/>
            <c:invertIfNegative val="0"/>
            <c:bubble3D val="0"/>
            <c:extLst>
              <c:ext xmlns:c16="http://schemas.microsoft.com/office/drawing/2014/chart" uri="{C3380CC4-5D6E-409C-BE32-E72D297353CC}">
                <c16:uniqueId val="{00000041-31A1-4A44-B60A-53E235F261F3}"/>
              </c:ext>
            </c:extLst>
          </c:dPt>
          <c:dPt>
            <c:idx val="19"/>
            <c:invertIfNegative val="0"/>
            <c:bubble3D val="0"/>
            <c:extLst>
              <c:ext xmlns:c16="http://schemas.microsoft.com/office/drawing/2014/chart" uri="{C3380CC4-5D6E-409C-BE32-E72D297353CC}">
                <c16:uniqueId val="{00000042-31A1-4A44-B60A-53E235F261F3}"/>
              </c:ext>
            </c:extLst>
          </c:dPt>
          <c:dPt>
            <c:idx val="20"/>
            <c:invertIfNegative val="0"/>
            <c:bubble3D val="0"/>
            <c:extLst>
              <c:ext xmlns:c16="http://schemas.microsoft.com/office/drawing/2014/chart" uri="{C3380CC4-5D6E-409C-BE32-E72D297353CC}">
                <c16:uniqueId val="{00000043-31A1-4A44-B60A-53E235F261F3}"/>
              </c:ext>
            </c:extLst>
          </c:dPt>
          <c:dPt>
            <c:idx val="21"/>
            <c:invertIfNegative val="0"/>
            <c:bubble3D val="0"/>
            <c:extLst>
              <c:ext xmlns:c16="http://schemas.microsoft.com/office/drawing/2014/chart" uri="{C3380CC4-5D6E-409C-BE32-E72D297353CC}">
                <c16:uniqueId val="{00000044-31A1-4A44-B60A-53E235F261F3}"/>
              </c:ext>
            </c:extLst>
          </c:dPt>
          <c:dPt>
            <c:idx val="22"/>
            <c:invertIfNegative val="0"/>
            <c:bubble3D val="0"/>
            <c:extLst>
              <c:ext xmlns:c16="http://schemas.microsoft.com/office/drawing/2014/chart" uri="{C3380CC4-5D6E-409C-BE32-E72D297353CC}">
                <c16:uniqueId val="{00000045-31A1-4A44-B60A-53E235F261F3}"/>
              </c:ext>
            </c:extLst>
          </c:dPt>
          <c:dPt>
            <c:idx val="23"/>
            <c:invertIfNegative val="0"/>
            <c:bubble3D val="0"/>
            <c:spPr>
              <a:solidFill>
                <a:schemeClr val="bg1"/>
              </a:solidFill>
              <a:ln>
                <a:noFill/>
              </a:ln>
              <a:effectLst/>
            </c:spPr>
            <c:extLst>
              <c:ext xmlns:c16="http://schemas.microsoft.com/office/drawing/2014/chart" uri="{C3380CC4-5D6E-409C-BE32-E72D297353CC}">
                <c16:uniqueId val="{00000047-31A1-4A44-B60A-53E235F261F3}"/>
              </c:ext>
            </c:extLst>
          </c:dPt>
          <c:dPt>
            <c:idx val="24"/>
            <c:invertIfNegative val="0"/>
            <c:bubble3D val="0"/>
            <c:spPr>
              <a:solidFill>
                <a:schemeClr val="bg1"/>
              </a:solidFill>
              <a:ln>
                <a:noFill/>
              </a:ln>
              <a:effectLst/>
            </c:spPr>
            <c:extLst>
              <c:ext xmlns:c16="http://schemas.microsoft.com/office/drawing/2014/chart" uri="{C3380CC4-5D6E-409C-BE32-E72D297353CC}">
                <c16:uniqueId val="{00000049-31A1-4A44-B60A-53E235F261F3}"/>
              </c:ext>
            </c:extLst>
          </c:dPt>
          <c:dPt>
            <c:idx val="25"/>
            <c:invertIfNegative val="0"/>
            <c:bubble3D val="0"/>
            <c:spPr>
              <a:solidFill>
                <a:schemeClr val="bg1"/>
              </a:solidFill>
              <a:ln>
                <a:noFill/>
              </a:ln>
              <a:effectLst/>
            </c:spPr>
            <c:extLst>
              <c:ext xmlns:c16="http://schemas.microsoft.com/office/drawing/2014/chart" uri="{C3380CC4-5D6E-409C-BE32-E72D297353CC}">
                <c16:uniqueId val="{0000004B-31A1-4A44-B60A-53E235F261F3}"/>
              </c:ext>
            </c:extLst>
          </c:dPt>
          <c:dPt>
            <c:idx val="26"/>
            <c:invertIfNegative val="0"/>
            <c:bubble3D val="0"/>
            <c:spPr>
              <a:solidFill>
                <a:schemeClr val="bg1"/>
              </a:solidFill>
              <a:ln>
                <a:noFill/>
              </a:ln>
              <a:effectLst/>
            </c:spPr>
            <c:extLst>
              <c:ext xmlns:c16="http://schemas.microsoft.com/office/drawing/2014/chart" uri="{C3380CC4-5D6E-409C-BE32-E72D297353CC}">
                <c16:uniqueId val="{0000004D-31A1-4A44-B60A-53E235F261F3}"/>
              </c:ext>
            </c:extLst>
          </c:dPt>
          <c:dPt>
            <c:idx val="27"/>
            <c:invertIfNegative val="0"/>
            <c:bubble3D val="0"/>
            <c:spPr>
              <a:solidFill>
                <a:schemeClr val="bg1"/>
              </a:solidFill>
              <a:ln>
                <a:noFill/>
              </a:ln>
              <a:effectLst/>
            </c:spPr>
            <c:extLst>
              <c:ext xmlns:c16="http://schemas.microsoft.com/office/drawing/2014/chart" uri="{C3380CC4-5D6E-409C-BE32-E72D297353CC}">
                <c16:uniqueId val="{0000004F-31A1-4A44-B60A-53E235F261F3}"/>
              </c:ext>
            </c:extLst>
          </c:dPt>
          <c:dPt>
            <c:idx val="28"/>
            <c:invertIfNegative val="0"/>
            <c:bubble3D val="0"/>
            <c:spPr>
              <a:solidFill>
                <a:schemeClr val="bg1"/>
              </a:solidFill>
              <a:ln>
                <a:noFill/>
              </a:ln>
              <a:effectLst/>
            </c:spPr>
            <c:extLst>
              <c:ext xmlns:c16="http://schemas.microsoft.com/office/drawing/2014/chart" uri="{C3380CC4-5D6E-409C-BE32-E72D297353CC}">
                <c16:uniqueId val="{00000051-31A1-4A44-B60A-53E235F261F3}"/>
              </c:ext>
            </c:extLst>
          </c:dPt>
          <c:dPt>
            <c:idx val="29"/>
            <c:invertIfNegative val="0"/>
            <c:bubble3D val="0"/>
            <c:spPr>
              <a:solidFill>
                <a:schemeClr val="bg1"/>
              </a:solidFill>
              <a:ln>
                <a:noFill/>
              </a:ln>
              <a:effectLst/>
            </c:spPr>
            <c:extLst>
              <c:ext xmlns:c16="http://schemas.microsoft.com/office/drawing/2014/chart" uri="{C3380CC4-5D6E-409C-BE32-E72D297353CC}">
                <c16:uniqueId val="{00000053-31A1-4A44-B60A-53E235F261F3}"/>
              </c:ext>
            </c:extLst>
          </c:dPt>
          <c:dPt>
            <c:idx val="30"/>
            <c:invertIfNegative val="0"/>
            <c:bubble3D val="0"/>
            <c:spPr>
              <a:solidFill>
                <a:schemeClr val="bg1"/>
              </a:solidFill>
              <a:ln>
                <a:noFill/>
              </a:ln>
              <a:effectLst/>
            </c:spPr>
            <c:extLst>
              <c:ext xmlns:c16="http://schemas.microsoft.com/office/drawing/2014/chart" uri="{C3380CC4-5D6E-409C-BE32-E72D297353CC}">
                <c16:uniqueId val="{00000055-31A1-4A44-B60A-53E235F261F3}"/>
              </c:ext>
            </c:extLst>
          </c:dPt>
          <c:dPt>
            <c:idx val="31"/>
            <c:invertIfNegative val="0"/>
            <c:bubble3D val="0"/>
            <c:spPr>
              <a:solidFill>
                <a:schemeClr val="bg1"/>
              </a:solidFill>
              <a:ln>
                <a:noFill/>
              </a:ln>
              <a:effectLst/>
            </c:spPr>
            <c:extLst>
              <c:ext xmlns:c16="http://schemas.microsoft.com/office/drawing/2014/chart" uri="{C3380CC4-5D6E-409C-BE32-E72D297353CC}">
                <c16:uniqueId val="{00000057-31A1-4A44-B60A-53E235F261F3}"/>
              </c:ext>
            </c:extLst>
          </c:dPt>
          <c:dPt>
            <c:idx val="32"/>
            <c:invertIfNegative val="0"/>
            <c:bubble3D val="0"/>
            <c:spPr>
              <a:solidFill>
                <a:schemeClr val="bg1"/>
              </a:solidFill>
              <a:ln>
                <a:noFill/>
              </a:ln>
              <a:effectLst/>
            </c:spPr>
            <c:extLst>
              <c:ext xmlns:c16="http://schemas.microsoft.com/office/drawing/2014/chart" uri="{C3380CC4-5D6E-409C-BE32-E72D297353CC}">
                <c16:uniqueId val="{00000059-31A1-4A44-B60A-53E235F261F3}"/>
              </c:ext>
            </c:extLst>
          </c:dPt>
          <c:dPt>
            <c:idx val="33"/>
            <c:invertIfNegative val="0"/>
            <c:bubble3D val="0"/>
            <c:spPr>
              <a:solidFill>
                <a:schemeClr val="bg1"/>
              </a:solidFill>
              <a:ln>
                <a:noFill/>
              </a:ln>
              <a:effectLst/>
            </c:spPr>
            <c:extLst>
              <c:ext xmlns:c16="http://schemas.microsoft.com/office/drawing/2014/chart" uri="{C3380CC4-5D6E-409C-BE32-E72D297353CC}">
                <c16:uniqueId val="{0000005B-31A1-4A44-B60A-53E235F261F3}"/>
              </c:ext>
            </c:extLst>
          </c:dPt>
          <c:dPt>
            <c:idx val="34"/>
            <c:invertIfNegative val="0"/>
            <c:bubble3D val="0"/>
            <c:spPr>
              <a:solidFill>
                <a:schemeClr val="bg1"/>
              </a:solidFill>
              <a:ln>
                <a:noFill/>
              </a:ln>
              <a:effectLst/>
            </c:spPr>
            <c:extLst>
              <c:ext xmlns:c16="http://schemas.microsoft.com/office/drawing/2014/chart" uri="{C3380CC4-5D6E-409C-BE32-E72D297353CC}">
                <c16:uniqueId val="{0000005D-31A1-4A44-B60A-53E235F261F3}"/>
              </c:ext>
            </c:extLst>
          </c:dPt>
          <c:dPt>
            <c:idx val="35"/>
            <c:invertIfNegative val="0"/>
            <c:bubble3D val="0"/>
            <c:spPr>
              <a:solidFill>
                <a:schemeClr val="bg1"/>
              </a:solidFill>
              <a:ln>
                <a:noFill/>
              </a:ln>
              <a:effectLst/>
            </c:spPr>
            <c:extLst>
              <c:ext xmlns:c16="http://schemas.microsoft.com/office/drawing/2014/chart" uri="{C3380CC4-5D6E-409C-BE32-E72D297353CC}">
                <c16:uniqueId val="{0000005F-31A1-4A44-B60A-53E235F261F3}"/>
              </c:ext>
            </c:extLst>
          </c:dPt>
          <c:dPt>
            <c:idx val="36"/>
            <c:invertIfNegative val="0"/>
            <c:bubble3D val="0"/>
            <c:spPr>
              <a:solidFill>
                <a:schemeClr val="bg1"/>
              </a:solidFill>
              <a:ln>
                <a:noFill/>
              </a:ln>
              <a:effectLst/>
            </c:spPr>
            <c:extLst>
              <c:ext xmlns:c16="http://schemas.microsoft.com/office/drawing/2014/chart" uri="{C3380CC4-5D6E-409C-BE32-E72D297353CC}">
                <c16:uniqueId val="{00000061-31A1-4A44-B60A-53E235F261F3}"/>
              </c:ext>
            </c:extLst>
          </c:dPt>
          <c:dPt>
            <c:idx val="37"/>
            <c:invertIfNegative val="0"/>
            <c:bubble3D val="0"/>
            <c:spPr>
              <a:solidFill>
                <a:schemeClr val="bg1"/>
              </a:solidFill>
              <a:ln>
                <a:noFill/>
              </a:ln>
              <a:effectLst/>
            </c:spPr>
            <c:extLst>
              <c:ext xmlns:c16="http://schemas.microsoft.com/office/drawing/2014/chart" uri="{C3380CC4-5D6E-409C-BE32-E72D297353CC}">
                <c16:uniqueId val="{00000063-31A1-4A44-B60A-53E235F261F3}"/>
              </c:ext>
            </c:extLst>
          </c:dPt>
          <c:dPt>
            <c:idx val="38"/>
            <c:invertIfNegative val="0"/>
            <c:bubble3D val="0"/>
            <c:spPr>
              <a:solidFill>
                <a:schemeClr val="bg1"/>
              </a:solidFill>
              <a:ln>
                <a:noFill/>
              </a:ln>
              <a:effectLst/>
            </c:spPr>
            <c:extLst>
              <c:ext xmlns:c16="http://schemas.microsoft.com/office/drawing/2014/chart" uri="{C3380CC4-5D6E-409C-BE32-E72D297353CC}">
                <c16:uniqueId val="{00000065-31A1-4A44-B60A-53E235F261F3}"/>
              </c:ext>
            </c:extLst>
          </c:dPt>
          <c:dPt>
            <c:idx val="39"/>
            <c:invertIfNegative val="0"/>
            <c:bubble3D val="0"/>
            <c:spPr>
              <a:solidFill>
                <a:schemeClr val="bg1"/>
              </a:solidFill>
              <a:ln>
                <a:noFill/>
              </a:ln>
              <a:effectLst/>
            </c:spPr>
            <c:extLst>
              <c:ext xmlns:c16="http://schemas.microsoft.com/office/drawing/2014/chart" uri="{C3380CC4-5D6E-409C-BE32-E72D297353CC}">
                <c16:uniqueId val="{00000067-31A1-4A44-B60A-53E235F261F3}"/>
              </c:ext>
            </c:extLst>
          </c:dPt>
          <c:dPt>
            <c:idx val="40"/>
            <c:invertIfNegative val="0"/>
            <c:bubble3D val="0"/>
            <c:spPr>
              <a:solidFill>
                <a:schemeClr val="bg1"/>
              </a:solidFill>
              <a:ln>
                <a:noFill/>
              </a:ln>
              <a:effectLst/>
            </c:spPr>
            <c:extLst>
              <c:ext xmlns:c16="http://schemas.microsoft.com/office/drawing/2014/chart" uri="{C3380CC4-5D6E-409C-BE32-E72D297353CC}">
                <c16:uniqueId val="{00000069-31A1-4A44-B60A-53E235F261F3}"/>
              </c:ext>
            </c:extLst>
          </c:dPt>
          <c:cat>
            <c:numRef>
              <c:f>Sheet1!$B$1:$AP$1</c:f>
              <c:numCache>
                <c:formatCode>0</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Sheet1!$B$2:$AP$2</c:f>
              <c:numCache>
                <c:formatCode>0</c:formatCode>
                <c:ptCount val="41"/>
                <c:pt idx="0">
                  <c:v>941.1</c:v>
                </c:pt>
                <c:pt idx="1">
                  <c:v>935.6</c:v>
                </c:pt>
                <c:pt idx="2">
                  <c:v>955.4</c:v>
                </c:pt>
                <c:pt idx="3">
                  <c:v>962</c:v>
                </c:pt>
                <c:pt idx="4">
                  <c:v>963.8</c:v>
                </c:pt>
                <c:pt idx="5">
                  <c:v>972.3</c:v>
                </c:pt>
                <c:pt idx="6">
                  <c:v>1030.9000000000001</c:v>
                </c:pt>
                <c:pt idx="7">
                  <c:v>1057.4000000000001</c:v>
                </c:pt>
                <c:pt idx="8">
                  <c:v>1054.9000000000001</c:v>
                </c:pt>
                <c:pt idx="9">
                  <c:v>908.50000000000011</c:v>
                </c:pt>
                <c:pt idx="10">
                  <c:v>850.7</c:v>
                </c:pt>
                <c:pt idx="11">
                  <c:v>861.59999999999991</c:v>
                </c:pt>
                <c:pt idx="12">
                  <c:v>875.6</c:v>
                </c:pt>
                <c:pt idx="13">
                  <c:v>893.9</c:v>
                </c:pt>
                <c:pt idx="14">
                  <c:v>884.6</c:v>
                </c:pt>
                <c:pt idx="15">
                  <c:v>896.1</c:v>
                </c:pt>
                <c:pt idx="16">
                  <c:v>893.3</c:v>
                </c:pt>
                <c:pt idx="17">
                  <c:v>894.80000000000007</c:v>
                </c:pt>
                <c:pt idx="18">
                  <c:v>909.4</c:v>
                </c:pt>
                <c:pt idx="19">
                  <c:v>910</c:v>
                </c:pt>
                <c:pt idx="20">
                  <c:v>893</c:v>
                </c:pt>
                <c:pt idx="21">
                  <c:v>864</c:v>
                </c:pt>
                <c:pt idx="22">
                  <c:v>886.2</c:v>
                </c:pt>
                <c:pt idx="23">
                  <c:v>884.2</c:v>
                </c:pt>
                <c:pt idx="24">
                  <c:v>877.40000000000009</c:v>
                </c:pt>
                <c:pt idx="25">
                  <c:v>883.1</c:v>
                </c:pt>
                <c:pt idx="26">
                  <c:v>885.06919441297975</c:v>
                </c:pt>
                <c:pt idx="27">
                  <c:v>887.48825791504225</c:v>
                </c:pt>
                <c:pt idx="28">
                  <c:v>890.9140664064214</c:v>
                </c:pt>
                <c:pt idx="29">
                  <c:v>895.36619403998873</c:v>
                </c:pt>
                <c:pt idx="30">
                  <c:v>900.57696400828991</c:v>
                </c:pt>
                <c:pt idx="31">
                  <c:v>902.66562978315005</c:v>
                </c:pt>
                <c:pt idx="32">
                  <c:v>902.24282147884185</c:v>
                </c:pt>
                <c:pt idx="33">
                  <c:v>901.14967793949654</c:v>
                </c:pt>
                <c:pt idx="34">
                  <c:v>900.48941602418461</c:v>
                </c:pt>
                <c:pt idx="35">
                  <c:v>899.56556043487205</c:v>
                </c:pt>
                <c:pt idx="36">
                  <c:v>897.99094894548421</c:v>
                </c:pt>
                <c:pt idx="37">
                  <c:v>896.32912255735607</c:v>
                </c:pt>
                <c:pt idx="38">
                  <c:v>893.87300424112163</c:v>
                </c:pt>
                <c:pt idx="39">
                  <c:v>891.2913312097387</c:v>
                </c:pt>
                <c:pt idx="40">
                  <c:v>888.94763403048171</c:v>
                </c:pt>
              </c:numCache>
            </c:numRef>
          </c:val>
          <c:extLst>
            <c:ext xmlns:c16="http://schemas.microsoft.com/office/drawing/2014/chart" uri="{C3380CC4-5D6E-409C-BE32-E72D297353CC}">
              <c16:uniqueId val="{0000006A-31A1-4A44-B60A-53E235F261F3}"/>
            </c:ext>
          </c:extLst>
        </c:ser>
        <c:dLbls>
          <c:showLegendKey val="0"/>
          <c:showVal val="0"/>
          <c:showCatName val="0"/>
          <c:showSerName val="0"/>
          <c:showPercent val="0"/>
          <c:showBubbleSize val="0"/>
        </c:dLbls>
        <c:gapWidth val="40"/>
        <c:overlap val="100"/>
        <c:axId val="187704448"/>
        <c:axId val="187705984"/>
      </c:barChart>
      <c:lineChart>
        <c:grouping val="standard"/>
        <c:varyColors val="0"/>
        <c:ser>
          <c:idx val="0"/>
          <c:order val="2"/>
          <c:tx>
            <c:strRef>
              <c:f>Sheet1!$A$4</c:f>
              <c:strCache>
                <c:ptCount val="1"/>
                <c:pt idx="0">
                  <c:v>Pieprasījums pēc darbaspēka</c:v>
                </c:pt>
              </c:strCache>
            </c:strRef>
          </c:tx>
          <c:spPr>
            <a:ln w="19050" cap="rnd" cmpd="sng" algn="ctr">
              <a:noFill/>
              <a:prstDash val="solid"/>
              <a:round/>
            </a:ln>
            <a:effectLst/>
          </c:spPr>
          <c:marker>
            <c:symbol val="dash"/>
            <c:size val="10"/>
            <c:spPr>
              <a:solidFill>
                <a:schemeClr val="accent2"/>
              </a:solidFill>
              <a:ln w="6350" cap="flat" cmpd="sng" algn="ctr">
                <a:noFill/>
                <a:prstDash val="solid"/>
                <a:round/>
              </a:ln>
              <a:effectLst/>
            </c:spPr>
          </c:marker>
          <c:cat>
            <c:numRef>
              <c:f>Sheet1!$B$1:$AP$1</c:f>
              <c:numCache>
                <c:formatCode>0</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Sheet1!$B$4:$AP$4</c:f>
              <c:numCache>
                <c:formatCode>0</c:formatCode>
                <c:ptCount val="41"/>
                <c:pt idx="0">
                  <c:v>941.1</c:v>
                </c:pt>
                <c:pt idx="1">
                  <c:v>935.6</c:v>
                </c:pt>
                <c:pt idx="2">
                  <c:v>955.4</c:v>
                </c:pt>
                <c:pt idx="3">
                  <c:v>962</c:v>
                </c:pt>
                <c:pt idx="4">
                  <c:v>963.8</c:v>
                </c:pt>
                <c:pt idx="5">
                  <c:v>972.3</c:v>
                </c:pt>
                <c:pt idx="6">
                  <c:v>1030.9000000000001</c:v>
                </c:pt>
                <c:pt idx="7">
                  <c:v>1057.4000000000001</c:v>
                </c:pt>
                <c:pt idx="8">
                  <c:v>1054.9000000000001</c:v>
                </c:pt>
                <c:pt idx="9">
                  <c:v>908.50000000000011</c:v>
                </c:pt>
                <c:pt idx="10">
                  <c:v>850.7</c:v>
                </c:pt>
                <c:pt idx="11">
                  <c:v>861.59999999999991</c:v>
                </c:pt>
                <c:pt idx="12">
                  <c:v>875.6</c:v>
                </c:pt>
                <c:pt idx="13">
                  <c:v>893.9</c:v>
                </c:pt>
                <c:pt idx="14">
                  <c:v>884.6</c:v>
                </c:pt>
                <c:pt idx="15">
                  <c:v>896.1</c:v>
                </c:pt>
                <c:pt idx="16">
                  <c:v>893.3</c:v>
                </c:pt>
                <c:pt idx="17">
                  <c:v>894.80000000000007</c:v>
                </c:pt>
                <c:pt idx="18">
                  <c:v>909.4</c:v>
                </c:pt>
                <c:pt idx="19">
                  <c:v>910</c:v>
                </c:pt>
                <c:pt idx="20">
                  <c:v>893</c:v>
                </c:pt>
                <c:pt idx="21">
                  <c:v>864</c:v>
                </c:pt>
                <c:pt idx="22">
                  <c:v>886.2</c:v>
                </c:pt>
                <c:pt idx="23">
                  <c:v>884.2</c:v>
                </c:pt>
                <c:pt idx="24">
                  <c:v>877.40000000000009</c:v>
                </c:pt>
                <c:pt idx="25">
                  <c:v>883.1</c:v>
                </c:pt>
                <c:pt idx="26">
                  <c:v>885.06919441297975</c:v>
                </c:pt>
                <c:pt idx="27">
                  <c:v>887.48825791504225</c:v>
                </c:pt>
                <c:pt idx="28">
                  <c:v>890.9140664064214</c:v>
                </c:pt>
                <c:pt idx="29">
                  <c:v>895.36619403998873</c:v>
                </c:pt>
                <c:pt idx="30">
                  <c:v>900.57696400828991</c:v>
                </c:pt>
                <c:pt idx="31">
                  <c:v>902.66562978315005</c:v>
                </c:pt>
                <c:pt idx="32">
                  <c:v>902.24282147884185</c:v>
                </c:pt>
                <c:pt idx="33">
                  <c:v>901.14967793949654</c:v>
                </c:pt>
                <c:pt idx="34">
                  <c:v>900.48941602418461</c:v>
                </c:pt>
                <c:pt idx="35">
                  <c:v>899.56556043487205</c:v>
                </c:pt>
                <c:pt idx="36">
                  <c:v>897.99094894548421</c:v>
                </c:pt>
                <c:pt idx="37">
                  <c:v>896.32912255735607</c:v>
                </c:pt>
                <c:pt idx="38">
                  <c:v>893.87300424112163</c:v>
                </c:pt>
                <c:pt idx="39">
                  <c:v>891.2913312097387</c:v>
                </c:pt>
                <c:pt idx="40">
                  <c:v>888.94763403048171</c:v>
                </c:pt>
              </c:numCache>
            </c:numRef>
          </c:val>
          <c:smooth val="0"/>
          <c:extLst>
            <c:ext xmlns:c16="http://schemas.microsoft.com/office/drawing/2014/chart" uri="{C3380CC4-5D6E-409C-BE32-E72D297353CC}">
              <c16:uniqueId val="{0000006B-31A1-4A44-B60A-53E235F261F3}"/>
            </c:ext>
          </c:extLst>
        </c:ser>
        <c:ser>
          <c:idx val="2"/>
          <c:order val="3"/>
          <c:tx>
            <c:strRef>
              <c:f>Sheet1!$A$5</c:f>
              <c:strCache>
                <c:ptCount val="1"/>
                <c:pt idx="0">
                  <c:v>Darbaspēka piedāvājums</c:v>
                </c:pt>
              </c:strCache>
            </c:strRef>
          </c:tx>
          <c:spPr>
            <a:ln w="19050" cap="rnd" cmpd="sng" algn="ctr">
              <a:noFill/>
              <a:prstDash val="solid"/>
              <a:round/>
            </a:ln>
            <a:effectLst/>
          </c:spPr>
          <c:marker>
            <c:symbol val="dash"/>
            <c:size val="10"/>
            <c:spPr>
              <a:solidFill>
                <a:srgbClr val="319DAE"/>
              </a:solidFill>
              <a:ln w="6350" cap="flat" cmpd="sng" algn="ctr">
                <a:noFill/>
                <a:prstDash val="solid"/>
                <a:round/>
              </a:ln>
              <a:effectLst/>
            </c:spPr>
          </c:marker>
          <c:cat>
            <c:numRef>
              <c:f>Sheet1!$B$1:$AP$1</c:f>
              <c:numCache>
                <c:formatCode>0</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Sheet1!$B$5:$AP$5</c:f>
              <c:numCache>
                <c:formatCode>0</c:formatCode>
                <c:ptCount val="41"/>
                <c:pt idx="0">
                  <c:v>1097.3</c:v>
                </c:pt>
                <c:pt idx="1">
                  <c:v>1081.8</c:v>
                </c:pt>
                <c:pt idx="2">
                  <c:v>1091.7</c:v>
                </c:pt>
                <c:pt idx="3">
                  <c:v>1088.8</c:v>
                </c:pt>
                <c:pt idx="4">
                  <c:v>1092.0999999999999</c:v>
                </c:pt>
                <c:pt idx="5">
                  <c:v>1080.8</c:v>
                </c:pt>
                <c:pt idx="6">
                  <c:v>1108.9000000000001</c:v>
                </c:pt>
                <c:pt idx="7">
                  <c:v>1125.5</c:v>
                </c:pt>
                <c:pt idx="8">
                  <c:v>1143.4000000000001</c:v>
                </c:pt>
                <c:pt idx="9">
                  <c:v>1101.4000000000001</c:v>
                </c:pt>
                <c:pt idx="10">
                  <c:v>1056.5</c:v>
                </c:pt>
                <c:pt idx="11">
                  <c:v>1028.2</c:v>
                </c:pt>
                <c:pt idx="12">
                  <c:v>1030.7</c:v>
                </c:pt>
                <c:pt idx="13">
                  <c:v>1014.3</c:v>
                </c:pt>
                <c:pt idx="14">
                  <c:v>992.3</c:v>
                </c:pt>
                <c:pt idx="15">
                  <c:v>994.2</c:v>
                </c:pt>
                <c:pt idx="16">
                  <c:v>988.6</c:v>
                </c:pt>
                <c:pt idx="17">
                  <c:v>980.3</c:v>
                </c:pt>
                <c:pt idx="18">
                  <c:v>982.17419000000018</c:v>
                </c:pt>
                <c:pt idx="19">
                  <c:v>971.34152000000017</c:v>
                </c:pt>
                <c:pt idx="20">
                  <c:v>971.67090500000006</c:v>
                </c:pt>
                <c:pt idx="21">
                  <c:v>934.62000892500009</c:v>
                </c:pt>
                <c:pt idx="22">
                  <c:v>951.32326502500007</c:v>
                </c:pt>
                <c:pt idx="23">
                  <c:v>945.67088770000078</c:v>
                </c:pt>
                <c:pt idx="24">
                  <c:v>942.73451392499987</c:v>
                </c:pt>
                <c:pt idx="25">
                  <c:v>948.85009550000063</c:v>
                </c:pt>
                <c:pt idx="26">
                  <c:v>946.50561043521873</c:v>
                </c:pt>
                <c:pt idx="27">
                  <c:v>946.230148430604</c:v>
                </c:pt>
                <c:pt idx="28">
                  <c:v>948.11086695638789</c:v>
                </c:pt>
                <c:pt idx="29">
                  <c:v>950.41879756701167</c:v>
                </c:pt>
                <c:pt idx="30">
                  <c:v>953.90027039377219</c:v>
                </c:pt>
                <c:pt idx="31">
                  <c:v>955.30992011394039</c:v>
                </c:pt>
                <c:pt idx="32">
                  <c:v>954.23417761709902</c:v>
                </c:pt>
                <c:pt idx="33">
                  <c:v>952.13213873235497</c:v>
                </c:pt>
                <c:pt idx="34">
                  <c:v>951.13855994861433</c:v>
                </c:pt>
                <c:pt idx="35">
                  <c:v>950.20394263083961</c:v>
                </c:pt>
                <c:pt idx="36">
                  <c:v>948.01556845696473</c:v>
                </c:pt>
                <c:pt idx="37">
                  <c:v>945.85644940505483</c:v>
                </c:pt>
                <c:pt idx="38">
                  <c:v>942.93549557834001</c:v>
                </c:pt>
                <c:pt idx="39">
                  <c:v>939.64220943898431</c:v>
                </c:pt>
                <c:pt idx="40">
                  <c:v>936.14586723002515</c:v>
                </c:pt>
              </c:numCache>
            </c:numRef>
          </c:val>
          <c:smooth val="0"/>
          <c:extLst>
            <c:ext xmlns:c16="http://schemas.microsoft.com/office/drawing/2014/chart" uri="{C3380CC4-5D6E-409C-BE32-E72D297353CC}">
              <c16:uniqueId val="{0000006C-31A1-4A44-B60A-53E235F261F3}"/>
            </c:ext>
          </c:extLst>
        </c:ser>
        <c:dLbls>
          <c:showLegendKey val="0"/>
          <c:showVal val="0"/>
          <c:showCatName val="0"/>
          <c:showSerName val="0"/>
          <c:showPercent val="0"/>
          <c:showBubbleSize val="0"/>
        </c:dLbls>
        <c:marker val="1"/>
        <c:smooth val="0"/>
        <c:axId val="187704448"/>
        <c:axId val="187705984"/>
      </c:lineChart>
      <c:catAx>
        <c:axId val="187704448"/>
        <c:scaling>
          <c:orientation val="minMax"/>
        </c:scaling>
        <c:delete val="0"/>
        <c:axPos val="b"/>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Segoe UI Light" panose="020B0502040204020203" pitchFamily="34" charset="0"/>
              </a:defRPr>
            </a:pPr>
            <a:endParaRPr lang="en-US"/>
          </a:p>
        </c:txPr>
        <c:crossAx val="187705984"/>
        <c:crosses val="autoZero"/>
        <c:auto val="0"/>
        <c:lblAlgn val="ctr"/>
        <c:lblOffset val="100"/>
        <c:noMultiLvlLbl val="0"/>
      </c:catAx>
      <c:valAx>
        <c:axId val="187705984"/>
        <c:scaling>
          <c:orientation val="minMax"/>
          <c:max val="1150"/>
          <c:min val="830"/>
        </c:scaling>
        <c:delete val="0"/>
        <c:axPos val="l"/>
        <c:numFmt formatCode="0" sourceLinked="1"/>
        <c:majorTickMark val="out"/>
        <c:minorTickMark val="none"/>
        <c:tickLblPos val="nextTo"/>
        <c:spPr>
          <a:noFill/>
          <a:ln w="3175"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Segoe UI Light" panose="020B0502040204020203" pitchFamily="34" charset="0"/>
              </a:defRPr>
            </a:pPr>
            <a:endParaRPr lang="en-US"/>
          </a:p>
        </c:txPr>
        <c:crossAx val="187704448"/>
        <c:crosses val="autoZero"/>
        <c:crossBetween val="between"/>
        <c:majorUnit val="80"/>
      </c:valAx>
      <c:spPr>
        <a:solidFill>
          <a:schemeClr val="bg1"/>
        </a:solidFill>
        <a:ln w="25398">
          <a:noFill/>
        </a:ln>
        <a:effectLst/>
      </c:spPr>
    </c:plotArea>
    <c:plotVisOnly val="1"/>
    <c:dispBlanksAs val="gap"/>
    <c:showDLblsOverMax val="0"/>
  </c:chart>
  <c:spPr>
    <a:solidFill>
      <a:schemeClr val="bg1"/>
    </a:solidFill>
    <a:ln w="6350" cap="flat" cmpd="sng" algn="ctr">
      <a:noFill/>
      <a:prstDash val="solid"/>
      <a:miter lim="800000"/>
    </a:ln>
    <a:effectLst/>
  </c:spPr>
  <c:txPr>
    <a:bodyPr/>
    <a:lstStyle/>
    <a:p>
      <a:pPr>
        <a:defRPr sz="800"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en-US"/>
    </a:p>
  </c:txPr>
  <c:externalData r:id="rId3">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1010843988467338"/>
          <c:h val="0.75378756132402003"/>
        </c:manualLayout>
      </c:layout>
      <c:barChart>
        <c:barDir val="col"/>
        <c:grouping val="clustered"/>
        <c:varyColors val="0"/>
        <c:ser>
          <c:idx val="3"/>
          <c:order val="0"/>
          <c:tx>
            <c:strRef>
              <c:f>Sheet1!$B$1</c:f>
              <c:strCache>
                <c:ptCount val="1"/>
                <c:pt idx="0">
                  <c:v>piedāvājums</c:v>
                </c:pt>
              </c:strCache>
            </c:strRef>
          </c:tx>
          <c:spPr>
            <a:solidFill>
              <a:srgbClr val="006666"/>
            </a:solidFill>
            <a:ln>
              <a:noFill/>
            </a:ln>
            <a:effectLst/>
          </c:spPr>
          <c:invertIfNegative val="0"/>
          <c:dLbls>
            <c:delete val="1"/>
          </c:dLbls>
          <c:cat>
            <c:strRef>
              <c:f>Sheet1!$A$2:$A$5</c:f>
              <c:strCache>
                <c:ptCount val="4"/>
                <c:pt idx="0">
                  <c:v>Augstākā izglītība</c:v>
                </c:pt>
                <c:pt idx="1">
                  <c:v>Vidējā profesionālā izglītība</c:v>
                </c:pt>
                <c:pt idx="2">
                  <c:v>Vidējā vispārējā izglītība</c:v>
                </c:pt>
                <c:pt idx="3">
                  <c:v>Pamatizglītība un zemāka</c:v>
                </c:pt>
              </c:strCache>
            </c:strRef>
          </c:cat>
          <c:val>
            <c:numRef>
              <c:f>Sheet1!$B$2:$B$5</c:f>
              <c:numCache>
                <c:formatCode>#,##0</c:formatCode>
                <c:ptCount val="4"/>
                <c:pt idx="0">
                  <c:v>100</c:v>
                </c:pt>
                <c:pt idx="1">
                  <c:v>100</c:v>
                </c:pt>
                <c:pt idx="2">
                  <c:v>100</c:v>
                </c:pt>
                <c:pt idx="3">
                  <c:v>100</c:v>
                </c:pt>
              </c:numCache>
            </c:numRef>
          </c:val>
          <c:extLst>
            <c:ext xmlns:c16="http://schemas.microsoft.com/office/drawing/2014/chart" uri="{C3380CC4-5D6E-409C-BE32-E72D297353CC}">
              <c16:uniqueId val="{00000000-38B9-46E2-B14D-3AF788FA4971}"/>
            </c:ext>
          </c:extLst>
        </c:ser>
        <c:ser>
          <c:idx val="0"/>
          <c:order val="1"/>
          <c:tx>
            <c:strRef>
              <c:f>Sheet1!$C$1</c:f>
              <c:strCache>
                <c:ptCount val="1"/>
                <c:pt idx="0">
                  <c:v>pieprasījums</c:v>
                </c:pt>
              </c:strCache>
            </c:strRef>
          </c:tx>
          <c:spPr>
            <a:solidFill>
              <a:srgbClr val="92B7C4"/>
            </a:solidFill>
            <a:ln>
              <a:noFill/>
            </a:ln>
            <a:effectLst/>
          </c:spPr>
          <c:invertIfNegative val="0"/>
          <c:dPt>
            <c:idx val="0"/>
            <c:invertIfNegative val="0"/>
            <c:bubble3D val="0"/>
            <c:extLst>
              <c:ext xmlns:c16="http://schemas.microsoft.com/office/drawing/2014/chart" uri="{C3380CC4-5D6E-409C-BE32-E72D297353CC}">
                <c16:uniqueId val="{00000001-38B9-46E2-B14D-3AF788FA4971}"/>
              </c:ext>
            </c:extLst>
          </c:dPt>
          <c:dLbls>
            <c:dLbl>
              <c:idx val="3"/>
              <c:layout>
                <c:manualLayout>
                  <c:x val="-1.0779433513184648E-16"/>
                  <c:y val="9.32955181550173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B9-46E2-B14D-3AF788FA4971}"/>
                </c:ext>
              </c:extLst>
            </c:dLbl>
            <c:spPr>
              <a:noFill/>
              <a:ln>
                <a:noFill/>
              </a:ln>
              <a:effectLst/>
            </c:spPr>
            <c:txPr>
              <a:bodyPr rot="0" vert="horz"/>
              <a:lstStyle/>
              <a:p>
                <a:pPr>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Augstākā izglītība</c:v>
                </c:pt>
                <c:pt idx="1">
                  <c:v>Vidējā profesionālā izglītība</c:v>
                </c:pt>
                <c:pt idx="2">
                  <c:v>Vidējā vispārējā izglītība</c:v>
                </c:pt>
                <c:pt idx="3">
                  <c:v>Pamatizglītība un zemāka</c:v>
                </c:pt>
              </c:strCache>
            </c:strRef>
          </c:cat>
          <c:val>
            <c:numRef>
              <c:f>Sheet1!$C$2:$C$5</c:f>
              <c:numCache>
                <c:formatCode>#,##0</c:formatCode>
                <c:ptCount val="4"/>
                <c:pt idx="0">
                  <c:v>98</c:v>
                </c:pt>
                <c:pt idx="1">
                  <c:v>114</c:v>
                </c:pt>
                <c:pt idx="2">
                  <c:v>87</c:v>
                </c:pt>
                <c:pt idx="3">
                  <c:v>52</c:v>
                </c:pt>
              </c:numCache>
            </c:numRef>
          </c:val>
          <c:extLst>
            <c:ext xmlns:c16="http://schemas.microsoft.com/office/drawing/2014/chart" uri="{C3380CC4-5D6E-409C-BE32-E72D297353CC}">
              <c16:uniqueId val="{00000003-38B9-46E2-B14D-3AF788FA4971}"/>
            </c:ext>
          </c:extLst>
        </c:ser>
        <c:dLbls>
          <c:showLegendKey val="0"/>
          <c:showVal val="1"/>
          <c:showCatName val="0"/>
          <c:showSerName val="0"/>
          <c:showPercent val="0"/>
          <c:showBubbleSize val="0"/>
        </c:dLbls>
        <c:gapWidth val="100"/>
        <c:overlap val="70"/>
        <c:axId val="652751160"/>
        <c:axId val="652755472"/>
      </c:barChart>
      <c:catAx>
        <c:axId val="652751160"/>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en-US"/>
          </a:p>
        </c:txPr>
        <c:crossAx val="652755472"/>
        <c:crosses val="autoZero"/>
        <c:auto val="0"/>
        <c:lblAlgn val="ctr"/>
        <c:lblOffset val="100"/>
        <c:tickLblSkip val="1"/>
        <c:tickMarkSkip val="1"/>
        <c:noMultiLvlLbl val="0"/>
      </c:catAx>
      <c:valAx>
        <c:axId val="652755472"/>
        <c:scaling>
          <c:orientation val="minMax"/>
          <c:min val="4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en-US"/>
          </a:p>
        </c:txPr>
        <c:crossAx val="652751160"/>
        <c:crosses val="autoZero"/>
        <c:crossBetween val="between"/>
        <c:majorUnit val="20"/>
      </c:valAx>
      <c:spPr>
        <a:solidFill>
          <a:srgbClr val="FFFFFF"/>
        </a:solidFill>
        <a:ln>
          <a:noFill/>
        </a:ln>
        <a:effectLst/>
      </c:spPr>
    </c:plotArea>
    <c:legend>
      <c:legendPos val="l"/>
      <c:layout>
        <c:manualLayout>
          <c:xMode val="edge"/>
          <c:yMode val="edge"/>
          <c:x val="0.57248418336416351"/>
          <c:y val="1.3537922516486674E-2"/>
          <c:w val="0.385945189721907"/>
          <c:h val="0.17699703885147255"/>
        </c:manualLayout>
      </c:layout>
      <c:overlay val="1"/>
      <c:spPr>
        <a:solidFill>
          <a:srgbClr val="FFFFFF"/>
        </a:solidFill>
        <a:ln>
          <a:noFill/>
        </a:ln>
        <a:effectLst/>
      </c:spPr>
      <c:txPr>
        <a:bodyPr rot="0" vert="horz"/>
        <a:lstStyle/>
        <a:p>
          <a:pPr>
            <a:defRPr/>
          </a:pPr>
          <a:endParaRPr lang="en-US"/>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1">
    <c:autoUpdate val="0"/>
  </c:externalData>
  <c:userShapes r:id="rId2"/>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Sheet1!$B$1:$R$1</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Sheet1!$B$4:$W$4</c:f>
              <c:numCache>
                <c:formatCode>General</c:formatCode>
                <c:ptCount val="16"/>
                <c:pt idx="5">
                  <c:v>500</c:v>
                </c:pt>
                <c:pt idx="15">
                  <c:v>500</c:v>
                </c:pt>
              </c:numCache>
            </c:numRef>
          </c:val>
          <c:extLst>
            <c:ext xmlns:c16="http://schemas.microsoft.com/office/drawing/2014/chart" uri="{C3380CC4-5D6E-409C-BE32-E72D297353CC}">
              <c16:uniqueId val="{00000000-012C-4096-A8B4-67BA25B4CFAA}"/>
            </c:ext>
          </c:extLst>
        </c:ser>
        <c:dLbls>
          <c:showLegendKey val="0"/>
          <c:showVal val="0"/>
          <c:showCatName val="0"/>
          <c:showSerName val="0"/>
          <c:showPercent val="0"/>
          <c:showBubbleSize val="0"/>
        </c:dLbls>
        <c:gapWidth val="0"/>
        <c:axId val="652748808"/>
        <c:axId val="652749200"/>
      </c:barChart>
      <c:lineChart>
        <c:grouping val="standard"/>
        <c:varyColors val="0"/>
        <c:ser>
          <c:idx val="0"/>
          <c:order val="0"/>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394.22476759471289</c:v>
                </c:pt>
                <c:pt idx="1">
                  <c:v>395.796044528572</c:v>
                </c:pt>
                <c:pt idx="2">
                  <c:v>397.86448592821944</c:v>
                </c:pt>
                <c:pt idx="3">
                  <c:v>400.38326828981053</c:v>
                </c:pt>
                <c:pt idx="4">
                  <c:v>402.79760797145866</c:v>
                </c:pt>
                <c:pt idx="5">
                  <c:v>405.88218810095435</c:v>
                </c:pt>
                <c:pt idx="6">
                  <c:v>408.25901391467829</c:v>
                </c:pt>
                <c:pt idx="7">
                  <c:v>409.69961700565898</c:v>
                </c:pt>
                <c:pt idx="8">
                  <c:v>410.85702913069258</c:v>
                </c:pt>
                <c:pt idx="9" formatCode="General">
                  <c:v>412.45469150138456</c:v>
                </c:pt>
                <c:pt idx="10" formatCode="General">
                  <c:v>414.08958622352418</c:v>
                </c:pt>
                <c:pt idx="11" formatCode="General">
                  <c:v>415.28262258201903</c:v>
                </c:pt>
                <c:pt idx="12" formatCode="General">
                  <c:v>416.88207181136801</c:v>
                </c:pt>
                <c:pt idx="13" formatCode="General">
                  <c:v>418.63185953121598</c:v>
                </c:pt>
                <c:pt idx="14" formatCode="General">
                  <c:v>420.53632986599871</c:v>
                </c:pt>
                <c:pt idx="15" formatCode="General">
                  <c:v>422.67647059642331</c:v>
                </c:pt>
              </c:numCache>
            </c:numRef>
          </c:val>
          <c:smooth val="0"/>
          <c:extLst>
            <c:ext xmlns:c16="http://schemas.microsoft.com/office/drawing/2014/chart" uri="{C3380CC4-5D6E-409C-BE32-E72D297353CC}">
              <c16:uniqueId val="{00000001-012C-4096-A8B4-67BA25B4CFAA}"/>
            </c:ext>
          </c:extLst>
        </c:ser>
        <c:ser>
          <c:idx val="3"/>
          <c:order val="1"/>
          <c:tx>
            <c:strRef>
              <c:f>Sheet1!$A$2</c:f>
              <c:strCache>
                <c:ptCount val="1"/>
                <c:pt idx="0">
                  <c:v>Pieprasījums</c:v>
                </c:pt>
              </c:strCache>
            </c:strRef>
          </c:tx>
          <c:marker>
            <c:symbol val="none"/>
          </c:marker>
          <c:dPt>
            <c:idx val="0"/>
            <c:bubble3D val="0"/>
            <c:extLst>
              <c:ext xmlns:c16="http://schemas.microsoft.com/office/drawing/2014/chart" uri="{C3380CC4-5D6E-409C-BE32-E72D297353CC}">
                <c16:uniqueId val="{00000002-012C-4096-A8B4-67BA25B4CFAA}"/>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379.20436659405425</c:v>
                </c:pt>
                <c:pt idx="1">
                  <c:v>381.66749186359755</c:v>
                </c:pt>
                <c:pt idx="2">
                  <c:v>385.10863329820711</c:v>
                </c:pt>
                <c:pt idx="3">
                  <c:v>388.6561219005136</c:v>
                </c:pt>
                <c:pt idx="4">
                  <c:v>392.88134981413754</c:v>
                </c:pt>
                <c:pt idx="5">
                  <c:v>397.67634335161836</c:v>
                </c:pt>
                <c:pt idx="6">
                  <c:v>401.53344528325829</c:v>
                </c:pt>
                <c:pt idx="7">
                  <c:v>404.04835047674032</c:v>
                </c:pt>
                <c:pt idx="8">
                  <c:v>405.98085375068359</c:v>
                </c:pt>
                <c:pt idx="9" formatCode="General">
                  <c:v>408.27284512286889</c:v>
                </c:pt>
                <c:pt idx="10" formatCode="General">
                  <c:v>410.45193385423289</c:v>
                </c:pt>
                <c:pt idx="11" formatCode="General">
                  <c:v>412.14028356742728</c:v>
                </c:pt>
                <c:pt idx="12" formatCode="General">
                  <c:v>413.77909650214355</c:v>
                </c:pt>
                <c:pt idx="13" formatCode="General">
                  <c:v>415.4099685010583</c:v>
                </c:pt>
                <c:pt idx="14" formatCode="General">
                  <c:v>416.92763057638996</c:v>
                </c:pt>
                <c:pt idx="15" formatCode="General">
                  <c:v>418.27384866236008</c:v>
                </c:pt>
              </c:numCache>
            </c:numRef>
          </c:val>
          <c:smooth val="0"/>
          <c:extLst>
            <c:ext xmlns:c16="http://schemas.microsoft.com/office/drawing/2014/chart" uri="{C3380CC4-5D6E-409C-BE32-E72D297353CC}">
              <c16:uniqueId val="{00000003-012C-4096-A8B4-67BA25B4CFAA}"/>
            </c:ext>
          </c:extLst>
        </c:ser>
        <c:dLbls>
          <c:showLegendKey val="0"/>
          <c:showVal val="0"/>
          <c:showCatName val="0"/>
          <c:showSerName val="0"/>
          <c:showPercent val="0"/>
          <c:showBubbleSize val="0"/>
        </c:dLbls>
        <c:marker val="1"/>
        <c:smooth val="0"/>
        <c:axId val="652748808"/>
        <c:axId val="652749200"/>
      </c:lineChart>
      <c:catAx>
        <c:axId val="652748808"/>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652749200"/>
        <c:crosses val="autoZero"/>
        <c:auto val="1"/>
        <c:lblAlgn val="ctr"/>
        <c:lblOffset val="100"/>
        <c:noMultiLvlLbl val="0"/>
      </c:catAx>
      <c:valAx>
        <c:axId val="652749200"/>
        <c:scaling>
          <c:orientation val="minMax"/>
          <c:max val="500"/>
          <c:min val="320"/>
        </c:scaling>
        <c:delete val="0"/>
        <c:axPos val="l"/>
        <c:numFmt formatCode="General" sourceLinked="1"/>
        <c:majorTickMark val="out"/>
        <c:minorTickMark val="none"/>
        <c:tickLblPos val="nextTo"/>
        <c:crossAx val="652748808"/>
        <c:crosses val="autoZero"/>
        <c:crossBetween val="between"/>
        <c:majorUnit val="30"/>
      </c:valAx>
      <c:spPr>
        <a:solidFill>
          <a:srgbClr val="FFFFFF"/>
        </a:solidFill>
      </c:spPr>
    </c:plotArea>
    <c:legend>
      <c:legendPos val="l"/>
      <c:legendEntry>
        <c:idx val="0"/>
        <c:delete val="1"/>
      </c:legendEntry>
      <c:layout>
        <c:manualLayout>
          <c:xMode val="edge"/>
          <c:yMode val="edge"/>
          <c:x val="0.55348098448345251"/>
          <c:y val="6.5122055579326404E-2"/>
          <c:w val="0.31069598321919395"/>
          <c:h val="0.21285348329341686"/>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2A38-403D-A480-3D4DEC397CC4}"/>
            </c:ext>
          </c:extLst>
        </c:ser>
        <c:dLbls>
          <c:showLegendKey val="0"/>
          <c:showVal val="0"/>
          <c:showCatName val="0"/>
          <c:showSerName val="0"/>
          <c:showPercent val="0"/>
          <c:showBubbleSize val="0"/>
        </c:dLbls>
        <c:gapWidth val="0"/>
        <c:axId val="652752336"/>
        <c:axId val="65275429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2A38-403D-A480-3D4DEC397CC4}"/>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254.96970344217738</c:v>
                </c:pt>
                <c:pt idx="1">
                  <c:v>257.01048365325209</c:v>
                </c:pt>
                <c:pt idx="2">
                  <c:v>259.50790873558327</c:v>
                </c:pt>
                <c:pt idx="3">
                  <c:v>262.95999551182121</c:v>
                </c:pt>
                <c:pt idx="4">
                  <c:v>266.22622633285482</c:v>
                </c:pt>
                <c:pt idx="5">
                  <c:v>269.79732306669871</c:v>
                </c:pt>
                <c:pt idx="6">
                  <c:v>272.0302960228957</c:v>
                </c:pt>
                <c:pt idx="7">
                  <c:v>273.39857800072923</c:v>
                </c:pt>
                <c:pt idx="8">
                  <c:v>274.31033148999836</c:v>
                </c:pt>
                <c:pt idx="9" formatCode="General">
                  <c:v>275.64438752938895</c:v>
                </c:pt>
                <c:pt idx="10" formatCode="General">
                  <c:v>276.8631343164638</c:v>
                </c:pt>
                <c:pt idx="11" formatCode="General">
                  <c:v>277.89089650626033</c:v>
                </c:pt>
                <c:pt idx="12" formatCode="General">
                  <c:v>278.95312898084109</c:v>
                </c:pt>
                <c:pt idx="13" formatCode="General">
                  <c:v>280.00399273367969</c:v>
                </c:pt>
                <c:pt idx="14" formatCode="General">
                  <c:v>280.98999989472873</c:v>
                </c:pt>
                <c:pt idx="15" formatCode="General">
                  <c:v>281.79578152415263</c:v>
                </c:pt>
              </c:numCache>
            </c:numRef>
          </c:val>
          <c:smooth val="0"/>
          <c:extLst>
            <c:ext xmlns:c16="http://schemas.microsoft.com/office/drawing/2014/chart" uri="{C3380CC4-5D6E-409C-BE32-E72D297353CC}">
              <c16:uniqueId val="{00000003-2A38-403D-A480-3D4DEC397CC4}"/>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274.54910308119167</c:v>
                </c:pt>
                <c:pt idx="1">
                  <c:v>265.03030288149529</c:v>
                </c:pt>
                <c:pt idx="2">
                  <c:v>256.45024570587816</c:v>
                </c:pt>
                <c:pt idx="3">
                  <c:v>249.06130630318938</c:v>
                </c:pt>
                <c:pt idx="4">
                  <c:v>241.93706485064473</c:v>
                </c:pt>
                <c:pt idx="5">
                  <c:v>235.69921119782524</c:v>
                </c:pt>
                <c:pt idx="6">
                  <c:v>229.62912223206658</c:v>
                </c:pt>
                <c:pt idx="7">
                  <c:v>223.55840150358753</c:v>
                </c:pt>
                <c:pt idx="8">
                  <c:v>218.08090682442344</c:v>
                </c:pt>
                <c:pt idx="9">
                  <c:v>213.72291485518627</c:v>
                </c:pt>
                <c:pt idx="10">
                  <c:v>210.2247546781422</c:v>
                </c:pt>
                <c:pt idx="11">
                  <c:v>206.91500873239821</c:v>
                </c:pt>
                <c:pt idx="12">
                  <c:v>203.63673578202491</c:v>
                </c:pt>
                <c:pt idx="13">
                  <c:v>200.05029579522142</c:v>
                </c:pt>
                <c:pt idx="14">
                  <c:v>196.23259888928445</c:v>
                </c:pt>
                <c:pt idx="15">
                  <c:v>192.31238740638341</c:v>
                </c:pt>
              </c:numCache>
            </c:numRef>
          </c:val>
          <c:smooth val="0"/>
          <c:extLst>
            <c:ext xmlns:c16="http://schemas.microsoft.com/office/drawing/2014/chart" uri="{C3380CC4-5D6E-409C-BE32-E72D297353CC}">
              <c16:uniqueId val="{00000004-2A38-403D-A480-3D4DEC397CC4}"/>
            </c:ext>
          </c:extLst>
        </c:ser>
        <c:dLbls>
          <c:showLegendKey val="0"/>
          <c:showVal val="0"/>
          <c:showCatName val="0"/>
          <c:showSerName val="0"/>
          <c:showPercent val="0"/>
          <c:showBubbleSize val="0"/>
        </c:dLbls>
        <c:marker val="1"/>
        <c:smooth val="0"/>
        <c:axId val="652752336"/>
        <c:axId val="652754296"/>
      </c:lineChart>
      <c:catAx>
        <c:axId val="652752336"/>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652754296"/>
        <c:crosses val="autoZero"/>
        <c:auto val="1"/>
        <c:lblAlgn val="ctr"/>
        <c:lblOffset val="100"/>
        <c:noMultiLvlLbl val="0"/>
      </c:catAx>
      <c:valAx>
        <c:axId val="652754296"/>
        <c:scaling>
          <c:orientation val="minMax"/>
          <c:max val="310"/>
          <c:min val="160"/>
        </c:scaling>
        <c:delete val="0"/>
        <c:axPos val="l"/>
        <c:numFmt formatCode="General" sourceLinked="1"/>
        <c:majorTickMark val="out"/>
        <c:minorTickMark val="none"/>
        <c:tickLblPos val="nextTo"/>
        <c:crossAx val="652752336"/>
        <c:crosses val="autoZero"/>
        <c:crossBetween val="between"/>
        <c:majorUnit val="30"/>
      </c:valAx>
      <c:spPr>
        <a:solidFill>
          <a:srgbClr val="FFFFFF"/>
        </a:solidFill>
      </c:spPr>
    </c:plotArea>
    <c:legend>
      <c:legendPos val="l"/>
      <c:legendEntry>
        <c:idx val="0"/>
        <c:delete val="1"/>
      </c:legendEntry>
      <c:layout>
        <c:manualLayout>
          <c:xMode val="edge"/>
          <c:yMode val="edge"/>
          <c:x val="0.59188773384331017"/>
          <c:y val="0.23449396807050496"/>
          <c:w val="0.30617314287545805"/>
          <c:h val="0.24813929839574569"/>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783444869065823E-2"/>
          <c:y val="0.25477777494808151"/>
          <c:w val="0.81304569012666139"/>
          <c:h val="0.64462374429012304"/>
        </c:manualLayout>
      </c:layout>
      <c:barChart>
        <c:barDir val="col"/>
        <c:grouping val="stacked"/>
        <c:varyColors val="0"/>
        <c:ser>
          <c:idx val="1"/>
          <c:order val="0"/>
          <c:tx>
            <c:strRef>
              <c:f>Sheet1!$A$2</c:f>
              <c:strCache>
                <c:ptCount val="1"/>
                <c:pt idx="0">
                  <c:v>DM</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Sheet1!$B$1:$AA$1</c:f>
              <c:numCache>
                <c:formatCode>General</c:formatCode>
                <c:ptCount val="10"/>
                <c:pt idx="0">
                  <c:v>2012</c:v>
                </c:pt>
                <c:pt idx="1">
                  <c:v>2014</c:v>
                </c:pt>
                <c:pt idx="2">
                  <c:v>2016</c:v>
                </c:pt>
                <c:pt idx="3">
                  <c:v>2019</c:v>
                </c:pt>
                <c:pt idx="4">
                  <c:v>2020</c:v>
                </c:pt>
                <c:pt idx="5">
                  <c:v>2021</c:v>
                </c:pt>
                <c:pt idx="6">
                  <c:v>2022</c:v>
                </c:pt>
                <c:pt idx="7">
                  <c:v>2023</c:v>
                </c:pt>
                <c:pt idx="8">
                  <c:v>2024</c:v>
                </c:pt>
                <c:pt idx="9">
                  <c:v>2025</c:v>
                </c:pt>
              </c:numCache>
            </c:numRef>
          </c:cat>
          <c:val>
            <c:numRef>
              <c:f>Sheet1!$B$2:$AA$2</c:f>
            </c:numRef>
          </c:val>
          <c:extLst>
            <c:ext xmlns:c16="http://schemas.microsoft.com/office/drawing/2014/chart" uri="{C3380CC4-5D6E-409C-BE32-E72D297353CC}">
              <c16:uniqueId val="{00000000-1A5C-4E0C-B11C-C21607F6545D}"/>
            </c:ext>
          </c:extLst>
        </c:ser>
        <c:ser>
          <c:idx val="0"/>
          <c:order val="1"/>
          <c:tx>
            <c:strRef>
              <c:f>Sheet1!$A$3</c:f>
              <c:strCache>
                <c:ptCount val="1"/>
                <c:pt idx="0">
                  <c:v>Darbaspēka pieprasījums (kreisā ass)</c:v>
                </c:pt>
              </c:strCache>
            </c:strRef>
          </c:tx>
          <c:spPr>
            <a:solidFill>
              <a:schemeClr val="accent6"/>
            </a:solidFill>
            <a:ln>
              <a:noFill/>
            </a:ln>
            <a:effectLst/>
          </c:spPr>
          <c:invertIfNegative val="0"/>
          <c:cat>
            <c:numRef>
              <c:f>Sheet1!$B$1:$AA$1</c:f>
              <c:numCache>
                <c:formatCode>General</c:formatCode>
                <c:ptCount val="10"/>
                <c:pt idx="0">
                  <c:v>2012</c:v>
                </c:pt>
                <c:pt idx="1">
                  <c:v>2014</c:v>
                </c:pt>
                <c:pt idx="2">
                  <c:v>2016</c:v>
                </c:pt>
                <c:pt idx="3">
                  <c:v>2019</c:v>
                </c:pt>
                <c:pt idx="4">
                  <c:v>2020</c:v>
                </c:pt>
                <c:pt idx="5">
                  <c:v>2021</c:v>
                </c:pt>
                <c:pt idx="6">
                  <c:v>2022</c:v>
                </c:pt>
                <c:pt idx="7">
                  <c:v>2023</c:v>
                </c:pt>
                <c:pt idx="8">
                  <c:v>2024</c:v>
                </c:pt>
                <c:pt idx="9">
                  <c:v>2025</c:v>
                </c:pt>
              </c:numCache>
            </c:numRef>
          </c:cat>
          <c:val>
            <c:numRef>
              <c:f>Sheet1!$B$3:$AA$3</c:f>
              <c:numCache>
                <c:formatCode>0.0</c:formatCode>
                <c:ptCount val="10"/>
                <c:pt idx="0">
                  <c:v>-14</c:v>
                </c:pt>
                <c:pt idx="1">
                  <c:v>9.3000000000000007</c:v>
                </c:pt>
                <c:pt idx="2">
                  <c:v>2.8</c:v>
                </c:pt>
                <c:pt idx="3">
                  <c:v>-0.64499999999998181</c:v>
                </c:pt>
                <c:pt idx="4">
                  <c:v>17.025000000000091</c:v>
                </c:pt>
                <c:pt idx="5">
                  <c:v>29</c:v>
                </c:pt>
                <c:pt idx="6">
                  <c:v>-22.149999999999977</c:v>
                </c:pt>
                <c:pt idx="7">
                  <c:v>2.0499999999999545</c:v>
                </c:pt>
                <c:pt idx="8">
                  <c:v>6.8000000000000682</c:v>
                </c:pt>
                <c:pt idx="9" formatCode="General">
                  <c:v>-5.7</c:v>
                </c:pt>
              </c:numCache>
            </c:numRef>
          </c:val>
          <c:extLst>
            <c:ext xmlns:c16="http://schemas.microsoft.com/office/drawing/2014/chart" uri="{C3380CC4-5D6E-409C-BE32-E72D297353CC}">
              <c16:uniqueId val="{00000001-1A5C-4E0C-B11C-C21607F6545D}"/>
            </c:ext>
          </c:extLst>
        </c:ser>
        <c:ser>
          <c:idx val="2"/>
          <c:order val="2"/>
          <c:tx>
            <c:strRef>
              <c:f>Sheet1!$A$4</c:f>
              <c:strCache>
                <c:ptCount val="1"/>
                <c:pt idx="0">
                  <c:v>EA iedz</c:v>
                </c:pt>
              </c:strCache>
            </c:strRef>
          </c:tx>
          <c:spPr>
            <a:solidFill>
              <a:schemeClr val="accent4"/>
            </a:solidFill>
            <a:ln>
              <a:noFill/>
            </a:ln>
            <a:effectLst/>
          </c:spPr>
          <c:invertIfNegative val="0"/>
          <c:cat>
            <c:numRef>
              <c:f>Sheet1!$B$1:$AA$1</c:f>
              <c:numCache>
                <c:formatCode>General</c:formatCode>
                <c:ptCount val="10"/>
                <c:pt idx="0">
                  <c:v>2012</c:v>
                </c:pt>
                <c:pt idx="1">
                  <c:v>2014</c:v>
                </c:pt>
                <c:pt idx="2">
                  <c:v>2016</c:v>
                </c:pt>
                <c:pt idx="3">
                  <c:v>2019</c:v>
                </c:pt>
                <c:pt idx="4">
                  <c:v>2020</c:v>
                </c:pt>
                <c:pt idx="5">
                  <c:v>2021</c:v>
                </c:pt>
                <c:pt idx="6">
                  <c:v>2022</c:v>
                </c:pt>
                <c:pt idx="7">
                  <c:v>2023</c:v>
                </c:pt>
                <c:pt idx="8">
                  <c:v>2024</c:v>
                </c:pt>
                <c:pt idx="9">
                  <c:v>2025</c:v>
                </c:pt>
              </c:numCache>
            </c:numRef>
          </c:cat>
          <c:val>
            <c:numRef>
              <c:f>Sheet1!$B$4:$AA$4</c:f>
            </c:numRef>
          </c:val>
          <c:extLst>
            <c:ext xmlns:c16="http://schemas.microsoft.com/office/drawing/2014/chart" uri="{C3380CC4-5D6E-409C-BE32-E72D297353CC}">
              <c16:uniqueId val="{00000002-1A5C-4E0C-B11C-C21607F6545D}"/>
            </c:ext>
          </c:extLst>
        </c:ser>
        <c:ser>
          <c:idx val="3"/>
          <c:order val="3"/>
          <c:tx>
            <c:strRef>
              <c:f>Sheet1!$A$5</c:f>
              <c:strCache>
                <c:ptCount val="1"/>
                <c:pt idx="0">
                  <c:v>Darbaspējīgo iedzīvotāju skaits (kreisā ass)</c:v>
                </c:pt>
              </c:strCache>
            </c:strRef>
          </c:tx>
          <c:spPr>
            <a:solidFill>
              <a:schemeClr val="accent6">
                <a:lumMod val="60000"/>
              </a:schemeClr>
            </a:solidFill>
            <a:ln>
              <a:noFill/>
            </a:ln>
            <a:effectLst/>
          </c:spPr>
          <c:invertIfNegative val="0"/>
          <c:cat>
            <c:numRef>
              <c:f>Sheet1!$B$1:$AA$1</c:f>
              <c:numCache>
                <c:formatCode>General</c:formatCode>
                <c:ptCount val="10"/>
                <c:pt idx="0">
                  <c:v>2012</c:v>
                </c:pt>
                <c:pt idx="1">
                  <c:v>2014</c:v>
                </c:pt>
                <c:pt idx="2">
                  <c:v>2016</c:v>
                </c:pt>
                <c:pt idx="3">
                  <c:v>2019</c:v>
                </c:pt>
                <c:pt idx="4">
                  <c:v>2020</c:v>
                </c:pt>
                <c:pt idx="5">
                  <c:v>2021</c:v>
                </c:pt>
                <c:pt idx="6">
                  <c:v>2022</c:v>
                </c:pt>
                <c:pt idx="7">
                  <c:v>2023</c:v>
                </c:pt>
                <c:pt idx="8">
                  <c:v>2024</c:v>
                </c:pt>
                <c:pt idx="9">
                  <c:v>2025</c:v>
                </c:pt>
              </c:numCache>
            </c:numRef>
          </c:cat>
          <c:val>
            <c:numRef>
              <c:f>Sheet1!$B$5:$AA$5</c:f>
              <c:numCache>
                <c:formatCode>0.0</c:formatCode>
                <c:ptCount val="10"/>
                <c:pt idx="0">
                  <c:v>-35.299999999999997</c:v>
                </c:pt>
                <c:pt idx="1">
                  <c:v>-40.299999999999997</c:v>
                </c:pt>
                <c:pt idx="2">
                  <c:v>-22.3</c:v>
                </c:pt>
                <c:pt idx="3">
                  <c:v>-11.3</c:v>
                </c:pt>
                <c:pt idx="4">
                  <c:v>-9.4</c:v>
                </c:pt>
                <c:pt idx="5">
                  <c:v>-8.6999999999998181</c:v>
                </c:pt>
                <c:pt idx="6">
                  <c:v>4.5499999999997272</c:v>
                </c:pt>
                <c:pt idx="7">
                  <c:v>-8.3499999999999091</c:v>
                </c:pt>
                <c:pt idx="8" formatCode="General">
                  <c:v>-5.7</c:v>
                </c:pt>
                <c:pt idx="9" formatCode="General">
                  <c:v>-3</c:v>
                </c:pt>
              </c:numCache>
            </c:numRef>
          </c:val>
          <c:extLst>
            <c:ext xmlns:c16="http://schemas.microsoft.com/office/drawing/2014/chart" uri="{C3380CC4-5D6E-409C-BE32-E72D297353CC}">
              <c16:uniqueId val="{00000003-1A5C-4E0C-B11C-C21607F6545D}"/>
            </c:ext>
          </c:extLst>
        </c:ser>
        <c:ser>
          <c:idx val="4"/>
          <c:order val="4"/>
          <c:tx>
            <c:strRef>
              <c:f>Sheet1!$A$6</c:f>
              <c:strCache>
                <c:ptCount val="1"/>
                <c:pt idx="0">
                  <c:v>Iedzīvotāju ekonomiskā aktivitāte (kreisā ass)</c:v>
                </c:pt>
              </c:strCache>
            </c:strRef>
          </c:tx>
          <c:spPr>
            <a:solidFill>
              <a:schemeClr val="accent5">
                <a:lumMod val="60000"/>
              </a:schemeClr>
            </a:solidFill>
            <a:ln>
              <a:noFill/>
            </a:ln>
            <a:effectLst/>
          </c:spPr>
          <c:invertIfNegative val="0"/>
          <c:cat>
            <c:numRef>
              <c:f>Sheet1!$B$1:$AA$1</c:f>
              <c:numCache>
                <c:formatCode>General</c:formatCode>
                <c:ptCount val="10"/>
                <c:pt idx="0">
                  <c:v>2012</c:v>
                </c:pt>
                <c:pt idx="1">
                  <c:v>2014</c:v>
                </c:pt>
                <c:pt idx="2">
                  <c:v>2016</c:v>
                </c:pt>
                <c:pt idx="3">
                  <c:v>2019</c:v>
                </c:pt>
                <c:pt idx="4">
                  <c:v>2020</c:v>
                </c:pt>
                <c:pt idx="5">
                  <c:v>2021</c:v>
                </c:pt>
                <c:pt idx="6">
                  <c:v>2022</c:v>
                </c:pt>
                <c:pt idx="7">
                  <c:v>2023</c:v>
                </c:pt>
                <c:pt idx="8">
                  <c:v>2024</c:v>
                </c:pt>
                <c:pt idx="9">
                  <c:v>2025</c:v>
                </c:pt>
              </c:numCache>
            </c:numRef>
          </c:cat>
          <c:val>
            <c:numRef>
              <c:f>Sheet1!$B$6:$AA$6</c:f>
              <c:numCache>
                <c:formatCode>0.0</c:formatCode>
                <c:ptCount val="10"/>
                <c:pt idx="0">
                  <c:v>37.799999999999997</c:v>
                </c:pt>
                <c:pt idx="1">
                  <c:v>18.399999999999999</c:v>
                </c:pt>
                <c:pt idx="2">
                  <c:v>16.7</c:v>
                </c:pt>
                <c:pt idx="3">
                  <c:v>0.49749999999983174</c:v>
                </c:pt>
                <c:pt idx="4">
                  <c:v>9.7750000000003183</c:v>
                </c:pt>
                <c:pt idx="5">
                  <c:v>-28.400000000000205</c:v>
                </c:pt>
                <c:pt idx="6">
                  <c:v>12.175000000000182</c:v>
                </c:pt>
                <c:pt idx="7">
                  <c:v>2.7250000000000227</c:v>
                </c:pt>
                <c:pt idx="8" formatCode="General">
                  <c:v>2.7</c:v>
                </c:pt>
                <c:pt idx="9" formatCode="General">
                  <c:v>9.1999999999999993</c:v>
                </c:pt>
              </c:numCache>
            </c:numRef>
          </c:val>
          <c:extLst>
            <c:ext xmlns:c16="http://schemas.microsoft.com/office/drawing/2014/chart" uri="{C3380CC4-5D6E-409C-BE32-E72D297353CC}">
              <c16:uniqueId val="{00000004-1A5C-4E0C-B11C-C21607F6545D}"/>
            </c:ext>
          </c:extLst>
        </c:ser>
        <c:dLbls>
          <c:showLegendKey val="0"/>
          <c:showVal val="0"/>
          <c:showCatName val="0"/>
          <c:showSerName val="0"/>
          <c:showPercent val="0"/>
          <c:showBubbleSize val="0"/>
        </c:dLbls>
        <c:gapWidth val="40"/>
        <c:overlap val="100"/>
        <c:axId val="742151832"/>
        <c:axId val="742151048"/>
      </c:barChart>
      <c:lineChart>
        <c:grouping val="standard"/>
        <c:varyColors val="0"/>
        <c:ser>
          <c:idx val="5"/>
          <c:order val="5"/>
          <c:tx>
            <c:strRef>
              <c:f>Sheet1!$A$7</c:f>
              <c:strCache>
                <c:ptCount val="1"/>
                <c:pt idx="0">
                  <c:v>Bezdarbnieku kopējais skaits (kreisā ass)</c:v>
                </c:pt>
              </c:strCache>
            </c:strRef>
          </c:tx>
          <c:spPr>
            <a:ln w="28575" cap="rnd" cmpd="sng" algn="ctr">
              <a:solidFill>
                <a:schemeClr val="accent4">
                  <a:lumMod val="60000"/>
                  <a:shade val="95000"/>
                  <a:satMod val="105000"/>
                </a:schemeClr>
              </a:solidFill>
              <a:prstDash val="solid"/>
              <a:round/>
            </a:ln>
            <a:effectLst/>
          </c:spPr>
          <c:marker>
            <c:symbol val="none"/>
          </c:marker>
          <c:cat>
            <c:numRef>
              <c:f>Sheet1!$B$1:$AA$1</c:f>
              <c:numCache>
                <c:formatCode>General</c:formatCode>
                <c:ptCount val="10"/>
                <c:pt idx="0">
                  <c:v>2012</c:v>
                </c:pt>
                <c:pt idx="1">
                  <c:v>2014</c:v>
                </c:pt>
                <c:pt idx="2">
                  <c:v>2016</c:v>
                </c:pt>
                <c:pt idx="3">
                  <c:v>2019</c:v>
                </c:pt>
                <c:pt idx="4">
                  <c:v>2020</c:v>
                </c:pt>
                <c:pt idx="5">
                  <c:v>2021</c:v>
                </c:pt>
                <c:pt idx="6">
                  <c:v>2022</c:v>
                </c:pt>
                <c:pt idx="7">
                  <c:v>2023</c:v>
                </c:pt>
                <c:pt idx="8">
                  <c:v>2024</c:v>
                </c:pt>
                <c:pt idx="9">
                  <c:v>2025</c:v>
                </c:pt>
              </c:numCache>
            </c:numRef>
          </c:cat>
          <c:val>
            <c:numRef>
              <c:f>Sheet1!$B$7:$AA$7</c:f>
              <c:numCache>
                <c:formatCode>0.0</c:formatCode>
                <c:ptCount val="10"/>
                <c:pt idx="0">
                  <c:v>-11.5</c:v>
                </c:pt>
                <c:pt idx="1">
                  <c:v>-12.7</c:v>
                </c:pt>
                <c:pt idx="2">
                  <c:v>-2.9</c:v>
                </c:pt>
                <c:pt idx="3">
                  <c:v>-11.5</c:v>
                </c:pt>
                <c:pt idx="4">
                  <c:v>17.350000000000136</c:v>
                </c:pt>
                <c:pt idx="5">
                  <c:v>-8.1000000000000227</c:v>
                </c:pt>
                <c:pt idx="6">
                  <c:v>-5.4250000000000682</c:v>
                </c:pt>
                <c:pt idx="7">
                  <c:v>-3.5749999999999318</c:v>
                </c:pt>
                <c:pt idx="8">
                  <c:v>3.8</c:v>
                </c:pt>
                <c:pt idx="9" formatCode="General">
                  <c:v>0.5</c:v>
                </c:pt>
              </c:numCache>
            </c:numRef>
          </c:val>
          <c:smooth val="0"/>
          <c:extLst>
            <c:ext xmlns:c16="http://schemas.microsoft.com/office/drawing/2014/chart" uri="{C3380CC4-5D6E-409C-BE32-E72D297353CC}">
              <c16:uniqueId val="{00000005-1A5C-4E0C-B11C-C21607F6545D}"/>
            </c:ext>
          </c:extLst>
        </c:ser>
        <c:dLbls>
          <c:showLegendKey val="0"/>
          <c:showVal val="0"/>
          <c:showCatName val="0"/>
          <c:showSerName val="0"/>
          <c:showPercent val="0"/>
          <c:showBubbleSize val="0"/>
        </c:dLbls>
        <c:marker val="1"/>
        <c:smooth val="0"/>
        <c:axId val="742151832"/>
        <c:axId val="742151048"/>
      </c:lineChart>
      <c:lineChart>
        <c:grouping val="standard"/>
        <c:varyColors val="0"/>
        <c:ser>
          <c:idx val="6"/>
          <c:order val="6"/>
          <c:tx>
            <c:strRef>
              <c:f>Sheet1!$A$8</c:f>
              <c:strCache>
                <c:ptCount val="1"/>
                <c:pt idx="0">
                  <c:v>Bezdarba līmenis, % (labā ass)</c:v>
                </c:pt>
              </c:strCache>
            </c:strRef>
          </c:tx>
          <c:spPr>
            <a:ln w="28575" cap="rnd" cmpd="sng" algn="ctr">
              <a:solidFill>
                <a:schemeClr val="accent6">
                  <a:lumMod val="80000"/>
                  <a:lumOff val="20000"/>
                  <a:shade val="95000"/>
                  <a:satMod val="105000"/>
                </a:schemeClr>
              </a:solidFill>
              <a:prstDash val="solid"/>
              <a:round/>
            </a:ln>
            <a:effectLst/>
          </c:spPr>
          <c:marker>
            <c:symbol val="none"/>
          </c:marker>
          <c:cat>
            <c:numRef>
              <c:f>Sheet1!$B$1:$AA$1</c:f>
              <c:numCache>
                <c:formatCode>General</c:formatCode>
                <c:ptCount val="10"/>
                <c:pt idx="0">
                  <c:v>2012</c:v>
                </c:pt>
                <c:pt idx="1">
                  <c:v>2014</c:v>
                </c:pt>
                <c:pt idx="2">
                  <c:v>2016</c:v>
                </c:pt>
                <c:pt idx="3">
                  <c:v>2019</c:v>
                </c:pt>
                <c:pt idx="4">
                  <c:v>2020</c:v>
                </c:pt>
                <c:pt idx="5">
                  <c:v>2021</c:v>
                </c:pt>
                <c:pt idx="6">
                  <c:v>2022</c:v>
                </c:pt>
                <c:pt idx="7">
                  <c:v>2023</c:v>
                </c:pt>
                <c:pt idx="8">
                  <c:v>2024</c:v>
                </c:pt>
                <c:pt idx="9">
                  <c:v>2025</c:v>
                </c:pt>
              </c:numCache>
            </c:numRef>
          </c:cat>
          <c:val>
            <c:numRef>
              <c:f>Sheet1!$B$8:$AA$8</c:f>
              <c:numCache>
                <c:formatCode>0.0</c:formatCode>
                <c:ptCount val="10"/>
                <c:pt idx="0">
                  <c:v>15.1</c:v>
                </c:pt>
                <c:pt idx="1">
                  <c:v>10.9</c:v>
                </c:pt>
                <c:pt idx="2">
                  <c:v>9.6</c:v>
                </c:pt>
                <c:pt idx="3">
                  <c:v>6.3</c:v>
                </c:pt>
                <c:pt idx="4">
                  <c:v>8.1</c:v>
                </c:pt>
                <c:pt idx="5">
                  <c:v>7.6</c:v>
                </c:pt>
                <c:pt idx="6" formatCode="General">
                  <c:v>6.9</c:v>
                </c:pt>
                <c:pt idx="7" formatCode="General">
                  <c:v>6.5</c:v>
                </c:pt>
                <c:pt idx="8" formatCode="General">
                  <c:v>6.9</c:v>
                </c:pt>
                <c:pt idx="9">
                  <c:v>6.9</c:v>
                </c:pt>
              </c:numCache>
            </c:numRef>
          </c:val>
          <c:smooth val="0"/>
          <c:extLst>
            <c:ext xmlns:c16="http://schemas.microsoft.com/office/drawing/2014/chart" uri="{C3380CC4-5D6E-409C-BE32-E72D297353CC}">
              <c16:uniqueId val="{00000006-1A5C-4E0C-B11C-C21607F6545D}"/>
            </c:ext>
          </c:extLst>
        </c:ser>
        <c:dLbls>
          <c:showLegendKey val="0"/>
          <c:showVal val="0"/>
          <c:showCatName val="0"/>
          <c:showSerName val="0"/>
          <c:showPercent val="0"/>
          <c:showBubbleSize val="0"/>
        </c:dLbls>
        <c:marker val="1"/>
        <c:smooth val="0"/>
        <c:axId val="742152616"/>
        <c:axId val="742152224"/>
      </c:lineChart>
      <c:catAx>
        <c:axId val="742151832"/>
        <c:scaling>
          <c:orientation val="minMax"/>
        </c:scaling>
        <c:delete val="0"/>
        <c:axPos val="b"/>
        <c:numFmt formatCode="General" sourceLinked="1"/>
        <c:majorTickMark val="out"/>
        <c:minorTickMark val="none"/>
        <c:tickLblPos val="low"/>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crossAx val="742151048"/>
        <c:crossesAt val="0"/>
        <c:auto val="0"/>
        <c:lblAlgn val="ctr"/>
        <c:lblOffset val="0"/>
        <c:noMultiLvlLbl val="1"/>
      </c:catAx>
      <c:valAx>
        <c:axId val="742151048"/>
        <c:scaling>
          <c:orientation val="minMax"/>
          <c:max val="180"/>
        </c:scaling>
        <c:delete val="0"/>
        <c:axPos val="l"/>
        <c:numFmt formatCode="#,##0" sourceLinked="0"/>
        <c:majorTickMark val="out"/>
        <c:minorTickMark val="none"/>
        <c:tickLblPos val="nextTo"/>
        <c:spPr>
          <a:noFill/>
          <a:ln w="2339"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crossAx val="742151832"/>
        <c:crossesAt val="1"/>
        <c:crossBetween val="between"/>
        <c:majorUnit val="60"/>
      </c:valAx>
      <c:valAx>
        <c:axId val="742152224"/>
        <c:scaling>
          <c:orientation val="minMax"/>
          <c:max val="30"/>
          <c:min val="-30"/>
        </c:scaling>
        <c:delete val="0"/>
        <c:axPos val="r"/>
        <c:numFmt formatCode="0" sourceLinked="0"/>
        <c:majorTickMark val="out"/>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crossAx val="742152616"/>
        <c:crosses val="max"/>
        <c:crossBetween val="between"/>
        <c:majorUnit val="10"/>
      </c:valAx>
      <c:catAx>
        <c:axId val="742152616"/>
        <c:scaling>
          <c:orientation val="minMax"/>
        </c:scaling>
        <c:delete val="1"/>
        <c:axPos val="b"/>
        <c:numFmt formatCode="General" sourceLinked="1"/>
        <c:majorTickMark val="out"/>
        <c:minorTickMark val="none"/>
        <c:tickLblPos val="nextTo"/>
        <c:crossAx val="742152224"/>
        <c:crosses val="autoZero"/>
        <c:auto val="1"/>
        <c:lblAlgn val="ctr"/>
        <c:lblOffset val="100"/>
        <c:noMultiLvlLbl val="0"/>
      </c:catAx>
      <c:spPr>
        <a:noFill/>
        <a:ln w="24220">
          <a:noFill/>
        </a:ln>
        <a:effectLst/>
      </c:spPr>
    </c:plotArea>
    <c:legend>
      <c:legendPos val="r"/>
      <c:layout>
        <c:manualLayout>
          <c:xMode val="edge"/>
          <c:yMode val="edge"/>
          <c:x val="9.0298290416400639E-2"/>
          <c:y val="7.3475378941348889E-3"/>
          <c:w val="0.81721607434205856"/>
          <c:h val="0.36959300992991873"/>
        </c:manualLayout>
      </c:layout>
      <c:overlay val="1"/>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rgbClr val="FFFFFF"/>
    </a:solid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CDA8-41CD-B7F7-53D93DDA1D1E}"/>
            </c:ext>
          </c:extLst>
        </c:ser>
        <c:dLbls>
          <c:showLegendKey val="0"/>
          <c:showVal val="0"/>
          <c:showCatName val="0"/>
          <c:showSerName val="0"/>
          <c:showPercent val="0"/>
          <c:showBubbleSize val="0"/>
        </c:dLbls>
        <c:gapWidth val="0"/>
        <c:axId val="652751944"/>
        <c:axId val="652750376"/>
      </c:barChart>
      <c:lineChart>
        <c:grouping val="standard"/>
        <c:varyColors val="0"/>
        <c:ser>
          <c:idx val="0"/>
          <c:order val="0"/>
          <c:tx>
            <c:strRef>
              <c:f>Sheet1!$A$2</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206.13868342437854</c:v>
                </c:pt>
                <c:pt idx="1">
                  <c:v>204.18923157744729</c:v>
                </c:pt>
                <c:pt idx="2">
                  <c:v>203.26404476558596</c:v>
                </c:pt>
                <c:pt idx="3">
                  <c:v>203.01961366021223</c:v>
                </c:pt>
                <c:pt idx="4">
                  <c:v>203.04307268744518</c:v>
                </c:pt>
                <c:pt idx="5">
                  <c:v>203.41497773719368</c:v>
                </c:pt>
                <c:pt idx="6">
                  <c:v>203.72274283722723</c:v>
                </c:pt>
                <c:pt idx="7">
                  <c:v>203.99543776777998</c:v>
                </c:pt>
                <c:pt idx="8">
                  <c:v>204.51881993355028</c:v>
                </c:pt>
                <c:pt idx="9" formatCode="General">
                  <c:v>205.71155286464509</c:v>
                </c:pt>
                <c:pt idx="10" formatCode="General">
                  <c:v>207.29590450670588</c:v>
                </c:pt>
                <c:pt idx="11" formatCode="General">
                  <c:v>208.98755544666642</c:v>
                </c:pt>
                <c:pt idx="12" formatCode="General">
                  <c:v>210.7237217742794</c:v>
                </c:pt>
                <c:pt idx="13" formatCode="General">
                  <c:v>211.98242857037209</c:v>
                </c:pt>
                <c:pt idx="14" formatCode="General">
                  <c:v>212.74431266202808</c:v>
                </c:pt>
                <c:pt idx="15" formatCode="General">
                  <c:v>213.06115414836847</c:v>
                </c:pt>
              </c:numCache>
            </c:numRef>
          </c:val>
          <c:smooth val="0"/>
          <c:extLst>
            <c:ext xmlns:c16="http://schemas.microsoft.com/office/drawing/2014/chart" uri="{C3380CC4-5D6E-409C-BE32-E72D297353CC}">
              <c16:uniqueId val="{00000001-CDA8-41CD-B7F7-53D93DDA1D1E}"/>
            </c:ext>
          </c:extLst>
        </c:ser>
        <c:ser>
          <c:idx val="3"/>
          <c:order val="1"/>
          <c:tx>
            <c:strRef>
              <c:f>Sheet1!$A$3</c:f>
              <c:strCache>
                <c:ptCount val="1"/>
                <c:pt idx="0">
                  <c:v>Pieprasījums</c:v>
                </c:pt>
              </c:strCache>
            </c:strRef>
          </c:tx>
          <c:marker>
            <c:symbol val="none"/>
          </c:marker>
          <c:dPt>
            <c:idx val="0"/>
            <c:bubble3D val="0"/>
            <c:extLst>
              <c:ext xmlns:c16="http://schemas.microsoft.com/office/drawing/2014/chart" uri="{C3380CC4-5D6E-409C-BE32-E72D297353CC}">
                <c16:uniqueId val="{00000002-CDA8-41CD-B7F7-53D93DDA1D1E}"/>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186.89142825124736</c:v>
                </c:pt>
                <c:pt idx="1">
                  <c:v>185.59418399906102</c:v>
                </c:pt>
                <c:pt idx="2">
                  <c:v>183.2867510381754</c:v>
                </c:pt>
                <c:pt idx="3">
                  <c:v>180.69609512720876</c:v>
                </c:pt>
                <c:pt idx="4">
                  <c:v>178.46499301113337</c:v>
                </c:pt>
                <c:pt idx="5">
                  <c:v>176.40437917484547</c:v>
                </c:pt>
                <c:pt idx="6">
                  <c:v>174.01195100919958</c:v>
                </c:pt>
                <c:pt idx="7">
                  <c:v>171.19700693219181</c:v>
                </c:pt>
                <c:pt idx="8">
                  <c:v>168.00715203963551</c:v>
                </c:pt>
                <c:pt idx="9" formatCode="General">
                  <c:v>164.87374680664868</c:v>
                </c:pt>
                <c:pt idx="10" formatCode="General">
                  <c:v>161.77352900445868</c:v>
                </c:pt>
                <c:pt idx="11" formatCode="General">
                  <c:v>158.57488302828293</c:v>
                </c:pt>
                <c:pt idx="12" formatCode="General">
                  <c:v>155.33631127947424</c:v>
                </c:pt>
                <c:pt idx="13" formatCode="General">
                  <c:v>152.14141362612131</c:v>
                </c:pt>
                <c:pt idx="14" formatCode="General">
                  <c:v>148.94758770044243</c:v>
                </c:pt>
                <c:pt idx="15" formatCode="General">
                  <c:v>145.73077978252863</c:v>
                </c:pt>
              </c:numCache>
            </c:numRef>
          </c:val>
          <c:smooth val="0"/>
          <c:extLst>
            <c:ext xmlns:c16="http://schemas.microsoft.com/office/drawing/2014/chart" uri="{C3380CC4-5D6E-409C-BE32-E72D297353CC}">
              <c16:uniqueId val="{00000003-CDA8-41CD-B7F7-53D93DDA1D1E}"/>
            </c:ext>
          </c:extLst>
        </c:ser>
        <c:dLbls>
          <c:showLegendKey val="0"/>
          <c:showVal val="0"/>
          <c:showCatName val="0"/>
          <c:showSerName val="0"/>
          <c:showPercent val="0"/>
          <c:showBubbleSize val="0"/>
        </c:dLbls>
        <c:marker val="1"/>
        <c:smooth val="0"/>
        <c:axId val="652751944"/>
        <c:axId val="652750376"/>
      </c:lineChart>
      <c:catAx>
        <c:axId val="652751944"/>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652750376"/>
        <c:crosses val="autoZero"/>
        <c:auto val="1"/>
        <c:lblAlgn val="ctr"/>
        <c:lblOffset val="100"/>
        <c:noMultiLvlLbl val="0"/>
      </c:catAx>
      <c:valAx>
        <c:axId val="652750376"/>
        <c:scaling>
          <c:orientation val="minMax"/>
          <c:max val="340"/>
          <c:min val="100"/>
        </c:scaling>
        <c:delete val="0"/>
        <c:axPos val="l"/>
        <c:numFmt formatCode="General" sourceLinked="1"/>
        <c:majorTickMark val="out"/>
        <c:minorTickMark val="none"/>
        <c:tickLblPos val="nextTo"/>
        <c:crossAx val="652751944"/>
        <c:crosses val="autoZero"/>
        <c:crossBetween val="between"/>
        <c:majorUnit val="40"/>
      </c:valAx>
      <c:spPr>
        <a:solidFill>
          <a:srgbClr val="FFFFFF"/>
        </a:solidFill>
      </c:spPr>
    </c:plotArea>
    <c:legend>
      <c:legendPos val="l"/>
      <c:legendEntry>
        <c:idx val="0"/>
        <c:delete val="1"/>
      </c:legendEntry>
      <c:layout>
        <c:manualLayout>
          <c:xMode val="edge"/>
          <c:yMode val="edge"/>
          <c:x val="0.54895814413971655"/>
          <c:y val="7.03799198706372E-2"/>
          <c:w val="0.34687860820043581"/>
          <c:h val="0.25519660726132215"/>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AA89-4BCB-9163-76CF5CF1AC45}"/>
            </c:ext>
          </c:extLst>
        </c:ser>
        <c:dLbls>
          <c:showLegendKey val="0"/>
          <c:showVal val="0"/>
          <c:showCatName val="0"/>
          <c:showSerName val="0"/>
          <c:showPercent val="0"/>
          <c:showBubbleSize val="0"/>
        </c:dLbls>
        <c:gapWidth val="0"/>
        <c:axId val="652754688"/>
        <c:axId val="652755864"/>
      </c:barChart>
      <c:lineChart>
        <c:grouping val="standard"/>
        <c:varyColors val="0"/>
        <c:ser>
          <c:idx val="0"/>
          <c:order val="0"/>
          <c:tx>
            <c:strRef>
              <c:f>Sheet1!$A$2</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73.937541399716721</c:v>
                </c:pt>
                <c:pt idx="1">
                  <c:v>81.490031447701455</c:v>
                </c:pt>
                <c:pt idx="2">
                  <c:v>88.651372030920825</c:v>
                </c:pt>
                <c:pt idx="3">
                  <c:v>95.646678703176661</c:v>
                </c:pt>
                <c:pt idx="4">
                  <c:v>102.64105205746723</c:v>
                </c:pt>
                <c:pt idx="5">
                  <c:v>108.90389335779945</c:v>
                </c:pt>
                <c:pt idx="6">
                  <c:v>113.69904112996986</c:v>
                </c:pt>
                <c:pt idx="7">
                  <c:v>116.98072134006892</c:v>
                </c:pt>
                <c:pt idx="8">
                  <c:v>118.67538284368717</c:v>
                </c:pt>
                <c:pt idx="9" formatCode="General">
                  <c:v>119.24940072739915</c:v>
                </c:pt>
                <c:pt idx="10" formatCode="General">
                  <c:v>118.59369722246595</c:v>
                </c:pt>
                <c:pt idx="11">
                  <c:v>116.83038169588349</c:v>
                </c:pt>
                <c:pt idx="12">
                  <c:v>114.61392003738398</c:v>
                </c:pt>
                <c:pt idx="13">
                  <c:v>112.27091168153207</c:v>
                </c:pt>
                <c:pt idx="14">
                  <c:v>110.12896802167218</c:v>
                </c:pt>
                <c:pt idx="15">
                  <c:v>108.09585507884923</c:v>
                </c:pt>
              </c:numCache>
            </c:numRef>
          </c:val>
          <c:smooth val="0"/>
          <c:extLst>
            <c:ext xmlns:c16="http://schemas.microsoft.com/office/drawing/2014/chart" uri="{C3380CC4-5D6E-409C-BE32-E72D297353CC}">
              <c16:uniqueId val="{00000001-AA89-4BCB-9163-76CF5CF1AC45}"/>
            </c:ext>
          </c:extLst>
        </c:ser>
        <c:ser>
          <c:idx val="3"/>
          <c:order val="1"/>
          <c:tx>
            <c:strRef>
              <c:f>Sheet1!$A$3</c:f>
              <c:strCache>
                <c:ptCount val="1"/>
                <c:pt idx="0">
                  <c:v>Pieprasījums</c:v>
                </c:pt>
              </c:strCache>
            </c:strRef>
          </c:tx>
          <c:marker>
            <c:symbol val="none"/>
          </c:marker>
          <c:dPt>
            <c:idx val="0"/>
            <c:bubble3D val="0"/>
            <c:extLst>
              <c:ext xmlns:c16="http://schemas.microsoft.com/office/drawing/2014/chart" uri="{C3380CC4-5D6E-409C-BE32-E72D297353CC}">
                <c16:uniqueId val="{00000002-AA89-4BCB-9163-76CF5CF1AC45}"/>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61.989501712521104</c:v>
                </c:pt>
                <c:pt idx="1">
                  <c:v>60.715885695765984</c:v>
                </c:pt>
                <c:pt idx="2">
                  <c:v>59.664954982627791</c:v>
                </c:pt>
                <c:pt idx="3">
                  <c:v>58.547644329475474</c:v>
                </c:pt>
                <c:pt idx="4">
                  <c:v>57.476736575552387</c:v>
                </c:pt>
                <c:pt idx="5">
                  <c:v>56.457739054049775</c:v>
                </c:pt>
                <c:pt idx="6">
                  <c:v>55.335980556394681</c:v>
                </c:pt>
                <c:pt idx="7">
                  <c:v>54.076203966545272</c:v>
                </c:pt>
                <c:pt idx="8">
                  <c:v>52.720779493094881</c:v>
                </c:pt>
                <c:pt idx="9" formatCode="General">
                  <c:v>51.385007778448724</c:v>
                </c:pt>
                <c:pt idx="10" formatCode="General">
                  <c:v>50.057164705196065</c:v>
                </c:pt>
                <c:pt idx="11">
                  <c:v>48.715714755158515</c:v>
                </c:pt>
                <c:pt idx="12">
                  <c:v>47.394440015050108</c:v>
                </c:pt>
                <c:pt idx="13">
                  <c:v>46.10086000243772</c:v>
                </c:pt>
                <c:pt idx="14">
                  <c:v>44.825341948516993</c:v>
                </c:pt>
                <c:pt idx="15">
                  <c:v>43.553461440540467</c:v>
                </c:pt>
              </c:numCache>
            </c:numRef>
          </c:val>
          <c:smooth val="0"/>
          <c:extLst>
            <c:ext xmlns:c16="http://schemas.microsoft.com/office/drawing/2014/chart" uri="{C3380CC4-5D6E-409C-BE32-E72D297353CC}">
              <c16:uniqueId val="{00000003-AA89-4BCB-9163-76CF5CF1AC45}"/>
            </c:ext>
          </c:extLst>
        </c:ser>
        <c:dLbls>
          <c:showLegendKey val="0"/>
          <c:showVal val="0"/>
          <c:showCatName val="0"/>
          <c:showSerName val="0"/>
          <c:showPercent val="0"/>
          <c:showBubbleSize val="0"/>
        </c:dLbls>
        <c:marker val="1"/>
        <c:smooth val="0"/>
        <c:axId val="652754688"/>
        <c:axId val="652755864"/>
      </c:lineChart>
      <c:catAx>
        <c:axId val="652754688"/>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652755864"/>
        <c:crosses val="autoZero"/>
        <c:auto val="1"/>
        <c:lblAlgn val="ctr"/>
        <c:lblOffset val="100"/>
        <c:noMultiLvlLbl val="0"/>
      </c:catAx>
      <c:valAx>
        <c:axId val="652755864"/>
        <c:scaling>
          <c:orientation val="minMax"/>
          <c:max val="180"/>
          <c:min val="30"/>
        </c:scaling>
        <c:delete val="0"/>
        <c:axPos val="l"/>
        <c:numFmt formatCode="General" sourceLinked="1"/>
        <c:majorTickMark val="out"/>
        <c:minorTickMark val="none"/>
        <c:tickLblPos val="nextTo"/>
        <c:crossAx val="652754688"/>
        <c:crosses val="autoZero"/>
        <c:crossBetween val="between"/>
        <c:majorUnit val="30"/>
      </c:valAx>
      <c:spPr>
        <a:solidFill>
          <a:srgbClr val="FFFFFF"/>
        </a:solidFill>
      </c:spPr>
    </c:plotArea>
    <c:legend>
      <c:legendPos val="l"/>
      <c:legendEntry>
        <c:idx val="0"/>
        <c:delete val="1"/>
      </c:legendEntry>
      <c:layout>
        <c:manualLayout>
          <c:xMode val="edge"/>
          <c:yMode val="edge"/>
          <c:x val="0.54895814413971655"/>
          <c:y val="4.3950566517929085E-2"/>
          <c:w val="0.34687860820043581"/>
          <c:h val="0.25519660726132215"/>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2853560320724438"/>
          <c:h val="0.88582237276206388"/>
        </c:manualLayout>
      </c:layout>
      <c:barChart>
        <c:barDir val="col"/>
        <c:grouping val="clustered"/>
        <c:varyColors val="0"/>
        <c:ser>
          <c:idx val="3"/>
          <c:order val="0"/>
          <c:tx>
            <c:strRef>
              <c:f>Sheet1!$B$1</c:f>
              <c:strCache>
                <c:ptCount val="1"/>
                <c:pt idx="0">
                  <c:v>piedāvājums</c:v>
                </c:pt>
              </c:strCache>
            </c:strRef>
          </c:tx>
          <c:spPr>
            <a:solidFill>
              <a:srgbClr val="006666"/>
            </a:solidFill>
            <a:ln>
              <a:noFill/>
            </a:ln>
            <a:effectLst/>
          </c:spPr>
          <c:invertIfNegative val="0"/>
          <c:dLbls>
            <c:delete val="1"/>
          </c:dLbls>
          <c:cat>
            <c:numRef>
              <c:f>Sheet1!$A$2:$A$9</c:f>
              <c:numCache>
                <c:formatCode>General</c:formatCode>
                <c:ptCount val="8"/>
              </c:numCache>
            </c:numRef>
          </c:cat>
          <c:val>
            <c:numRef>
              <c:f>Sheet1!$B$2:$B$9</c:f>
              <c:numCache>
                <c:formatCode>#,##0</c:formatCode>
                <c:ptCount val="8"/>
                <c:pt idx="0">
                  <c:v>100</c:v>
                </c:pt>
                <c:pt idx="1">
                  <c:v>100</c:v>
                </c:pt>
                <c:pt idx="2">
                  <c:v>100</c:v>
                </c:pt>
                <c:pt idx="3">
                  <c:v>100</c:v>
                </c:pt>
                <c:pt idx="4">
                  <c:v>100</c:v>
                </c:pt>
                <c:pt idx="5">
                  <c:v>100</c:v>
                </c:pt>
                <c:pt idx="6">
                  <c:v>100</c:v>
                </c:pt>
                <c:pt idx="7">
                  <c:v>100</c:v>
                </c:pt>
              </c:numCache>
            </c:numRef>
          </c:val>
          <c:extLst>
            <c:ext xmlns:c16="http://schemas.microsoft.com/office/drawing/2014/chart" uri="{C3380CC4-5D6E-409C-BE32-E72D297353CC}">
              <c16:uniqueId val="{00000000-CCB9-4444-9FA8-0C58F43E0CF8}"/>
            </c:ext>
          </c:extLst>
        </c:ser>
        <c:ser>
          <c:idx val="0"/>
          <c:order val="1"/>
          <c:tx>
            <c:strRef>
              <c:f>Sheet1!$C$1</c:f>
              <c:strCache>
                <c:ptCount val="1"/>
                <c:pt idx="0">
                  <c:v>pieprasījums</c:v>
                </c:pt>
              </c:strCache>
            </c:strRef>
          </c:tx>
          <c:spPr>
            <a:solidFill>
              <a:srgbClr val="92B7C4"/>
            </a:solidFill>
            <a:ln>
              <a:noFill/>
            </a:ln>
            <a:effectLst/>
          </c:spPr>
          <c:invertIfNegative val="0"/>
          <c:dPt>
            <c:idx val="0"/>
            <c:invertIfNegative val="0"/>
            <c:bubble3D val="0"/>
            <c:extLst>
              <c:ext xmlns:c16="http://schemas.microsoft.com/office/drawing/2014/chart" uri="{C3380CC4-5D6E-409C-BE32-E72D297353CC}">
                <c16:uniqueId val="{00000001-CCB9-4444-9FA8-0C58F43E0CF8}"/>
              </c:ext>
            </c:extLst>
          </c:dPt>
          <c:dLbls>
            <c:spPr>
              <a:noFill/>
              <a:ln>
                <a:noFill/>
              </a:ln>
              <a:effectLst/>
            </c:spPr>
            <c:txPr>
              <a:bodyPr rot="0" vert="horz"/>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numCache>
            </c:numRef>
          </c:cat>
          <c:val>
            <c:numRef>
              <c:f>Sheet1!$C$2:$C$9</c:f>
              <c:numCache>
                <c:formatCode>#,##0</c:formatCode>
                <c:ptCount val="8"/>
                <c:pt idx="0">
                  <c:v>94.929349018906748</c:v>
                </c:pt>
                <c:pt idx="1">
                  <c:v>92.093273587859187</c:v>
                </c:pt>
                <c:pt idx="2">
                  <c:v>94.573387525627382</c:v>
                </c:pt>
                <c:pt idx="3">
                  <c:v>116.602097356805</c:v>
                </c:pt>
                <c:pt idx="4">
                  <c:v>108.18221193823159</c:v>
                </c:pt>
                <c:pt idx="5">
                  <c:v>105.70984700664638</c:v>
                </c:pt>
                <c:pt idx="6">
                  <c:v>100.25539749374275</c:v>
                </c:pt>
                <c:pt idx="7">
                  <c:v>94.562036448894446</c:v>
                </c:pt>
              </c:numCache>
            </c:numRef>
          </c:val>
          <c:extLst>
            <c:ext xmlns:c16="http://schemas.microsoft.com/office/drawing/2014/chart" uri="{C3380CC4-5D6E-409C-BE32-E72D297353CC}">
              <c16:uniqueId val="{00000002-CCB9-4444-9FA8-0C58F43E0CF8}"/>
            </c:ext>
          </c:extLst>
        </c:ser>
        <c:dLbls>
          <c:showLegendKey val="0"/>
          <c:showVal val="1"/>
          <c:showCatName val="0"/>
          <c:showSerName val="0"/>
          <c:showPercent val="0"/>
          <c:showBubbleSize val="0"/>
        </c:dLbls>
        <c:gapWidth val="40"/>
        <c:overlap val="70"/>
        <c:axId val="652756648"/>
        <c:axId val="652747632"/>
      </c:barChart>
      <c:catAx>
        <c:axId val="652756648"/>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en-US"/>
          </a:p>
        </c:txPr>
        <c:crossAx val="652747632"/>
        <c:crosses val="autoZero"/>
        <c:auto val="0"/>
        <c:lblAlgn val="ctr"/>
        <c:lblOffset val="100"/>
        <c:tickLblSkip val="1"/>
        <c:tickMarkSkip val="1"/>
        <c:noMultiLvlLbl val="0"/>
      </c:catAx>
      <c:valAx>
        <c:axId val="652747632"/>
        <c:scaling>
          <c:orientation val="minMax"/>
          <c:max val="140"/>
          <c:min val="6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en-US"/>
          </a:p>
        </c:txPr>
        <c:crossAx val="652756648"/>
        <c:crosses val="autoZero"/>
        <c:crossBetween val="between"/>
        <c:majorUnit val="20"/>
      </c:valAx>
      <c:spPr>
        <a:solidFill>
          <a:srgbClr val="FFFFFF"/>
        </a:solidFill>
        <a:ln>
          <a:noFill/>
        </a:ln>
        <a:effectLst/>
      </c:spPr>
    </c:plotArea>
    <c:legend>
      <c:legendPos val="l"/>
      <c:layout>
        <c:manualLayout>
          <c:xMode val="edge"/>
          <c:yMode val="edge"/>
          <c:x val="0.78306168981481483"/>
          <c:y val="1.3537922516486674E-2"/>
          <c:w val="0.1753675925925926"/>
          <c:h val="0.17090712087922266"/>
        </c:manualLayout>
      </c:layout>
      <c:overlay val="1"/>
      <c:spPr>
        <a:solidFill>
          <a:srgbClr val="FFFFFF"/>
        </a:solidFill>
        <a:ln>
          <a:noFill/>
        </a:ln>
        <a:effectLst/>
      </c:spPr>
      <c:txPr>
        <a:bodyPr rot="0" vert="horz"/>
        <a:lstStyle/>
        <a:p>
          <a:pPr>
            <a:defRPr/>
          </a:pPr>
          <a:endParaRPr lang="en-US"/>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1">
    <c:autoUpdate val="0"/>
  </c:externalData>
  <c:userShapes r:id="rId2"/>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C5A1-432E-B50A-6F33C857191F}"/>
              </c:ext>
            </c:extLst>
          </c:dPt>
          <c:dPt>
            <c:idx val="1"/>
            <c:bubble3D val="0"/>
            <c:spPr>
              <a:solidFill>
                <a:srgbClr val="92B7C4"/>
              </a:solidFill>
              <a:ln w="3175">
                <a:noFill/>
              </a:ln>
            </c:spPr>
            <c:extLst>
              <c:ext xmlns:c16="http://schemas.microsoft.com/office/drawing/2014/chart" uri="{C3380CC4-5D6E-409C-BE32-E72D297353CC}">
                <c16:uniqueId val="{00000003-C5A1-432E-B50A-6F33C857191F}"/>
              </c:ext>
            </c:extLst>
          </c:dPt>
          <c:dLbls>
            <c:dLbl>
              <c:idx val="1"/>
              <c:delete val="1"/>
              <c:extLst>
                <c:ext xmlns:c15="http://schemas.microsoft.com/office/drawing/2012/chart" uri="{CE6537A1-D6FC-4f65-9D91-7224C49458BB}"/>
                <c:ext xmlns:c16="http://schemas.microsoft.com/office/drawing/2014/chart" uri="{C3380CC4-5D6E-409C-BE32-E72D297353CC}">
                  <c16:uniqueId val="{00000003-C5A1-432E-B50A-6F33C857191F}"/>
                </c:ext>
              </c:extLst>
            </c:dLbl>
            <c:spPr>
              <a:noFill/>
              <a:ln>
                <a:noFill/>
              </a:ln>
              <a:effectLst/>
            </c:spPr>
            <c:txPr>
              <a:bodyPr/>
              <a:lstStyle/>
              <a:p>
                <a:pPr>
                  <a:defRPr>
                    <a:solidFill>
                      <a:schemeClr val="bg1"/>
                    </a:solidFill>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0.0</c:formatCode>
                <c:ptCount val="2"/>
                <c:pt idx="0">
                  <c:v>9.6952918468327098</c:v>
                </c:pt>
                <c:pt idx="1">
                  <c:v>90.304708153167297</c:v>
                </c:pt>
              </c:numCache>
            </c:numRef>
          </c:val>
          <c:extLst>
            <c:ext xmlns:c16="http://schemas.microsoft.com/office/drawing/2014/chart" uri="{C3380CC4-5D6E-409C-BE32-E72D297353CC}">
              <c16:uniqueId val="{00000004-C5A1-432E-B50A-6F33C857191F}"/>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AAE7-4782-81B3-CBDD104371B3}"/>
            </c:ext>
          </c:extLst>
        </c:ser>
        <c:dLbls>
          <c:showLegendKey val="0"/>
          <c:showVal val="0"/>
          <c:showCatName val="0"/>
          <c:showSerName val="0"/>
          <c:showPercent val="0"/>
          <c:showBubbleSize val="0"/>
        </c:dLbls>
        <c:gapWidth val="0"/>
        <c:axId val="652762920"/>
        <c:axId val="652765272"/>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AAE7-4782-81B3-CBDD104371B3}"/>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38.953002129614909</c:v>
                </c:pt>
                <c:pt idx="1">
                  <c:v>38.6048948497683</c:v>
                </c:pt>
                <c:pt idx="2">
                  <c:v>38.097641456789766</c:v>
                </c:pt>
                <c:pt idx="3">
                  <c:v>37.731302674358837</c:v>
                </c:pt>
                <c:pt idx="4">
                  <c:v>37.478533417883675</c:v>
                </c:pt>
                <c:pt idx="5">
                  <c:v>37.356087361697604</c:v>
                </c:pt>
                <c:pt idx="6" formatCode="General">
                  <c:v>37.273091749091513</c:v>
                </c:pt>
                <c:pt idx="7" formatCode="General">
                  <c:v>37.122687830099075</c:v>
                </c:pt>
                <c:pt idx="8" formatCode="General">
                  <c:v>36.970277077130632</c:v>
                </c:pt>
                <c:pt idx="9" formatCode="General">
                  <c:v>36.802769407585693</c:v>
                </c:pt>
                <c:pt idx="10" formatCode="General">
                  <c:v>36.597583623294533</c:v>
                </c:pt>
                <c:pt idx="11" formatCode="General">
                  <c:v>36.323580596410352</c:v>
                </c:pt>
                <c:pt idx="12" formatCode="General">
                  <c:v>36.077505762856156</c:v>
                </c:pt>
                <c:pt idx="13" formatCode="General">
                  <c:v>35.803050770918468</c:v>
                </c:pt>
                <c:pt idx="14" formatCode="General">
                  <c:v>35.51284284610319</c:v>
                </c:pt>
                <c:pt idx="15" formatCode="General">
                  <c:v>35.169725434992998</c:v>
                </c:pt>
              </c:numCache>
            </c:numRef>
          </c:val>
          <c:smooth val="0"/>
          <c:extLst>
            <c:ext xmlns:c16="http://schemas.microsoft.com/office/drawing/2014/chart" uri="{C3380CC4-5D6E-409C-BE32-E72D297353CC}">
              <c16:uniqueId val="{00000003-AAE7-4782-81B3-CBDD104371B3}"/>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39.669494242011538</c:v>
                </c:pt>
                <c:pt idx="1">
                  <c:v>39.708865152822824</c:v>
                </c:pt>
                <c:pt idx="2">
                  <c:v>39.781110640323796</c:v>
                </c:pt>
                <c:pt idx="3">
                  <c:v>39.826361574633104</c:v>
                </c:pt>
                <c:pt idx="4">
                  <c:v>39.644049990950329</c:v>
                </c:pt>
                <c:pt idx="5">
                  <c:v>39.351462690698028</c:v>
                </c:pt>
                <c:pt idx="6" formatCode="General">
                  <c:v>38.930440112311068</c:v>
                </c:pt>
                <c:pt idx="7" formatCode="General">
                  <c:v>38.373996581273488</c:v>
                </c:pt>
                <c:pt idx="8" formatCode="General">
                  <c:v>37.769413367335808</c:v>
                </c:pt>
                <c:pt idx="9" formatCode="General">
                  <c:v>37.182133557738155</c:v>
                </c:pt>
                <c:pt idx="10" formatCode="General">
                  <c:v>36.593299361043925</c:v>
                </c:pt>
                <c:pt idx="11" formatCode="General">
                  <c:v>35.979322923638172</c:v>
                </c:pt>
                <c:pt idx="12" formatCode="General">
                  <c:v>35.428789386003039</c:v>
                </c:pt>
                <c:pt idx="13" formatCode="General">
                  <c:v>34.923308641585862</c:v>
                </c:pt>
                <c:pt idx="14" formatCode="General">
                  <c:v>34.45993621500201</c:v>
                </c:pt>
                <c:pt idx="15" formatCode="General">
                  <c:v>34.027576597190084</c:v>
                </c:pt>
              </c:numCache>
            </c:numRef>
          </c:val>
          <c:smooth val="0"/>
          <c:extLst>
            <c:ext xmlns:c16="http://schemas.microsoft.com/office/drawing/2014/chart" uri="{C3380CC4-5D6E-409C-BE32-E72D297353CC}">
              <c16:uniqueId val="{00000004-AAE7-4782-81B3-CBDD104371B3}"/>
            </c:ext>
          </c:extLst>
        </c:ser>
        <c:dLbls>
          <c:showLegendKey val="0"/>
          <c:showVal val="0"/>
          <c:showCatName val="0"/>
          <c:showSerName val="0"/>
          <c:showPercent val="0"/>
          <c:showBubbleSize val="0"/>
        </c:dLbls>
        <c:marker val="1"/>
        <c:smooth val="0"/>
        <c:axId val="652762920"/>
        <c:axId val="652765272"/>
      </c:lineChart>
      <c:catAx>
        <c:axId val="652762920"/>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652765272"/>
        <c:crosses val="autoZero"/>
        <c:auto val="1"/>
        <c:lblAlgn val="ctr"/>
        <c:lblOffset val="100"/>
        <c:noMultiLvlLbl val="0"/>
      </c:catAx>
      <c:valAx>
        <c:axId val="652765272"/>
        <c:scaling>
          <c:orientation val="minMax"/>
          <c:max val="50"/>
          <c:min val="30"/>
        </c:scaling>
        <c:delete val="0"/>
        <c:axPos val="l"/>
        <c:numFmt formatCode="General" sourceLinked="1"/>
        <c:majorTickMark val="out"/>
        <c:minorTickMark val="none"/>
        <c:tickLblPos val="nextTo"/>
        <c:crossAx val="652762920"/>
        <c:crosses val="autoZero"/>
        <c:crossBetween val="between"/>
        <c:majorUnit val="5"/>
      </c:valAx>
      <c:spPr>
        <a:solidFill>
          <a:srgbClr val="FFFFFF"/>
        </a:solidFill>
      </c:spPr>
    </c:plotArea>
    <c:legend>
      <c:legendPos val="l"/>
      <c:legendEntry>
        <c:idx val="0"/>
        <c:delete val="1"/>
      </c:legendEntry>
      <c:layout>
        <c:manualLayout>
          <c:xMode val="edge"/>
          <c:yMode val="edge"/>
          <c:x val="0.5248378721994893"/>
          <c:y val="7.120166441479770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8975-45C2-8DEB-07CD9495689E}"/>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8975-45C2-8DEB-07CD9495689E}"/>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General</c:formatCode>
                <c:ptCount val="2"/>
                <c:pt idx="0">
                  <c:v>90</c:v>
                </c:pt>
                <c:pt idx="1">
                  <c:v>95</c:v>
                </c:pt>
              </c:numCache>
            </c:numRef>
          </c:val>
          <c:extLst>
            <c:ext xmlns:c16="http://schemas.microsoft.com/office/drawing/2014/chart" uri="{C3380CC4-5D6E-409C-BE32-E72D297353CC}">
              <c16:uniqueId val="{00000003-8975-45C2-8DEB-07CD9495689E}"/>
            </c:ext>
          </c:extLst>
        </c:ser>
        <c:dLbls>
          <c:showLegendKey val="0"/>
          <c:showVal val="1"/>
          <c:showCatName val="0"/>
          <c:showSerName val="0"/>
          <c:showPercent val="0"/>
          <c:showBubbleSize val="0"/>
        </c:dLbls>
        <c:gapWidth val="50"/>
        <c:overlap val="88"/>
        <c:axId val="652770368"/>
        <c:axId val="652769976"/>
      </c:barChart>
      <c:catAx>
        <c:axId val="652770368"/>
        <c:scaling>
          <c:orientation val="minMax"/>
        </c:scaling>
        <c:delete val="0"/>
        <c:axPos val="b"/>
        <c:numFmt formatCode="General" sourceLinked="1"/>
        <c:majorTickMark val="out"/>
        <c:minorTickMark val="none"/>
        <c:tickLblPos val="nextTo"/>
        <c:crossAx val="652769976"/>
        <c:crosses val="autoZero"/>
        <c:auto val="0"/>
        <c:lblAlgn val="ctr"/>
        <c:lblOffset val="100"/>
        <c:tickLblSkip val="1"/>
        <c:tickMarkSkip val="1"/>
        <c:noMultiLvlLbl val="0"/>
      </c:catAx>
      <c:valAx>
        <c:axId val="652769976"/>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652770368"/>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1AAE-4672-B93F-3DB54C98AB70}"/>
              </c:ext>
            </c:extLst>
          </c:dPt>
          <c:dPt>
            <c:idx val="1"/>
            <c:bubble3D val="0"/>
            <c:spPr>
              <a:solidFill>
                <a:srgbClr val="92B7C4"/>
              </a:solidFill>
              <a:ln w="3175">
                <a:noFill/>
              </a:ln>
            </c:spPr>
            <c:extLst>
              <c:ext xmlns:c16="http://schemas.microsoft.com/office/drawing/2014/chart" uri="{C3380CC4-5D6E-409C-BE32-E72D297353CC}">
                <c16:uniqueId val="{00000003-1AAE-4672-B93F-3DB54C98AB70}"/>
              </c:ext>
            </c:extLst>
          </c:dPt>
          <c:dLbls>
            <c:dLbl>
              <c:idx val="1"/>
              <c:delete val="1"/>
              <c:extLst>
                <c:ext xmlns:c15="http://schemas.microsoft.com/office/drawing/2012/chart" uri="{CE6537A1-D6FC-4f65-9D91-7224C49458BB}"/>
                <c:ext xmlns:c16="http://schemas.microsoft.com/office/drawing/2014/chart" uri="{C3380CC4-5D6E-409C-BE32-E72D297353CC}">
                  <c16:uniqueId val="{00000003-1AAE-4672-B93F-3DB54C98AB70}"/>
                </c:ext>
              </c:extLst>
            </c:dLbl>
            <c:spPr>
              <a:noFill/>
              <a:ln>
                <a:noFill/>
              </a:ln>
              <a:effectLst/>
            </c:spPr>
            <c:txPr>
              <a:bodyPr/>
              <a:lstStyle/>
              <a:p>
                <a:pPr>
                  <a:defRPr>
                    <a:solidFill>
                      <a:schemeClr val="bg1"/>
                    </a:solidFill>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4.6823781354703353</c:v>
                </c:pt>
                <c:pt idx="1">
                  <c:v>95.31762186452967</c:v>
                </c:pt>
              </c:numCache>
            </c:numRef>
          </c:val>
          <c:extLst>
            <c:ext xmlns:c16="http://schemas.microsoft.com/office/drawing/2014/chart" uri="{C3380CC4-5D6E-409C-BE32-E72D297353CC}">
              <c16:uniqueId val="{00000004-1AAE-4672-B93F-3DB54C98AB70}"/>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B17C-4FDD-85A9-FC0D23E7C88A}"/>
            </c:ext>
          </c:extLst>
        </c:ser>
        <c:dLbls>
          <c:showLegendKey val="0"/>
          <c:showVal val="0"/>
          <c:showCatName val="0"/>
          <c:showSerName val="0"/>
          <c:showPercent val="0"/>
          <c:showBubbleSize val="0"/>
        </c:dLbls>
        <c:gapWidth val="0"/>
        <c:axId val="652772328"/>
        <c:axId val="65277154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B17C-4FDD-85A9-FC0D23E7C88A}"/>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16.326234733486306</c:v>
                </c:pt>
                <c:pt idx="1">
                  <c:v>16.522548076418481</c:v>
                </c:pt>
                <c:pt idx="2">
                  <c:v>16.727089098289408</c:v>
                </c:pt>
                <c:pt idx="3">
                  <c:v>16.930792231674626</c:v>
                </c:pt>
                <c:pt idx="4">
                  <c:v>17.200161428394075</c:v>
                </c:pt>
                <c:pt idx="5">
                  <c:v>17.502270313213547</c:v>
                </c:pt>
                <c:pt idx="6">
                  <c:v>17.773561473246545</c:v>
                </c:pt>
                <c:pt idx="7">
                  <c:v>17.978254246495968</c:v>
                </c:pt>
                <c:pt idx="8">
                  <c:v>18.170105963918406</c:v>
                </c:pt>
                <c:pt idx="9">
                  <c:v>18.369181864646038</c:v>
                </c:pt>
                <c:pt idx="10">
                  <c:v>18.55990932478722</c:v>
                </c:pt>
                <c:pt idx="11">
                  <c:v>18.703269417183012</c:v>
                </c:pt>
                <c:pt idx="12">
                  <c:v>18.840019450014346</c:v>
                </c:pt>
                <c:pt idx="13">
                  <c:v>18.962791198069173</c:v>
                </c:pt>
                <c:pt idx="14">
                  <c:v>19.070029827015208</c:v>
                </c:pt>
                <c:pt idx="15">
                  <c:v>19.157562370457512</c:v>
                </c:pt>
              </c:numCache>
            </c:numRef>
          </c:val>
          <c:smooth val="0"/>
          <c:extLst>
            <c:ext xmlns:c16="http://schemas.microsoft.com/office/drawing/2014/chart" uri="{C3380CC4-5D6E-409C-BE32-E72D297353CC}">
              <c16:uniqueId val="{00000003-B17C-4FDD-85A9-FC0D23E7C88A}"/>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16.802229564989343</c:v>
                </c:pt>
                <c:pt idx="1">
                  <c:v>17.302699590564227</c:v>
                </c:pt>
                <c:pt idx="2">
                  <c:v>17.745584002076065</c:v>
                </c:pt>
                <c:pt idx="3">
                  <c:v>18.172540881074223</c:v>
                </c:pt>
                <c:pt idx="4">
                  <c:v>18.58430162040527</c:v>
                </c:pt>
                <c:pt idx="5">
                  <c:v>19.004938831407664</c:v>
                </c:pt>
                <c:pt idx="6">
                  <c:v>19.393880586856021</c:v>
                </c:pt>
                <c:pt idx="7">
                  <c:v>19.746412273189399</c:v>
                </c:pt>
                <c:pt idx="8">
                  <c:v>20.114444464811232</c:v>
                </c:pt>
                <c:pt idx="9">
                  <c:v>20.523282563005345</c:v>
                </c:pt>
                <c:pt idx="10">
                  <c:v>20.942701302455674</c:v>
                </c:pt>
                <c:pt idx="11">
                  <c:v>21.348624649389826</c:v>
                </c:pt>
                <c:pt idx="12">
                  <c:v>21.784404598376124</c:v>
                </c:pt>
                <c:pt idx="13">
                  <c:v>22.231939797291574</c:v>
                </c:pt>
                <c:pt idx="14">
                  <c:v>22.686765339196587</c:v>
                </c:pt>
                <c:pt idx="15">
                  <c:v>23.149627083565523</c:v>
                </c:pt>
              </c:numCache>
            </c:numRef>
          </c:val>
          <c:smooth val="0"/>
          <c:extLst>
            <c:ext xmlns:c16="http://schemas.microsoft.com/office/drawing/2014/chart" uri="{C3380CC4-5D6E-409C-BE32-E72D297353CC}">
              <c16:uniqueId val="{00000004-B17C-4FDD-85A9-FC0D23E7C88A}"/>
            </c:ext>
          </c:extLst>
        </c:ser>
        <c:dLbls>
          <c:showLegendKey val="0"/>
          <c:showVal val="0"/>
          <c:showCatName val="0"/>
          <c:showSerName val="0"/>
          <c:showPercent val="0"/>
          <c:showBubbleSize val="0"/>
        </c:dLbls>
        <c:marker val="1"/>
        <c:smooth val="0"/>
        <c:axId val="652772328"/>
        <c:axId val="652771544"/>
      </c:lineChart>
      <c:catAx>
        <c:axId val="652772328"/>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652771544"/>
        <c:crosses val="autoZero"/>
        <c:auto val="1"/>
        <c:lblAlgn val="ctr"/>
        <c:lblOffset val="100"/>
        <c:noMultiLvlLbl val="0"/>
      </c:catAx>
      <c:valAx>
        <c:axId val="652771544"/>
        <c:scaling>
          <c:orientation val="minMax"/>
          <c:max val="40"/>
          <c:min val="10"/>
        </c:scaling>
        <c:delete val="0"/>
        <c:axPos val="l"/>
        <c:numFmt formatCode="General" sourceLinked="1"/>
        <c:majorTickMark val="out"/>
        <c:minorTickMark val="none"/>
        <c:tickLblPos val="nextTo"/>
        <c:crossAx val="652772328"/>
        <c:crosses val="autoZero"/>
        <c:crossBetween val="between"/>
        <c:majorUnit val="5"/>
      </c:valAx>
      <c:spPr>
        <a:solidFill>
          <a:srgbClr val="FFFFFF"/>
        </a:solidFill>
      </c:spPr>
    </c:plotArea>
    <c:legend>
      <c:legendPos val="l"/>
      <c:legendEntry>
        <c:idx val="0"/>
        <c:delete val="1"/>
      </c:legendEntry>
      <c:layout>
        <c:manualLayout>
          <c:xMode val="edge"/>
          <c:yMode val="edge"/>
          <c:x val="0.50222367048080996"/>
          <c:y val="9.7668360488904454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0346-4B76-9227-1F3B9B94F9ED}"/>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0346-4B76-9227-1F3B9B94F9ED}"/>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88.202564838933554</c:v>
                </c:pt>
                <c:pt idx="1">
                  <c:v>92.093273587859187</c:v>
                </c:pt>
              </c:numCache>
            </c:numRef>
          </c:val>
          <c:extLst>
            <c:ext xmlns:c16="http://schemas.microsoft.com/office/drawing/2014/chart" uri="{C3380CC4-5D6E-409C-BE32-E72D297353CC}">
              <c16:uniqueId val="{00000003-0346-4B76-9227-1F3B9B94F9ED}"/>
            </c:ext>
          </c:extLst>
        </c:ser>
        <c:dLbls>
          <c:showLegendKey val="0"/>
          <c:showVal val="1"/>
          <c:showCatName val="0"/>
          <c:showSerName val="0"/>
          <c:showPercent val="0"/>
          <c:showBubbleSize val="0"/>
        </c:dLbls>
        <c:gapWidth val="50"/>
        <c:overlap val="88"/>
        <c:axId val="652771152"/>
        <c:axId val="652764488"/>
      </c:barChart>
      <c:catAx>
        <c:axId val="652771152"/>
        <c:scaling>
          <c:orientation val="minMax"/>
        </c:scaling>
        <c:delete val="0"/>
        <c:axPos val="b"/>
        <c:numFmt formatCode="General" sourceLinked="1"/>
        <c:majorTickMark val="out"/>
        <c:minorTickMark val="none"/>
        <c:tickLblPos val="nextTo"/>
        <c:crossAx val="652764488"/>
        <c:crosses val="autoZero"/>
        <c:auto val="0"/>
        <c:lblAlgn val="ctr"/>
        <c:lblOffset val="100"/>
        <c:tickLblSkip val="1"/>
        <c:tickMarkSkip val="1"/>
        <c:noMultiLvlLbl val="0"/>
      </c:catAx>
      <c:valAx>
        <c:axId val="652764488"/>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6527711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BC28-4EB4-A86C-5848A8475D30}"/>
              </c:ext>
            </c:extLst>
          </c:dPt>
          <c:dPt>
            <c:idx val="1"/>
            <c:bubble3D val="0"/>
            <c:spPr>
              <a:solidFill>
                <a:srgbClr val="92B7C4"/>
              </a:solidFill>
              <a:ln w="3175">
                <a:noFill/>
              </a:ln>
            </c:spPr>
            <c:extLst>
              <c:ext xmlns:c16="http://schemas.microsoft.com/office/drawing/2014/chart" uri="{C3380CC4-5D6E-409C-BE32-E72D297353CC}">
                <c16:uniqueId val="{00000003-BC28-4EB4-A86C-5848A8475D30}"/>
              </c:ext>
            </c:extLst>
          </c:dPt>
          <c:dLbls>
            <c:dLbl>
              <c:idx val="1"/>
              <c:delete val="1"/>
              <c:extLst>
                <c:ext xmlns:c15="http://schemas.microsoft.com/office/drawing/2012/chart" uri="{CE6537A1-D6FC-4f65-9D91-7224C49458BB}"/>
                <c:ext xmlns:c16="http://schemas.microsoft.com/office/drawing/2014/chart" uri="{C3380CC4-5D6E-409C-BE32-E72D297353CC}">
                  <c16:uniqueId val="{00000003-BC28-4EB4-A86C-5848A8475D30}"/>
                </c:ext>
              </c:extLst>
            </c:dLbl>
            <c:spPr>
              <a:noFill/>
              <a:ln>
                <a:noFill/>
              </a:ln>
              <a:effectLst/>
            </c:spPr>
            <c:txPr>
              <a:bodyPr/>
              <a:lstStyle/>
              <a:p>
                <a:pPr>
                  <a:defRPr>
                    <a:solidFill>
                      <a:schemeClr val="bg1"/>
                    </a:solidFill>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34.268881589768249</c:v>
                </c:pt>
                <c:pt idx="1">
                  <c:v>65.731118410231744</c:v>
                </c:pt>
              </c:numCache>
            </c:numRef>
          </c:val>
          <c:extLst>
            <c:ext xmlns:c16="http://schemas.microsoft.com/office/drawing/2014/chart" uri="{C3380CC4-5D6E-409C-BE32-E72D297353CC}">
              <c16:uniqueId val="{00000004-BC28-4EB4-A86C-5848A8475D30}"/>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1"/>
          <c:tx>
            <c:strRef>
              <c:f>Sheet1!$C$1</c:f>
              <c:strCache>
                <c:ptCount val="1"/>
                <c:pt idx="0">
                  <c:v>2025</c:v>
                </c:pt>
              </c:strCache>
            </c:strRef>
          </c:tx>
          <c:spPr>
            <a:solidFill>
              <a:srgbClr val="31859C"/>
            </a:solidFill>
            <a:ln w="6350">
              <a:noFill/>
            </a:ln>
          </c:spPr>
          <c:invertIfNegative val="0"/>
          <c:dPt>
            <c:idx val="0"/>
            <c:invertIfNegative val="0"/>
            <c:bubble3D val="0"/>
            <c:extLst>
              <c:ext xmlns:c16="http://schemas.microsoft.com/office/drawing/2014/chart" uri="{C3380CC4-5D6E-409C-BE32-E72D297353CC}">
                <c16:uniqueId val="{00000000-130E-40FF-8E40-54ECE13BED7A}"/>
              </c:ext>
            </c:extLst>
          </c:dPt>
          <c:dPt>
            <c:idx val="4"/>
            <c:invertIfNegative val="0"/>
            <c:bubble3D val="0"/>
            <c:extLst>
              <c:ext xmlns:c16="http://schemas.microsoft.com/office/drawing/2014/chart" uri="{C3380CC4-5D6E-409C-BE32-E72D297353CC}">
                <c16:uniqueId val="{00000001-130E-40FF-8E40-54ECE13BED7A}"/>
              </c:ext>
            </c:extLst>
          </c:dPt>
          <c:dPt>
            <c:idx val="5"/>
            <c:invertIfNegative val="0"/>
            <c:bubble3D val="0"/>
            <c:extLst>
              <c:ext xmlns:c16="http://schemas.microsoft.com/office/drawing/2014/chart" uri="{C3380CC4-5D6E-409C-BE32-E72D297353CC}">
                <c16:uniqueId val="{00000002-130E-40FF-8E40-54ECE13BED7A}"/>
              </c:ext>
            </c:extLst>
          </c:dPt>
          <c:dPt>
            <c:idx val="6"/>
            <c:invertIfNegative val="0"/>
            <c:bubble3D val="0"/>
            <c:spPr>
              <a:solidFill>
                <a:srgbClr val="C00000"/>
              </a:solidFill>
              <a:ln w="6350">
                <a:noFill/>
              </a:ln>
            </c:spPr>
            <c:extLst>
              <c:ext xmlns:c16="http://schemas.microsoft.com/office/drawing/2014/chart" uri="{C3380CC4-5D6E-409C-BE32-E72D297353CC}">
                <c16:uniqueId val="{00000004-130E-40FF-8E40-54ECE13BED7A}"/>
              </c:ext>
            </c:extLst>
          </c:dPt>
          <c:dPt>
            <c:idx val="7"/>
            <c:invertIfNegative val="0"/>
            <c:bubble3D val="0"/>
            <c:extLst>
              <c:ext xmlns:c16="http://schemas.microsoft.com/office/drawing/2014/chart" uri="{C3380CC4-5D6E-409C-BE32-E72D297353CC}">
                <c16:uniqueId val="{00000005-130E-40FF-8E40-54ECE13BED7A}"/>
              </c:ext>
            </c:extLst>
          </c:dPt>
          <c:dPt>
            <c:idx val="9"/>
            <c:invertIfNegative val="0"/>
            <c:bubble3D val="0"/>
            <c:extLst>
              <c:ext xmlns:c16="http://schemas.microsoft.com/office/drawing/2014/chart" uri="{C3380CC4-5D6E-409C-BE32-E72D297353CC}">
                <c16:uniqueId val="{00000006-130E-40FF-8E40-54ECE13BED7A}"/>
              </c:ext>
            </c:extLst>
          </c:dPt>
          <c:dPt>
            <c:idx val="11"/>
            <c:invertIfNegative val="0"/>
            <c:bubble3D val="0"/>
            <c:spPr>
              <a:solidFill>
                <a:srgbClr val="0F9ED5">
                  <a:lumMod val="50000"/>
                </a:srgbClr>
              </a:solidFill>
              <a:ln w="6350">
                <a:noFill/>
              </a:ln>
            </c:spPr>
            <c:extLst>
              <c:ext xmlns:c16="http://schemas.microsoft.com/office/drawing/2014/chart" uri="{C3380CC4-5D6E-409C-BE32-E72D297353CC}">
                <c16:uniqueId val="{00000008-130E-40FF-8E40-54ECE13BED7A}"/>
              </c:ext>
            </c:extLst>
          </c:dPt>
          <c:dPt>
            <c:idx val="19"/>
            <c:invertIfNegative val="0"/>
            <c:bubble3D val="0"/>
            <c:extLst>
              <c:ext xmlns:c16="http://schemas.microsoft.com/office/drawing/2014/chart" uri="{C3380CC4-5D6E-409C-BE32-E72D297353CC}">
                <c16:uniqueId val="{00000009-130E-40FF-8E40-54ECE13BED7A}"/>
              </c:ext>
            </c:extLst>
          </c:dPt>
          <c:dPt>
            <c:idx val="21"/>
            <c:invertIfNegative val="0"/>
            <c:bubble3D val="0"/>
            <c:extLst>
              <c:ext xmlns:c16="http://schemas.microsoft.com/office/drawing/2014/chart" uri="{C3380CC4-5D6E-409C-BE32-E72D297353CC}">
                <c16:uniqueId val="{0000000A-130E-40FF-8E40-54ECE13BED7A}"/>
              </c:ext>
            </c:extLst>
          </c:dPt>
          <c:dLbls>
            <c:dLbl>
              <c:idx val="28"/>
              <c:layout>
                <c:manualLayout>
                  <c:x val="0"/>
                  <c:y val="7.59239408511160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30E-40FF-8E40-54ECE13BED7A}"/>
                </c:ext>
              </c:extLst>
            </c:dLbl>
            <c:numFmt formatCode="#,##0" sourceLinked="0"/>
            <c:spPr>
              <a:noFill/>
              <a:ln>
                <a:noFill/>
              </a:ln>
              <a:effectLst/>
            </c:spPr>
            <c:txPr>
              <a:bodyPr/>
              <a:lstStyle/>
              <a:p>
                <a:pPr>
                  <a:defRPr>
                    <a:solidFill>
                      <a:schemeClr val="bg1"/>
                    </a:solidFill>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Spānija</c:v>
                </c:pt>
                <c:pt idx="1">
                  <c:v>Somija</c:v>
                </c:pt>
                <c:pt idx="2">
                  <c:v>Grieķija</c:v>
                </c:pt>
                <c:pt idx="3">
                  <c:v>Zviedrija</c:v>
                </c:pt>
                <c:pt idx="4">
                  <c:v>Francija</c:v>
                </c:pt>
                <c:pt idx="5">
                  <c:v>Igaunija</c:v>
                </c:pt>
                <c:pt idx="6">
                  <c:v>Latvija</c:v>
                </c:pt>
                <c:pt idx="7">
                  <c:v>Lietuva</c:v>
                </c:pt>
                <c:pt idx="8">
                  <c:v>Itālija</c:v>
                </c:pt>
                <c:pt idx="9">
                  <c:v>Luksemburga</c:v>
                </c:pt>
                <c:pt idx="10">
                  <c:v>Portugāle</c:v>
                </c:pt>
                <c:pt idx="11">
                  <c:v>ES27</c:v>
                </c:pt>
                <c:pt idx="12">
                  <c:v>Beļģija</c:v>
                </c:pt>
                <c:pt idx="13">
                  <c:v>Dānija</c:v>
                </c:pt>
                <c:pt idx="14">
                  <c:v>Rumānija</c:v>
                </c:pt>
                <c:pt idx="15">
                  <c:v>Austrija</c:v>
                </c:pt>
                <c:pt idx="16">
                  <c:v>Slovākija</c:v>
                </c:pt>
                <c:pt idx="17">
                  <c:v>Horvātija</c:v>
                </c:pt>
                <c:pt idx="18">
                  <c:v>Ungārija</c:v>
                </c:pt>
                <c:pt idx="19">
                  <c:v>Īrija</c:v>
                </c:pt>
                <c:pt idx="20">
                  <c:v>Kipra</c:v>
                </c:pt>
                <c:pt idx="21">
                  <c:v>Vācija</c:v>
                </c:pt>
                <c:pt idx="22">
                  <c:v>Slovēnija</c:v>
                </c:pt>
                <c:pt idx="23">
                  <c:v>Bulgārija</c:v>
                </c:pt>
                <c:pt idx="24">
                  <c:v>Nīderlande</c:v>
                </c:pt>
                <c:pt idx="25">
                  <c:v>Polija</c:v>
                </c:pt>
                <c:pt idx="26">
                  <c:v>Malta</c:v>
                </c:pt>
                <c:pt idx="27">
                  <c:v>Čehija</c:v>
                </c:pt>
              </c:strCache>
            </c:strRef>
          </c:cat>
          <c:val>
            <c:numRef>
              <c:f>Sheet1!$C$2:$C$29</c:f>
              <c:numCache>
                <c:formatCode>#\ ##0.0</c:formatCode>
                <c:ptCount val="28"/>
                <c:pt idx="0" formatCode="#\ ##0.##########">
                  <c:v>10.3</c:v>
                </c:pt>
                <c:pt idx="1">
                  <c:v>9</c:v>
                </c:pt>
                <c:pt idx="2" formatCode="#\ ##0.##########">
                  <c:v>8.8000000000000007</c:v>
                </c:pt>
                <c:pt idx="3" formatCode="#\ ##0.##########">
                  <c:v>7.6</c:v>
                </c:pt>
                <c:pt idx="4" formatCode="#\ ##0.##########">
                  <c:v>7.2</c:v>
                </c:pt>
                <c:pt idx="5" formatCode="#\ ##0.##########">
                  <c:v>7.1</c:v>
                </c:pt>
                <c:pt idx="6" formatCode="#\ ##0.##########">
                  <c:v>7.1</c:v>
                </c:pt>
                <c:pt idx="7" formatCode="#\ ##0.##########">
                  <c:v>6.9</c:v>
                </c:pt>
                <c:pt idx="8" formatCode="#\ ##0.##########">
                  <c:v>6.1</c:v>
                </c:pt>
                <c:pt idx="9" formatCode="#\ ##0.##########">
                  <c:v>6.1</c:v>
                </c:pt>
                <c:pt idx="10" formatCode="#\ ##0.##########">
                  <c:v>5.9</c:v>
                </c:pt>
                <c:pt idx="11" formatCode="#\ ##0.##########">
                  <c:v>5.8</c:v>
                </c:pt>
                <c:pt idx="12" formatCode="#\ ##0.##########">
                  <c:v>5.8</c:v>
                </c:pt>
                <c:pt idx="13" formatCode="#\ ##0.##########">
                  <c:v>5.8</c:v>
                </c:pt>
                <c:pt idx="14" formatCode="#\ ##0.##########">
                  <c:v>5.6</c:v>
                </c:pt>
                <c:pt idx="15" formatCode="#\ ##0.##########">
                  <c:v>5.4</c:v>
                </c:pt>
                <c:pt idx="16" formatCode="#\ ##0.##########">
                  <c:v>5.3</c:v>
                </c:pt>
                <c:pt idx="17" formatCode="#\ ##0.##########">
                  <c:v>4.5</c:v>
                </c:pt>
                <c:pt idx="18" formatCode="#\ ##0.##########">
                  <c:v>4.3</c:v>
                </c:pt>
                <c:pt idx="19" formatCode="#\ ##0.##########">
                  <c:v>4.2</c:v>
                </c:pt>
                <c:pt idx="20" formatCode="#\ ##0.##########">
                  <c:v>4.2</c:v>
                </c:pt>
                <c:pt idx="21" formatCode="#\ ##0.##########">
                  <c:v>3.8</c:v>
                </c:pt>
                <c:pt idx="22" formatCode="#\ ##0.##########">
                  <c:v>3.6</c:v>
                </c:pt>
                <c:pt idx="23" formatCode="#\ ##0.##########">
                  <c:v>3.5</c:v>
                </c:pt>
                <c:pt idx="24" formatCode="#\ ##0.##########">
                  <c:v>3.3</c:v>
                </c:pt>
                <c:pt idx="25">
                  <c:v>3</c:v>
                </c:pt>
                <c:pt idx="26" formatCode="#\ ##0.##########">
                  <c:v>2.9</c:v>
                </c:pt>
                <c:pt idx="27" formatCode="#\ ##0.##########">
                  <c:v>2.6</c:v>
                </c:pt>
              </c:numCache>
            </c:numRef>
          </c:val>
          <c:extLst>
            <c:ext xmlns:c16="http://schemas.microsoft.com/office/drawing/2014/chart" uri="{C3380CC4-5D6E-409C-BE32-E72D297353CC}">
              <c16:uniqueId val="{0000000C-130E-40FF-8E40-54ECE13BED7A}"/>
            </c:ext>
          </c:extLst>
        </c:ser>
        <c:dLbls>
          <c:showLegendKey val="0"/>
          <c:showVal val="0"/>
          <c:showCatName val="0"/>
          <c:showSerName val="0"/>
          <c:showPercent val="0"/>
          <c:showBubbleSize val="0"/>
        </c:dLbls>
        <c:gapWidth val="40"/>
        <c:axId val="742030704"/>
        <c:axId val="742034624"/>
      </c:barChart>
      <c:lineChart>
        <c:grouping val="stacked"/>
        <c:varyColors val="0"/>
        <c:ser>
          <c:idx val="1"/>
          <c:order val="0"/>
          <c:tx>
            <c:strRef>
              <c:f>Sheet1!$B$1</c:f>
              <c:strCache>
                <c:ptCount val="1"/>
                <c:pt idx="0">
                  <c:v>2010</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Spānija</c:v>
                </c:pt>
                <c:pt idx="1">
                  <c:v>Somija</c:v>
                </c:pt>
                <c:pt idx="2">
                  <c:v>Grieķija</c:v>
                </c:pt>
                <c:pt idx="3">
                  <c:v>Zviedrija</c:v>
                </c:pt>
                <c:pt idx="4">
                  <c:v>Francija</c:v>
                </c:pt>
                <c:pt idx="5">
                  <c:v>Igaunija</c:v>
                </c:pt>
                <c:pt idx="6">
                  <c:v>Latvija</c:v>
                </c:pt>
                <c:pt idx="7">
                  <c:v>Lietuva</c:v>
                </c:pt>
                <c:pt idx="8">
                  <c:v>Itālija</c:v>
                </c:pt>
                <c:pt idx="9">
                  <c:v>Luksemburga</c:v>
                </c:pt>
                <c:pt idx="10">
                  <c:v>Portugāle</c:v>
                </c:pt>
                <c:pt idx="11">
                  <c:v>ES27</c:v>
                </c:pt>
                <c:pt idx="12">
                  <c:v>Beļģija</c:v>
                </c:pt>
                <c:pt idx="13">
                  <c:v>Dānija</c:v>
                </c:pt>
                <c:pt idx="14">
                  <c:v>Rumānija</c:v>
                </c:pt>
                <c:pt idx="15">
                  <c:v>Austrija</c:v>
                </c:pt>
                <c:pt idx="16">
                  <c:v>Slovākija</c:v>
                </c:pt>
                <c:pt idx="17">
                  <c:v>Horvātija</c:v>
                </c:pt>
                <c:pt idx="18">
                  <c:v>Ungārija</c:v>
                </c:pt>
                <c:pt idx="19">
                  <c:v>Īrija</c:v>
                </c:pt>
                <c:pt idx="20">
                  <c:v>Kipra</c:v>
                </c:pt>
                <c:pt idx="21">
                  <c:v>Vācija</c:v>
                </c:pt>
                <c:pt idx="22">
                  <c:v>Slovēnija</c:v>
                </c:pt>
                <c:pt idx="23">
                  <c:v>Bulgārija</c:v>
                </c:pt>
                <c:pt idx="24">
                  <c:v>Nīderlande</c:v>
                </c:pt>
                <c:pt idx="25">
                  <c:v>Polija</c:v>
                </c:pt>
                <c:pt idx="26">
                  <c:v>Malta</c:v>
                </c:pt>
                <c:pt idx="27">
                  <c:v>Čehija</c:v>
                </c:pt>
              </c:strCache>
            </c:strRef>
          </c:cat>
          <c:val>
            <c:numRef>
              <c:f>Sheet1!$B$2:$B$29</c:f>
              <c:numCache>
                <c:formatCode>#\ ##0.##########</c:formatCode>
                <c:ptCount val="28"/>
                <c:pt idx="0">
                  <c:v>19.3</c:v>
                </c:pt>
                <c:pt idx="1">
                  <c:v>7.6</c:v>
                </c:pt>
                <c:pt idx="2">
                  <c:v>12.7</c:v>
                </c:pt>
                <c:pt idx="3">
                  <c:v>7.6</c:v>
                </c:pt>
                <c:pt idx="4">
                  <c:v>8.5</c:v>
                </c:pt>
                <c:pt idx="5">
                  <c:v>16.7</c:v>
                </c:pt>
                <c:pt idx="6">
                  <c:v>19.3</c:v>
                </c:pt>
                <c:pt idx="7">
                  <c:v>17.8</c:v>
                </c:pt>
                <c:pt idx="8">
                  <c:v>8.1</c:v>
                </c:pt>
                <c:pt idx="9">
                  <c:v>4.2</c:v>
                </c:pt>
                <c:pt idx="10">
                  <c:v>11.1</c:v>
                </c:pt>
                <c:pt idx="11">
                  <c:v>9.6</c:v>
                </c:pt>
                <c:pt idx="12" formatCode="#\ ##0.0">
                  <c:v>8</c:v>
                </c:pt>
                <c:pt idx="13">
                  <c:v>7.1</c:v>
                </c:pt>
                <c:pt idx="14" formatCode="#\ ##0.0">
                  <c:v>7</c:v>
                </c:pt>
                <c:pt idx="15">
                  <c:v>4.5999999999999996</c:v>
                </c:pt>
                <c:pt idx="16" formatCode="#\ ##0.0">
                  <c:v>14</c:v>
                </c:pt>
                <c:pt idx="17">
                  <c:v>11.1</c:v>
                </c:pt>
                <c:pt idx="18">
                  <c:v>11.1</c:v>
                </c:pt>
                <c:pt idx="19" formatCode="#\ ##0.0">
                  <c:v>14</c:v>
                </c:pt>
                <c:pt idx="20">
                  <c:v>6.2</c:v>
                </c:pt>
                <c:pt idx="21" formatCode="#\ ##0.0">
                  <c:v>7</c:v>
                </c:pt>
                <c:pt idx="22">
                  <c:v>7.3</c:v>
                </c:pt>
                <c:pt idx="23" formatCode="#\ ##0.0">
                  <c:v>10</c:v>
                </c:pt>
                <c:pt idx="24">
                  <c:v>4.4000000000000004</c:v>
                </c:pt>
                <c:pt idx="25">
                  <c:v>9.5</c:v>
                </c:pt>
                <c:pt idx="26" formatCode="#\ ##0.0">
                  <c:v>6</c:v>
                </c:pt>
                <c:pt idx="27">
                  <c:v>7.1</c:v>
                </c:pt>
              </c:numCache>
            </c:numRef>
          </c:val>
          <c:smooth val="0"/>
          <c:extLst>
            <c:ext xmlns:c16="http://schemas.microsoft.com/office/drawing/2014/chart" uri="{C3380CC4-5D6E-409C-BE32-E72D297353CC}">
              <c16:uniqueId val="{0000000D-130E-40FF-8E40-54ECE13BED7A}"/>
            </c:ext>
          </c:extLst>
        </c:ser>
        <c:dLbls>
          <c:showLegendKey val="0"/>
          <c:showVal val="0"/>
          <c:showCatName val="0"/>
          <c:showSerName val="0"/>
          <c:showPercent val="0"/>
          <c:showBubbleSize val="0"/>
        </c:dLbls>
        <c:marker val="1"/>
        <c:smooth val="0"/>
        <c:axId val="742030704"/>
        <c:axId val="742034624"/>
      </c:lineChart>
      <c:catAx>
        <c:axId val="742030704"/>
        <c:scaling>
          <c:orientation val="minMax"/>
        </c:scaling>
        <c:delete val="0"/>
        <c:axPos val="b"/>
        <c:numFmt formatCode="General" sourceLinked="1"/>
        <c:majorTickMark val="out"/>
        <c:minorTickMark val="none"/>
        <c:tickLblPos val="low"/>
        <c:spPr>
          <a:ln/>
        </c:spPr>
        <c:txPr>
          <a:bodyPr rot="-5400000" vert="horz"/>
          <a:lstStyle/>
          <a:p>
            <a:pPr>
              <a:defRPr/>
            </a:pPr>
            <a:endParaRPr lang="en-US"/>
          </a:p>
        </c:txPr>
        <c:crossAx val="742034624"/>
        <c:crosses val="autoZero"/>
        <c:auto val="0"/>
        <c:lblAlgn val="ctr"/>
        <c:lblOffset val="0"/>
        <c:tickLblSkip val="1"/>
        <c:noMultiLvlLbl val="0"/>
      </c:catAx>
      <c:valAx>
        <c:axId val="742034624"/>
        <c:scaling>
          <c:orientation val="minMax"/>
        </c:scaling>
        <c:delete val="0"/>
        <c:axPos val="l"/>
        <c:numFmt formatCode="#,##0" sourceLinked="0"/>
        <c:majorTickMark val="out"/>
        <c:minorTickMark val="none"/>
        <c:tickLblPos val="nextTo"/>
        <c:spPr>
          <a:ln w="6350">
            <a:noFill/>
          </a:ln>
        </c:spPr>
        <c:txPr>
          <a:bodyPr rot="0" vert="horz"/>
          <a:lstStyle/>
          <a:p>
            <a:pPr>
              <a:defRPr/>
            </a:pPr>
            <a:endParaRPr lang="en-US"/>
          </a:p>
        </c:txPr>
        <c:crossAx val="742030704"/>
        <c:crosses val="autoZero"/>
        <c:crossBetween val="between"/>
      </c:valAx>
      <c:spPr>
        <a:noFill/>
        <a:ln w="6350">
          <a:noFill/>
        </a:ln>
      </c:spPr>
    </c:plotArea>
    <c:legend>
      <c:legendPos val="t"/>
      <c:layout>
        <c:manualLayout>
          <c:xMode val="edge"/>
          <c:yMode val="edge"/>
          <c:x val="0.71870945543571763"/>
          <c:y val="6.8432397141183571E-2"/>
          <c:w val="9.6429867435258595E-2"/>
          <c:h val="0.19250984541369259"/>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en-US"/>
    </a:p>
  </c:txPr>
  <c:externalData r:id="rId2">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0599-4BF0-B3B9-F6C886D090EE}"/>
            </c:ext>
          </c:extLst>
        </c:ser>
        <c:dLbls>
          <c:showLegendKey val="0"/>
          <c:showVal val="0"/>
          <c:showCatName val="0"/>
          <c:showSerName val="0"/>
          <c:showPercent val="0"/>
          <c:showBubbleSize val="0"/>
        </c:dLbls>
        <c:gapWidth val="0"/>
        <c:axId val="652760960"/>
        <c:axId val="65276370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0599-4BF0-B3B9-F6C886D090EE}"/>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124.13324066525615</c:v>
                </c:pt>
                <c:pt idx="1">
                  <c:v>125.79545375871108</c:v>
                </c:pt>
                <c:pt idx="2">
                  <c:v>127.11218424076772</c:v>
                </c:pt>
                <c:pt idx="3">
                  <c:v>128.42827307757554</c:v>
                </c:pt>
                <c:pt idx="4">
                  <c:v>129.9556593029383</c:v>
                </c:pt>
                <c:pt idx="5">
                  <c:v>131.54334133386871</c:v>
                </c:pt>
                <c:pt idx="6">
                  <c:v>132.65596842146707</c:v>
                </c:pt>
                <c:pt idx="7">
                  <c:v>133.26685445771093</c:v>
                </c:pt>
                <c:pt idx="8">
                  <c:v>133.67836051611488</c:v>
                </c:pt>
                <c:pt idx="9">
                  <c:v>134.28623772473361</c:v>
                </c:pt>
                <c:pt idx="10">
                  <c:v>134.91305534345022</c:v>
                </c:pt>
                <c:pt idx="11">
                  <c:v>135.33763968967639</c:v>
                </c:pt>
                <c:pt idx="12">
                  <c:v>135.74054937946048</c:v>
                </c:pt>
                <c:pt idx="13">
                  <c:v>136.15773942661457</c:v>
                </c:pt>
                <c:pt idx="14">
                  <c:v>136.54806304771392</c:v>
                </c:pt>
                <c:pt idx="15">
                  <c:v>136.91898836924079</c:v>
                </c:pt>
              </c:numCache>
            </c:numRef>
          </c:val>
          <c:smooth val="0"/>
          <c:extLst>
            <c:ext xmlns:c16="http://schemas.microsoft.com/office/drawing/2014/chart" uri="{C3380CC4-5D6E-409C-BE32-E72D297353CC}">
              <c16:uniqueId val="{00000003-0599-4BF0-B3B9-F6C886D090EE}"/>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130.26761662845354</c:v>
                </c:pt>
                <c:pt idx="1">
                  <c:v>131.87863935600313</c:v>
                </c:pt>
                <c:pt idx="2">
                  <c:v>133.59616769504419</c:v>
                </c:pt>
                <c:pt idx="3">
                  <c:v>135.3816685805734</c:v>
                </c:pt>
                <c:pt idx="4">
                  <c:v>137.14124660875913</c:v>
                </c:pt>
                <c:pt idx="5">
                  <c:v>139.0912864342765</c:v>
                </c:pt>
                <c:pt idx="6">
                  <c:v>140.74162985622618</c:v>
                </c:pt>
                <c:pt idx="7">
                  <c:v>142.20516010865299</c:v>
                </c:pt>
                <c:pt idx="8">
                  <c:v>143.58878330514534</c:v>
                </c:pt>
                <c:pt idx="9">
                  <c:v>145.0773709382722</c:v>
                </c:pt>
                <c:pt idx="10">
                  <c:v>146.47261920769145</c:v>
                </c:pt>
                <c:pt idx="11">
                  <c:v>147.6357226310792</c:v>
                </c:pt>
                <c:pt idx="12">
                  <c:v>148.87574033944423</c:v>
                </c:pt>
                <c:pt idx="13">
                  <c:v>150.08039272622239</c:v>
                </c:pt>
                <c:pt idx="14">
                  <c:v>151.2274677908853</c:v>
                </c:pt>
                <c:pt idx="15">
                  <c:v>152.31657704188871</c:v>
                </c:pt>
              </c:numCache>
            </c:numRef>
          </c:val>
          <c:smooth val="0"/>
          <c:extLst>
            <c:ext xmlns:c16="http://schemas.microsoft.com/office/drawing/2014/chart" uri="{C3380CC4-5D6E-409C-BE32-E72D297353CC}">
              <c16:uniqueId val="{00000004-0599-4BF0-B3B9-F6C886D090EE}"/>
            </c:ext>
          </c:extLst>
        </c:ser>
        <c:dLbls>
          <c:showLegendKey val="0"/>
          <c:showVal val="0"/>
          <c:showCatName val="0"/>
          <c:showSerName val="0"/>
          <c:showPercent val="0"/>
          <c:showBubbleSize val="0"/>
        </c:dLbls>
        <c:marker val="1"/>
        <c:smooth val="0"/>
        <c:axId val="652760960"/>
        <c:axId val="652763704"/>
      </c:lineChart>
      <c:catAx>
        <c:axId val="652760960"/>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652763704"/>
        <c:crosses val="autoZero"/>
        <c:auto val="1"/>
        <c:lblAlgn val="ctr"/>
        <c:lblOffset val="100"/>
        <c:noMultiLvlLbl val="0"/>
      </c:catAx>
      <c:valAx>
        <c:axId val="652763704"/>
        <c:scaling>
          <c:orientation val="minMax"/>
          <c:max val="180"/>
          <c:min val="120"/>
        </c:scaling>
        <c:delete val="0"/>
        <c:axPos val="l"/>
        <c:numFmt formatCode="General" sourceLinked="1"/>
        <c:majorTickMark val="out"/>
        <c:minorTickMark val="none"/>
        <c:tickLblPos val="nextTo"/>
        <c:crossAx val="652760960"/>
        <c:crosses val="autoZero"/>
        <c:crossBetween val="between"/>
        <c:majorUnit val="15"/>
      </c:valAx>
      <c:spPr>
        <a:solidFill>
          <a:srgbClr val="FFFFFF"/>
        </a:solidFill>
      </c:spPr>
    </c:plotArea>
    <c:legend>
      <c:legendPos val="l"/>
      <c:legendEntry>
        <c:idx val="0"/>
        <c:delete val="1"/>
      </c:legendEntry>
      <c:layout>
        <c:manualLayout>
          <c:xMode val="edge"/>
          <c:yMode val="edge"/>
          <c:x val="0.5248378721994893"/>
          <c:y val="6.237943239009546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B7BA-4642-9FAB-0A30F094F19D}"/>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B7BA-4642-9FAB-0A30F094F19D}"/>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94.408498869454533</c:v>
                </c:pt>
                <c:pt idx="1">
                  <c:v>94.573387525627382</c:v>
                </c:pt>
              </c:numCache>
            </c:numRef>
          </c:val>
          <c:extLst>
            <c:ext xmlns:c16="http://schemas.microsoft.com/office/drawing/2014/chart" uri="{C3380CC4-5D6E-409C-BE32-E72D297353CC}">
              <c16:uniqueId val="{00000003-B7BA-4642-9FAB-0A30F094F19D}"/>
            </c:ext>
          </c:extLst>
        </c:ser>
        <c:dLbls>
          <c:showLegendKey val="0"/>
          <c:showVal val="1"/>
          <c:showCatName val="0"/>
          <c:showSerName val="0"/>
          <c:showPercent val="0"/>
          <c:showBubbleSize val="0"/>
        </c:dLbls>
        <c:gapWidth val="50"/>
        <c:overlap val="88"/>
        <c:axId val="652771152"/>
        <c:axId val="652764488"/>
      </c:barChart>
      <c:catAx>
        <c:axId val="652771152"/>
        <c:scaling>
          <c:orientation val="minMax"/>
        </c:scaling>
        <c:delete val="0"/>
        <c:axPos val="b"/>
        <c:numFmt formatCode="General" sourceLinked="1"/>
        <c:majorTickMark val="out"/>
        <c:minorTickMark val="none"/>
        <c:tickLblPos val="nextTo"/>
        <c:crossAx val="652764488"/>
        <c:crosses val="autoZero"/>
        <c:auto val="0"/>
        <c:lblAlgn val="ctr"/>
        <c:lblOffset val="100"/>
        <c:tickLblSkip val="1"/>
        <c:tickMarkSkip val="1"/>
        <c:noMultiLvlLbl val="0"/>
      </c:catAx>
      <c:valAx>
        <c:axId val="652764488"/>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6527711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C1FC-4A04-B3E4-1849CFE2A7E7}"/>
              </c:ext>
            </c:extLst>
          </c:dPt>
          <c:dPt>
            <c:idx val="1"/>
            <c:bubble3D val="0"/>
            <c:spPr>
              <a:solidFill>
                <a:srgbClr val="92B7C4"/>
              </a:solidFill>
              <a:ln w="3175">
                <a:noFill/>
              </a:ln>
            </c:spPr>
            <c:extLst>
              <c:ext xmlns:c16="http://schemas.microsoft.com/office/drawing/2014/chart" uri="{C3380CC4-5D6E-409C-BE32-E72D297353CC}">
                <c16:uniqueId val="{00000003-C1FC-4A04-B3E4-1849CFE2A7E7}"/>
              </c:ext>
            </c:extLst>
          </c:dPt>
          <c:dLbls>
            <c:dLbl>
              <c:idx val="1"/>
              <c:delete val="1"/>
              <c:extLst>
                <c:ext xmlns:c15="http://schemas.microsoft.com/office/drawing/2012/chart" uri="{CE6537A1-D6FC-4f65-9D91-7224C49458BB}"/>
                <c:ext xmlns:c16="http://schemas.microsoft.com/office/drawing/2014/chart" uri="{C3380CC4-5D6E-409C-BE32-E72D297353CC}">
                  <c16:uniqueId val="{00000003-C1FC-4A04-B3E4-1849CFE2A7E7}"/>
                </c:ext>
              </c:extLst>
            </c:dLbl>
            <c:spPr>
              <a:noFill/>
              <a:ln>
                <a:noFill/>
              </a:ln>
              <a:effectLst/>
            </c:spPr>
            <c:txPr>
              <a:bodyPr/>
              <a:lstStyle/>
              <a:p>
                <a:pPr>
                  <a:defRPr>
                    <a:solidFill>
                      <a:schemeClr val="bg1"/>
                    </a:solidFill>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5.8067323514721343</c:v>
                </c:pt>
                <c:pt idx="1">
                  <c:v>94.193267648527865</c:v>
                </c:pt>
              </c:numCache>
            </c:numRef>
          </c:val>
          <c:extLst>
            <c:ext xmlns:c16="http://schemas.microsoft.com/office/drawing/2014/chart" uri="{C3380CC4-5D6E-409C-BE32-E72D297353CC}">
              <c16:uniqueId val="{00000004-C1FC-4A04-B3E4-1849CFE2A7E7}"/>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7D5A-4B26-96D5-E857F939816C}"/>
            </c:ext>
          </c:extLst>
        </c:ser>
        <c:dLbls>
          <c:showLegendKey val="0"/>
          <c:showVal val="0"/>
          <c:showCatName val="0"/>
          <c:showSerName val="0"/>
          <c:showPercent val="0"/>
          <c:showBubbleSize val="0"/>
        </c:dLbls>
        <c:gapWidth val="0"/>
        <c:axId val="652760568"/>
        <c:axId val="65276566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7D5A-4B26-96D5-E857F939816C}"/>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21.358116634772397</c:v>
                </c:pt>
                <c:pt idx="1">
                  <c:v>22.455175550401446</c:v>
                </c:pt>
                <c:pt idx="2">
                  <c:v>23.447295188657534</c:v>
                </c:pt>
                <c:pt idx="3">
                  <c:v>24.693911390234135</c:v>
                </c:pt>
                <c:pt idx="4">
                  <c:v>26.042578639109745</c:v>
                </c:pt>
                <c:pt idx="5">
                  <c:v>27.48135636670202</c:v>
                </c:pt>
                <c:pt idx="6">
                  <c:v>28.834580856756805</c:v>
                </c:pt>
                <c:pt idx="7">
                  <c:v>29.9914987398321</c:v>
                </c:pt>
                <c:pt idx="8">
                  <c:v>31.117130089799325</c:v>
                </c:pt>
                <c:pt idx="9">
                  <c:v>32.276628833925677</c:v>
                </c:pt>
                <c:pt idx="10">
                  <c:v>33.447044398939454</c:v>
                </c:pt>
                <c:pt idx="11">
                  <c:v>34.53993348406096</c:v>
                </c:pt>
                <c:pt idx="12">
                  <c:v>35.616063154939987</c:v>
                </c:pt>
                <c:pt idx="13">
                  <c:v>36.695680883122115</c:v>
                </c:pt>
                <c:pt idx="14">
                  <c:v>37.762667002295601</c:v>
                </c:pt>
                <c:pt idx="15">
                  <c:v>38.830780224581034</c:v>
                </c:pt>
              </c:numCache>
            </c:numRef>
          </c:val>
          <c:smooth val="0"/>
          <c:extLst>
            <c:ext xmlns:c16="http://schemas.microsoft.com/office/drawing/2014/chart" uri="{C3380CC4-5D6E-409C-BE32-E72D297353CC}">
              <c16:uniqueId val="{00000003-7D5A-4B26-96D5-E857F939816C}"/>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22.526169727935883</c:v>
                </c:pt>
                <c:pt idx="1">
                  <c:v>22.817479306521111</c:v>
                </c:pt>
                <c:pt idx="2">
                  <c:v>23.023430737410891</c:v>
                </c:pt>
                <c:pt idx="3">
                  <c:v>23.167585418695477</c:v>
                </c:pt>
                <c:pt idx="4">
                  <c:v>23.315550211404979</c:v>
                </c:pt>
                <c:pt idx="5">
                  <c:v>23.568492325321095</c:v>
                </c:pt>
                <c:pt idx="6">
                  <c:v>23.777871837207488</c:v>
                </c:pt>
                <c:pt idx="7">
                  <c:v>23.892977020183832</c:v>
                </c:pt>
                <c:pt idx="8">
                  <c:v>23.992959587608755</c:v>
                </c:pt>
                <c:pt idx="9">
                  <c:v>24.134673408352562</c:v>
                </c:pt>
                <c:pt idx="10">
                  <c:v>24.316743588059285</c:v>
                </c:pt>
                <c:pt idx="11">
                  <c:v>24.499648485596826</c:v>
                </c:pt>
                <c:pt idx="12">
                  <c:v>24.719012010979405</c:v>
                </c:pt>
                <c:pt idx="13">
                  <c:v>24.960688665589331</c:v>
                </c:pt>
                <c:pt idx="14">
                  <c:v>25.222150466827632</c:v>
                </c:pt>
                <c:pt idx="15">
                  <c:v>25.517500085204517</c:v>
                </c:pt>
              </c:numCache>
            </c:numRef>
          </c:val>
          <c:smooth val="0"/>
          <c:extLst>
            <c:ext xmlns:c16="http://schemas.microsoft.com/office/drawing/2014/chart" uri="{C3380CC4-5D6E-409C-BE32-E72D297353CC}">
              <c16:uniqueId val="{00000004-7D5A-4B26-96D5-E857F939816C}"/>
            </c:ext>
          </c:extLst>
        </c:ser>
        <c:dLbls>
          <c:showLegendKey val="0"/>
          <c:showVal val="0"/>
          <c:showCatName val="0"/>
          <c:showSerName val="0"/>
          <c:showPercent val="0"/>
          <c:showBubbleSize val="0"/>
        </c:dLbls>
        <c:marker val="1"/>
        <c:smooth val="0"/>
        <c:axId val="652760568"/>
        <c:axId val="652765664"/>
      </c:lineChart>
      <c:catAx>
        <c:axId val="652760568"/>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652765664"/>
        <c:crosses val="autoZero"/>
        <c:auto val="1"/>
        <c:lblAlgn val="ctr"/>
        <c:lblOffset val="100"/>
        <c:noMultiLvlLbl val="0"/>
      </c:catAx>
      <c:valAx>
        <c:axId val="652765664"/>
        <c:scaling>
          <c:orientation val="minMax"/>
          <c:max val="50"/>
          <c:min val="20"/>
        </c:scaling>
        <c:delete val="0"/>
        <c:axPos val="l"/>
        <c:numFmt formatCode="General" sourceLinked="1"/>
        <c:majorTickMark val="out"/>
        <c:minorTickMark val="none"/>
        <c:tickLblPos val="nextTo"/>
        <c:crossAx val="652760568"/>
        <c:crosses val="autoZero"/>
        <c:crossBetween val="between"/>
        <c:majorUnit val="5"/>
      </c:valAx>
      <c:spPr>
        <a:solidFill>
          <a:srgbClr val="FFFFFF"/>
        </a:solidFill>
      </c:spPr>
    </c:plotArea>
    <c:legend>
      <c:legendPos val="l"/>
      <c:legendEntry>
        <c:idx val="0"/>
        <c:delete val="1"/>
      </c:legendEntry>
      <c:layout>
        <c:manualLayout>
          <c:xMode val="edge"/>
          <c:yMode val="edge"/>
          <c:x val="0.47056378807465898"/>
          <c:y val="8.0023896439499975E-2"/>
          <c:w val="0.33704419919016232"/>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8F80-4CB4-95AA-C8BC299271D2}"/>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8F80-4CB4-95AA-C8BC299271D2}"/>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126.92908803784853</c:v>
                </c:pt>
                <c:pt idx="1">
                  <c:v>116.602097356805</c:v>
                </c:pt>
              </c:numCache>
            </c:numRef>
          </c:val>
          <c:extLst>
            <c:ext xmlns:c16="http://schemas.microsoft.com/office/drawing/2014/chart" uri="{C3380CC4-5D6E-409C-BE32-E72D297353CC}">
              <c16:uniqueId val="{00000003-8F80-4CB4-95AA-C8BC299271D2}"/>
            </c:ext>
          </c:extLst>
        </c:ser>
        <c:dLbls>
          <c:showLegendKey val="0"/>
          <c:showVal val="1"/>
          <c:showCatName val="0"/>
          <c:showSerName val="0"/>
          <c:showPercent val="0"/>
          <c:showBubbleSize val="0"/>
        </c:dLbls>
        <c:gapWidth val="50"/>
        <c:overlap val="88"/>
        <c:axId val="652771152"/>
        <c:axId val="652764488"/>
      </c:barChart>
      <c:catAx>
        <c:axId val="652771152"/>
        <c:scaling>
          <c:orientation val="minMax"/>
        </c:scaling>
        <c:delete val="0"/>
        <c:axPos val="b"/>
        <c:numFmt formatCode="General" sourceLinked="1"/>
        <c:majorTickMark val="out"/>
        <c:minorTickMark val="none"/>
        <c:tickLblPos val="nextTo"/>
        <c:crossAx val="652764488"/>
        <c:crosses val="autoZero"/>
        <c:auto val="0"/>
        <c:lblAlgn val="ctr"/>
        <c:lblOffset val="100"/>
        <c:tickLblSkip val="1"/>
        <c:tickMarkSkip val="1"/>
        <c:noMultiLvlLbl val="0"/>
      </c:catAx>
      <c:valAx>
        <c:axId val="652764488"/>
        <c:scaling>
          <c:orientation val="minMax"/>
          <c:max val="15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6527711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36BD-4036-8C14-EECC960FE7D2}"/>
              </c:ext>
            </c:extLst>
          </c:dPt>
          <c:dPt>
            <c:idx val="1"/>
            <c:bubble3D val="0"/>
            <c:spPr>
              <a:solidFill>
                <a:srgbClr val="92B7C4"/>
              </a:solidFill>
              <a:ln w="3175">
                <a:noFill/>
              </a:ln>
            </c:spPr>
            <c:extLst>
              <c:ext xmlns:c16="http://schemas.microsoft.com/office/drawing/2014/chart" uri="{C3380CC4-5D6E-409C-BE32-E72D297353CC}">
                <c16:uniqueId val="{00000003-36BD-4036-8C14-EECC960FE7D2}"/>
              </c:ext>
            </c:extLst>
          </c:dPt>
          <c:dLbls>
            <c:dLbl>
              <c:idx val="1"/>
              <c:delete val="1"/>
              <c:extLst>
                <c:ext xmlns:c15="http://schemas.microsoft.com/office/drawing/2012/chart" uri="{CE6537A1-D6FC-4f65-9D91-7224C49458BB}"/>
                <c:ext xmlns:c16="http://schemas.microsoft.com/office/drawing/2014/chart" uri="{C3380CC4-5D6E-409C-BE32-E72D297353CC}">
                  <c16:uniqueId val="{00000003-36BD-4036-8C14-EECC960FE7D2}"/>
                </c:ext>
              </c:extLst>
            </c:dLbl>
            <c:spPr>
              <a:noFill/>
              <a:ln>
                <a:noFill/>
              </a:ln>
              <a:effectLst/>
            </c:spPr>
            <c:txPr>
              <a:bodyPr/>
              <a:lstStyle/>
              <a:p>
                <a:pPr>
                  <a:defRPr>
                    <a:solidFill>
                      <a:schemeClr val="bg1"/>
                    </a:solidFill>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11.516970850098158</c:v>
                </c:pt>
                <c:pt idx="1">
                  <c:v>88.483029149901839</c:v>
                </c:pt>
              </c:numCache>
            </c:numRef>
          </c:val>
          <c:extLst>
            <c:ext xmlns:c16="http://schemas.microsoft.com/office/drawing/2014/chart" uri="{C3380CC4-5D6E-409C-BE32-E72D297353CC}">
              <c16:uniqueId val="{00000004-36BD-4036-8C14-EECC960FE7D2}"/>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61C8-4026-BB7E-1E2D86057055}"/>
            </c:ext>
          </c:extLst>
        </c:ser>
        <c:dLbls>
          <c:showLegendKey val="0"/>
          <c:showVal val="0"/>
          <c:showCatName val="0"/>
          <c:showSerName val="0"/>
          <c:showPercent val="0"/>
          <c:showBubbleSize val="0"/>
        </c:dLbls>
        <c:gapWidth val="0"/>
        <c:axId val="746198800"/>
        <c:axId val="74620624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61C8-4026-BB7E-1E2D86057055}"/>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44.162590377577111</c:v>
                </c:pt>
                <c:pt idx="1">
                  <c:v>45.032201780275834</c:v>
                </c:pt>
                <c:pt idx="2">
                  <c:v>46.584395519343403</c:v>
                </c:pt>
                <c:pt idx="3">
                  <c:v>47.920971738771129</c:v>
                </c:pt>
                <c:pt idx="4">
                  <c:v>49.192298924199768</c:v>
                </c:pt>
                <c:pt idx="5">
                  <c:v>50.57013553029298</c:v>
                </c:pt>
                <c:pt idx="6">
                  <c:v>51.545846932560963</c:v>
                </c:pt>
                <c:pt idx="7">
                  <c:v>52.368004283503907</c:v>
                </c:pt>
                <c:pt idx="8">
                  <c:v>53.068995972456179</c:v>
                </c:pt>
                <c:pt idx="9">
                  <c:v>53.871168424313559</c:v>
                </c:pt>
                <c:pt idx="10">
                  <c:v>54.673247511031413</c:v>
                </c:pt>
                <c:pt idx="11">
                  <c:v>55.439573943078024</c:v>
                </c:pt>
                <c:pt idx="12">
                  <c:v>56.219967739249391</c:v>
                </c:pt>
                <c:pt idx="13">
                  <c:v>57.012852441843229</c:v>
                </c:pt>
                <c:pt idx="14">
                  <c:v>57.806703419935317</c:v>
                </c:pt>
                <c:pt idx="15">
                  <c:v>58.567719967609044</c:v>
                </c:pt>
              </c:numCache>
            </c:numRef>
          </c:val>
          <c:smooth val="0"/>
          <c:extLst>
            <c:ext xmlns:c16="http://schemas.microsoft.com/office/drawing/2014/chart" uri="{C3380CC4-5D6E-409C-BE32-E72D297353CC}">
              <c16:uniqueId val="{00000003-61C8-4026-BB7E-1E2D86057055}"/>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46.175955025656066</c:v>
                </c:pt>
                <c:pt idx="1">
                  <c:v>46.022232154132766</c:v>
                </c:pt>
                <c:pt idx="2">
                  <c:v>46.007971368359982</c:v>
                </c:pt>
                <c:pt idx="3">
                  <c:v>46.169250272306805</c:v>
                </c:pt>
                <c:pt idx="4">
                  <c:v>46.38970804415446</c:v>
                </c:pt>
                <c:pt idx="5">
                  <c:v>46.745333289327483</c:v>
                </c:pt>
                <c:pt idx="6">
                  <c:v>47.102920035700194</c:v>
                </c:pt>
                <c:pt idx="7">
                  <c:v>47.330238476267532</c:v>
                </c:pt>
                <c:pt idx="8">
                  <c:v>47.55157912622127</c:v>
                </c:pt>
                <c:pt idx="9">
                  <c:v>47.901176702022596</c:v>
                </c:pt>
                <c:pt idx="10">
                  <c:v>48.338521772060545</c:v>
                </c:pt>
                <c:pt idx="11">
                  <c:v>48.783075288781824</c:v>
                </c:pt>
                <c:pt idx="12">
                  <c:v>49.336889847776327</c:v>
                </c:pt>
                <c:pt idx="13">
                  <c:v>49.958765742961589</c:v>
                </c:pt>
                <c:pt idx="14">
                  <c:v>50.66882982284443</c:v>
                </c:pt>
                <c:pt idx="15">
                  <c:v>51.490909939659836</c:v>
                </c:pt>
              </c:numCache>
            </c:numRef>
          </c:val>
          <c:smooth val="0"/>
          <c:extLst>
            <c:ext xmlns:c16="http://schemas.microsoft.com/office/drawing/2014/chart" uri="{C3380CC4-5D6E-409C-BE32-E72D297353CC}">
              <c16:uniqueId val="{00000004-61C8-4026-BB7E-1E2D86057055}"/>
            </c:ext>
          </c:extLst>
        </c:ser>
        <c:dLbls>
          <c:showLegendKey val="0"/>
          <c:showVal val="0"/>
          <c:showCatName val="0"/>
          <c:showSerName val="0"/>
          <c:showPercent val="0"/>
          <c:showBubbleSize val="0"/>
        </c:dLbls>
        <c:marker val="1"/>
        <c:smooth val="0"/>
        <c:axId val="746198800"/>
        <c:axId val="746206248"/>
      </c:lineChart>
      <c:catAx>
        <c:axId val="746198800"/>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206248"/>
        <c:crosses val="autoZero"/>
        <c:auto val="1"/>
        <c:lblAlgn val="ctr"/>
        <c:lblOffset val="100"/>
        <c:noMultiLvlLbl val="0"/>
      </c:catAx>
      <c:valAx>
        <c:axId val="746206248"/>
        <c:scaling>
          <c:orientation val="minMax"/>
          <c:max val="80"/>
          <c:min val="40"/>
        </c:scaling>
        <c:delete val="0"/>
        <c:axPos val="l"/>
        <c:numFmt formatCode="General" sourceLinked="1"/>
        <c:majorTickMark val="out"/>
        <c:minorTickMark val="none"/>
        <c:tickLblPos val="nextTo"/>
        <c:crossAx val="746198800"/>
        <c:crosses val="autoZero"/>
        <c:crossBetween val="between"/>
        <c:majorUnit val="10"/>
      </c:valAx>
      <c:spPr>
        <a:solidFill>
          <a:srgbClr val="FFFFFF"/>
        </a:solidFill>
      </c:spPr>
    </c:plotArea>
    <c:legend>
      <c:legendPos val="l"/>
      <c:legendEntry>
        <c:idx val="0"/>
        <c:delete val="1"/>
      </c:legendEntry>
      <c:layout>
        <c:manualLayout>
          <c:xMode val="edge"/>
          <c:yMode val="edge"/>
          <c:x val="0.52031503185575345"/>
          <c:y val="0.150601752637118"/>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8DB1-4A10-B904-1D7D586EB361}"/>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8DB1-4A10-B904-1D7D586EB361}"/>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104.61739056791875</c:v>
                </c:pt>
                <c:pt idx="1">
                  <c:v>108.18221193823159</c:v>
                </c:pt>
              </c:numCache>
            </c:numRef>
          </c:val>
          <c:extLst>
            <c:ext xmlns:c16="http://schemas.microsoft.com/office/drawing/2014/chart" uri="{C3380CC4-5D6E-409C-BE32-E72D297353CC}">
              <c16:uniqueId val="{00000003-8DB1-4A10-B904-1D7D586EB361}"/>
            </c:ext>
          </c:extLst>
        </c:ser>
        <c:dLbls>
          <c:showLegendKey val="0"/>
          <c:showVal val="1"/>
          <c:showCatName val="0"/>
          <c:showSerName val="0"/>
          <c:showPercent val="0"/>
          <c:showBubbleSize val="0"/>
        </c:dLbls>
        <c:gapWidth val="50"/>
        <c:overlap val="88"/>
        <c:axId val="652771152"/>
        <c:axId val="652764488"/>
      </c:barChart>
      <c:catAx>
        <c:axId val="652771152"/>
        <c:scaling>
          <c:orientation val="minMax"/>
        </c:scaling>
        <c:delete val="0"/>
        <c:axPos val="b"/>
        <c:numFmt formatCode="General" sourceLinked="1"/>
        <c:majorTickMark val="out"/>
        <c:minorTickMark val="none"/>
        <c:tickLblPos val="nextTo"/>
        <c:crossAx val="652764488"/>
        <c:crosses val="autoZero"/>
        <c:auto val="0"/>
        <c:lblAlgn val="ctr"/>
        <c:lblOffset val="100"/>
        <c:tickLblSkip val="1"/>
        <c:tickMarkSkip val="1"/>
        <c:noMultiLvlLbl val="0"/>
      </c:catAx>
      <c:valAx>
        <c:axId val="652764488"/>
        <c:scaling>
          <c:orientation val="minMax"/>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6527711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1AA4-4D87-8E0E-256FA4BF27D3}"/>
              </c:ext>
            </c:extLst>
          </c:dPt>
          <c:dPt>
            <c:idx val="1"/>
            <c:bubble3D val="0"/>
            <c:spPr>
              <a:solidFill>
                <a:srgbClr val="92B7C4"/>
              </a:solidFill>
              <a:ln w="3175">
                <a:noFill/>
              </a:ln>
            </c:spPr>
            <c:extLst>
              <c:ext xmlns:c16="http://schemas.microsoft.com/office/drawing/2014/chart" uri="{C3380CC4-5D6E-409C-BE32-E72D297353CC}">
                <c16:uniqueId val="{00000003-1AA4-4D87-8E0E-256FA4BF27D3}"/>
              </c:ext>
            </c:extLst>
          </c:dPt>
          <c:dLbls>
            <c:dLbl>
              <c:idx val="0"/>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AA4-4D87-8E0E-256FA4BF27D3}"/>
                </c:ext>
              </c:extLst>
            </c:dLbl>
            <c:dLbl>
              <c:idx val="1"/>
              <c:delete val="1"/>
              <c:extLst>
                <c:ext xmlns:c15="http://schemas.microsoft.com/office/drawing/2012/chart" uri="{CE6537A1-D6FC-4f65-9D91-7224C49458BB}"/>
                <c:ext xmlns:c16="http://schemas.microsoft.com/office/drawing/2014/chart" uri="{C3380CC4-5D6E-409C-BE32-E72D297353CC}">
                  <c16:uniqueId val="{00000003-1AA4-4D87-8E0E-256FA4BF27D3}"/>
                </c:ext>
              </c:extLst>
            </c:dLbl>
            <c:spPr>
              <a:noFill/>
              <a:ln>
                <a:noFill/>
              </a:ln>
              <a:effectLst/>
            </c:spPr>
            <c:txPr>
              <a:bodyPr/>
              <a:lstStyle/>
              <a:p>
                <a:pPr>
                  <a:defRPr>
                    <a:solidFill>
                      <a:schemeClr val="tx1"/>
                    </a:solidFill>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1.72304381167248</c:v>
                </c:pt>
                <c:pt idx="1">
                  <c:v>98.276956188327517</c:v>
                </c:pt>
              </c:numCache>
            </c:numRef>
          </c:val>
          <c:extLst>
            <c:ext xmlns:c16="http://schemas.microsoft.com/office/drawing/2014/chart" uri="{C3380CC4-5D6E-409C-BE32-E72D297353CC}">
              <c16:uniqueId val="{00000004-1AA4-4D87-8E0E-256FA4BF27D3}"/>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2575-41A0-9BE9-9E30CB79C93C}"/>
            </c:ext>
          </c:extLst>
        </c:ser>
        <c:dLbls>
          <c:showLegendKey val="0"/>
          <c:showVal val="0"/>
          <c:showCatName val="0"/>
          <c:showSerName val="0"/>
          <c:showPercent val="0"/>
          <c:showBubbleSize val="0"/>
        </c:dLbls>
        <c:gapWidth val="0"/>
        <c:axId val="746199584"/>
        <c:axId val="74619997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2575-41A0-9BE9-9E30CB79C93C}"/>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7.3190273143109046</c:v>
                </c:pt>
                <c:pt idx="1">
                  <c:v>7.2701084403113008</c:v>
                </c:pt>
                <c:pt idx="2">
                  <c:v>7.3298477939689253</c:v>
                </c:pt>
                <c:pt idx="3">
                  <c:v>7.3414047185549585</c:v>
                </c:pt>
                <c:pt idx="4">
                  <c:v>7.3644662319517105</c:v>
                </c:pt>
                <c:pt idx="5">
                  <c:v>7.3928476696249144</c:v>
                </c:pt>
                <c:pt idx="6">
                  <c:v>7.4213848867636756</c:v>
                </c:pt>
                <c:pt idx="7">
                  <c:v>7.4315949209873091</c:v>
                </c:pt>
                <c:pt idx="8">
                  <c:v>7.4314365360876069</c:v>
                </c:pt>
                <c:pt idx="9">
                  <c:v>7.4319191514709058</c:v>
                </c:pt>
                <c:pt idx="10">
                  <c:v>7.4323976198432069</c:v>
                </c:pt>
                <c:pt idx="11">
                  <c:v>7.4264410542269141</c:v>
                </c:pt>
                <c:pt idx="12">
                  <c:v>7.4219192456010985</c:v>
                </c:pt>
                <c:pt idx="13">
                  <c:v>7.4173425373839574</c:v>
                </c:pt>
                <c:pt idx="14">
                  <c:v>7.411438406039065</c:v>
                </c:pt>
                <c:pt idx="15">
                  <c:v>7.4038848416590755</c:v>
                </c:pt>
              </c:numCache>
            </c:numRef>
          </c:val>
          <c:smooth val="0"/>
          <c:extLst>
            <c:ext xmlns:c16="http://schemas.microsoft.com/office/drawing/2014/chart" uri="{C3380CC4-5D6E-409C-BE32-E72D297353CC}">
              <c16:uniqueId val="{00000003-2575-41A0-9BE9-9E30CB79C93C}"/>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7.3901761980871621</c:v>
                </c:pt>
                <c:pt idx="1">
                  <c:v>7.2968766332400978</c:v>
                </c:pt>
                <c:pt idx="2">
                  <c:v>7.2038929157723794</c:v>
                </c:pt>
                <c:pt idx="3">
                  <c:v>7.1256573211721115</c:v>
                </c:pt>
                <c:pt idx="4">
                  <c:v>7.0454133571668383</c:v>
                </c:pt>
                <c:pt idx="5">
                  <c:v>6.9935279247543489</c:v>
                </c:pt>
                <c:pt idx="6">
                  <c:v>6.9431365050278417</c:v>
                </c:pt>
                <c:pt idx="7">
                  <c:v>6.888305525405098</c:v>
                </c:pt>
                <c:pt idx="8">
                  <c:v>6.8335743437250729</c:v>
                </c:pt>
                <c:pt idx="9">
                  <c:v>6.7888869699279129</c:v>
                </c:pt>
                <c:pt idx="10">
                  <c:v>6.7570590910775694</c:v>
                </c:pt>
                <c:pt idx="11">
                  <c:v>6.7232793120573922</c:v>
                </c:pt>
                <c:pt idx="12">
                  <c:v>6.7039806480421973</c:v>
                </c:pt>
                <c:pt idx="13">
                  <c:v>6.6954083480380406</c:v>
                </c:pt>
                <c:pt idx="14">
                  <c:v>6.6948129861838579</c:v>
                </c:pt>
                <c:pt idx="15">
                  <c:v>6.7083680602670981</c:v>
                </c:pt>
              </c:numCache>
            </c:numRef>
          </c:val>
          <c:smooth val="0"/>
          <c:extLst>
            <c:ext xmlns:c16="http://schemas.microsoft.com/office/drawing/2014/chart" uri="{C3380CC4-5D6E-409C-BE32-E72D297353CC}">
              <c16:uniqueId val="{00000004-2575-41A0-9BE9-9E30CB79C93C}"/>
            </c:ext>
          </c:extLst>
        </c:ser>
        <c:dLbls>
          <c:showLegendKey val="0"/>
          <c:showVal val="0"/>
          <c:showCatName val="0"/>
          <c:showSerName val="0"/>
          <c:showPercent val="0"/>
          <c:showBubbleSize val="0"/>
        </c:dLbls>
        <c:marker val="1"/>
        <c:smooth val="0"/>
        <c:axId val="746199584"/>
        <c:axId val="746199976"/>
      </c:lineChart>
      <c:catAx>
        <c:axId val="746199584"/>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199976"/>
        <c:crosses val="autoZero"/>
        <c:auto val="1"/>
        <c:lblAlgn val="ctr"/>
        <c:lblOffset val="100"/>
        <c:noMultiLvlLbl val="0"/>
      </c:catAx>
      <c:valAx>
        <c:axId val="746199976"/>
        <c:scaling>
          <c:orientation val="minMax"/>
          <c:max val="9"/>
          <c:min val="6"/>
        </c:scaling>
        <c:delete val="0"/>
        <c:axPos val="l"/>
        <c:numFmt formatCode="General" sourceLinked="1"/>
        <c:majorTickMark val="out"/>
        <c:minorTickMark val="none"/>
        <c:tickLblPos val="nextTo"/>
        <c:crossAx val="746199584"/>
        <c:crosses val="autoZero"/>
        <c:crossBetween val="between"/>
        <c:majorUnit val="1"/>
      </c:valAx>
      <c:spPr>
        <a:solidFill>
          <a:srgbClr val="FFFFFF"/>
        </a:solidFill>
      </c:spPr>
    </c:plotArea>
    <c:legend>
      <c:legendPos val="l"/>
      <c:legendEntry>
        <c:idx val="0"/>
        <c:delete val="1"/>
      </c:legendEntry>
      <c:layout>
        <c:manualLayout>
          <c:xMode val="edge"/>
          <c:yMode val="edge"/>
          <c:x val="0.52031503185575345"/>
          <c:y val="0.10649059251360671"/>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935461834393983E-2"/>
          <c:y val="4.7032080353913347E-2"/>
          <c:w val="0.84342609571063887"/>
          <c:h val="0.82658082445576653"/>
        </c:manualLayout>
      </c:layout>
      <c:barChart>
        <c:barDir val="col"/>
        <c:grouping val="clustered"/>
        <c:varyColors val="0"/>
        <c:ser>
          <c:idx val="2"/>
          <c:order val="0"/>
          <c:tx>
            <c:strRef>
              <c:f>Sheet1!$B$1</c:f>
              <c:strCache>
                <c:ptCount val="1"/>
                <c:pt idx="0">
                  <c:v>Kopā</c:v>
                </c:pt>
              </c:strCache>
            </c:strRef>
          </c:tx>
          <c:invertIfNegative val="0"/>
          <c:cat>
            <c:numRef>
              <c:f>Sheet1!$A$2:$A$196</c:f>
              <c:numCache>
                <c:formatCode>General</c:formatCode>
                <c:ptCount val="123"/>
                <c:pt idx="0" formatCode="0">
                  <c:v>2016</c:v>
                </c:pt>
                <c:pt idx="12" formatCode="0">
                  <c:v>2017</c:v>
                </c:pt>
                <c:pt idx="24" formatCode="0">
                  <c:v>2018</c:v>
                </c:pt>
                <c:pt idx="36" formatCode="0">
                  <c:v>2019</c:v>
                </c:pt>
                <c:pt idx="48" formatCode="0">
                  <c:v>2020</c:v>
                </c:pt>
                <c:pt idx="60" formatCode="0">
                  <c:v>2021</c:v>
                </c:pt>
                <c:pt idx="72" formatCode="0">
                  <c:v>2022</c:v>
                </c:pt>
                <c:pt idx="84" formatCode="0">
                  <c:v>2023</c:v>
                </c:pt>
                <c:pt idx="96" formatCode="0">
                  <c:v>2024</c:v>
                </c:pt>
                <c:pt idx="108" formatCode="0">
                  <c:v>2025</c:v>
                </c:pt>
                <c:pt idx="120" formatCode="0">
                  <c:v>2026</c:v>
                </c:pt>
              </c:numCache>
            </c:numRef>
          </c:cat>
          <c:val>
            <c:numRef>
              <c:f>Sheet1!$B$2:$B$196</c:f>
              <c:numCache>
                <c:formatCode>0.0</c:formatCode>
                <c:ptCount val="123"/>
                <c:pt idx="0" formatCode="0">
                  <c:v>85.5</c:v>
                </c:pt>
                <c:pt idx="1">
                  <c:v>86.6</c:v>
                </c:pt>
                <c:pt idx="2" formatCode="0">
                  <c:v>85.4</c:v>
                </c:pt>
                <c:pt idx="3" formatCode="0">
                  <c:v>82.3</c:v>
                </c:pt>
                <c:pt idx="4" formatCode="0">
                  <c:v>79.099999999999994</c:v>
                </c:pt>
                <c:pt idx="5" formatCode="0">
                  <c:v>78.2</c:v>
                </c:pt>
                <c:pt idx="6" formatCode="0">
                  <c:v>77.400000000000006</c:v>
                </c:pt>
                <c:pt idx="7" formatCode="0">
                  <c:v>75.7</c:v>
                </c:pt>
                <c:pt idx="8" formatCode="0">
                  <c:v>74.356999999999999</c:v>
                </c:pt>
                <c:pt idx="9" formatCode="0">
                  <c:v>74.052999999999997</c:v>
                </c:pt>
                <c:pt idx="10" formatCode="0">
                  <c:v>75.347999999999999</c:v>
                </c:pt>
                <c:pt idx="11" formatCode="0">
                  <c:v>78.356999999999999</c:v>
                </c:pt>
                <c:pt idx="12" formatCode="0">
                  <c:v>80.016000000000005</c:v>
                </c:pt>
                <c:pt idx="13" formatCode="0">
                  <c:v>79.152000000000001</c:v>
                </c:pt>
                <c:pt idx="14" formatCode="0">
                  <c:v>76.430999999999997</c:v>
                </c:pt>
                <c:pt idx="15" formatCode="0">
                  <c:v>71.704999999999998</c:v>
                </c:pt>
                <c:pt idx="16" formatCode="0">
                  <c:v>68.438999999999993</c:v>
                </c:pt>
                <c:pt idx="17" formatCode="0">
                  <c:v>66.707999999999998</c:v>
                </c:pt>
                <c:pt idx="18" formatCode="0">
                  <c:v>65.554000000000002</c:v>
                </c:pt>
                <c:pt idx="19" formatCode="0">
                  <c:v>63.716999999999999</c:v>
                </c:pt>
                <c:pt idx="20" formatCode="0">
                  <c:v>61.460999999999999</c:v>
                </c:pt>
                <c:pt idx="21" formatCode="0">
                  <c:v>61.014000000000003</c:v>
                </c:pt>
                <c:pt idx="22" formatCode="0">
                  <c:v>61.537999999999997</c:v>
                </c:pt>
                <c:pt idx="23" formatCode="0">
                  <c:v>63.121000000000002</c:v>
                </c:pt>
                <c:pt idx="24" formatCode="0">
                  <c:v>65.135999999999996</c:v>
                </c:pt>
                <c:pt idx="25" formatCode="0">
                  <c:v>65.281999999999996</c:v>
                </c:pt>
                <c:pt idx="26" formatCode="0">
                  <c:v>64.631</c:v>
                </c:pt>
                <c:pt idx="27" formatCode="0">
                  <c:v>61.881999999999998</c:v>
                </c:pt>
                <c:pt idx="28" formatCode="0">
                  <c:v>59.548000000000002</c:v>
                </c:pt>
                <c:pt idx="29" formatCode="0">
                  <c:v>59.119</c:v>
                </c:pt>
                <c:pt idx="30" formatCode="0">
                  <c:v>58.887999999999998</c:v>
                </c:pt>
                <c:pt idx="31" formatCode="0">
                  <c:v>58.051000000000002</c:v>
                </c:pt>
                <c:pt idx="32" formatCode="0">
                  <c:v>56.734000000000002</c:v>
                </c:pt>
                <c:pt idx="33" formatCode="0">
                  <c:v>56.725999999999999</c:v>
                </c:pt>
                <c:pt idx="34" formatCode="0">
                  <c:v>57.454999999999998</c:v>
                </c:pt>
                <c:pt idx="35" formatCode="0">
                  <c:v>59.588000000000001</c:v>
                </c:pt>
                <c:pt idx="36" formatCode="0">
                  <c:v>61.951000000000001</c:v>
                </c:pt>
                <c:pt idx="37" formatCode="0">
                  <c:v>62.476999999999997</c:v>
                </c:pt>
                <c:pt idx="38" formatCode="0">
                  <c:v>61.244</c:v>
                </c:pt>
                <c:pt idx="39" formatCode="0">
                  <c:v>58.188000000000002</c:v>
                </c:pt>
                <c:pt idx="40" formatCode="0">
                  <c:v>56.104999999999997</c:v>
                </c:pt>
                <c:pt idx="41" formatCode="0">
                  <c:v>55.75</c:v>
                </c:pt>
                <c:pt idx="42" formatCode="0">
                  <c:v>55.372999999999998</c:v>
                </c:pt>
                <c:pt idx="43" formatCode="0">
                  <c:v>54.39</c:v>
                </c:pt>
                <c:pt idx="44" formatCode="0">
                  <c:v>52.594999999999999</c:v>
                </c:pt>
                <c:pt idx="45" formatCode="0">
                  <c:v>52.651000000000003</c:v>
                </c:pt>
                <c:pt idx="46" formatCode="0">
                  <c:v>53.783000000000001</c:v>
                </c:pt>
                <c:pt idx="47" formatCode="0">
                  <c:v>57.808</c:v>
                </c:pt>
                <c:pt idx="48" formatCode="0">
                  <c:v>58.832000000000001</c:v>
                </c:pt>
                <c:pt idx="49" formatCode="0">
                  <c:v>58.247</c:v>
                </c:pt>
                <c:pt idx="50" formatCode="0">
                  <c:v>61.926000000000002</c:v>
                </c:pt>
                <c:pt idx="51" formatCode="0">
                  <c:v>72.917000000000002</c:v>
                </c:pt>
                <c:pt idx="52" formatCode="0">
                  <c:v>76.44</c:v>
                </c:pt>
                <c:pt idx="53" formatCode="0">
                  <c:v>78.266000000000005</c:v>
                </c:pt>
                <c:pt idx="54" formatCode="0">
                  <c:v>77.998000000000005</c:v>
                </c:pt>
                <c:pt idx="55" formatCode="0">
                  <c:v>75.013000000000005</c:v>
                </c:pt>
                <c:pt idx="56" formatCode="0">
                  <c:v>70.305999999999997</c:v>
                </c:pt>
                <c:pt idx="57" formatCode="0">
                  <c:v>67.123999999999995</c:v>
                </c:pt>
                <c:pt idx="58" formatCode="0">
                  <c:v>67.518000000000001</c:v>
                </c:pt>
                <c:pt idx="59" formatCode="0">
                  <c:v>69.605000000000004</c:v>
                </c:pt>
                <c:pt idx="60" formatCode="0">
                  <c:v>72.611999999999995</c:v>
                </c:pt>
                <c:pt idx="61" formatCode="0">
                  <c:v>74.494</c:v>
                </c:pt>
                <c:pt idx="62" formatCode="0">
                  <c:v>74.231999999999999</c:v>
                </c:pt>
                <c:pt idx="63" formatCode="0">
                  <c:v>71.376000000000005</c:v>
                </c:pt>
                <c:pt idx="64" formatCode="0">
                  <c:v>68.765000000000001</c:v>
                </c:pt>
                <c:pt idx="65" formatCode="0">
                  <c:v>67.307000000000002</c:v>
                </c:pt>
                <c:pt idx="66" formatCode="0">
                  <c:v>64.391999999999996</c:v>
                </c:pt>
                <c:pt idx="67" formatCode="0">
                  <c:v>59.04</c:v>
                </c:pt>
                <c:pt idx="68" formatCode="0">
                  <c:v>54.524000000000001</c:v>
                </c:pt>
                <c:pt idx="69" formatCode="0">
                  <c:v>54.042000000000002</c:v>
                </c:pt>
                <c:pt idx="70" formatCode="0">
                  <c:v>57.536000000000001</c:v>
                </c:pt>
                <c:pt idx="71" formatCode="0">
                  <c:v>60.774000000000001</c:v>
                </c:pt>
                <c:pt idx="72" formatCode="0">
                  <c:v>62.27</c:v>
                </c:pt>
                <c:pt idx="73" formatCode="0">
                  <c:v>61.813000000000002</c:v>
                </c:pt>
                <c:pt idx="74" formatCode="0">
                  <c:v>60.198999999999998</c:v>
                </c:pt>
                <c:pt idx="75" formatCode="0">
                  <c:v>57.222999999999999</c:v>
                </c:pt>
                <c:pt idx="76" formatCode="0">
                  <c:v>53.825000000000003</c:v>
                </c:pt>
                <c:pt idx="77" formatCode="0">
                  <c:v>52.256999999999998</c:v>
                </c:pt>
                <c:pt idx="78" formatCode="0">
                  <c:v>52.765999999999998</c:v>
                </c:pt>
                <c:pt idx="79" formatCode="0">
                  <c:v>51.527000000000001</c:v>
                </c:pt>
                <c:pt idx="80" formatCode="0">
                  <c:v>50.194000000000003</c:v>
                </c:pt>
                <c:pt idx="81" formatCode="0">
                  <c:v>50.277999999999999</c:v>
                </c:pt>
                <c:pt idx="82" formatCode="0">
                  <c:v>51.606000000000002</c:v>
                </c:pt>
                <c:pt idx="83" formatCode="0">
                  <c:v>53.536000000000001</c:v>
                </c:pt>
                <c:pt idx="84">
                  <c:v>55.284999999999997</c:v>
                </c:pt>
                <c:pt idx="85">
                  <c:v>55.707000000000001</c:v>
                </c:pt>
                <c:pt idx="86">
                  <c:v>53.837000000000003</c:v>
                </c:pt>
                <c:pt idx="87">
                  <c:v>50.808</c:v>
                </c:pt>
                <c:pt idx="88">
                  <c:v>48.85</c:v>
                </c:pt>
                <c:pt idx="89">
                  <c:v>49.238999999999997</c:v>
                </c:pt>
                <c:pt idx="90">
                  <c:v>49.962000000000003</c:v>
                </c:pt>
                <c:pt idx="91">
                  <c:v>49.094999999999999</c:v>
                </c:pt>
                <c:pt idx="92">
                  <c:v>47.414999999999999</c:v>
                </c:pt>
                <c:pt idx="93">
                  <c:v>47.082999999999998</c:v>
                </c:pt>
                <c:pt idx="94">
                  <c:v>48.183999999999997</c:v>
                </c:pt>
                <c:pt idx="95">
                  <c:v>50.344000000000001</c:v>
                </c:pt>
                <c:pt idx="96">
                  <c:v>51.197000000000003</c:v>
                </c:pt>
                <c:pt idx="97">
                  <c:v>51.991</c:v>
                </c:pt>
                <c:pt idx="98">
                  <c:v>50.738</c:v>
                </c:pt>
                <c:pt idx="99">
                  <c:v>47.857999999999997</c:v>
                </c:pt>
                <c:pt idx="100">
                  <c:v>45.432000000000002</c:v>
                </c:pt>
                <c:pt idx="101">
                  <c:v>45.061999999999998</c:v>
                </c:pt>
                <c:pt idx="102">
                  <c:v>46.093000000000004</c:v>
                </c:pt>
                <c:pt idx="103">
                  <c:v>46.77</c:v>
                </c:pt>
                <c:pt idx="104">
                  <c:v>44.482999999999997</c:v>
                </c:pt>
                <c:pt idx="105">
                  <c:v>44.889000000000003</c:v>
                </c:pt>
                <c:pt idx="106">
                  <c:v>45.182000000000002</c:v>
                </c:pt>
                <c:pt idx="107">
                  <c:v>46.552999999999997</c:v>
                </c:pt>
                <c:pt idx="108">
                  <c:v>48.826999999999998</c:v>
                </c:pt>
                <c:pt idx="109">
                  <c:v>49.889000000000003</c:v>
                </c:pt>
                <c:pt idx="110">
                  <c:v>47.896999999999998</c:v>
                </c:pt>
                <c:pt idx="111">
                  <c:v>44.860999999999997</c:v>
                </c:pt>
                <c:pt idx="112">
                  <c:v>43.110999999999997</c:v>
                </c:pt>
                <c:pt idx="113">
                  <c:v>43.414000000000001</c:v>
                </c:pt>
                <c:pt idx="114">
                  <c:v>43.893999999999998</c:v>
                </c:pt>
                <c:pt idx="115">
                  <c:v>43.011000000000003</c:v>
                </c:pt>
                <c:pt idx="116">
                  <c:v>41.107999999999997</c:v>
                </c:pt>
                <c:pt idx="117">
                  <c:v>40.853999999999999</c:v>
                </c:pt>
                <c:pt idx="118">
                  <c:v>41.670999999999999</c:v>
                </c:pt>
                <c:pt idx="119">
                  <c:v>43.671999999999997</c:v>
                </c:pt>
                <c:pt idx="120">
                  <c:v>45.728999999999999</c:v>
                </c:pt>
                <c:pt idx="121">
                  <c:v>45.761000000000003</c:v>
                </c:pt>
                <c:pt idx="122">
                  <c:v>43.908999999999999</c:v>
                </c:pt>
              </c:numCache>
            </c:numRef>
          </c:val>
          <c:extLst>
            <c:ext xmlns:c16="http://schemas.microsoft.com/office/drawing/2014/chart" uri="{C3380CC4-5D6E-409C-BE32-E72D297353CC}">
              <c16:uniqueId val="{00000000-5E4D-4345-AA13-81123C897456}"/>
            </c:ext>
          </c:extLst>
        </c:ser>
        <c:ser>
          <c:idx val="3"/>
          <c:order val="1"/>
          <c:tx>
            <c:strRef>
              <c:f>Sheet1!$C$1</c:f>
              <c:strCache>
                <c:ptCount val="1"/>
                <c:pt idx="0">
                  <c:v>Ilgstošie bezdarbnieki</c:v>
                </c:pt>
              </c:strCache>
            </c:strRef>
          </c:tx>
          <c:invertIfNegative val="0"/>
          <c:cat>
            <c:numRef>
              <c:f>Sheet1!$A$2:$A$196</c:f>
              <c:numCache>
                <c:formatCode>General</c:formatCode>
                <c:ptCount val="123"/>
                <c:pt idx="0" formatCode="0">
                  <c:v>2016</c:v>
                </c:pt>
                <c:pt idx="12" formatCode="0">
                  <c:v>2017</c:v>
                </c:pt>
                <c:pt idx="24" formatCode="0">
                  <c:v>2018</c:v>
                </c:pt>
                <c:pt idx="36" formatCode="0">
                  <c:v>2019</c:v>
                </c:pt>
                <c:pt idx="48" formatCode="0">
                  <c:v>2020</c:v>
                </c:pt>
                <c:pt idx="60" formatCode="0">
                  <c:v>2021</c:v>
                </c:pt>
                <c:pt idx="72" formatCode="0">
                  <c:v>2022</c:v>
                </c:pt>
                <c:pt idx="84" formatCode="0">
                  <c:v>2023</c:v>
                </c:pt>
                <c:pt idx="96" formatCode="0">
                  <c:v>2024</c:v>
                </c:pt>
                <c:pt idx="108" formatCode="0">
                  <c:v>2025</c:v>
                </c:pt>
                <c:pt idx="120" formatCode="0">
                  <c:v>2026</c:v>
                </c:pt>
              </c:numCache>
            </c:numRef>
          </c:cat>
          <c:val>
            <c:numRef>
              <c:f>Sheet1!$C$2:$C$196</c:f>
              <c:numCache>
                <c:formatCode>0</c:formatCode>
                <c:ptCount val="123"/>
                <c:pt idx="0">
                  <c:v>24.893000000000001</c:v>
                </c:pt>
                <c:pt idx="1">
                  <c:v>25.123999999999999</c:v>
                </c:pt>
                <c:pt idx="2">
                  <c:v>25.228000000000002</c:v>
                </c:pt>
                <c:pt idx="3">
                  <c:v>24.289000000000001</c:v>
                </c:pt>
                <c:pt idx="4">
                  <c:v>24.289000000000001</c:v>
                </c:pt>
                <c:pt idx="5">
                  <c:v>23.834</c:v>
                </c:pt>
                <c:pt idx="6">
                  <c:v>22.872448607758933</c:v>
                </c:pt>
                <c:pt idx="7">
                  <c:v>22.241898416227301</c:v>
                </c:pt>
                <c:pt idx="8">
                  <c:v>21.721393414702771</c:v>
                </c:pt>
                <c:pt idx="9">
                  <c:v>21.507193144670968</c:v>
                </c:pt>
                <c:pt idx="10">
                  <c:v>21.755711947848827</c:v>
                </c:pt>
                <c:pt idx="11">
                  <c:v>22.45</c:v>
                </c:pt>
                <c:pt idx="12">
                  <c:v>22.602</c:v>
                </c:pt>
                <c:pt idx="13">
                  <c:v>22.451978107279253</c:v>
                </c:pt>
                <c:pt idx="14">
                  <c:v>22.065000000000001</c:v>
                </c:pt>
                <c:pt idx="15">
                  <c:v>21.731999999999999</c:v>
                </c:pt>
                <c:pt idx="16">
                  <c:v>21.138999999999999</c:v>
                </c:pt>
                <c:pt idx="17">
                  <c:v>20.381</c:v>
                </c:pt>
                <c:pt idx="18">
                  <c:v>19.759</c:v>
                </c:pt>
                <c:pt idx="19">
                  <c:v>19.251000000000001</c:v>
                </c:pt>
                <c:pt idx="20">
                  <c:v>18.89</c:v>
                </c:pt>
                <c:pt idx="21">
                  <c:v>18.498999999999999</c:v>
                </c:pt>
                <c:pt idx="22">
                  <c:v>18.268000000000001</c:v>
                </c:pt>
                <c:pt idx="23">
                  <c:v>18.135999999999999</c:v>
                </c:pt>
                <c:pt idx="24">
                  <c:v>18.241</c:v>
                </c:pt>
                <c:pt idx="25">
                  <c:v>18.036000000000001</c:v>
                </c:pt>
                <c:pt idx="26">
                  <c:v>18.029</c:v>
                </c:pt>
                <c:pt idx="27">
                  <c:v>17.603999999999999</c:v>
                </c:pt>
                <c:pt idx="28">
                  <c:v>16.882999999999999</c:v>
                </c:pt>
                <c:pt idx="29">
                  <c:v>16.125</c:v>
                </c:pt>
                <c:pt idx="30">
                  <c:v>15.606</c:v>
                </c:pt>
                <c:pt idx="31">
                  <c:v>15.257</c:v>
                </c:pt>
                <c:pt idx="32">
                  <c:v>15.115</c:v>
                </c:pt>
                <c:pt idx="33">
                  <c:v>14.917999999999999</c:v>
                </c:pt>
                <c:pt idx="34">
                  <c:v>14.888</c:v>
                </c:pt>
                <c:pt idx="35">
                  <c:v>14.944000000000001</c:v>
                </c:pt>
                <c:pt idx="36">
                  <c:v>15.226000000000001</c:v>
                </c:pt>
                <c:pt idx="37">
                  <c:v>15.226000000000001</c:v>
                </c:pt>
                <c:pt idx="38">
                  <c:v>15.315</c:v>
                </c:pt>
                <c:pt idx="39">
                  <c:v>15.026999999999999</c:v>
                </c:pt>
                <c:pt idx="40">
                  <c:v>14.638999999999999</c:v>
                </c:pt>
                <c:pt idx="41">
                  <c:v>14.087999999999999</c:v>
                </c:pt>
                <c:pt idx="42">
                  <c:v>13.45</c:v>
                </c:pt>
                <c:pt idx="43">
                  <c:v>13.019</c:v>
                </c:pt>
                <c:pt idx="44">
                  <c:v>12.663</c:v>
                </c:pt>
                <c:pt idx="45">
                  <c:v>12.35</c:v>
                </c:pt>
                <c:pt idx="46">
                  <c:v>12.273999999999999</c:v>
                </c:pt>
                <c:pt idx="47">
                  <c:v>12.117000000000001</c:v>
                </c:pt>
                <c:pt idx="48">
                  <c:v>12.27</c:v>
                </c:pt>
                <c:pt idx="49">
                  <c:v>12.259</c:v>
                </c:pt>
                <c:pt idx="50">
                  <c:v>12.260999999999999</c:v>
                </c:pt>
                <c:pt idx="51">
                  <c:v>12.509</c:v>
                </c:pt>
                <c:pt idx="52">
                  <c:v>13.162000000000001</c:v>
                </c:pt>
                <c:pt idx="53">
                  <c:v>13.95</c:v>
                </c:pt>
                <c:pt idx="54">
                  <c:v>14.888</c:v>
                </c:pt>
                <c:pt idx="55">
                  <c:v>15.222</c:v>
                </c:pt>
                <c:pt idx="56">
                  <c:v>15.5</c:v>
                </c:pt>
                <c:pt idx="57">
                  <c:v>15.589</c:v>
                </c:pt>
                <c:pt idx="58">
                  <c:v>16.04</c:v>
                </c:pt>
                <c:pt idx="59">
                  <c:v>17.271000000000001</c:v>
                </c:pt>
                <c:pt idx="60">
                  <c:v>17.988</c:v>
                </c:pt>
                <c:pt idx="61">
                  <c:v>18.584</c:v>
                </c:pt>
                <c:pt idx="62">
                  <c:v>19.52</c:v>
                </c:pt>
                <c:pt idx="63">
                  <c:v>21.181000000000001</c:v>
                </c:pt>
                <c:pt idx="64">
                  <c:v>21.393999999999998</c:v>
                </c:pt>
                <c:pt idx="65">
                  <c:v>21.419</c:v>
                </c:pt>
                <c:pt idx="66">
                  <c:v>20.263000000000002</c:v>
                </c:pt>
                <c:pt idx="67">
                  <c:v>17.995999999999999</c:v>
                </c:pt>
                <c:pt idx="68">
                  <c:v>16.151</c:v>
                </c:pt>
                <c:pt idx="69">
                  <c:v>15.106</c:v>
                </c:pt>
                <c:pt idx="70">
                  <c:v>15.023</c:v>
                </c:pt>
                <c:pt idx="71">
                  <c:v>14.824</c:v>
                </c:pt>
                <c:pt idx="72">
                  <c:v>14.89</c:v>
                </c:pt>
                <c:pt idx="73">
                  <c:v>14.808999999999999</c:v>
                </c:pt>
                <c:pt idx="74">
                  <c:v>14.388</c:v>
                </c:pt>
                <c:pt idx="75">
                  <c:v>13.696999999999999</c:v>
                </c:pt>
                <c:pt idx="76">
                  <c:v>12.641</c:v>
                </c:pt>
                <c:pt idx="77">
                  <c:v>11.79</c:v>
                </c:pt>
                <c:pt idx="78">
                  <c:v>11.429</c:v>
                </c:pt>
                <c:pt idx="79">
                  <c:v>10.968999999999999</c:v>
                </c:pt>
                <c:pt idx="80">
                  <c:v>10.683999999999999</c:v>
                </c:pt>
                <c:pt idx="81">
                  <c:v>10.506</c:v>
                </c:pt>
                <c:pt idx="82">
                  <c:v>10.452999999999999</c:v>
                </c:pt>
                <c:pt idx="83">
                  <c:v>10.266999999999999</c:v>
                </c:pt>
                <c:pt idx="84" formatCode="0.0">
                  <c:v>10.132999999999999</c:v>
                </c:pt>
                <c:pt idx="85" formatCode="0.0">
                  <c:v>9.8849999999999998</c:v>
                </c:pt>
                <c:pt idx="86" formatCode="0.0">
                  <c:v>9.6240000000000006</c:v>
                </c:pt>
                <c:pt idx="87" formatCode="0.0">
                  <c:v>9.4740000000000002</c:v>
                </c:pt>
                <c:pt idx="88" formatCode="0.0">
                  <c:v>9.1319999999999997</c:v>
                </c:pt>
                <c:pt idx="89" formatCode="0.0">
                  <c:v>8.7110000000000003</c:v>
                </c:pt>
                <c:pt idx="90" formatCode="0.0">
                  <c:v>8.6470000000000002</c:v>
                </c:pt>
                <c:pt idx="91" formatCode="0.0">
                  <c:v>8.5630000000000006</c:v>
                </c:pt>
                <c:pt idx="92" formatCode="0.0">
                  <c:v>8.3989999999999991</c:v>
                </c:pt>
                <c:pt idx="93" formatCode="0.0">
                  <c:v>8.1839999999999993</c:v>
                </c:pt>
                <c:pt idx="94" formatCode="0.0">
                  <c:v>8.1219999999999999</c:v>
                </c:pt>
                <c:pt idx="95" formatCode="0.0">
                  <c:v>8.0259999999999998</c:v>
                </c:pt>
                <c:pt idx="96" formatCode="0.0">
                  <c:v>8.0739999999999998</c:v>
                </c:pt>
                <c:pt idx="97" formatCode="0.0">
                  <c:v>7.9829999999999997</c:v>
                </c:pt>
                <c:pt idx="98" formatCode="0.0">
                  <c:v>7.9580000000000002</c:v>
                </c:pt>
                <c:pt idx="99" formatCode="0.0">
                  <c:v>7.7279999999999998</c:v>
                </c:pt>
                <c:pt idx="100" formatCode="0.0">
                  <c:v>7.4619999999999997</c:v>
                </c:pt>
                <c:pt idx="101" formatCode="0.0">
                  <c:v>7.3460000000000001</c:v>
                </c:pt>
                <c:pt idx="102" formatCode="0.0">
                  <c:v>7.1890000000000001</c:v>
                </c:pt>
                <c:pt idx="103" formatCode="0.0">
                  <c:v>7.14</c:v>
                </c:pt>
                <c:pt idx="104" formatCode="0.0">
                  <c:v>7.0860000000000003</c:v>
                </c:pt>
                <c:pt idx="105" formatCode="0.0">
                  <c:v>7.0490000000000004</c:v>
                </c:pt>
                <c:pt idx="106" formatCode="0.0">
                  <c:v>7.0629999999999997</c:v>
                </c:pt>
                <c:pt idx="107" formatCode="0.0">
                  <c:v>7.1020000000000003</c:v>
                </c:pt>
                <c:pt idx="108" formatCode="0.0">
                  <c:v>7.2560000000000002</c:v>
                </c:pt>
                <c:pt idx="109" formatCode="0.0">
                  <c:v>7.3979999999999997</c:v>
                </c:pt>
                <c:pt idx="110" formatCode="0.0">
                  <c:v>7.4009999999999998</c:v>
                </c:pt>
                <c:pt idx="111" formatCode="0.0">
                  <c:v>7.351</c:v>
                </c:pt>
                <c:pt idx="112" formatCode="0.0">
                  <c:v>7.149</c:v>
                </c:pt>
                <c:pt idx="113" formatCode="0.0">
                  <c:v>6.9939999999999998</c:v>
                </c:pt>
                <c:pt idx="114" formatCode="0.0">
                  <c:v>6.907</c:v>
                </c:pt>
                <c:pt idx="115" formatCode="0.0">
                  <c:v>6.8810000000000002</c:v>
                </c:pt>
                <c:pt idx="116" formatCode="0.0">
                  <c:v>6.742</c:v>
                </c:pt>
                <c:pt idx="117" formatCode="0.0">
                  <c:v>6.7770000000000001</c:v>
                </c:pt>
                <c:pt idx="118" formatCode="0.0">
                  <c:v>6.734</c:v>
                </c:pt>
                <c:pt idx="119" formatCode="0.0">
                  <c:v>6.6509999999999998</c:v>
                </c:pt>
                <c:pt idx="120" formatCode="0.0">
                  <c:v>6.8070000000000004</c:v>
                </c:pt>
                <c:pt idx="121" formatCode="0.0">
                  <c:v>6.81</c:v>
                </c:pt>
                <c:pt idx="122" formatCode="0.0">
                  <c:v>6.7690000000000001</c:v>
                </c:pt>
              </c:numCache>
            </c:numRef>
          </c:val>
          <c:extLst>
            <c:ext xmlns:c16="http://schemas.microsoft.com/office/drawing/2014/chart" uri="{C3380CC4-5D6E-409C-BE32-E72D297353CC}">
              <c16:uniqueId val="{00000001-5E4D-4345-AA13-81123C897456}"/>
            </c:ext>
          </c:extLst>
        </c:ser>
        <c:dLbls>
          <c:showLegendKey val="0"/>
          <c:showVal val="0"/>
          <c:showCatName val="0"/>
          <c:showSerName val="0"/>
          <c:showPercent val="0"/>
          <c:showBubbleSize val="0"/>
        </c:dLbls>
        <c:gapWidth val="0"/>
        <c:overlap val="100"/>
        <c:axId val="742153008"/>
        <c:axId val="742150264"/>
      </c:barChart>
      <c:catAx>
        <c:axId val="742153008"/>
        <c:scaling>
          <c:orientation val="minMax"/>
        </c:scaling>
        <c:delete val="0"/>
        <c:axPos val="b"/>
        <c:numFmt formatCode="0" sourceLinked="1"/>
        <c:majorTickMark val="out"/>
        <c:minorTickMark val="none"/>
        <c:tickLblPos val="low"/>
        <c:txPr>
          <a:bodyPr rot="0" vert="horz"/>
          <a:lstStyle/>
          <a:p>
            <a:pPr>
              <a:defRPr/>
            </a:pPr>
            <a:endParaRPr lang="en-US"/>
          </a:p>
        </c:txPr>
        <c:crossAx val="742150264"/>
        <c:crosses val="autoZero"/>
        <c:auto val="0"/>
        <c:lblAlgn val="ctr"/>
        <c:lblOffset val="100"/>
        <c:tickLblSkip val="12"/>
        <c:tickMarkSkip val="12"/>
        <c:noMultiLvlLbl val="1"/>
      </c:catAx>
      <c:valAx>
        <c:axId val="742150264"/>
        <c:scaling>
          <c:orientation val="minMax"/>
          <c:max val="100"/>
          <c:min val="0"/>
        </c:scaling>
        <c:delete val="0"/>
        <c:axPos val="l"/>
        <c:numFmt formatCode="0" sourceLinked="0"/>
        <c:majorTickMark val="out"/>
        <c:minorTickMark val="none"/>
        <c:tickLblPos val="nextTo"/>
        <c:spPr>
          <a:ln w="3175">
            <a:noFill/>
          </a:ln>
        </c:spPr>
        <c:txPr>
          <a:bodyPr rot="0" vert="horz"/>
          <a:lstStyle/>
          <a:p>
            <a:pPr>
              <a:defRPr/>
            </a:pPr>
            <a:endParaRPr lang="en-US"/>
          </a:p>
        </c:txPr>
        <c:crossAx val="742153008"/>
        <c:crosses val="autoZero"/>
        <c:crossBetween val="between"/>
        <c:majorUnit val="20"/>
      </c:valAx>
      <c:spPr>
        <a:noFill/>
        <a:ln w="24631">
          <a:noFill/>
        </a:ln>
      </c:spPr>
    </c:plotArea>
    <c:legend>
      <c:legendPos val="l"/>
      <c:legendEntry>
        <c:idx val="1"/>
        <c:txPr>
          <a:bodyPr/>
          <a:lstStyle/>
          <a:p>
            <a:pPr>
              <a:defRPr>
                <a:solidFill>
                  <a:schemeClr val="bg1"/>
                </a:solidFill>
              </a:defRPr>
            </a:pPr>
            <a:endParaRPr lang="en-US"/>
          </a:p>
        </c:txPr>
      </c:legendEntry>
      <c:layout>
        <c:manualLayout>
          <c:xMode val="edge"/>
          <c:yMode val="edge"/>
          <c:x val="8.0338785776777902E-2"/>
          <c:y val="0.51733817175829866"/>
          <c:w val="0.42462660917385325"/>
          <c:h val="0.3940983948120047"/>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en-US"/>
    </a:p>
  </c:txPr>
  <c:externalData r:id="rId2">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B3B5-42C5-A685-27E8F1D46196}"/>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B3B5-42C5-A685-27E8F1D46196}"/>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97.384043642451132</c:v>
                </c:pt>
                <c:pt idx="1">
                  <c:v>105.70984700664638</c:v>
                </c:pt>
              </c:numCache>
            </c:numRef>
          </c:val>
          <c:extLst>
            <c:ext xmlns:c16="http://schemas.microsoft.com/office/drawing/2014/chart" uri="{C3380CC4-5D6E-409C-BE32-E72D297353CC}">
              <c16:uniqueId val="{00000003-B3B5-42C5-A685-27E8F1D46196}"/>
            </c:ext>
          </c:extLst>
        </c:ser>
        <c:dLbls>
          <c:showLegendKey val="0"/>
          <c:showVal val="1"/>
          <c:showCatName val="0"/>
          <c:showSerName val="0"/>
          <c:showPercent val="0"/>
          <c:showBubbleSize val="0"/>
        </c:dLbls>
        <c:gapWidth val="50"/>
        <c:overlap val="88"/>
        <c:axId val="652771152"/>
        <c:axId val="652764488"/>
      </c:barChart>
      <c:catAx>
        <c:axId val="652771152"/>
        <c:scaling>
          <c:orientation val="minMax"/>
        </c:scaling>
        <c:delete val="0"/>
        <c:axPos val="b"/>
        <c:numFmt formatCode="General" sourceLinked="1"/>
        <c:majorTickMark val="out"/>
        <c:minorTickMark val="none"/>
        <c:tickLblPos val="nextTo"/>
        <c:crossAx val="652764488"/>
        <c:crosses val="autoZero"/>
        <c:auto val="0"/>
        <c:lblAlgn val="ctr"/>
        <c:lblOffset val="100"/>
        <c:tickLblSkip val="1"/>
        <c:tickMarkSkip val="1"/>
        <c:noMultiLvlLbl val="0"/>
      </c:catAx>
      <c:valAx>
        <c:axId val="652764488"/>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6527711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B9C7-49F4-B4C4-ABCCE49D7694}"/>
              </c:ext>
            </c:extLst>
          </c:dPt>
          <c:dPt>
            <c:idx val="1"/>
            <c:bubble3D val="0"/>
            <c:spPr>
              <a:solidFill>
                <a:srgbClr val="92B7C4"/>
              </a:solidFill>
              <a:ln w="3175">
                <a:noFill/>
              </a:ln>
            </c:spPr>
            <c:extLst>
              <c:ext xmlns:c16="http://schemas.microsoft.com/office/drawing/2014/chart" uri="{C3380CC4-5D6E-409C-BE32-E72D297353CC}">
                <c16:uniqueId val="{00000003-B9C7-49F4-B4C4-ABCCE49D7694}"/>
              </c:ext>
            </c:extLst>
          </c:dPt>
          <c:dLbls>
            <c:dLbl>
              <c:idx val="1"/>
              <c:delete val="1"/>
              <c:extLst>
                <c:ext xmlns:c15="http://schemas.microsoft.com/office/drawing/2012/chart" uri="{CE6537A1-D6FC-4f65-9D91-7224C49458BB}"/>
                <c:ext xmlns:c16="http://schemas.microsoft.com/office/drawing/2014/chart" uri="{C3380CC4-5D6E-409C-BE32-E72D297353CC}">
                  <c16:uniqueId val="{00000003-B9C7-49F4-B4C4-ABCCE49D7694}"/>
                </c:ext>
              </c:extLst>
            </c:dLbl>
            <c:spPr>
              <a:noFill/>
              <a:ln>
                <a:noFill/>
              </a:ln>
              <a:effectLst/>
            </c:spPr>
            <c:txPr>
              <a:bodyPr/>
              <a:lstStyle/>
              <a:p>
                <a:pPr>
                  <a:defRPr>
                    <a:solidFill>
                      <a:schemeClr val="bg1"/>
                    </a:solidFill>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7.9356835548516091</c:v>
                </c:pt>
                <c:pt idx="1">
                  <c:v>92.064316445148393</c:v>
                </c:pt>
              </c:numCache>
            </c:numRef>
          </c:val>
          <c:extLst>
            <c:ext xmlns:c16="http://schemas.microsoft.com/office/drawing/2014/chart" uri="{C3380CC4-5D6E-409C-BE32-E72D297353CC}">
              <c16:uniqueId val="{00000004-B9C7-49F4-B4C4-ABCCE49D7694}"/>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CC80-4E91-8FA0-72FE1FB35AD0}"/>
            </c:ext>
          </c:extLst>
        </c:ser>
        <c:dLbls>
          <c:showLegendKey val="0"/>
          <c:showVal val="0"/>
          <c:showCatName val="0"/>
          <c:showSerName val="0"/>
          <c:showPercent val="0"/>
          <c:showBubbleSize val="0"/>
        </c:dLbls>
        <c:gapWidth val="0"/>
        <c:axId val="746203896"/>
        <c:axId val="74620428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CC80-4E91-8FA0-72FE1FB35AD0}"/>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28.122893945125607</c:v>
                </c:pt>
                <c:pt idx="1">
                  <c:v>28.780553105815631</c:v>
                </c:pt>
                <c:pt idx="2">
                  <c:v>29.41732938525319</c:v>
                </c:pt>
                <c:pt idx="3">
                  <c:v>30.296308066486581</c:v>
                </c:pt>
                <c:pt idx="4">
                  <c:v>31.286449668108151</c:v>
                </c:pt>
                <c:pt idx="5">
                  <c:v>32.291788375485602</c:v>
                </c:pt>
                <c:pt idx="6">
                  <c:v>33.340209300308864</c:v>
                </c:pt>
                <c:pt idx="7">
                  <c:v>34.306751004449431</c:v>
                </c:pt>
                <c:pt idx="8">
                  <c:v>35.239302050427</c:v>
                </c:pt>
                <c:pt idx="9">
                  <c:v>36.207952281052783</c:v>
                </c:pt>
                <c:pt idx="10">
                  <c:v>37.05519142144361</c:v>
                </c:pt>
                <c:pt idx="11">
                  <c:v>37.917519556227141</c:v>
                </c:pt>
                <c:pt idx="12">
                  <c:v>38.760004934891782</c:v>
                </c:pt>
                <c:pt idx="13">
                  <c:v>39.602712230542252</c:v>
                </c:pt>
                <c:pt idx="14">
                  <c:v>40.425890777895901</c:v>
                </c:pt>
                <c:pt idx="15">
                  <c:v>41.211059985912023</c:v>
                </c:pt>
              </c:numCache>
            </c:numRef>
          </c:val>
          <c:smooth val="0"/>
          <c:extLst>
            <c:ext xmlns:c16="http://schemas.microsoft.com/office/drawing/2014/chart" uri="{C3380CC4-5D6E-409C-BE32-E72D297353CC}">
              <c16:uniqueId val="{00000003-CC80-4E91-8FA0-72FE1FB35AD0}"/>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28.771156253300571</c:v>
                </c:pt>
                <c:pt idx="1">
                  <c:v>29.442967999172957</c:v>
                </c:pt>
                <c:pt idx="2">
                  <c:v>30.149941497425139</c:v>
                </c:pt>
                <c:pt idx="3">
                  <c:v>30.865721233042322</c:v>
                </c:pt>
                <c:pt idx="4">
                  <c:v>31.523632176360724</c:v>
                </c:pt>
                <c:pt idx="5">
                  <c:v>32.209526053199312</c:v>
                </c:pt>
                <c:pt idx="6">
                  <c:v>32.85756902067105</c:v>
                </c:pt>
                <c:pt idx="7">
                  <c:v>33.457432432111418</c:v>
                </c:pt>
                <c:pt idx="8">
                  <c:v>34.066034492881649</c:v>
                </c:pt>
                <c:pt idx="9">
                  <c:v>34.73548024918842</c:v>
                </c:pt>
                <c:pt idx="10">
                  <c:v>35.434352555880437</c:v>
                </c:pt>
                <c:pt idx="11">
                  <c:v>36.140307581134735</c:v>
                </c:pt>
                <c:pt idx="12">
                  <c:v>36.937307991038516</c:v>
                </c:pt>
                <c:pt idx="13">
                  <c:v>37.801737031837924</c:v>
                </c:pt>
                <c:pt idx="14">
                  <c:v>38.748441551126014</c:v>
                </c:pt>
                <c:pt idx="15">
                  <c:v>39.785602037451376</c:v>
                </c:pt>
              </c:numCache>
            </c:numRef>
          </c:val>
          <c:smooth val="0"/>
          <c:extLst>
            <c:ext xmlns:c16="http://schemas.microsoft.com/office/drawing/2014/chart" uri="{C3380CC4-5D6E-409C-BE32-E72D297353CC}">
              <c16:uniqueId val="{00000004-CC80-4E91-8FA0-72FE1FB35AD0}"/>
            </c:ext>
          </c:extLst>
        </c:ser>
        <c:dLbls>
          <c:showLegendKey val="0"/>
          <c:showVal val="0"/>
          <c:showCatName val="0"/>
          <c:showSerName val="0"/>
          <c:showPercent val="0"/>
          <c:showBubbleSize val="0"/>
        </c:dLbls>
        <c:marker val="1"/>
        <c:smooth val="0"/>
        <c:axId val="746203896"/>
        <c:axId val="746204288"/>
      </c:lineChart>
      <c:catAx>
        <c:axId val="746203896"/>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204288"/>
        <c:crosses val="autoZero"/>
        <c:auto val="1"/>
        <c:lblAlgn val="ctr"/>
        <c:lblOffset val="100"/>
        <c:noMultiLvlLbl val="0"/>
      </c:catAx>
      <c:valAx>
        <c:axId val="746204288"/>
        <c:scaling>
          <c:orientation val="minMax"/>
          <c:max val="60"/>
          <c:min val="20"/>
        </c:scaling>
        <c:delete val="0"/>
        <c:axPos val="l"/>
        <c:numFmt formatCode="General" sourceLinked="1"/>
        <c:majorTickMark val="out"/>
        <c:minorTickMark val="none"/>
        <c:tickLblPos val="nextTo"/>
        <c:crossAx val="746203896"/>
        <c:crosses val="autoZero"/>
        <c:crossBetween val="between"/>
        <c:majorUnit val="10"/>
      </c:valAx>
      <c:spPr>
        <a:solidFill>
          <a:srgbClr val="FFFFFF"/>
        </a:solidFill>
      </c:spPr>
    </c:plotArea>
    <c:legend>
      <c:legendPos val="l"/>
      <c:legendEntry>
        <c:idx val="0"/>
        <c:delete val="1"/>
      </c:legendEntry>
      <c:layout>
        <c:manualLayout>
          <c:xMode val="edge"/>
          <c:yMode val="edge"/>
          <c:x val="0.49317798979333832"/>
          <c:y val="9.7668360488904454E-2"/>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F612-44AC-A8F7-78C80DF25023}"/>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F612-44AC-A8F7-78C80DF25023}"/>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99.694639241326229</c:v>
                </c:pt>
                <c:pt idx="1">
                  <c:v>100.25539749374275</c:v>
                </c:pt>
              </c:numCache>
            </c:numRef>
          </c:val>
          <c:extLst>
            <c:ext xmlns:c16="http://schemas.microsoft.com/office/drawing/2014/chart" uri="{C3380CC4-5D6E-409C-BE32-E72D297353CC}">
              <c16:uniqueId val="{00000003-F612-44AC-A8F7-78C80DF25023}"/>
            </c:ext>
          </c:extLst>
        </c:ser>
        <c:dLbls>
          <c:showLegendKey val="0"/>
          <c:showVal val="1"/>
          <c:showCatName val="0"/>
          <c:showSerName val="0"/>
          <c:showPercent val="0"/>
          <c:showBubbleSize val="0"/>
        </c:dLbls>
        <c:gapWidth val="50"/>
        <c:overlap val="88"/>
        <c:axId val="652771152"/>
        <c:axId val="652764488"/>
      </c:barChart>
      <c:catAx>
        <c:axId val="652771152"/>
        <c:scaling>
          <c:orientation val="minMax"/>
        </c:scaling>
        <c:delete val="0"/>
        <c:axPos val="b"/>
        <c:numFmt formatCode="General" sourceLinked="1"/>
        <c:majorTickMark val="out"/>
        <c:minorTickMark val="none"/>
        <c:tickLblPos val="nextTo"/>
        <c:crossAx val="652764488"/>
        <c:crosses val="autoZero"/>
        <c:auto val="0"/>
        <c:lblAlgn val="ctr"/>
        <c:lblOffset val="100"/>
        <c:tickLblSkip val="1"/>
        <c:tickMarkSkip val="1"/>
        <c:noMultiLvlLbl val="0"/>
      </c:catAx>
      <c:valAx>
        <c:axId val="652764488"/>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6527711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812F-4B22-A799-C51FF4DFEC90}"/>
              </c:ext>
            </c:extLst>
          </c:dPt>
          <c:dPt>
            <c:idx val="1"/>
            <c:bubble3D val="0"/>
            <c:spPr>
              <a:solidFill>
                <a:srgbClr val="92B7C4"/>
              </a:solidFill>
              <a:ln w="3175">
                <a:noFill/>
              </a:ln>
            </c:spPr>
            <c:extLst>
              <c:ext xmlns:c16="http://schemas.microsoft.com/office/drawing/2014/chart" uri="{C3380CC4-5D6E-409C-BE32-E72D297353CC}">
                <c16:uniqueId val="{00000003-812F-4B22-A799-C51FF4DFEC90}"/>
              </c:ext>
            </c:extLst>
          </c:dPt>
          <c:dLbls>
            <c:dLbl>
              <c:idx val="1"/>
              <c:delete val="1"/>
              <c:extLst>
                <c:ext xmlns:c15="http://schemas.microsoft.com/office/drawing/2012/chart" uri="{CE6537A1-D6FC-4f65-9D91-7224C49458BB}"/>
                <c:ext xmlns:c16="http://schemas.microsoft.com/office/drawing/2014/chart" uri="{C3380CC4-5D6E-409C-BE32-E72D297353CC}">
                  <c16:uniqueId val="{00000003-812F-4B22-A799-C51FF4DFEC90}"/>
                </c:ext>
              </c:extLst>
            </c:dLbl>
            <c:spPr>
              <a:noFill/>
              <a:ln>
                <a:noFill/>
              </a:ln>
              <a:effectLst/>
            </c:spPr>
            <c:txPr>
              <a:bodyPr/>
              <a:lstStyle/>
              <a:p>
                <a:pPr>
                  <a:defRPr>
                    <a:solidFill>
                      <a:schemeClr val="bg1"/>
                    </a:solidFill>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24.371017859834332</c:v>
                </c:pt>
                <c:pt idx="1">
                  <c:v>75.628982140165675</c:v>
                </c:pt>
              </c:numCache>
            </c:numRef>
          </c:val>
          <c:extLst>
            <c:ext xmlns:c16="http://schemas.microsoft.com/office/drawing/2014/chart" uri="{C3380CC4-5D6E-409C-BE32-E72D297353CC}">
              <c16:uniqueId val="{00000004-812F-4B22-A799-C51FF4DFEC90}"/>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450</c:v>
                </c:pt>
                <c:pt idx="15">
                  <c:v>450</c:v>
                </c:pt>
              </c:numCache>
            </c:numRef>
          </c:val>
          <c:extLst>
            <c:ext xmlns:c16="http://schemas.microsoft.com/office/drawing/2014/chart" uri="{C3380CC4-5D6E-409C-BE32-E72D297353CC}">
              <c16:uniqueId val="{00000000-995A-450C-968B-E721EF4FB0A1}"/>
            </c:ext>
          </c:extLst>
        </c:ser>
        <c:dLbls>
          <c:showLegendKey val="0"/>
          <c:showVal val="0"/>
          <c:showCatName val="0"/>
          <c:showSerName val="0"/>
          <c:showPercent val="0"/>
          <c:showBubbleSize val="0"/>
        </c:dLbls>
        <c:gapWidth val="0"/>
        <c:axId val="746205072"/>
        <c:axId val="74620546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995A-450C-968B-E721EF4FB0A1}"/>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98.829260793910834</c:v>
                </c:pt>
                <c:pt idx="1">
                  <c:v>97.206556301895503</c:v>
                </c:pt>
                <c:pt idx="2">
                  <c:v>96.392850615137135</c:v>
                </c:pt>
                <c:pt idx="3">
                  <c:v>95.313158002857733</c:v>
                </c:pt>
                <c:pt idx="4">
                  <c:v>94.36120220155216</c:v>
                </c:pt>
                <c:pt idx="5">
                  <c:v>93.538516400732945</c:v>
                </c:pt>
                <c:pt idx="6">
                  <c:v>92.688801663062918</c:v>
                </c:pt>
                <c:pt idx="7">
                  <c:v>91.582704993661608</c:v>
                </c:pt>
                <c:pt idx="8">
                  <c:v>90.305245544749525</c:v>
                </c:pt>
                <c:pt idx="9">
                  <c:v>89.026987435140697</c:v>
                </c:pt>
                <c:pt idx="10">
                  <c:v>87.773504611443286</c:v>
                </c:pt>
                <c:pt idx="11">
                  <c:v>86.452325826564532</c:v>
                </c:pt>
                <c:pt idx="12">
                  <c:v>85.10306683513025</c:v>
                </c:pt>
                <c:pt idx="13">
                  <c:v>83.757799012564575</c:v>
                </c:pt>
                <c:pt idx="14">
                  <c:v>82.389995249391731</c:v>
                </c:pt>
                <c:pt idx="15">
                  <c:v>81.014127467907699</c:v>
                </c:pt>
              </c:numCache>
            </c:numRef>
          </c:val>
          <c:smooth val="0"/>
          <c:extLst>
            <c:ext xmlns:c16="http://schemas.microsoft.com/office/drawing/2014/chart" uri="{C3380CC4-5D6E-409C-BE32-E72D297353CC}">
              <c16:uniqueId val="{00000003-995A-450C-968B-E721EF4FB0A1}"/>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102.6219699542788</c:v>
                </c:pt>
                <c:pt idx="1">
                  <c:v>101.32628433611495</c:v>
                </c:pt>
                <c:pt idx="2">
                  <c:v>100.35638707180695</c:v>
                </c:pt>
                <c:pt idx="3">
                  <c:v>99.674483008313075</c:v>
                </c:pt>
                <c:pt idx="4">
                  <c:v>99.153705962256851</c:v>
                </c:pt>
                <c:pt idx="5">
                  <c:v>98.917620551969961</c:v>
                </c:pt>
                <c:pt idx="6">
                  <c:v>98.511565960678496</c:v>
                </c:pt>
                <c:pt idx="7">
                  <c:v>97.805094588575258</c:v>
                </c:pt>
                <c:pt idx="8">
                  <c:v>96.940240442963557</c:v>
                </c:pt>
                <c:pt idx="9">
                  <c:v>96.111687112877377</c:v>
                </c:pt>
                <c:pt idx="10">
                  <c:v>95.234289345255277</c:v>
                </c:pt>
                <c:pt idx="11">
                  <c:v>94.172641710341026</c:v>
                </c:pt>
                <c:pt idx="12">
                  <c:v>93.095946989708224</c:v>
                </c:pt>
                <c:pt idx="13">
                  <c:v>91.979618577689251</c:v>
                </c:pt>
                <c:pt idx="14">
                  <c:v>90.82792569393294</c:v>
                </c:pt>
                <c:pt idx="15">
                  <c:v>89.680309751196148</c:v>
                </c:pt>
              </c:numCache>
            </c:numRef>
          </c:val>
          <c:smooth val="0"/>
          <c:extLst>
            <c:ext xmlns:c16="http://schemas.microsoft.com/office/drawing/2014/chart" uri="{C3380CC4-5D6E-409C-BE32-E72D297353CC}">
              <c16:uniqueId val="{00000004-995A-450C-968B-E721EF4FB0A1}"/>
            </c:ext>
          </c:extLst>
        </c:ser>
        <c:dLbls>
          <c:showLegendKey val="0"/>
          <c:showVal val="0"/>
          <c:showCatName val="0"/>
          <c:showSerName val="0"/>
          <c:showPercent val="0"/>
          <c:showBubbleSize val="0"/>
        </c:dLbls>
        <c:marker val="1"/>
        <c:smooth val="0"/>
        <c:axId val="746205072"/>
        <c:axId val="746205464"/>
      </c:lineChart>
      <c:catAx>
        <c:axId val="746205072"/>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205464"/>
        <c:crosses val="autoZero"/>
        <c:auto val="1"/>
        <c:lblAlgn val="ctr"/>
        <c:lblOffset val="100"/>
        <c:noMultiLvlLbl val="0"/>
      </c:catAx>
      <c:valAx>
        <c:axId val="746205464"/>
        <c:scaling>
          <c:orientation val="minMax"/>
          <c:max val="120"/>
          <c:min val="70"/>
        </c:scaling>
        <c:delete val="0"/>
        <c:axPos val="l"/>
        <c:numFmt formatCode="General" sourceLinked="1"/>
        <c:majorTickMark val="out"/>
        <c:minorTickMark val="none"/>
        <c:tickLblPos val="nextTo"/>
        <c:crossAx val="746205072"/>
        <c:crosses val="autoZero"/>
        <c:crossBetween val="between"/>
        <c:majorUnit val="10"/>
      </c:valAx>
      <c:spPr>
        <a:solidFill>
          <a:srgbClr val="FFFFFF"/>
        </a:solidFill>
      </c:spPr>
    </c:plotArea>
    <c:legend>
      <c:legendPos val="l"/>
      <c:legendEntry>
        <c:idx val="0"/>
        <c:delete val="1"/>
      </c:legendEntry>
      <c:layout>
        <c:manualLayout>
          <c:xMode val="edge"/>
          <c:yMode val="edge"/>
          <c:x val="0.56102059494937628"/>
          <c:y val="5.3557200365393215E-2"/>
          <c:w val="0.3596584009088416"/>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1433-44F9-B2E0-D2ACA462F331}"/>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1433-44F9-B2E0-D2ACA462F331}"/>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98.051305731480568</c:v>
                </c:pt>
                <c:pt idx="1">
                  <c:v>94.562036448894446</c:v>
                </c:pt>
              </c:numCache>
            </c:numRef>
          </c:val>
          <c:extLst>
            <c:ext xmlns:c16="http://schemas.microsoft.com/office/drawing/2014/chart" uri="{C3380CC4-5D6E-409C-BE32-E72D297353CC}">
              <c16:uniqueId val="{00000003-1433-44F9-B2E0-D2ACA462F331}"/>
            </c:ext>
          </c:extLst>
        </c:ser>
        <c:dLbls>
          <c:showLegendKey val="0"/>
          <c:showVal val="1"/>
          <c:showCatName val="0"/>
          <c:showSerName val="0"/>
          <c:showPercent val="0"/>
          <c:showBubbleSize val="0"/>
        </c:dLbls>
        <c:gapWidth val="50"/>
        <c:overlap val="88"/>
        <c:axId val="652771152"/>
        <c:axId val="652764488"/>
      </c:barChart>
      <c:catAx>
        <c:axId val="652771152"/>
        <c:scaling>
          <c:orientation val="minMax"/>
        </c:scaling>
        <c:delete val="0"/>
        <c:axPos val="b"/>
        <c:numFmt formatCode="General" sourceLinked="1"/>
        <c:majorTickMark val="out"/>
        <c:minorTickMark val="none"/>
        <c:tickLblPos val="nextTo"/>
        <c:crossAx val="652764488"/>
        <c:crosses val="autoZero"/>
        <c:auto val="0"/>
        <c:lblAlgn val="ctr"/>
        <c:lblOffset val="100"/>
        <c:tickLblSkip val="1"/>
        <c:tickMarkSkip val="1"/>
        <c:noMultiLvlLbl val="0"/>
      </c:catAx>
      <c:valAx>
        <c:axId val="652764488"/>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6527711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2853560320724438"/>
          <c:h val="0.88582237276206388"/>
        </c:manualLayout>
      </c:layout>
      <c:barChart>
        <c:barDir val="col"/>
        <c:grouping val="clustered"/>
        <c:varyColors val="0"/>
        <c:ser>
          <c:idx val="3"/>
          <c:order val="0"/>
          <c:tx>
            <c:strRef>
              <c:f>Sheet1!$B$1</c:f>
              <c:strCache>
                <c:ptCount val="1"/>
                <c:pt idx="0">
                  <c:v>piedāvājums</c:v>
                </c:pt>
              </c:strCache>
            </c:strRef>
          </c:tx>
          <c:spPr>
            <a:solidFill>
              <a:srgbClr val="006666"/>
            </a:solidFill>
            <a:ln>
              <a:noFill/>
            </a:ln>
            <a:effectLst/>
          </c:spPr>
          <c:invertIfNegative val="0"/>
          <c:dLbls>
            <c:delete val="1"/>
          </c:dLbls>
          <c:cat>
            <c:numRef>
              <c:f>Sheet1!$A$2:$A$9</c:f>
              <c:numCache>
                <c:formatCode>General</c:formatCode>
                <c:ptCount val="8"/>
              </c:numCache>
            </c:numRef>
          </c:cat>
          <c:val>
            <c:numRef>
              <c:f>Sheet1!$B$2:$B$9</c:f>
              <c:numCache>
                <c:formatCode>#,##0</c:formatCode>
                <c:ptCount val="8"/>
                <c:pt idx="0">
                  <c:v>100</c:v>
                </c:pt>
                <c:pt idx="1">
                  <c:v>100</c:v>
                </c:pt>
                <c:pt idx="2">
                  <c:v>100</c:v>
                </c:pt>
                <c:pt idx="3">
                  <c:v>100</c:v>
                </c:pt>
                <c:pt idx="4">
                  <c:v>100</c:v>
                </c:pt>
                <c:pt idx="5">
                  <c:v>100</c:v>
                </c:pt>
                <c:pt idx="6">
                  <c:v>100</c:v>
                </c:pt>
                <c:pt idx="7">
                  <c:v>100</c:v>
                </c:pt>
              </c:numCache>
            </c:numRef>
          </c:val>
          <c:extLst>
            <c:ext xmlns:c16="http://schemas.microsoft.com/office/drawing/2014/chart" uri="{C3380CC4-5D6E-409C-BE32-E72D297353CC}">
              <c16:uniqueId val="{00000000-4264-4946-A25B-1EBABA7CFEFD}"/>
            </c:ext>
          </c:extLst>
        </c:ser>
        <c:ser>
          <c:idx val="0"/>
          <c:order val="1"/>
          <c:tx>
            <c:strRef>
              <c:f>Sheet1!$C$1</c:f>
              <c:strCache>
                <c:ptCount val="1"/>
                <c:pt idx="0">
                  <c:v>pieprasījums</c:v>
                </c:pt>
              </c:strCache>
            </c:strRef>
          </c:tx>
          <c:spPr>
            <a:solidFill>
              <a:srgbClr val="92B7C4"/>
            </a:solidFill>
            <a:ln>
              <a:noFill/>
            </a:ln>
            <a:effectLst/>
          </c:spPr>
          <c:invertIfNegative val="0"/>
          <c:dPt>
            <c:idx val="0"/>
            <c:invertIfNegative val="0"/>
            <c:bubble3D val="0"/>
            <c:extLst>
              <c:ext xmlns:c16="http://schemas.microsoft.com/office/drawing/2014/chart" uri="{C3380CC4-5D6E-409C-BE32-E72D297353CC}">
                <c16:uniqueId val="{00000001-4264-4946-A25B-1EBABA7CFEFD}"/>
              </c:ext>
            </c:extLst>
          </c:dPt>
          <c:dLbls>
            <c:spPr>
              <a:noFill/>
              <a:ln>
                <a:noFill/>
              </a:ln>
              <a:effectLst/>
            </c:spPr>
            <c:txPr>
              <a:bodyPr rot="0" vert="horz"/>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numCache>
            </c:numRef>
          </c:cat>
          <c:val>
            <c:numRef>
              <c:f>Sheet1!$C$2:$C$9</c:f>
              <c:numCache>
                <c:formatCode>#,##0</c:formatCode>
                <c:ptCount val="8"/>
                <c:pt idx="0">
                  <c:v>94.742105817875895</c:v>
                </c:pt>
                <c:pt idx="1">
                  <c:v>108.55840079757439</c:v>
                </c:pt>
                <c:pt idx="2">
                  <c:v>109.37574123359526</c:v>
                </c:pt>
                <c:pt idx="3">
                  <c:v>125.93485271295994</c:v>
                </c:pt>
                <c:pt idx="4">
                  <c:v>111.72350377738273</c:v>
                </c:pt>
                <c:pt idx="5">
                  <c:v>134.4143745569813</c:v>
                </c:pt>
                <c:pt idx="6">
                  <c:v>102.46220280708474</c:v>
                </c:pt>
                <c:pt idx="7">
                  <c:v>90.957064064048041</c:v>
                </c:pt>
              </c:numCache>
            </c:numRef>
          </c:val>
          <c:extLst>
            <c:ext xmlns:c16="http://schemas.microsoft.com/office/drawing/2014/chart" uri="{C3380CC4-5D6E-409C-BE32-E72D297353CC}">
              <c16:uniqueId val="{00000002-4264-4946-A25B-1EBABA7CFEFD}"/>
            </c:ext>
          </c:extLst>
        </c:ser>
        <c:dLbls>
          <c:showLegendKey val="0"/>
          <c:showVal val="1"/>
          <c:showCatName val="0"/>
          <c:showSerName val="0"/>
          <c:showPercent val="0"/>
          <c:showBubbleSize val="0"/>
        </c:dLbls>
        <c:gapWidth val="40"/>
        <c:overlap val="70"/>
        <c:axId val="746198016"/>
        <c:axId val="746211344"/>
      </c:barChart>
      <c:catAx>
        <c:axId val="746198016"/>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en-US"/>
          </a:p>
        </c:txPr>
        <c:crossAx val="746211344"/>
        <c:crosses val="autoZero"/>
        <c:auto val="0"/>
        <c:lblAlgn val="ctr"/>
        <c:lblOffset val="100"/>
        <c:tickLblSkip val="1"/>
        <c:tickMarkSkip val="1"/>
        <c:noMultiLvlLbl val="0"/>
      </c:catAx>
      <c:valAx>
        <c:axId val="746211344"/>
        <c:scaling>
          <c:orientation val="minMax"/>
          <c:max val="160"/>
          <c:min val="6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en-US"/>
          </a:p>
        </c:txPr>
        <c:crossAx val="746198016"/>
        <c:crosses val="autoZero"/>
        <c:crossBetween val="between"/>
        <c:majorUnit val="20"/>
      </c:valAx>
      <c:spPr>
        <a:solidFill>
          <a:srgbClr val="FFFFFF"/>
        </a:solidFill>
        <a:ln>
          <a:noFill/>
        </a:ln>
        <a:effectLst/>
      </c:spPr>
    </c:plotArea>
    <c:legend>
      <c:legendPos val="l"/>
      <c:layout>
        <c:manualLayout>
          <c:xMode val="edge"/>
          <c:yMode val="edge"/>
          <c:x val="0.78747136543991991"/>
          <c:y val="1.7766891164479185E-3"/>
          <c:w val="0.1753675925925926"/>
          <c:h val="0.17090712087922266"/>
        </c:manualLayout>
      </c:layout>
      <c:overlay val="1"/>
      <c:spPr>
        <a:solidFill>
          <a:srgbClr val="FFFFFF"/>
        </a:solidFill>
        <a:ln>
          <a:noFill/>
        </a:ln>
        <a:effectLst/>
      </c:spPr>
      <c:txPr>
        <a:bodyPr rot="0" vert="horz"/>
        <a:lstStyle/>
        <a:p>
          <a:pPr>
            <a:defRPr/>
          </a:pPr>
          <a:endParaRPr lang="en-US"/>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1">
    <c:autoUpdate val="0"/>
  </c:externalData>
  <c:userShapes r:id="rId2"/>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7CF9-49AA-9EBD-62950290AC29}"/>
              </c:ext>
            </c:extLst>
          </c:dPt>
          <c:dPt>
            <c:idx val="1"/>
            <c:bubble3D val="0"/>
            <c:spPr>
              <a:solidFill>
                <a:srgbClr val="92B7C4"/>
              </a:solidFill>
              <a:ln w="3175">
                <a:noFill/>
              </a:ln>
            </c:spPr>
            <c:extLst>
              <c:ext xmlns:c16="http://schemas.microsoft.com/office/drawing/2014/chart" uri="{C3380CC4-5D6E-409C-BE32-E72D297353CC}">
                <c16:uniqueId val="{00000003-7CF9-49AA-9EBD-62950290AC29}"/>
              </c:ext>
            </c:extLst>
          </c:dPt>
          <c:dLbls>
            <c:dLbl>
              <c:idx val="1"/>
              <c:delete val="1"/>
              <c:extLst>
                <c:ext xmlns:c15="http://schemas.microsoft.com/office/drawing/2012/chart" uri="{CE6537A1-D6FC-4f65-9D91-7224C49458BB}"/>
                <c:ext xmlns:c16="http://schemas.microsoft.com/office/drawing/2014/chart" uri="{C3380CC4-5D6E-409C-BE32-E72D297353CC}">
                  <c16:uniqueId val="{00000003-7CF9-49AA-9EBD-62950290AC29}"/>
                </c:ext>
              </c:extLst>
            </c:dLbl>
            <c:spPr>
              <a:noFill/>
              <a:ln>
                <a:noFill/>
              </a:ln>
              <a:effectLst/>
            </c:spPr>
            <c:txPr>
              <a:bodyPr/>
              <a:lstStyle/>
              <a:p>
                <a:pPr>
                  <a:defRPr>
                    <a:solidFill>
                      <a:sysClr val="windowText" lastClr="000000"/>
                    </a:solidFill>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0.0</c:formatCode>
                <c:ptCount val="2"/>
                <c:pt idx="0">
                  <c:v>1.8182454240857515</c:v>
                </c:pt>
                <c:pt idx="1">
                  <c:v>98.181754575914255</c:v>
                </c:pt>
              </c:numCache>
            </c:numRef>
          </c:val>
          <c:extLst>
            <c:ext xmlns:c16="http://schemas.microsoft.com/office/drawing/2014/chart" uri="{C3380CC4-5D6E-409C-BE32-E72D297353CC}">
              <c16:uniqueId val="{00000004-7CF9-49AA-9EBD-62950290AC29}"/>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20</c:v>
                </c:pt>
                <c:pt idx="15">
                  <c:v>20</c:v>
                </c:pt>
              </c:numCache>
            </c:numRef>
          </c:val>
          <c:extLst>
            <c:ext xmlns:c16="http://schemas.microsoft.com/office/drawing/2014/chart" uri="{C3380CC4-5D6E-409C-BE32-E72D297353CC}">
              <c16:uniqueId val="{00000000-A14F-4980-95F1-3E2902976C56}"/>
            </c:ext>
          </c:extLst>
        </c:ser>
        <c:dLbls>
          <c:showLegendKey val="0"/>
          <c:showVal val="0"/>
          <c:showCatName val="0"/>
          <c:showSerName val="0"/>
          <c:showPercent val="0"/>
          <c:showBubbleSize val="0"/>
        </c:dLbls>
        <c:gapWidth val="0"/>
        <c:axId val="746211736"/>
        <c:axId val="746214480"/>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A14F-4980-95F1-3E2902976C56}"/>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7.1854376855341142</c:v>
                </c:pt>
                <c:pt idx="1">
                  <c:v>7.2125992446991463</c:v>
                </c:pt>
                <c:pt idx="2">
                  <c:v>7.2357947866439876</c:v>
                </c:pt>
                <c:pt idx="3">
                  <c:v>7.330906379027808</c:v>
                </c:pt>
                <c:pt idx="4">
                  <c:v>7.4307654804916323</c:v>
                </c:pt>
                <c:pt idx="5">
                  <c:v>7.529423567317326</c:v>
                </c:pt>
                <c:pt idx="6">
                  <c:v>7.6195356863446326</c:v>
                </c:pt>
                <c:pt idx="7">
                  <c:v>7.6753006347747954</c:v>
                </c:pt>
                <c:pt idx="8">
                  <c:v>7.7205253816161434</c:v>
                </c:pt>
                <c:pt idx="9">
                  <c:v>7.7617166319231821</c:v>
                </c:pt>
                <c:pt idx="10">
                  <c:v>7.8024507996503507</c:v>
                </c:pt>
                <c:pt idx="11">
                  <c:v>7.842947582605146</c:v>
                </c:pt>
                <c:pt idx="12">
                  <c:v>7.8837969589025025</c:v>
                </c:pt>
                <c:pt idx="13">
                  <c:v>7.9296363228518505</c:v>
                </c:pt>
                <c:pt idx="14">
                  <c:v>7.9773689111024781</c:v>
                </c:pt>
                <c:pt idx="15">
                  <c:v>8.020843096245569</c:v>
                </c:pt>
              </c:numCache>
            </c:numRef>
          </c:val>
          <c:smooth val="0"/>
          <c:extLst>
            <c:ext xmlns:c16="http://schemas.microsoft.com/office/drawing/2014/chart" uri="{C3380CC4-5D6E-409C-BE32-E72D297353CC}">
              <c16:uniqueId val="{00000003-A14F-4980-95F1-3E2902976C56}"/>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7.669351513140966</c:v>
                </c:pt>
                <c:pt idx="1">
                  <c:v>7.697943043722427</c:v>
                </c:pt>
                <c:pt idx="2">
                  <c:v>7.7378027344446974</c:v>
                </c:pt>
                <c:pt idx="3">
                  <c:v>7.7962305802893743</c:v>
                </c:pt>
                <c:pt idx="4">
                  <c:v>7.8606241729129067</c:v>
                </c:pt>
                <c:pt idx="5">
                  <c:v>7.9472833143388684</c:v>
                </c:pt>
                <c:pt idx="6">
                  <c:v>8.0574127707074865</c:v>
                </c:pt>
                <c:pt idx="7">
                  <c:v>8.2181530899206976</c:v>
                </c:pt>
                <c:pt idx="8">
                  <c:v>8.4430571558665726</c:v>
                </c:pt>
                <c:pt idx="9">
                  <c:v>8.7368159372555052</c:v>
                </c:pt>
                <c:pt idx="10">
                  <c:v>9.0608025350832619</c:v>
                </c:pt>
                <c:pt idx="11">
                  <c:v>9.3688315855426971</c:v>
                </c:pt>
                <c:pt idx="12">
                  <c:v>9.6446986168868953</c:v>
                </c:pt>
                <c:pt idx="13">
                  <c:v>9.8667878807215832</c:v>
                </c:pt>
                <c:pt idx="14">
                  <c:v>10.047989730314885</c:v>
                </c:pt>
                <c:pt idx="15">
                  <c:v>10.194075464327499</c:v>
                </c:pt>
              </c:numCache>
            </c:numRef>
          </c:val>
          <c:smooth val="0"/>
          <c:extLst>
            <c:ext xmlns:c16="http://schemas.microsoft.com/office/drawing/2014/chart" uri="{C3380CC4-5D6E-409C-BE32-E72D297353CC}">
              <c16:uniqueId val="{00000004-A14F-4980-95F1-3E2902976C56}"/>
            </c:ext>
          </c:extLst>
        </c:ser>
        <c:dLbls>
          <c:showLegendKey val="0"/>
          <c:showVal val="0"/>
          <c:showCatName val="0"/>
          <c:showSerName val="0"/>
          <c:showPercent val="0"/>
          <c:showBubbleSize val="0"/>
        </c:dLbls>
        <c:marker val="1"/>
        <c:smooth val="0"/>
        <c:axId val="746211736"/>
        <c:axId val="746214480"/>
      </c:lineChart>
      <c:catAx>
        <c:axId val="746211736"/>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214480"/>
        <c:crosses val="autoZero"/>
        <c:auto val="1"/>
        <c:lblAlgn val="ctr"/>
        <c:lblOffset val="100"/>
        <c:noMultiLvlLbl val="0"/>
      </c:catAx>
      <c:valAx>
        <c:axId val="746214480"/>
        <c:scaling>
          <c:orientation val="minMax"/>
          <c:max val="14"/>
          <c:min val="6"/>
        </c:scaling>
        <c:delete val="0"/>
        <c:axPos val="l"/>
        <c:numFmt formatCode="General" sourceLinked="1"/>
        <c:majorTickMark val="out"/>
        <c:minorTickMark val="none"/>
        <c:tickLblPos val="nextTo"/>
        <c:crossAx val="746211736"/>
        <c:crosses val="autoZero"/>
        <c:crossBetween val="between"/>
        <c:majorUnit val="2"/>
      </c:valAx>
      <c:spPr>
        <a:solidFill>
          <a:srgbClr val="FFFFFF"/>
        </a:solidFill>
      </c:spPr>
    </c:plotArea>
    <c:legend>
      <c:legendPos val="l"/>
      <c:legendEntry>
        <c:idx val="0"/>
        <c:delete val="1"/>
      </c:legendEntry>
      <c:layout>
        <c:manualLayout>
          <c:xMode val="edge"/>
          <c:yMode val="edge"/>
          <c:x val="0.52031503185575345"/>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25677078826684"/>
          <c:y val="9.2164185151657571E-2"/>
          <c:w val="0.80379964523665315"/>
          <c:h val="0.74497738499335875"/>
        </c:manualLayout>
      </c:layout>
      <c:barChart>
        <c:barDir val="col"/>
        <c:grouping val="clustered"/>
        <c:varyColors val="0"/>
        <c:ser>
          <c:idx val="1"/>
          <c:order val="0"/>
          <c:tx>
            <c:strRef>
              <c:f>Sheet1!$A$3</c:f>
              <c:strCache>
                <c:ptCount val="1"/>
                <c:pt idx="0">
                  <c:v>Reģistrētais bezdarbs (kreisā ass)</c:v>
                </c:pt>
              </c:strCache>
            </c:strRef>
          </c:tx>
          <c:spPr>
            <a:solidFill>
              <a:sysClr val="window" lastClr="FFFFFF">
                <a:lumMod val="65000"/>
              </a:sysClr>
            </a:solidFill>
            <a:ln>
              <a:noFill/>
            </a:ln>
            <a:effectLst/>
          </c:spPr>
          <c:invertIfNegative val="0"/>
          <c:dPt>
            <c:idx val="0"/>
            <c:invertIfNegative val="0"/>
            <c:bubble3D val="0"/>
            <c:extLst>
              <c:ext xmlns:c16="http://schemas.microsoft.com/office/drawing/2014/chart" uri="{C3380CC4-5D6E-409C-BE32-E72D297353CC}">
                <c16:uniqueId val="{00000000-21BA-4DE9-B177-960F0F6251A9}"/>
              </c:ext>
            </c:extLst>
          </c:dPt>
          <c:dPt>
            <c:idx val="1"/>
            <c:invertIfNegative val="0"/>
            <c:bubble3D val="0"/>
            <c:extLst>
              <c:ext xmlns:c16="http://schemas.microsoft.com/office/drawing/2014/chart" uri="{C3380CC4-5D6E-409C-BE32-E72D297353CC}">
                <c16:uniqueId val="{00000001-21BA-4DE9-B177-960F0F6251A9}"/>
              </c:ext>
            </c:extLst>
          </c:dPt>
          <c:dPt>
            <c:idx val="2"/>
            <c:invertIfNegative val="0"/>
            <c:bubble3D val="0"/>
            <c:extLst>
              <c:ext xmlns:c16="http://schemas.microsoft.com/office/drawing/2014/chart" uri="{C3380CC4-5D6E-409C-BE32-E72D297353CC}">
                <c16:uniqueId val="{00000002-21BA-4DE9-B177-960F0F6251A9}"/>
              </c:ext>
            </c:extLst>
          </c:dPt>
          <c:dPt>
            <c:idx val="3"/>
            <c:invertIfNegative val="0"/>
            <c:bubble3D val="0"/>
            <c:extLst>
              <c:ext xmlns:c16="http://schemas.microsoft.com/office/drawing/2014/chart" uri="{C3380CC4-5D6E-409C-BE32-E72D297353CC}">
                <c16:uniqueId val="{00000003-21BA-4DE9-B177-960F0F6251A9}"/>
              </c:ext>
            </c:extLst>
          </c:dPt>
          <c:dPt>
            <c:idx val="4"/>
            <c:invertIfNegative val="0"/>
            <c:bubble3D val="0"/>
            <c:extLst>
              <c:ext xmlns:c16="http://schemas.microsoft.com/office/drawing/2014/chart" uri="{C3380CC4-5D6E-409C-BE32-E72D297353CC}">
                <c16:uniqueId val="{00000004-21BA-4DE9-B177-960F0F6251A9}"/>
              </c:ext>
            </c:extLst>
          </c:dPt>
          <c:dPt>
            <c:idx val="5"/>
            <c:invertIfNegative val="0"/>
            <c:bubble3D val="0"/>
            <c:extLst>
              <c:ext xmlns:c16="http://schemas.microsoft.com/office/drawing/2014/chart" uri="{C3380CC4-5D6E-409C-BE32-E72D297353CC}">
                <c16:uniqueId val="{00000005-21BA-4DE9-B177-960F0F6251A9}"/>
              </c:ext>
            </c:extLst>
          </c:dPt>
          <c:dPt>
            <c:idx val="6"/>
            <c:invertIfNegative val="0"/>
            <c:bubble3D val="0"/>
            <c:extLst>
              <c:ext xmlns:c16="http://schemas.microsoft.com/office/drawing/2014/chart" uri="{C3380CC4-5D6E-409C-BE32-E72D297353CC}">
                <c16:uniqueId val="{00000006-21BA-4DE9-B177-960F0F6251A9}"/>
              </c:ext>
            </c:extLst>
          </c:dPt>
          <c:dPt>
            <c:idx val="7"/>
            <c:invertIfNegative val="0"/>
            <c:bubble3D val="0"/>
            <c:extLst>
              <c:ext xmlns:c16="http://schemas.microsoft.com/office/drawing/2014/chart" uri="{C3380CC4-5D6E-409C-BE32-E72D297353CC}">
                <c16:uniqueId val="{00000007-21BA-4DE9-B177-960F0F6251A9}"/>
              </c:ext>
            </c:extLst>
          </c:dPt>
          <c:dLbls>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BA-4DE9-B177-960F0F6251A9}"/>
                </c:ext>
              </c:extLst>
            </c:dLbl>
            <c:dLbl>
              <c:idx val="4"/>
              <c:layout>
                <c:manualLayout>
                  <c:x val="0"/>
                  <c:y val="0.1044695052636209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BA-4DE9-B177-960F0F6251A9}"/>
                </c:ext>
              </c:extLst>
            </c:dLbl>
            <c:spPr>
              <a:noFill/>
              <a:ln>
                <a:noFill/>
              </a:ln>
              <a:effectLst/>
            </c:spPr>
            <c:txPr>
              <a:bodyPr wrap="square" lIns="38100" tIns="19050" rIns="38100" bIns="19050" anchor="ctr">
                <a:spAutoFit/>
              </a:bodyPr>
              <a:lstStyle/>
              <a:p>
                <a:pPr>
                  <a:defRPr sz="7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Sheet1!$B$2:$F$2</c:f>
              <c:strCache>
                <c:ptCount val="5"/>
                <c:pt idx="0">
                  <c:v>Rīgas reģions</c:v>
                </c:pt>
                <c:pt idx="1">
                  <c:v>Kurzemes reģions</c:v>
                </c:pt>
                <c:pt idx="2">
                  <c:v>Latgales reģions</c:v>
                </c:pt>
                <c:pt idx="3">
                  <c:v>Vidzemes reģions</c:v>
                </c:pt>
                <c:pt idx="4">
                  <c:v>Zemgales reģions</c:v>
                </c:pt>
              </c:strCache>
            </c:strRef>
          </c:cat>
          <c:val>
            <c:numRef>
              <c:f>Sheet1!$B$3:$F$3</c:f>
              <c:numCache>
                <c:formatCode>0.0</c:formatCode>
                <c:ptCount val="5"/>
                <c:pt idx="0">
                  <c:v>3.8</c:v>
                </c:pt>
                <c:pt idx="1">
                  <c:v>5.3</c:v>
                </c:pt>
                <c:pt idx="2">
                  <c:v>10.3</c:v>
                </c:pt>
                <c:pt idx="3">
                  <c:v>4.7</c:v>
                </c:pt>
                <c:pt idx="4">
                  <c:v>5</c:v>
                </c:pt>
              </c:numCache>
            </c:numRef>
          </c:val>
          <c:extLst>
            <c:ext xmlns:c16="http://schemas.microsoft.com/office/drawing/2014/chart" uri="{C3380CC4-5D6E-409C-BE32-E72D297353CC}">
              <c16:uniqueId val="{00000008-21BA-4DE9-B177-960F0F6251A9}"/>
            </c:ext>
          </c:extLst>
        </c:ser>
        <c:dLbls>
          <c:showLegendKey val="0"/>
          <c:showVal val="0"/>
          <c:showCatName val="0"/>
          <c:showSerName val="0"/>
          <c:showPercent val="0"/>
          <c:showBubbleSize val="0"/>
        </c:dLbls>
        <c:gapWidth val="80"/>
        <c:axId val="713673704"/>
        <c:axId val="713677624"/>
      </c:barChart>
      <c:lineChart>
        <c:grouping val="standard"/>
        <c:varyColors val="0"/>
        <c:ser>
          <c:idx val="0"/>
          <c:order val="1"/>
          <c:tx>
            <c:strRef>
              <c:f>Sheet1!$A$4</c:f>
              <c:strCache>
                <c:ptCount val="1"/>
                <c:pt idx="0">
                  <c:v>Latvija</c:v>
                </c:pt>
              </c:strCache>
            </c:strRef>
          </c:tx>
          <c:spPr>
            <a:ln w="28575" cap="rnd" cmpd="sng" algn="ctr">
              <a:solidFill>
                <a:srgbClr val="4F81BD">
                  <a:lumMod val="75000"/>
                </a:srgbClr>
              </a:solidFill>
              <a:prstDash val="solid"/>
              <a:round/>
            </a:ln>
            <a:effectLst/>
          </c:spPr>
          <c:marker>
            <c:symbol val="none"/>
          </c:marker>
          <c:cat>
            <c:strRef>
              <c:f>Sheet1!$B$2:$F$2</c:f>
              <c:strCache>
                <c:ptCount val="5"/>
                <c:pt idx="0">
                  <c:v>Rīgas reģions</c:v>
                </c:pt>
                <c:pt idx="1">
                  <c:v>Kurzemes reģions</c:v>
                </c:pt>
                <c:pt idx="2">
                  <c:v>Latgales reģions</c:v>
                </c:pt>
                <c:pt idx="3">
                  <c:v>Vidzemes reģions</c:v>
                </c:pt>
                <c:pt idx="4">
                  <c:v>Zemgales reģions</c:v>
                </c:pt>
              </c:strCache>
            </c:strRef>
          </c:cat>
          <c:val>
            <c:numRef>
              <c:f>Sheet1!$B$4:$F$4</c:f>
              <c:numCache>
                <c:formatCode>General</c:formatCode>
                <c:ptCount val="5"/>
                <c:pt idx="0">
                  <c:v>5</c:v>
                </c:pt>
                <c:pt idx="1">
                  <c:v>5</c:v>
                </c:pt>
                <c:pt idx="2">
                  <c:v>5</c:v>
                </c:pt>
                <c:pt idx="3">
                  <c:v>5</c:v>
                </c:pt>
                <c:pt idx="4">
                  <c:v>5</c:v>
                </c:pt>
              </c:numCache>
            </c:numRef>
          </c:val>
          <c:smooth val="0"/>
          <c:extLst>
            <c:ext xmlns:c16="http://schemas.microsoft.com/office/drawing/2014/chart" uri="{C3380CC4-5D6E-409C-BE32-E72D297353CC}">
              <c16:uniqueId val="{00000009-21BA-4DE9-B177-960F0F6251A9}"/>
            </c:ext>
          </c:extLst>
        </c:ser>
        <c:dLbls>
          <c:showLegendKey val="0"/>
          <c:showVal val="0"/>
          <c:showCatName val="0"/>
          <c:showSerName val="0"/>
          <c:showPercent val="0"/>
          <c:showBubbleSize val="0"/>
        </c:dLbls>
        <c:marker val="1"/>
        <c:smooth val="0"/>
        <c:axId val="713673704"/>
        <c:axId val="713677624"/>
      </c:lineChart>
      <c:lineChart>
        <c:grouping val="standard"/>
        <c:varyColors val="0"/>
        <c:ser>
          <c:idx val="2"/>
          <c:order val="2"/>
          <c:tx>
            <c:strRef>
              <c:f>Sheet1!$A$5</c:f>
              <c:strCache>
                <c:ptCount val="1"/>
                <c:pt idx="0">
                  <c:v>Brīvās darbavietas pret reģistrētiem darba meklētājiem (labā ass)</c:v>
                </c:pt>
              </c:strCache>
            </c:strRef>
          </c:tx>
          <c:spPr>
            <a:ln>
              <a:noFill/>
            </a:ln>
          </c:spPr>
          <c:marker>
            <c:symbol val="dash"/>
            <c:size val="14"/>
            <c:spPr>
              <a:solidFill>
                <a:srgbClr val="FF0000"/>
              </a:solidFill>
              <a:ln w="3175">
                <a:solidFill>
                  <a:srgbClr val="FF0000"/>
                </a:solidFill>
              </a:ln>
            </c:spPr>
          </c:marker>
          <c:cat>
            <c:strRef>
              <c:f>Sheet1!$B$2:$F$2</c:f>
              <c:strCache>
                <c:ptCount val="5"/>
                <c:pt idx="0">
                  <c:v>Rīgas reģions</c:v>
                </c:pt>
                <c:pt idx="1">
                  <c:v>Kurzemes reģions</c:v>
                </c:pt>
                <c:pt idx="2">
                  <c:v>Latgales reģions</c:v>
                </c:pt>
                <c:pt idx="3">
                  <c:v>Vidzemes reģions</c:v>
                </c:pt>
                <c:pt idx="4">
                  <c:v>Zemgales reģions</c:v>
                </c:pt>
              </c:strCache>
            </c:strRef>
          </c:cat>
          <c:val>
            <c:numRef>
              <c:f>Sheet1!$B$5:$F$5</c:f>
              <c:numCache>
                <c:formatCode>0</c:formatCode>
                <c:ptCount val="5"/>
                <c:pt idx="0">
                  <c:v>44.268552121136281</c:v>
                </c:pt>
                <c:pt idx="1">
                  <c:v>15.100154083204931</c:v>
                </c:pt>
                <c:pt idx="2">
                  <c:v>7.1284465366509755</c:v>
                </c:pt>
                <c:pt idx="3">
                  <c:v>18.664617486338798</c:v>
                </c:pt>
                <c:pt idx="4">
                  <c:v>20.986931929003315</c:v>
                </c:pt>
              </c:numCache>
            </c:numRef>
          </c:val>
          <c:smooth val="0"/>
          <c:extLst>
            <c:ext xmlns:c16="http://schemas.microsoft.com/office/drawing/2014/chart" uri="{C3380CC4-5D6E-409C-BE32-E72D297353CC}">
              <c16:uniqueId val="{0000000A-21BA-4DE9-B177-960F0F6251A9}"/>
            </c:ext>
          </c:extLst>
        </c:ser>
        <c:dLbls>
          <c:showLegendKey val="0"/>
          <c:showVal val="0"/>
          <c:showCatName val="0"/>
          <c:showSerName val="0"/>
          <c:showPercent val="0"/>
          <c:showBubbleSize val="0"/>
        </c:dLbls>
        <c:marker val="1"/>
        <c:smooth val="0"/>
        <c:axId val="713678408"/>
        <c:axId val="713678016"/>
      </c:lineChart>
      <c:catAx>
        <c:axId val="713673704"/>
        <c:scaling>
          <c:orientation val="minMax"/>
        </c:scaling>
        <c:delete val="0"/>
        <c:axPos val="b"/>
        <c:numFmt formatCode="@" sourceLinked="0"/>
        <c:majorTickMark val="out"/>
        <c:minorTickMark val="none"/>
        <c:tickLblPos val="low"/>
        <c:spPr>
          <a:noFill/>
          <a:ln w="9525"/>
          <a:effectLst/>
        </c:spPr>
        <c:txPr>
          <a:bodyPr rot="0" vert="horz"/>
          <a:lstStyle/>
          <a:p>
            <a:pPr>
              <a:defRPr sz="700"/>
            </a:pPr>
            <a:endParaRPr lang="en-US"/>
          </a:p>
        </c:txPr>
        <c:crossAx val="713677624"/>
        <c:crosses val="autoZero"/>
        <c:auto val="0"/>
        <c:lblAlgn val="ctr"/>
        <c:lblOffset val="0"/>
        <c:tickMarkSkip val="1"/>
        <c:noMultiLvlLbl val="1"/>
      </c:catAx>
      <c:valAx>
        <c:axId val="713677624"/>
        <c:scaling>
          <c:orientation val="minMax"/>
          <c:max val="15"/>
          <c:min val="0"/>
        </c:scaling>
        <c:delete val="0"/>
        <c:axPos val="l"/>
        <c:numFmt formatCode="#,##0" sourceLinked="0"/>
        <c:majorTickMark val="out"/>
        <c:minorTickMark val="none"/>
        <c:tickLblPos val="nextTo"/>
        <c:spPr>
          <a:noFill/>
          <a:ln w="9525" cap="flat" cmpd="sng" algn="ctr">
            <a:noFill/>
            <a:prstDash val="solid"/>
            <a:round/>
          </a:ln>
          <a:effectLst/>
        </c:spPr>
        <c:txPr>
          <a:bodyPr rot="0"/>
          <a:lstStyle/>
          <a:p>
            <a:pPr>
              <a:defRPr/>
            </a:pPr>
            <a:endParaRPr lang="en-US"/>
          </a:p>
        </c:txPr>
        <c:crossAx val="713673704"/>
        <c:crosses val="autoZero"/>
        <c:crossBetween val="between"/>
        <c:majorUnit val="5"/>
      </c:valAx>
      <c:valAx>
        <c:axId val="713678016"/>
        <c:scaling>
          <c:orientation val="minMax"/>
          <c:max val="150"/>
          <c:min val="0"/>
        </c:scaling>
        <c:delete val="0"/>
        <c:axPos val="r"/>
        <c:numFmt formatCode="0" sourceLinked="1"/>
        <c:majorTickMark val="out"/>
        <c:minorTickMark val="none"/>
        <c:tickLblPos val="nextTo"/>
        <c:spPr>
          <a:ln>
            <a:noFill/>
          </a:ln>
        </c:spPr>
        <c:crossAx val="713678408"/>
        <c:crosses val="max"/>
        <c:crossBetween val="between"/>
        <c:majorUnit val="50"/>
      </c:valAx>
      <c:catAx>
        <c:axId val="713678408"/>
        <c:scaling>
          <c:orientation val="minMax"/>
        </c:scaling>
        <c:delete val="1"/>
        <c:axPos val="b"/>
        <c:numFmt formatCode="General" sourceLinked="1"/>
        <c:majorTickMark val="out"/>
        <c:minorTickMark val="none"/>
        <c:tickLblPos val="nextTo"/>
        <c:crossAx val="713678016"/>
        <c:crosses val="autoZero"/>
        <c:auto val="1"/>
        <c:lblAlgn val="ctr"/>
        <c:lblOffset val="100"/>
        <c:noMultiLvlLbl val="0"/>
      </c:catAx>
      <c:spPr>
        <a:noFill/>
        <a:ln>
          <a:noFill/>
        </a:ln>
        <a:effectLst/>
      </c:spPr>
    </c:plotArea>
    <c:legend>
      <c:legendPos val="r"/>
      <c:legendEntry>
        <c:idx val="1"/>
        <c:delete val="1"/>
      </c:legendEntry>
      <c:layout>
        <c:manualLayout>
          <c:xMode val="edge"/>
          <c:yMode val="edge"/>
          <c:x val="7.3069444197579145E-2"/>
          <c:y val="4.7491821534657482E-2"/>
          <c:w val="0.86367039334530138"/>
          <c:h val="0.14955699907842362"/>
        </c:manualLayout>
      </c:layout>
      <c:overlay val="0"/>
      <c:txPr>
        <a:bodyPr/>
        <a:lstStyle/>
        <a:p>
          <a:pPr>
            <a:defRPr sz="700"/>
          </a:pPr>
          <a:endParaRPr lang="en-US"/>
        </a:p>
      </c:txPr>
    </c:legend>
    <c:plotVisOnly val="1"/>
    <c:dispBlanksAs val="gap"/>
    <c:showDLblsOverMax val="0"/>
  </c:chart>
  <c:spPr>
    <a:noFill/>
    <a:ln w="9525" cap="flat" cmpd="sng" algn="ctr">
      <a:noFill/>
      <a:prstDash val="solid"/>
      <a:round/>
    </a:ln>
    <a:effectLst/>
  </c:spPr>
  <c:txPr>
    <a:bodyPr/>
    <a:lstStyle/>
    <a:p>
      <a:pPr>
        <a:defRPr sz="800">
          <a:latin typeface="Segoe UI Light" panose="020B0502040204020203" pitchFamily="34" charset="0"/>
          <a:cs typeface="Segoe UI Light" panose="020B0502040204020203" pitchFamily="34" charset="0"/>
        </a:defRPr>
      </a:pPr>
      <a:endParaRPr lang="en-US"/>
    </a:p>
  </c:txPr>
  <c:externalData r:id="rId2">
    <c:autoUpdate val="0"/>
  </c:externalData>
  <c:userShapes r:id="rId3"/>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51CE-486F-9D69-F4EB6478D839}"/>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51CE-486F-9D69-F4EB6478D839}"/>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83.330390556491821</c:v>
                </c:pt>
                <c:pt idx="1">
                  <c:v>94.742105817875895</c:v>
                </c:pt>
              </c:numCache>
            </c:numRef>
          </c:val>
          <c:extLst>
            <c:ext xmlns:c16="http://schemas.microsoft.com/office/drawing/2014/chart" uri="{C3380CC4-5D6E-409C-BE32-E72D297353CC}">
              <c16:uniqueId val="{00000003-51CE-486F-9D69-F4EB6478D839}"/>
            </c:ext>
          </c:extLst>
        </c:ser>
        <c:dLbls>
          <c:showLegendKey val="0"/>
          <c:showVal val="1"/>
          <c:showCatName val="0"/>
          <c:showSerName val="0"/>
          <c:showPercent val="0"/>
          <c:showBubbleSize val="0"/>
        </c:dLbls>
        <c:gapWidth val="50"/>
        <c:overlap val="88"/>
        <c:axId val="746210560"/>
        <c:axId val="746212520"/>
      </c:barChart>
      <c:catAx>
        <c:axId val="746210560"/>
        <c:scaling>
          <c:orientation val="minMax"/>
        </c:scaling>
        <c:delete val="0"/>
        <c:axPos val="b"/>
        <c:numFmt formatCode="General" sourceLinked="1"/>
        <c:majorTickMark val="out"/>
        <c:minorTickMark val="none"/>
        <c:tickLblPos val="nextTo"/>
        <c:crossAx val="746212520"/>
        <c:crosses val="autoZero"/>
        <c:auto val="0"/>
        <c:lblAlgn val="ctr"/>
        <c:lblOffset val="100"/>
        <c:tickLblSkip val="1"/>
        <c:tickMarkSkip val="1"/>
        <c:noMultiLvlLbl val="0"/>
      </c:catAx>
      <c:valAx>
        <c:axId val="746212520"/>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74621056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BD1C-4532-97AF-51CD6B0E5C7B}"/>
              </c:ext>
            </c:extLst>
          </c:dPt>
          <c:dPt>
            <c:idx val="1"/>
            <c:bubble3D val="0"/>
            <c:spPr>
              <a:solidFill>
                <a:srgbClr val="92B7C4"/>
              </a:solidFill>
              <a:ln w="3175">
                <a:noFill/>
              </a:ln>
            </c:spPr>
            <c:extLst>
              <c:ext xmlns:c16="http://schemas.microsoft.com/office/drawing/2014/chart" uri="{C3380CC4-5D6E-409C-BE32-E72D297353CC}">
                <c16:uniqueId val="{00000003-BD1C-4532-97AF-51CD6B0E5C7B}"/>
              </c:ext>
            </c:extLst>
          </c:dPt>
          <c:dLbls>
            <c:dLbl>
              <c:idx val="0"/>
              <c:layout>
                <c:manualLayout>
                  <c:x val="0.13176489793650076"/>
                  <c:y val="3.087781208645787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D1C-4532-97AF-51CD6B0E5C7B}"/>
                </c:ext>
              </c:extLst>
            </c:dLbl>
            <c:dLbl>
              <c:idx val="1"/>
              <c:delete val="1"/>
              <c:extLst>
                <c:ext xmlns:c15="http://schemas.microsoft.com/office/drawing/2012/chart" uri="{CE6537A1-D6FC-4f65-9D91-7224C49458BB}"/>
                <c:ext xmlns:c16="http://schemas.microsoft.com/office/drawing/2014/chart" uri="{C3380CC4-5D6E-409C-BE32-E72D297353CC}">
                  <c16:uniqueId val="{00000003-BD1C-4532-97AF-51CD6B0E5C7B}"/>
                </c:ext>
              </c:extLst>
            </c:dLbl>
            <c:spPr>
              <a:noFill/>
              <a:ln>
                <a:noFill/>
              </a:ln>
              <a:effectLst/>
            </c:spPr>
            <c:txPr>
              <a:bodyPr/>
              <a:lstStyle/>
              <a:p>
                <a:pPr>
                  <a:defRPr>
                    <a:solidFill>
                      <a:sysClr val="windowText" lastClr="000000"/>
                    </a:solidFill>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4.3012839592363479</c:v>
                </c:pt>
                <c:pt idx="1">
                  <c:v>95.698716040763657</c:v>
                </c:pt>
              </c:numCache>
            </c:numRef>
          </c:val>
          <c:extLst>
            <c:ext xmlns:c16="http://schemas.microsoft.com/office/drawing/2014/chart" uri="{C3380CC4-5D6E-409C-BE32-E72D297353CC}">
              <c16:uniqueId val="{00000004-BD1C-4532-97AF-51CD6B0E5C7B}"/>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50</c:v>
                </c:pt>
                <c:pt idx="15">
                  <c:v>50</c:v>
                </c:pt>
              </c:numCache>
            </c:numRef>
          </c:val>
          <c:extLst>
            <c:ext xmlns:c16="http://schemas.microsoft.com/office/drawing/2014/chart" uri="{C3380CC4-5D6E-409C-BE32-E72D297353CC}">
              <c16:uniqueId val="{00000000-D69A-4910-B033-E5352B1BFC16}"/>
            </c:ext>
          </c:extLst>
        </c:ser>
        <c:dLbls>
          <c:showLegendKey val="0"/>
          <c:showVal val="0"/>
          <c:showCatName val="0"/>
          <c:showSerName val="0"/>
          <c:showPercent val="0"/>
          <c:showBubbleSize val="0"/>
        </c:dLbls>
        <c:gapWidth val="0"/>
        <c:axId val="746214872"/>
        <c:axId val="74621369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D69A-4910-B033-E5352B1BFC16}"/>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20.455820341720077</c:v>
                </c:pt>
                <c:pt idx="1">
                  <c:v>20.370784458860026</c:v>
                </c:pt>
                <c:pt idx="2">
                  <c:v>20.325535281540354</c:v>
                </c:pt>
                <c:pt idx="3">
                  <c:v>20.306614879179357</c:v>
                </c:pt>
                <c:pt idx="4">
                  <c:v>20.352562227387331</c:v>
                </c:pt>
                <c:pt idx="5">
                  <c:v>20.409282810714966</c:v>
                </c:pt>
                <c:pt idx="6">
                  <c:v>20.463736585453347</c:v>
                </c:pt>
                <c:pt idx="7">
                  <c:v>20.444119032820431</c:v>
                </c:pt>
                <c:pt idx="8">
                  <c:v>20.409477879170868</c:v>
                </c:pt>
                <c:pt idx="9">
                  <c:v>20.403286535987935</c:v>
                </c:pt>
                <c:pt idx="10">
                  <c:v>20.405958961609397</c:v>
                </c:pt>
                <c:pt idx="11">
                  <c:v>20.376820514356154</c:v>
                </c:pt>
                <c:pt idx="12">
                  <c:v>20.345203610490397</c:v>
                </c:pt>
                <c:pt idx="13">
                  <c:v>20.317704926919642</c:v>
                </c:pt>
                <c:pt idx="14">
                  <c:v>20.284914019074524</c:v>
                </c:pt>
                <c:pt idx="15">
                  <c:v>20.257953519425005</c:v>
                </c:pt>
              </c:numCache>
            </c:numRef>
          </c:val>
          <c:smooth val="0"/>
          <c:extLst>
            <c:ext xmlns:c16="http://schemas.microsoft.com/office/drawing/2014/chart" uri="{C3380CC4-5D6E-409C-BE32-E72D297353CC}">
              <c16:uniqueId val="{00000003-D69A-4910-B033-E5352B1BFC16}"/>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22.233506811042105</c:v>
                </c:pt>
                <c:pt idx="1">
                  <c:v>21.531450936007232</c:v>
                </c:pt>
                <c:pt idx="2">
                  <c:v>20.8132708562555</c:v>
                </c:pt>
                <c:pt idx="3">
                  <c:v>20.141070685083005</c:v>
                </c:pt>
                <c:pt idx="4">
                  <c:v>19.445491974962849</c:v>
                </c:pt>
                <c:pt idx="5">
                  <c:v>18.800279536884066</c:v>
                </c:pt>
                <c:pt idx="6">
                  <c:v>18.161297642187161</c:v>
                </c:pt>
                <c:pt idx="7">
                  <c:v>17.5081781947897</c:v>
                </c:pt>
                <c:pt idx="8">
                  <c:v>16.878170655422014</c:v>
                </c:pt>
                <c:pt idx="9">
                  <c:v>16.299140328515463</c:v>
                </c:pt>
                <c:pt idx="10">
                  <c:v>15.766773910369688</c:v>
                </c:pt>
                <c:pt idx="11">
                  <c:v>15.246082912082345</c:v>
                </c:pt>
                <c:pt idx="12">
                  <c:v>14.747212382283426</c:v>
                </c:pt>
                <c:pt idx="13">
                  <c:v>14.254705563600336</c:v>
                </c:pt>
                <c:pt idx="14">
                  <c:v>13.771818443043022</c:v>
                </c:pt>
                <c:pt idx="15">
                  <c:v>13.306817915813431</c:v>
                </c:pt>
              </c:numCache>
            </c:numRef>
          </c:val>
          <c:smooth val="0"/>
          <c:extLst>
            <c:ext xmlns:c16="http://schemas.microsoft.com/office/drawing/2014/chart" uri="{C3380CC4-5D6E-409C-BE32-E72D297353CC}">
              <c16:uniqueId val="{00000004-D69A-4910-B033-E5352B1BFC16}"/>
            </c:ext>
          </c:extLst>
        </c:ser>
        <c:dLbls>
          <c:showLegendKey val="0"/>
          <c:showVal val="0"/>
          <c:showCatName val="0"/>
          <c:showSerName val="0"/>
          <c:showPercent val="0"/>
          <c:showBubbleSize val="0"/>
        </c:dLbls>
        <c:marker val="1"/>
        <c:smooth val="0"/>
        <c:axId val="746214872"/>
        <c:axId val="746213696"/>
      </c:lineChart>
      <c:catAx>
        <c:axId val="746214872"/>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213696"/>
        <c:crosses val="autoZero"/>
        <c:auto val="1"/>
        <c:lblAlgn val="ctr"/>
        <c:lblOffset val="100"/>
        <c:noMultiLvlLbl val="0"/>
      </c:catAx>
      <c:valAx>
        <c:axId val="746213696"/>
        <c:scaling>
          <c:orientation val="minMax"/>
          <c:max val="40"/>
          <c:min val="10"/>
        </c:scaling>
        <c:delete val="0"/>
        <c:axPos val="l"/>
        <c:numFmt formatCode="General" sourceLinked="1"/>
        <c:majorTickMark val="out"/>
        <c:minorTickMark val="none"/>
        <c:tickLblPos val="nextTo"/>
        <c:crossAx val="746214872"/>
        <c:crosses val="autoZero"/>
        <c:crossBetween val="between"/>
        <c:majorUnit val="10"/>
      </c:valAx>
      <c:spPr>
        <a:solidFill>
          <a:srgbClr val="FFFFFF"/>
        </a:solidFill>
      </c:spPr>
    </c:plotArea>
    <c:legend>
      <c:legendPos val="l"/>
      <c:legendEntry>
        <c:idx val="0"/>
        <c:delete val="1"/>
      </c:legendEntry>
      <c:layout>
        <c:manualLayout>
          <c:xMode val="edge"/>
          <c:yMode val="edge"/>
          <c:x val="0.51579219151201761"/>
          <c:y val="9.7668360488904482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0FD4-4DFB-9AC4-39D05AC8BF48}"/>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0FD4-4DFB-9AC4-39D05AC8BF48}"/>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116.36896650414516</c:v>
                </c:pt>
                <c:pt idx="1">
                  <c:v>108.55840079757439</c:v>
                </c:pt>
              </c:numCache>
            </c:numRef>
          </c:val>
          <c:extLst>
            <c:ext xmlns:c16="http://schemas.microsoft.com/office/drawing/2014/chart" uri="{C3380CC4-5D6E-409C-BE32-E72D297353CC}">
              <c16:uniqueId val="{00000003-0FD4-4DFB-9AC4-39D05AC8BF48}"/>
            </c:ext>
          </c:extLst>
        </c:ser>
        <c:dLbls>
          <c:showLegendKey val="0"/>
          <c:showVal val="1"/>
          <c:showCatName val="0"/>
          <c:showSerName val="0"/>
          <c:showPercent val="0"/>
          <c:showBubbleSize val="0"/>
        </c:dLbls>
        <c:gapWidth val="50"/>
        <c:overlap val="88"/>
        <c:axId val="746210952"/>
        <c:axId val="746215656"/>
      </c:barChart>
      <c:catAx>
        <c:axId val="746210952"/>
        <c:scaling>
          <c:orientation val="minMax"/>
        </c:scaling>
        <c:delete val="0"/>
        <c:axPos val="b"/>
        <c:numFmt formatCode="General" sourceLinked="1"/>
        <c:majorTickMark val="out"/>
        <c:minorTickMark val="none"/>
        <c:tickLblPos val="nextTo"/>
        <c:crossAx val="746215656"/>
        <c:crosses val="autoZero"/>
        <c:auto val="0"/>
        <c:lblAlgn val="ctr"/>
        <c:lblOffset val="100"/>
        <c:tickLblSkip val="1"/>
        <c:tickMarkSkip val="1"/>
        <c:noMultiLvlLbl val="0"/>
      </c:catAx>
      <c:valAx>
        <c:axId val="746215656"/>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7462109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006666"/>
            </a:solidFill>
            <a:ln w="3175">
              <a:noFill/>
            </a:ln>
          </c:spPr>
          <c:explosion val="5"/>
          <c:dPt>
            <c:idx val="0"/>
            <c:bubble3D val="0"/>
            <c:extLst>
              <c:ext xmlns:c16="http://schemas.microsoft.com/office/drawing/2014/chart" uri="{C3380CC4-5D6E-409C-BE32-E72D297353CC}">
                <c16:uniqueId val="{00000001-5AE7-48A0-86C1-FF94221AEA5F}"/>
              </c:ext>
            </c:extLst>
          </c:dPt>
          <c:dPt>
            <c:idx val="1"/>
            <c:bubble3D val="0"/>
            <c:spPr>
              <a:solidFill>
                <a:srgbClr val="92B7C4"/>
              </a:solidFill>
              <a:ln w="3175">
                <a:noFill/>
              </a:ln>
            </c:spPr>
            <c:extLst>
              <c:ext xmlns:c16="http://schemas.microsoft.com/office/drawing/2014/chart" uri="{C3380CC4-5D6E-409C-BE32-E72D297353CC}">
                <c16:uniqueId val="{00000003-5AE7-48A0-86C1-FF94221AEA5F}"/>
              </c:ext>
            </c:extLst>
          </c:dPt>
          <c:dLbls>
            <c:dLbl>
              <c:idx val="1"/>
              <c:delete val="1"/>
              <c:extLst>
                <c:ext xmlns:c15="http://schemas.microsoft.com/office/drawing/2012/chart" uri="{CE6537A1-D6FC-4f65-9D91-7224C49458BB}"/>
                <c:ext xmlns:c16="http://schemas.microsoft.com/office/drawing/2014/chart" uri="{C3380CC4-5D6E-409C-BE32-E72D297353CC}">
                  <c16:uniqueId val="{00000003-5AE7-48A0-86C1-FF94221AEA5F}"/>
                </c:ext>
              </c:extLst>
            </c:dLbl>
            <c:spPr>
              <a:noFill/>
              <a:ln>
                <a:noFill/>
              </a:ln>
              <a:effectLst/>
            </c:spPr>
            <c:txPr>
              <a:bodyPr/>
              <a:lstStyle/>
              <a:p>
                <a:pPr>
                  <a:defRPr>
                    <a:solidFill>
                      <a:sysClr val="windowText" lastClr="000000"/>
                    </a:solidFill>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1.1870340480394712</c:v>
                </c:pt>
                <c:pt idx="1">
                  <c:v>98.812965951960535</c:v>
                </c:pt>
              </c:numCache>
            </c:numRef>
          </c:val>
          <c:extLst>
            <c:ext xmlns:c16="http://schemas.microsoft.com/office/drawing/2014/chart" uri="{C3380CC4-5D6E-409C-BE32-E72D297353CC}">
              <c16:uniqueId val="{00000004-5AE7-48A0-86C1-FF94221AEA5F}"/>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20</c:v>
                </c:pt>
                <c:pt idx="15">
                  <c:v>20</c:v>
                </c:pt>
              </c:numCache>
            </c:numRef>
          </c:val>
          <c:extLst>
            <c:ext xmlns:c16="http://schemas.microsoft.com/office/drawing/2014/chart" uri="{C3380CC4-5D6E-409C-BE32-E72D297353CC}">
              <c16:uniqueId val="{00000000-F191-4430-A358-19E00FEA54EA}"/>
            </c:ext>
          </c:extLst>
        </c:ser>
        <c:dLbls>
          <c:showLegendKey val="0"/>
          <c:showVal val="0"/>
          <c:showCatName val="0"/>
          <c:showSerName val="0"/>
          <c:showPercent val="0"/>
          <c:showBubbleSize val="0"/>
        </c:dLbls>
        <c:gapWidth val="0"/>
        <c:axId val="746209384"/>
        <c:axId val="74621016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F191-4430-A358-19E00FEA54EA}"/>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4.6524377901904534</c:v>
                </c:pt>
                <c:pt idx="1">
                  <c:v>4.7787417786284569</c:v>
                </c:pt>
                <c:pt idx="2">
                  <c:v>4.9878532810506417</c:v>
                </c:pt>
                <c:pt idx="3">
                  <c:v>5.1881360521469668</c:v>
                </c:pt>
                <c:pt idx="4">
                  <c:v>5.4182204068817681</c:v>
                </c:pt>
                <c:pt idx="5">
                  <c:v>5.6747976162398812</c:v>
                </c:pt>
                <c:pt idx="6">
                  <c:v>5.9288358801682444</c:v>
                </c:pt>
                <c:pt idx="7">
                  <c:v>6.1546427631116529</c:v>
                </c:pt>
                <c:pt idx="8">
                  <c:v>6.375973561974547</c:v>
                </c:pt>
                <c:pt idx="9">
                  <c:v>6.6069773243640322</c:v>
                </c:pt>
                <c:pt idx="10">
                  <c:v>6.8496279874840944</c:v>
                </c:pt>
                <c:pt idx="11">
                  <c:v>7.0863138144029207</c:v>
                </c:pt>
                <c:pt idx="12">
                  <c:v>7.3243867128905222</c:v>
                </c:pt>
                <c:pt idx="13">
                  <c:v>7.5687074277422361</c:v>
                </c:pt>
                <c:pt idx="14">
                  <c:v>7.8165111288817863</c:v>
                </c:pt>
                <c:pt idx="15">
                  <c:v>8.072041163232905</c:v>
                </c:pt>
              </c:numCache>
            </c:numRef>
          </c:val>
          <c:smooth val="0"/>
          <c:extLst>
            <c:ext xmlns:c16="http://schemas.microsoft.com/office/drawing/2014/chart" uri="{C3380CC4-5D6E-409C-BE32-E72D297353CC}">
              <c16:uniqueId val="{00000003-F191-4430-A358-19E00FEA54EA}"/>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4.9027836789442034</c:v>
                </c:pt>
                <c:pt idx="1">
                  <c:v>4.9582975038990842</c:v>
                </c:pt>
                <c:pt idx="2">
                  <c:v>5.0167573982164653</c:v>
                </c:pt>
                <c:pt idx="3">
                  <c:v>5.0748248916009047</c:v>
                </c:pt>
                <c:pt idx="4">
                  <c:v>5.1268637616010713</c:v>
                </c:pt>
                <c:pt idx="5">
                  <c:v>5.1883512305714472</c:v>
                </c:pt>
                <c:pt idx="6">
                  <c:v>5.279898041790652</c:v>
                </c:pt>
                <c:pt idx="7">
                  <c:v>5.4100116149819026</c:v>
                </c:pt>
                <c:pt idx="8">
                  <c:v>5.5929226648476709</c:v>
                </c:pt>
                <c:pt idx="9">
                  <c:v>5.8363218769378555</c:v>
                </c:pt>
                <c:pt idx="10">
                  <c:v>6.1179664591273033</c:v>
                </c:pt>
                <c:pt idx="11">
                  <c:v>6.4101451541036631</c:v>
                </c:pt>
                <c:pt idx="12">
                  <c:v>6.6945009990798408</c:v>
                </c:pt>
                <c:pt idx="13">
                  <c:v>6.9474455199449041</c:v>
                </c:pt>
                <c:pt idx="14">
                  <c:v>7.1721519807980627</c:v>
                </c:pt>
                <c:pt idx="15">
                  <c:v>7.3695727110501892</c:v>
                </c:pt>
              </c:numCache>
            </c:numRef>
          </c:val>
          <c:smooth val="0"/>
          <c:extLst>
            <c:ext xmlns:c16="http://schemas.microsoft.com/office/drawing/2014/chart" uri="{C3380CC4-5D6E-409C-BE32-E72D297353CC}">
              <c16:uniqueId val="{00000004-F191-4430-A358-19E00FEA54EA}"/>
            </c:ext>
          </c:extLst>
        </c:ser>
        <c:dLbls>
          <c:showLegendKey val="0"/>
          <c:showVal val="0"/>
          <c:showCatName val="0"/>
          <c:showSerName val="0"/>
          <c:showPercent val="0"/>
          <c:showBubbleSize val="0"/>
        </c:dLbls>
        <c:marker val="1"/>
        <c:smooth val="0"/>
        <c:axId val="746209384"/>
        <c:axId val="746210168"/>
      </c:lineChart>
      <c:catAx>
        <c:axId val="746209384"/>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210168"/>
        <c:crosses val="autoZero"/>
        <c:auto val="1"/>
        <c:lblAlgn val="ctr"/>
        <c:lblOffset val="100"/>
        <c:noMultiLvlLbl val="0"/>
      </c:catAx>
      <c:valAx>
        <c:axId val="746210168"/>
        <c:scaling>
          <c:orientation val="minMax"/>
          <c:max val="12"/>
          <c:min val="2"/>
        </c:scaling>
        <c:delete val="0"/>
        <c:axPos val="l"/>
        <c:numFmt formatCode="General" sourceLinked="1"/>
        <c:majorTickMark val="out"/>
        <c:minorTickMark val="none"/>
        <c:tickLblPos val="nextTo"/>
        <c:crossAx val="746209384"/>
        <c:crosses val="autoZero"/>
        <c:crossBetween val="between"/>
        <c:majorUnit val="2"/>
      </c:valAx>
      <c:spPr>
        <a:solidFill>
          <a:srgbClr val="FFFFFF"/>
        </a:solidFill>
      </c:spPr>
    </c:plotArea>
    <c:legend>
      <c:legendPos val="l"/>
      <c:legendEntry>
        <c:idx val="0"/>
        <c:delete val="1"/>
      </c:legendEntry>
      <c:layout>
        <c:manualLayout>
          <c:xMode val="edge"/>
          <c:yMode val="edge"/>
          <c:x val="0.5067465108245458"/>
          <c:y val="8.0023896439499975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78B1-4A08-AE3F-70A509A4CC0D}"/>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78B1-4A08-AE3F-70A509A4CC0D}"/>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99.987431235924191</c:v>
                </c:pt>
                <c:pt idx="1">
                  <c:v>109.37574123359526</c:v>
                </c:pt>
              </c:numCache>
            </c:numRef>
          </c:val>
          <c:extLst>
            <c:ext xmlns:c16="http://schemas.microsoft.com/office/drawing/2014/chart" uri="{C3380CC4-5D6E-409C-BE32-E72D297353CC}">
              <c16:uniqueId val="{00000003-78B1-4A08-AE3F-70A509A4CC0D}"/>
            </c:ext>
          </c:extLst>
        </c:ser>
        <c:dLbls>
          <c:showLegendKey val="0"/>
          <c:showVal val="1"/>
          <c:showCatName val="0"/>
          <c:showSerName val="0"/>
          <c:showPercent val="0"/>
          <c:showBubbleSize val="0"/>
        </c:dLbls>
        <c:gapWidth val="50"/>
        <c:overlap val="88"/>
        <c:axId val="746188608"/>
        <c:axId val="746184296"/>
      </c:barChart>
      <c:catAx>
        <c:axId val="746188608"/>
        <c:scaling>
          <c:orientation val="minMax"/>
        </c:scaling>
        <c:delete val="0"/>
        <c:axPos val="b"/>
        <c:numFmt formatCode="General" sourceLinked="1"/>
        <c:majorTickMark val="out"/>
        <c:minorTickMark val="none"/>
        <c:tickLblPos val="nextTo"/>
        <c:crossAx val="746184296"/>
        <c:crosses val="autoZero"/>
        <c:auto val="0"/>
        <c:lblAlgn val="ctr"/>
        <c:lblOffset val="100"/>
        <c:tickLblSkip val="1"/>
        <c:tickMarkSkip val="1"/>
        <c:noMultiLvlLbl val="0"/>
      </c:catAx>
      <c:valAx>
        <c:axId val="746184296"/>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746188608"/>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A875-4DD2-9FE1-D05AE985213C}"/>
              </c:ext>
            </c:extLst>
          </c:dPt>
          <c:dPt>
            <c:idx val="1"/>
            <c:bubble3D val="0"/>
            <c:spPr>
              <a:solidFill>
                <a:srgbClr val="92B7C4"/>
              </a:solidFill>
              <a:ln w="3175">
                <a:noFill/>
              </a:ln>
            </c:spPr>
            <c:extLst>
              <c:ext xmlns:c16="http://schemas.microsoft.com/office/drawing/2014/chart" uri="{C3380CC4-5D6E-409C-BE32-E72D297353CC}">
                <c16:uniqueId val="{00000003-A875-4DD2-9FE1-D05AE985213C}"/>
              </c:ext>
            </c:extLst>
          </c:dPt>
          <c:dLbls>
            <c:dLbl>
              <c:idx val="1"/>
              <c:delete val="1"/>
              <c:extLst>
                <c:ext xmlns:c15="http://schemas.microsoft.com/office/drawing/2012/chart" uri="{CE6537A1-D6FC-4f65-9D91-7224C49458BB}"/>
                <c:ext xmlns:c16="http://schemas.microsoft.com/office/drawing/2014/chart" uri="{C3380CC4-5D6E-409C-BE32-E72D297353CC}">
                  <c16:uniqueId val="{00000003-A875-4DD2-9FE1-D05AE985213C}"/>
                </c:ext>
              </c:extLst>
            </c:dLbl>
            <c:spPr>
              <a:noFill/>
              <a:ln>
                <a:noFill/>
              </a:ln>
              <a:effectLst/>
            </c:spPr>
            <c:txPr>
              <a:bodyPr/>
              <a:lstStyle/>
              <a:p>
                <a:pPr>
                  <a:defRPr>
                    <a:solidFill>
                      <a:schemeClr val="bg1"/>
                    </a:solidFill>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20.729183480958504</c:v>
                </c:pt>
                <c:pt idx="1">
                  <c:v>79.270816519041489</c:v>
                </c:pt>
              </c:numCache>
            </c:numRef>
          </c:val>
          <c:extLst>
            <c:ext xmlns:c16="http://schemas.microsoft.com/office/drawing/2014/chart" uri="{C3380CC4-5D6E-409C-BE32-E72D297353CC}">
              <c16:uniqueId val="{00000004-A875-4DD2-9FE1-D05AE985213C}"/>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300</c:v>
                </c:pt>
                <c:pt idx="15">
                  <c:v>300</c:v>
                </c:pt>
              </c:numCache>
            </c:numRef>
          </c:val>
          <c:extLst>
            <c:ext xmlns:c16="http://schemas.microsoft.com/office/drawing/2014/chart" uri="{C3380CC4-5D6E-409C-BE32-E72D297353CC}">
              <c16:uniqueId val="{00000000-617B-4809-9AA2-A26F16BEC49B}"/>
            </c:ext>
          </c:extLst>
        </c:ser>
        <c:dLbls>
          <c:showLegendKey val="0"/>
          <c:showVal val="0"/>
          <c:showCatName val="0"/>
          <c:showSerName val="0"/>
          <c:showPercent val="0"/>
          <c:showBubbleSize val="0"/>
        </c:dLbls>
        <c:gapWidth val="0"/>
        <c:axId val="746191352"/>
        <c:axId val="74618664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617B-4809-9AA2-A26F16BEC49B}"/>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100.77840559307931</c:v>
                </c:pt>
                <c:pt idx="1">
                  <c:v>102.59967866711574</c:v>
                </c:pt>
                <c:pt idx="2">
                  <c:v>105.4036703671502</c:v>
                </c:pt>
                <c:pt idx="3">
                  <c:v>108.47546007842801</c:v>
                </c:pt>
                <c:pt idx="4">
                  <c:v>111.14942585290181</c:v>
                </c:pt>
                <c:pt idx="5">
                  <c:v>114.1022810213429</c:v>
                </c:pt>
                <c:pt idx="6">
                  <c:v>115.58843549793183</c:v>
                </c:pt>
                <c:pt idx="7">
                  <c:v>116.71221358326288</c:v>
                </c:pt>
                <c:pt idx="8">
                  <c:v>117.55661124484648</c:v>
                </c:pt>
                <c:pt idx="9">
                  <c:v>118.76911985664204</c:v>
                </c:pt>
                <c:pt idx="10">
                  <c:v>119.92795042559599</c:v>
                </c:pt>
                <c:pt idx="11">
                  <c:v>121.04736397829012</c:v>
                </c:pt>
                <c:pt idx="12">
                  <c:v>122.24153009323101</c:v>
                </c:pt>
                <c:pt idx="13">
                  <c:v>123.43520684200274</c:v>
                </c:pt>
                <c:pt idx="14">
                  <c:v>124.61885129170375</c:v>
                </c:pt>
                <c:pt idx="15">
                  <c:v>125.66493064489251</c:v>
                </c:pt>
              </c:numCache>
            </c:numRef>
          </c:val>
          <c:smooth val="0"/>
          <c:extLst>
            <c:ext xmlns:c16="http://schemas.microsoft.com/office/drawing/2014/chart" uri="{C3380CC4-5D6E-409C-BE32-E72D297353CC}">
              <c16:uniqueId val="{00000003-617B-4809-9AA2-A26F16BEC49B}"/>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108.59389291243377</c:v>
                </c:pt>
                <c:pt idx="1">
                  <c:v>104.09995193216263</c:v>
                </c:pt>
                <c:pt idx="2">
                  <c:v>100.08276571095423</c:v>
                </c:pt>
                <c:pt idx="3">
                  <c:v>96.632551170305632</c:v>
                </c:pt>
                <c:pt idx="4">
                  <c:v>93.38848092288174</c:v>
                </c:pt>
                <c:pt idx="5">
                  <c:v>90.604212069404866</c:v>
                </c:pt>
                <c:pt idx="6">
                  <c:v>87.923917444722235</c:v>
                </c:pt>
                <c:pt idx="7">
                  <c:v>85.204866408030128</c:v>
                </c:pt>
                <c:pt idx="8">
                  <c:v>82.745053894967967</c:v>
                </c:pt>
                <c:pt idx="9">
                  <c:v>80.797610314219369</c:v>
                </c:pt>
                <c:pt idx="10">
                  <c:v>79.262453677032738</c:v>
                </c:pt>
                <c:pt idx="11">
                  <c:v>77.860674467333993</c:v>
                </c:pt>
                <c:pt idx="12">
                  <c:v>76.508762995514417</c:v>
                </c:pt>
                <c:pt idx="13">
                  <c:v>75.072781331378764</c:v>
                </c:pt>
                <c:pt idx="14">
                  <c:v>73.586711738127178</c:v>
                </c:pt>
                <c:pt idx="15">
                  <c:v>72.109293203666283</c:v>
                </c:pt>
              </c:numCache>
            </c:numRef>
          </c:val>
          <c:smooth val="0"/>
          <c:extLst>
            <c:ext xmlns:c16="http://schemas.microsoft.com/office/drawing/2014/chart" uri="{C3380CC4-5D6E-409C-BE32-E72D297353CC}">
              <c16:uniqueId val="{00000004-617B-4809-9AA2-A26F16BEC49B}"/>
            </c:ext>
          </c:extLst>
        </c:ser>
        <c:dLbls>
          <c:showLegendKey val="0"/>
          <c:showVal val="0"/>
          <c:showCatName val="0"/>
          <c:showSerName val="0"/>
          <c:showPercent val="0"/>
          <c:showBubbleSize val="0"/>
        </c:dLbls>
        <c:marker val="1"/>
        <c:smooth val="0"/>
        <c:axId val="746191352"/>
        <c:axId val="746186648"/>
      </c:lineChart>
      <c:catAx>
        <c:axId val="746191352"/>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186648"/>
        <c:crosses val="autoZero"/>
        <c:auto val="1"/>
        <c:lblAlgn val="ctr"/>
        <c:lblOffset val="100"/>
        <c:noMultiLvlLbl val="0"/>
      </c:catAx>
      <c:valAx>
        <c:axId val="746186648"/>
        <c:scaling>
          <c:orientation val="minMax"/>
          <c:max val="200"/>
          <c:min val="50"/>
        </c:scaling>
        <c:delete val="0"/>
        <c:axPos val="l"/>
        <c:numFmt formatCode="General" sourceLinked="1"/>
        <c:majorTickMark val="out"/>
        <c:minorTickMark val="none"/>
        <c:tickLblPos val="nextTo"/>
        <c:crossAx val="746191352"/>
        <c:crosses val="autoZero"/>
        <c:crossBetween val="between"/>
        <c:majorUnit val="30"/>
      </c:valAx>
      <c:spPr>
        <a:solidFill>
          <a:srgbClr val="FFFFFF"/>
        </a:solidFill>
      </c:spPr>
    </c:plotArea>
    <c:legend>
      <c:legendPos val="l"/>
      <c:legendEntry>
        <c:idx val="0"/>
        <c:delete val="1"/>
      </c:legendEntry>
      <c:layout>
        <c:manualLayout>
          <c:xMode val="edge"/>
          <c:yMode val="edge"/>
          <c:x val="0.5248378721994893"/>
          <c:y val="6.237943239009546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4807-4B96-BD71-7E2CFE62F735}"/>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4807-4B96-BD71-7E2CFE62F735}"/>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126.66746180066437</c:v>
                </c:pt>
                <c:pt idx="1">
                  <c:v>125.93485271295994</c:v>
                </c:pt>
              </c:numCache>
            </c:numRef>
          </c:val>
          <c:extLst>
            <c:ext xmlns:c16="http://schemas.microsoft.com/office/drawing/2014/chart" uri="{C3380CC4-5D6E-409C-BE32-E72D297353CC}">
              <c16:uniqueId val="{00000003-4807-4B96-BD71-7E2CFE62F735}"/>
            </c:ext>
          </c:extLst>
        </c:ser>
        <c:dLbls>
          <c:showLegendKey val="0"/>
          <c:showVal val="1"/>
          <c:showCatName val="0"/>
          <c:showSerName val="0"/>
          <c:showPercent val="0"/>
          <c:showBubbleSize val="0"/>
        </c:dLbls>
        <c:gapWidth val="50"/>
        <c:overlap val="88"/>
        <c:axId val="746195664"/>
        <c:axId val="746190176"/>
      </c:barChart>
      <c:catAx>
        <c:axId val="746195664"/>
        <c:scaling>
          <c:orientation val="minMax"/>
        </c:scaling>
        <c:delete val="0"/>
        <c:axPos val="b"/>
        <c:numFmt formatCode="General" sourceLinked="1"/>
        <c:majorTickMark val="out"/>
        <c:minorTickMark val="none"/>
        <c:tickLblPos val="nextTo"/>
        <c:crossAx val="746190176"/>
        <c:crosses val="autoZero"/>
        <c:auto val="0"/>
        <c:lblAlgn val="ctr"/>
        <c:lblOffset val="100"/>
        <c:tickLblSkip val="1"/>
        <c:tickMarkSkip val="1"/>
        <c:noMultiLvlLbl val="0"/>
      </c:catAx>
      <c:valAx>
        <c:axId val="746190176"/>
        <c:scaling>
          <c:orientation val="minMax"/>
          <c:max val="18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746195664"/>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819962463986443E-2"/>
          <c:y val="7.2362979217761733E-2"/>
          <c:w val="0.86601281352721005"/>
          <c:h val="0.74022615205886144"/>
        </c:manualLayout>
      </c:layout>
      <c:lineChart>
        <c:grouping val="standard"/>
        <c:varyColors val="0"/>
        <c:ser>
          <c:idx val="0"/>
          <c:order val="0"/>
          <c:tx>
            <c:strRef>
              <c:f>Sheet1!$B$1</c:f>
              <c:strCache>
                <c:ptCount val="1"/>
                <c:pt idx="0">
                  <c:v>Aktuālo vakanču skaits</c:v>
                </c:pt>
              </c:strCache>
            </c:strRef>
          </c:tx>
          <c:spPr>
            <a:ln w="28575" cap="rnd">
              <a:solidFill>
                <a:srgbClr val="009999"/>
              </a:solidFill>
              <a:round/>
            </a:ln>
            <a:effectLst/>
          </c:spPr>
          <c:marker>
            <c:symbol val="diamond"/>
            <c:size val="7"/>
            <c:spPr>
              <a:solidFill>
                <a:srgbClr val="009999"/>
              </a:solidFill>
              <a:ln w="9525">
                <a:noFill/>
              </a:ln>
              <a:effectLst/>
            </c:spPr>
          </c:marker>
          <c:dLbls>
            <c:dLbl>
              <c:idx val="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55-41C1-85A5-6FAC8756AAFA}"/>
                </c:ext>
              </c:extLst>
            </c:dLbl>
            <c:dLbl>
              <c:idx val="4"/>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55-41C1-85A5-6FAC8756AAFA}"/>
                </c:ext>
              </c:extLst>
            </c:dLbl>
            <c:dLbl>
              <c:idx val="12"/>
              <c:layout>
                <c:manualLayout>
                  <c:x val="-8.7872880072683263E-2"/>
                  <c:y val="4.6967342196979359E-2"/>
                </c:manualLayout>
              </c:layout>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55-41C1-85A5-6FAC8756AAFA}"/>
                </c:ext>
              </c:extLst>
            </c:dLbl>
            <c:dLbl>
              <c:idx val="2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55-41C1-85A5-6FAC8756AAFA}"/>
                </c:ext>
              </c:extLst>
            </c:dLbl>
            <c:dLbl>
              <c:idx val="24"/>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55-41C1-85A5-6FAC8756AAFA}"/>
                </c:ext>
              </c:extLst>
            </c:dLbl>
            <c:dLbl>
              <c:idx val="26"/>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55-41C1-85A5-6FAC8756AAFA}"/>
                </c:ext>
              </c:extLst>
            </c:dLbl>
            <c:dLbl>
              <c:idx val="36"/>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55-41C1-85A5-6FAC8756AAFA}"/>
                </c:ext>
              </c:extLst>
            </c:dLbl>
            <c:dLbl>
              <c:idx val="4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55-41C1-85A5-6FAC8756AAFA}"/>
                </c:ext>
              </c:extLst>
            </c:dLbl>
            <c:dLbl>
              <c:idx val="48"/>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55-41C1-85A5-6FAC8756AAFA}"/>
                </c:ext>
              </c:extLst>
            </c:dLbl>
            <c:dLbl>
              <c:idx val="5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t"/>
              <c:showLegendKey val="0"/>
              <c:showVal val="0"/>
              <c:showCatName val="0"/>
              <c:showSerName val="0"/>
              <c:showPercent val="0"/>
              <c:showBubbleSize val="0"/>
              <c:extLst>
                <c:ext xmlns:c16="http://schemas.microsoft.com/office/drawing/2014/chart" uri="{C3380CC4-5D6E-409C-BE32-E72D297353CC}">
                  <c16:uniqueId val="{00000009-B755-41C1-85A5-6FAC8756AAFA}"/>
                </c:ext>
              </c:extLst>
            </c:dLbl>
            <c:dLbl>
              <c:idx val="52"/>
              <c:layout>
                <c:manualLayout>
                  <c:x val="-3.0728628601689395E-3"/>
                  <c:y val="-6.6589905769975477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755-41C1-85A5-6FAC8756AAFA}"/>
                </c:ext>
              </c:extLst>
            </c:dLbl>
            <c:dLbl>
              <c:idx val="18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755-41C1-85A5-6FAC8756AAFA}"/>
                </c:ext>
              </c:extLst>
            </c:dLbl>
            <c:numFmt formatCode="#,##0" sourceLinked="0"/>
            <c:spPr>
              <a:noFill/>
              <a:ln>
                <a:no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Sheet1!$A$2:$A$76</c:f>
              <c:strCache>
                <c:ptCount val="75"/>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pt idx="27">
                  <c:v>Apr</c:v>
                </c:pt>
                <c:pt idx="28">
                  <c:v>Mai</c:v>
                </c:pt>
                <c:pt idx="29">
                  <c:v>Jūn</c:v>
                </c:pt>
                <c:pt idx="30">
                  <c:v>Jūl</c:v>
                </c:pt>
                <c:pt idx="31">
                  <c:v>Aug</c:v>
                </c:pt>
                <c:pt idx="32">
                  <c:v>Sep</c:v>
                </c:pt>
                <c:pt idx="33">
                  <c:v>Okt</c:v>
                </c:pt>
                <c:pt idx="34">
                  <c:v>Nov</c:v>
                </c:pt>
                <c:pt idx="35">
                  <c:v>Dec</c:v>
                </c:pt>
                <c:pt idx="36">
                  <c:v>Jan 2023</c:v>
                </c:pt>
                <c:pt idx="37">
                  <c:v>Feb</c:v>
                </c:pt>
                <c:pt idx="38">
                  <c:v>Mar</c:v>
                </c:pt>
                <c:pt idx="39">
                  <c:v>Apr</c:v>
                </c:pt>
                <c:pt idx="40">
                  <c:v>Mai</c:v>
                </c:pt>
                <c:pt idx="41">
                  <c:v>Jūn</c:v>
                </c:pt>
                <c:pt idx="42">
                  <c:v>Jūl</c:v>
                </c:pt>
                <c:pt idx="43">
                  <c:v>Aug</c:v>
                </c:pt>
                <c:pt idx="44">
                  <c:v>Sep</c:v>
                </c:pt>
                <c:pt idx="45">
                  <c:v>Okt</c:v>
                </c:pt>
                <c:pt idx="46">
                  <c:v>Nov</c:v>
                </c:pt>
                <c:pt idx="47">
                  <c:v>Dec</c:v>
                </c:pt>
                <c:pt idx="48">
                  <c:v>Jan 2024</c:v>
                </c:pt>
                <c:pt idx="49">
                  <c:v>Feb</c:v>
                </c:pt>
                <c:pt idx="50">
                  <c:v>Mar</c:v>
                </c:pt>
                <c:pt idx="51">
                  <c:v>Apr</c:v>
                </c:pt>
                <c:pt idx="52">
                  <c:v>Mai</c:v>
                </c:pt>
                <c:pt idx="53">
                  <c:v>Jūn</c:v>
                </c:pt>
                <c:pt idx="54">
                  <c:v>Jūl</c:v>
                </c:pt>
                <c:pt idx="55">
                  <c:v>Aug</c:v>
                </c:pt>
                <c:pt idx="56">
                  <c:v>Sep</c:v>
                </c:pt>
                <c:pt idx="57">
                  <c:v>Okt</c:v>
                </c:pt>
                <c:pt idx="58">
                  <c:v>Nov</c:v>
                </c:pt>
                <c:pt idx="59">
                  <c:v>Dec</c:v>
                </c:pt>
                <c:pt idx="60">
                  <c:v>Jan 2025</c:v>
                </c:pt>
                <c:pt idx="61">
                  <c:v>Feb</c:v>
                </c:pt>
                <c:pt idx="62">
                  <c:v>Mar</c:v>
                </c:pt>
                <c:pt idx="63">
                  <c:v>Apr</c:v>
                </c:pt>
                <c:pt idx="64">
                  <c:v>Mai</c:v>
                </c:pt>
                <c:pt idx="65">
                  <c:v>Jūn</c:v>
                </c:pt>
                <c:pt idx="66">
                  <c:v>Jūl</c:v>
                </c:pt>
                <c:pt idx="67">
                  <c:v>Aug</c:v>
                </c:pt>
                <c:pt idx="68">
                  <c:v>Sep</c:v>
                </c:pt>
                <c:pt idx="69">
                  <c:v>Okt</c:v>
                </c:pt>
                <c:pt idx="70">
                  <c:v>Nov</c:v>
                </c:pt>
                <c:pt idx="71">
                  <c:v>Dec</c:v>
                </c:pt>
                <c:pt idx="72">
                  <c:v>Jan 2026</c:v>
                </c:pt>
                <c:pt idx="73">
                  <c:v>Feb</c:v>
                </c:pt>
                <c:pt idx="74">
                  <c:v>Mar</c:v>
                </c:pt>
              </c:strCache>
            </c:strRef>
          </c:cat>
          <c:val>
            <c:numRef>
              <c:f>Sheet1!$B$2:$B$76</c:f>
              <c:numCache>
                <c:formatCode>#\ ##0.0</c:formatCode>
                <c:ptCount val="75"/>
                <c:pt idx="0">
                  <c:v>29.416</c:v>
                </c:pt>
                <c:pt idx="1">
                  <c:v>30.75</c:v>
                </c:pt>
                <c:pt idx="2">
                  <c:v>26.972999999999999</c:v>
                </c:pt>
                <c:pt idx="3">
                  <c:v>17.638000000000002</c:v>
                </c:pt>
                <c:pt idx="4">
                  <c:v>17.175000000000001</c:v>
                </c:pt>
                <c:pt idx="5">
                  <c:v>18.04</c:v>
                </c:pt>
                <c:pt idx="6">
                  <c:v>18.125</c:v>
                </c:pt>
                <c:pt idx="7">
                  <c:v>18.001999999999999</c:v>
                </c:pt>
                <c:pt idx="8">
                  <c:v>17.597000000000001</c:v>
                </c:pt>
                <c:pt idx="9">
                  <c:v>16.989000000000001</c:v>
                </c:pt>
                <c:pt idx="10">
                  <c:v>16.61</c:v>
                </c:pt>
                <c:pt idx="11">
                  <c:v>14.47</c:v>
                </c:pt>
                <c:pt idx="12">
                  <c:v>13.468999999999999</c:v>
                </c:pt>
                <c:pt idx="13">
                  <c:v>14.551</c:v>
                </c:pt>
                <c:pt idx="14">
                  <c:v>18.201000000000001</c:v>
                </c:pt>
                <c:pt idx="15">
                  <c:v>17.774000000000001</c:v>
                </c:pt>
                <c:pt idx="16">
                  <c:v>18.881</c:v>
                </c:pt>
                <c:pt idx="17">
                  <c:v>20.169</c:v>
                </c:pt>
                <c:pt idx="18">
                  <c:v>20.649000000000001</c:v>
                </c:pt>
                <c:pt idx="19">
                  <c:v>22.754000000000001</c:v>
                </c:pt>
                <c:pt idx="20">
                  <c:v>23.617000000000001</c:v>
                </c:pt>
                <c:pt idx="21">
                  <c:v>22.36</c:v>
                </c:pt>
                <c:pt idx="22">
                  <c:v>22.256</c:v>
                </c:pt>
                <c:pt idx="23">
                  <c:v>21.105</c:v>
                </c:pt>
                <c:pt idx="24">
                  <c:v>20.838000000000001</c:v>
                </c:pt>
                <c:pt idx="25">
                  <c:v>23.907</c:v>
                </c:pt>
                <c:pt idx="26">
                  <c:v>32.512</c:v>
                </c:pt>
                <c:pt idx="27">
                  <c:v>32.225000000000001</c:v>
                </c:pt>
                <c:pt idx="28">
                  <c:v>31.521000000000001</c:v>
                </c:pt>
                <c:pt idx="29">
                  <c:v>31.100999999999999</c:v>
                </c:pt>
                <c:pt idx="30">
                  <c:v>30.02</c:v>
                </c:pt>
                <c:pt idx="31">
                  <c:v>30.763000000000002</c:v>
                </c:pt>
                <c:pt idx="32">
                  <c:v>29.245999999999999</c:v>
                </c:pt>
                <c:pt idx="33">
                  <c:v>27.201000000000001</c:v>
                </c:pt>
                <c:pt idx="34">
                  <c:v>25.542999999999999</c:v>
                </c:pt>
                <c:pt idx="35">
                  <c:v>23.166</c:v>
                </c:pt>
                <c:pt idx="36">
                  <c:v>20.292999999999999</c:v>
                </c:pt>
                <c:pt idx="37">
                  <c:v>21.396999999999998</c:v>
                </c:pt>
                <c:pt idx="38">
                  <c:v>24.016999999999999</c:v>
                </c:pt>
                <c:pt idx="39">
                  <c:v>24.257000000000001</c:v>
                </c:pt>
                <c:pt idx="40">
                  <c:v>24.300999999999998</c:v>
                </c:pt>
                <c:pt idx="41">
                  <c:v>24.521000000000001</c:v>
                </c:pt>
                <c:pt idx="42">
                  <c:v>22.202000000000002</c:v>
                </c:pt>
                <c:pt idx="43">
                  <c:v>22.087</c:v>
                </c:pt>
                <c:pt idx="44">
                  <c:v>21.895</c:v>
                </c:pt>
                <c:pt idx="45">
                  <c:v>21.628</c:v>
                </c:pt>
                <c:pt idx="46">
                  <c:v>21.088999999999999</c:v>
                </c:pt>
                <c:pt idx="47">
                  <c:v>19.318999999999999</c:v>
                </c:pt>
                <c:pt idx="48">
                  <c:v>17.683</c:v>
                </c:pt>
                <c:pt idx="49">
                  <c:v>18.167000000000002</c:v>
                </c:pt>
                <c:pt idx="50">
                  <c:v>19.57</c:v>
                </c:pt>
                <c:pt idx="51">
                  <c:v>19.349</c:v>
                </c:pt>
                <c:pt idx="52">
                  <c:v>19.689</c:v>
                </c:pt>
                <c:pt idx="53">
                  <c:v>19.114999999999998</c:v>
                </c:pt>
                <c:pt idx="54">
                  <c:v>19.547999999999998</c:v>
                </c:pt>
                <c:pt idx="55">
                  <c:v>19.132999999999999</c:v>
                </c:pt>
                <c:pt idx="56">
                  <c:v>18.364000000000001</c:v>
                </c:pt>
                <c:pt idx="57">
                  <c:v>17.794</c:v>
                </c:pt>
                <c:pt idx="58">
                  <c:v>17.138000000000002</c:v>
                </c:pt>
                <c:pt idx="59">
                  <c:v>15.486000000000001</c:v>
                </c:pt>
                <c:pt idx="60">
                  <c:v>14.933</c:v>
                </c:pt>
                <c:pt idx="61">
                  <c:v>14.314</c:v>
                </c:pt>
                <c:pt idx="62">
                  <c:v>13.721</c:v>
                </c:pt>
                <c:pt idx="63">
                  <c:v>13.472</c:v>
                </c:pt>
                <c:pt idx="64">
                  <c:v>12.371</c:v>
                </c:pt>
                <c:pt idx="65">
                  <c:v>12.863</c:v>
                </c:pt>
                <c:pt idx="66">
                  <c:v>12.654999999999999</c:v>
                </c:pt>
                <c:pt idx="67">
                  <c:v>12.085000000000001</c:v>
                </c:pt>
                <c:pt idx="68">
                  <c:v>12.347</c:v>
                </c:pt>
                <c:pt idx="69">
                  <c:v>11.189</c:v>
                </c:pt>
                <c:pt idx="70">
                  <c:v>9.8059999999999992</c:v>
                </c:pt>
                <c:pt idx="71">
                  <c:v>9.0150000000000006</c:v>
                </c:pt>
                <c:pt idx="72">
                  <c:v>9.2159999999999993</c:v>
                </c:pt>
                <c:pt idx="73">
                  <c:v>9.657</c:v>
                </c:pt>
                <c:pt idx="74">
                  <c:v>10.965999999999999</c:v>
                </c:pt>
              </c:numCache>
            </c:numRef>
          </c:val>
          <c:smooth val="1"/>
          <c:extLst>
            <c:ext xmlns:c16="http://schemas.microsoft.com/office/drawing/2014/chart" uri="{C3380CC4-5D6E-409C-BE32-E72D297353CC}">
              <c16:uniqueId val="{0000000C-B755-41C1-85A5-6FAC8756AAFA}"/>
            </c:ext>
          </c:extLst>
        </c:ser>
        <c:ser>
          <c:idx val="1"/>
          <c:order val="1"/>
          <c:tx>
            <c:strRef>
              <c:f>Sheet1!$C$1</c:f>
              <c:strCache>
                <c:ptCount val="1"/>
                <c:pt idx="0">
                  <c:v>Column2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Sheet1!$A$2:$A$76</c:f>
              <c:strCache>
                <c:ptCount val="75"/>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pt idx="27">
                  <c:v>Apr</c:v>
                </c:pt>
                <c:pt idx="28">
                  <c:v>Mai</c:v>
                </c:pt>
                <c:pt idx="29">
                  <c:v>Jūn</c:v>
                </c:pt>
                <c:pt idx="30">
                  <c:v>Jūl</c:v>
                </c:pt>
                <c:pt idx="31">
                  <c:v>Aug</c:v>
                </c:pt>
                <c:pt idx="32">
                  <c:v>Sep</c:v>
                </c:pt>
                <c:pt idx="33">
                  <c:v>Okt</c:v>
                </c:pt>
                <c:pt idx="34">
                  <c:v>Nov</c:v>
                </c:pt>
                <c:pt idx="35">
                  <c:v>Dec</c:v>
                </c:pt>
                <c:pt idx="36">
                  <c:v>Jan 2023</c:v>
                </c:pt>
                <c:pt idx="37">
                  <c:v>Feb</c:v>
                </c:pt>
                <c:pt idx="38">
                  <c:v>Mar</c:v>
                </c:pt>
                <c:pt idx="39">
                  <c:v>Apr</c:v>
                </c:pt>
                <c:pt idx="40">
                  <c:v>Mai</c:v>
                </c:pt>
                <c:pt idx="41">
                  <c:v>Jūn</c:v>
                </c:pt>
                <c:pt idx="42">
                  <c:v>Jūl</c:v>
                </c:pt>
                <c:pt idx="43">
                  <c:v>Aug</c:v>
                </c:pt>
                <c:pt idx="44">
                  <c:v>Sep</c:v>
                </c:pt>
                <c:pt idx="45">
                  <c:v>Okt</c:v>
                </c:pt>
                <c:pt idx="46">
                  <c:v>Nov</c:v>
                </c:pt>
                <c:pt idx="47">
                  <c:v>Dec</c:v>
                </c:pt>
                <c:pt idx="48">
                  <c:v>Jan 2024</c:v>
                </c:pt>
                <c:pt idx="49">
                  <c:v>Feb</c:v>
                </c:pt>
                <c:pt idx="50">
                  <c:v>Mar</c:v>
                </c:pt>
                <c:pt idx="51">
                  <c:v>Apr</c:v>
                </c:pt>
                <c:pt idx="52">
                  <c:v>Mai</c:v>
                </c:pt>
                <c:pt idx="53">
                  <c:v>Jūn</c:v>
                </c:pt>
                <c:pt idx="54">
                  <c:v>Jūl</c:v>
                </c:pt>
                <c:pt idx="55">
                  <c:v>Aug</c:v>
                </c:pt>
                <c:pt idx="56">
                  <c:v>Sep</c:v>
                </c:pt>
                <c:pt idx="57">
                  <c:v>Okt</c:v>
                </c:pt>
                <c:pt idx="58">
                  <c:v>Nov</c:v>
                </c:pt>
                <c:pt idx="59">
                  <c:v>Dec</c:v>
                </c:pt>
                <c:pt idx="60">
                  <c:v>Jan 2025</c:v>
                </c:pt>
                <c:pt idx="61">
                  <c:v>Feb</c:v>
                </c:pt>
                <c:pt idx="62">
                  <c:v>Mar</c:v>
                </c:pt>
                <c:pt idx="63">
                  <c:v>Apr</c:v>
                </c:pt>
                <c:pt idx="64">
                  <c:v>Mai</c:v>
                </c:pt>
                <c:pt idx="65">
                  <c:v>Jūn</c:v>
                </c:pt>
                <c:pt idx="66">
                  <c:v>Jūl</c:v>
                </c:pt>
                <c:pt idx="67">
                  <c:v>Aug</c:v>
                </c:pt>
                <c:pt idx="68">
                  <c:v>Sep</c:v>
                </c:pt>
                <c:pt idx="69">
                  <c:v>Okt</c:v>
                </c:pt>
                <c:pt idx="70">
                  <c:v>Nov</c:v>
                </c:pt>
                <c:pt idx="71">
                  <c:v>Dec</c:v>
                </c:pt>
                <c:pt idx="72">
                  <c:v>Jan 2026</c:v>
                </c:pt>
                <c:pt idx="73">
                  <c:v>Feb</c:v>
                </c:pt>
                <c:pt idx="74">
                  <c:v>Mar</c:v>
                </c:pt>
              </c:strCache>
            </c:strRef>
          </c:cat>
          <c:val>
            <c:numRef>
              <c:f>Sheet1!$C$2:$C$76</c:f>
            </c:numRef>
          </c:val>
          <c:smooth val="0"/>
          <c:extLst>
            <c:ext xmlns:c16="http://schemas.microsoft.com/office/drawing/2014/chart" uri="{C3380CC4-5D6E-409C-BE32-E72D297353CC}">
              <c16:uniqueId val="{0000000D-B755-41C1-85A5-6FAC8756AAFA}"/>
            </c:ext>
          </c:extLst>
        </c:ser>
        <c:dLbls>
          <c:showLegendKey val="0"/>
          <c:showVal val="0"/>
          <c:showCatName val="0"/>
          <c:showSerName val="0"/>
          <c:showPercent val="0"/>
          <c:showBubbleSize val="0"/>
        </c:dLbls>
        <c:marker val="1"/>
        <c:smooth val="0"/>
        <c:axId val="742038936"/>
        <c:axId val="742047168"/>
      </c:lineChart>
      <c:dateAx>
        <c:axId val="742038936"/>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47168"/>
        <c:crosses val="autoZero"/>
        <c:auto val="1"/>
        <c:lblOffset val="100"/>
        <c:baseTimeUnit val="days"/>
        <c:majorUnit val="6"/>
        <c:majorTimeUnit val="months"/>
        <c:minorUnit val="1"/>
        <c:minorTimeUnit val="months"/>
      </c:dateAx>
      <c:valAx>
        <c:axId val="742047168"/>
        <c:scaling>
          <c:orientation val="minMax"/>
          <c:min val="5"/>
        </c:scaling>
        <c:delete val="0"/>
        <c:axPos val="l"/>
        <c:numFmt formatCode="#,##0" sourceLinked="0"/>
        <c:majorTickMark val="none"/>
        <c:minorTickMark val="none"/>
        <c:tickLblPos val="nextTo"/>
        <c:spPr>
          <a:noFill/>
          <a:ln>
            <a:solidFill>
              <a:sysClr val="window" lastClr="FFFFFF">
                <a:lumMod val="75000"/>
              </a:sys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38936"/>
        <c:crosses val="autoZero"/>
        <c:crossBetween val="between"/>
        <c:majorUnit val="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8CFB-4DB0-B742-EAA2A716C168}"/>
              </c:ext>
            </c:extLst>
          </c:dPt>
          <c:dPt>
            <c:idx val="1"/>
            <c:bubble3D val="0"/>
            <c:spPr>
              <a:solidFill>
                <a:srgbClr val="92B7C4"/>
              </a:solidFill>
              <a:ln w="3175">
                <a:noFill/>
              </a:ln>
            </c:spPr>
            <c:extLst>
              <c:ext xmlns:c16="http://schemas.microsoft.com/office/drawing/2014/chart" uri="{C3380CC4-5D6E-409C-BE32-E72D297353CC}">
                <c16:uniqueId val="{00000003-8CFB-4DB0-B742-EAA2A716C168}"/>
              </c:ext>
            </c:extLst>
          </c:dPt>
          <c:dLbls>
            <c:dLbl>
              <c:idx val="0"/>
              <c:layout>
                <c:manualLayout>
                  <c:x val="0.14313411529337394"/>
                  <c:y val="0"/>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CFB-4DB0-B742-EAA2A716C168}"/>
                </c:ext>
              </c:extLst>
            </c:dLbl>
            <c:dLbl>
              <c:idx val="1"/>
              <c:delete val="1"/>
              <c:extLst>
                <c:ext xmlns:c15="http://schemas.microsoft.com/office/drawing/2012/chart" uri="{CE6537A1-D6FC-4f65-9D91-7224C49458BB}"/>
                <c:ext xmlns:c16="http://schemas.microsoft.com/office/drawing/2014/chart" uri="{C3380CC4-5D6E-409C-BE32-E72D297353CC}">
                  <c16:uniqueId val="{00000003-8CFB-4DB0-B742-EAA2A716C168}"/>
                </c:ext>
              </c:extLst>
            </c:dLbl>
            <c:spPr>
              <a:noFill/>
              <a:ln>
                <a:noFill/>
              </a:ln>
              <a:effectLst/>
            </c:spPr>
            <c:txPr>
              <a:bodyPr/>
              <a:lstStyle/>
              <a:p>
                <a:pPr>
                  <a:defRPr>
                    <a:solidFill>
                      <a:sysClr val="windowText" lastClr="000000"/>
                    </a:solidFill>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2.4482715228667984</c:v>
                </c:pt>
                <c:pt idx="1">
                  <c:v>97.551728477133196</c:v>
                </c:pt>
              </c:numCache>
            </c:numRef>
          </c:val>
          <c:extLst>
            <c:ext xmlns:c16="http://schemas.microsoft.com/office/drawing/2014/chart" uri="{C3380CC4-5D6E-409C-BE32-E72D297353CC}">
              <c16:uniqueId val="{00000004-8CFB-4DB0-B742-EAA2A716C168}"/>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15</c:v>
                </c:pt>
                <c:pt idx="15">
                  <c:v>15</c:v>
                </c:pt>
              </c:numCache>
            </c:numRef>
          </c:val>
          <c:extLst>
            <c:ext xmlns:c16="http://schemas.microsoft.com/office/drawing/2014/chart" uri="{C3380CC4-5D6E-409C-BE32-E72D297353CC}">
              <c16:uniqueId val="{00000000-3F8E-4F93-A189-E3B09B42EB11}"/>
            </c:ext>
          </c:extLst>
        </c:ser>
        <c:dLbls>
          <c:showLegendKey val="0"/>
          <c:showVal val="0"/>
          <c:showCatName val="0"/>
          <c:showSerName val="0"/>
          <c:showPercent val="0"/>
          <c:showBubbleSize val="0"/>
        </c:dLbls>
        <c:gapWidth val="0"/>
        <c:axId val="746187824"/>
        <c:axId val="74618625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3F8E-4F93-A189-E3B09B42EB11}"/>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12.620537163466848</c:v>
                </c:pt>
                <c:pt idx="1">
                  <c:v>12.34555025234736</c:v>
                </c:pt>
                <c:pt idx="2">
                  <c:v>12.266450893926351</c:v>
                </c:pt>
                <c:pt idx="3">
                  <c:v>12.162598710590698</c:v>
                </c:pt>
                <c:pt idx="4">
                  <c:v>12.057406164716813</c:v>
                </c:pt>
                <c:pt idx="5">
                  <c:v>11.955570935779754</c:v>
                </c:pt>
                <c:pt idx="6">
                  <c:v>11.871264533602258</c:v>
                </c:pt>
                <c:pt idx="7">
                  <c:v>11.764790604304789</c:v>
                </c:pt>
                <c:pt idx="8">
                  <c:v>11.648378806813531</c:v>
                </c:pt>
                <c:pt idx="9">
                  <c:v>11.537676230893609</c:v>
                </c:pt>
                <c:pt idx="10">
                  <c:v>11.42811175834596</c:v>
                </c:pt>
                <c:pt idx="11">
                  <c:v>11.315994945998384</c:v>
                </c:pt>
                <c:pt idx="12">
                  <c:v>11.219738092790994</c:v>
                </c:pt>
                <c:pt idx="13">
                  <c:v>11.125483781805816</c:v>
                </c:pt>
                <c:pt idx="14">
                  <c:v>11.03511174922415</c:v>
                </c:pt>
                <c:pt idx="15">
                  <c:v>10.946581464416777</c:v>
                </c:pt>
              </c:numCache>
            </c:numRef>
          </c:val>
          <c:smooth val="0"/>
          <c:extLst>
            <c:ext xmlns:c16="http://schemas.microsoft.com/office/drawing/2014/chart" uri="{C3380CC4-5D6E-409C-BE32-E72D297353CC}">
              <c16:uniqueId val="{00000003-3F8E-4F93-A189-E3B09B42EB11}"/>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12.981776956060781</c:v>
                </c:pt>
                <c:pt idx="1">
                  <c:v>12.466769502733044</c:v>
                </c:pt>
                <c:pt idx="2">
                  <c:v>11.97172176936837</c:v>
                </c:pt>
                <c:pt idx="3">
                  <c:v>11.529880810021565</c:v>
                </c:pt>
                <c:pt idx="4">
                  <c:v>11.092749407748997</c:v>
                </c:pt>
                <c:pt idx="5">
                  <c:v>10.701034725514969</c:v>
                </c:pt>
                <c:pt idx="6">
                  <c:v>10.32822876653896</c:v>
                </c:pt>
                <c:pt idx="7">
                  <c:v>9.9843434993645221</c:v>
                </c:pt>
                <c:pt idx="8">
                  <c:v>9.6820074735071131</c:v>
                </c:pt>
                <c:pt idx="9">
                  <c:v>9.437027344252666</c:v>
                </c:pt>
                <c:pt idx="10">
                  <c:v>9.2389639483645389</c:v>
                </c:pt>
                <c:pt idx="11">
                  <c:v>9.0492499113448375</c:v>
                </c:pt>
                <c:pt idx="12">
                  <c:v>8.8593250162314057</c:v>
                </c:pt>
                <c:pt idx="13">
                  <c:v>8.6574480037814734</c:v>
                </c:pt>
                <c:pt idx="14">
                  <c:v>8.4523594042715118</c:v>
                </c:pt>
                <c:pt idx="15">
                  <c:v>8.2469531085264727</c:v>
                </c:pt>
              </c:numCache>
            </c:numRef>
          </c:val>
          <c:smooth val="0"/>
          <c:extLst>
            <c:ext xmlns:c16="http://schemas.microsoft.com/office/drawing/2014/chart" uri="{C3380CC4-5D6E-409C-BE32-E72D297353CC}">
              <c16:uniqueId val="{00000004-3F8E-4F93-A189-E3B09B42EB11}"/>
            </c:ext>
          </c:extLst>
        </c:ser>
        <c:dLbls>
          <c:showLegendKey val="0"/>
          <c:showVal val="0"/>
          <c:showCatName val="0"/>
          <c:showSerName val="0"/>
          <c:showPercent val="0"/>
          <c:showBubbleSize val="0"/>
        </c:dLbls>
        <c:marker val="1"/>
        <c:smooth val="0"/>
        <c:axId val="746187824"/>
        <c:axId val="746186256"/>
      </c:lineChart>
      <c:catAx>
        <c:axId val="746187824"/>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186256"/>
        <c:crosses val="autoZero"/>
        <c:auto val="1"/>
        <c:lblAlgn val="ctr"/>
        <c:lblOffset val="100"/>
        <c:noMultiLvlLbl val="0"/>
      </c:catAx>
      <c:valAx>
        <c:axId val="746186256"/>
        <c:scaling>
          <c:orientation val="minMax"/>
          <c:max val="15"/>
          <c:min val="7"/>
        </c:scaling>
        <c:delete val="0"/>
        <c:axPos val="l"/>
        <c:numFmt formatCode="General" sourceLinked="1"/>
        <c:majorTickMark val="out"/>
        <c:minorTickMark val="none"/>
        <c:tickLblPos val="nextTo"/>
        <c:crossAx val="746187824"/>
        <c:crosses val="autoZero"/>
        <c:crossBetween val="between"/>
        <c:majorUnit val="2"/>
      </c:valAx>
      <c:spPr>
        <a:solidFill>
          <a:srgbClr val="FFFFFF"/>
        </a:solidFill>
      </c:spPr>
    </c:plotArea>
    <c:legend>
      <c:legendPos val="l"/>
      <c:legendEntry>
        <c:idx val="0"/>
        <c:delete val="1"/>
      </c:legendEntry>
      <c:layout>
        <c:manualLayout>
          <c:xMode val="edge"/>
          <c:yMode val="edge"/>
          <c:x val="0.52031503185575345"/>
          <c:y val="6.237943239009546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96C8-4245-9396-8631D4DB5919}"/>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96C8-4245-9396-8631D4DB5919}"/>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115.11395359344041</c:v>
                </c:pt>
                <c:pt idx="1">
                  <c:v>111.72350377738273</c:v>
                </c:pt>
              </c:numCache>
            </c:numRef>
          </c:val>
          <c:extLst>
            <c:ext xmlns:c16="http://schemas.microsoft.com/office/drawing/2014/chart" uri="{C3380CC4-5D6E-409C-BE32-E72D297353CC}">
              <c16:uniqueId val="{00000003-96C8-4245-9396-8631D4DB5919}"/>
            </c:ext>
          </c:extLst>
        </c:ser>
        <c:dLbls>
          <c:showLegendKey val="0"/>
          <c:showVal val="1"/>
          <c:showCatName val="0"/>
          <c:showSerName val="0"/>
          <c:showPercent val="0"/>
          <c:showBubbleSize val="0"/>
        </c:dLbls>
        <c:gapWidth val="50"/>
        <c:overlap val="88"/>
        <c:axId val="746193312"/>
        <c:axId val="746189784"/>
      </c:barChart>
      <c:catAx>
        <c:axId val="746193312"/>
        <c:scaling>
          <c:orientation val="minMax"/>
        </c:scaling>
        <c:delete val="0"/>
        <c:axPos val="b"/>
        <c:numFmt formatCode="General" sourceLinked="1"/>
        <c:majorTickMark val="out"/>
        <c:minorTickMark val="none"/>
        <c:tickLblPos val="nextTo"/>
        <c:crossAx val="746189784"/>
        <c:crosses val="autoZero"/>
        <c:auto val="0"/>
        <c:lblAlgn val="ctr"/>
        <c:lblOffset val="100"/>
        <c:tickLblSkip val="1"/>
        <c:tickMarkSkip val="1"/>
        <c:noMultiLvlLbl val="0"/>
      </c:catAx>
      <c:valAx>
        <c:axId val="746189784"/>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74619331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38FD-4E25-B979-2C4A5DA14B0A}"/>
              </c:ext>
            </c:extLst>
          </c:dPt>
          <c:dPt>
            <c:idx val="1"/>
            <c:bubble3D val="0"/>
            <c:spPr>
              <a:solidFill>
                <a:srgbClr val="92B7C4"/>
              </a:solidFill>
              <a:ln w="3175">
                <a:noFill/>
              </a:ln>
            </c:spPr>
            <c:extLst>
              <c:ext xmlns:c16="http://schemas.microsoft.com/office/drawing/2014/chart" uri="{C3380CC4-5D6E-409C-BE32-E72D297353CC}">
                <c16:uniqueId val="{00000003-38FD-4E25-B979-2C4A5DA14B0A}"/>
              </c:ext>
            </c:extLst>
          </c:dPt>
          <c:dLbls>
            <c:dLbl>
              <c:idx val="0"/>
              <c:layout>
                <c:manualLayout>
                  <c:x val="0.11183637885581903"/>
                  <c:y val="2.205558006175562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8FD-4E25-B979-2C4A5DA14B0A}"/>
                </c:ext>
              </c:extLst>
            </c:dLbl>
            <c:dLbl>
              <c:idx val="1"/>
              <c:delete val="1"/>
              <c:extLst>
                <c:ext xmlns:c15="http://schemas.microsoft.com/office/drawing/2012/chart" uri="{CE6537A1-D6FC-4f65-9D91-7224C49458BB}"/>
                <c:ext xmlns:c16="http://schemas.microsoft.com/office/drawing/2014/chart" uri="{C3380CC4-5D6E-409C-BE32-E72D297353CC}">
                  <c16:uniqueId val="{00000003-38FD-4E25-B979-2C4A5DA14B0A}"/>
                </c:ext>
              </c:extLst>
            </c:dLbl>
            <c:spPr>
              <a:noFill/>
              <a:ln>
                <a:noFill/>
              </a:ln>
              <a:effectLst/>
            </c:spPr>
            <c:txPr>
              <a:bodyPr/>
              <a:lstStyle/>
              <a:p>
                <a:pPr>
                  <a:defRPr>
                    <a:solidFill>
                      <a:sysClr val="windowText" lastClr="000000"/>
                    </a:solidFill>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1.6203023500331217</c:v>
                </c:pt>
                <c:pt idx="1">
                  <c:v>98.379697649966872</c:v>
                </c:pt>
              </c:numCache>
            </c:numRef>
          </c:val>
          <c:extLst>
            <c:ext xmlns:c16="http://schemas.microsoft.com/office/drawing/2014/chart" uri="{C3380CC4-5D6E-409C-BE32-E72D297353CC}">
              <c16:uniqueId val="{00000004-38FD-4E25-B979-2C4A5DA14B0A}"/>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25</c:v>
                </c:pt>
                <c:pt idx="15">
                  <c:v>25</c:v>
                </c:pt>
              </c:numCache>
            </c:numRef>
          </c:val>
          <c:extLst>
            <c:ext xmlns:c16="http://schemas.microsoft.com/office/drawing/2014/chart" uri="{C3380CC4-5D6E-409C-BE32-E72D297353CC}">
              <c16:uniqueId val="{00000000-EE71-452C-8F87-4F5F5E6CD20C}"/>
            </c:ext>
          </c:extLst>
        </c:ser>
        <c:dLbls>
          <c:showLegendKey val="0"/>
          <c:showVal val="0"/>
          <c:showCatName val="0"/>
          <c:showSerName val="0"/>
          <c:showPercent val="0"/>
          <c:showBubbleSize val="0"/>
        </c:dLbls>
        <c:gapWidth val="0"/>
        <c:axId val="746194488"/>
        <c:axId val="74618468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EE71-452C-8F87-4F5F5E6CD20C}"/>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8.2128514549656977</c:v>
                </c:pt>
                <c:pt idx="1">
                  <c:v>8.5008481029218821</c:v>
                </c:pt>
                <c:pt idx="2">
                  <c:v>8.4805520590230064</c:v>
                </c:pt>
                <c:pt idx="3">
                  <c:v>8.790546475042925</c:v>
                </c:pt>
                <c:pt idx="4">
                  <c:v>9.1571693817338495</c:v>
                </c:pt>
                <c:pt idx="5">
                  <c:v>9.5193647914709629</c:v>
                </c:pt>
                <c:pt idx="6">
                  <c:v>9.9082460222268853</c:v>
                </c:pt>
                <c:pt idx="7">
                  <c:v>10.265410651143503</c:v>
                </c:pt>
                <c:pt idx="8">
                  <c:v>10.61846602225072</c:v>
                </c:pt>
                <c:pt idx="9">
                  <c:v>10.996557697722364</c:v>
                </c:pt>
                <c:pt idx="10">
                  <c:v>11.315169288661144</c:v>
                </c:pt>
                <c:pt idx="11">
                  <c:v>11.653014012955609</c:v>
                </c:pt>
                <c:pt idx="12">
                  <c:v>11.978361069844166</c:v>
                </c:pt>
                <c:pt idx="13">
                  <c:v>12.301139879211078</c:v>
                </c:pt>
                <c:pt idx="14">
                  <c:v>12.614677017642174</c:v>
                </c:pt>
                <c:pt idx="15">
                  <c:v>12.913321893056549</c:v>
                </c:pt>
              </c:numCache>
            </c:numRef>
          </c:val>
          <c:smooth val="0"/>
          <c:extLst>
            <c:ext xmlns:c16="http://schemas.microsoft.com/office/drawing/2014/chart" uri="{C3380CC4-5D6E-409C-BE32-E72D297353CC}">
              <c16:uniqueId val="{00000003-EE71-452C-8F87-4F5F5E6CD20C}"/>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8.5459068691673519</c:v>
                </c:pt>
                <c:pt idx="1">
                  <c:v>8.2056835481689419</c:v>
                </c:pt>
                <c:pt idx="2">
                  <c:v>7.888319455044539</c:v>
                </c:pt>
                <c:pt idx="3">
                  <c:v>7.6094367646106953</c:v>
                </c:pt>
                <c:pt idx="4">
                  <c:v>7.3251090916707886</c:v>
                </c:pt>
                <c:pt idx="5">
                  <c:v>7.08210325186276</c:v>
                </c:pt>
                <c:pt idx="6">
                  <c:v>6.8763850738380468</c:v>
                </c:pt>
                <c:pt idx="7">
                  <c:v>6.7146006378857139</c:v>
                </c:pt>
                <c:pt idx="8">
                  <c:v>6.6244753893863146</c:v>
                </c:pt>
                <c:pt idx="9">
                  <c:v>6.6163939370346672</c:v>
                </c:pt>
                <c:pt idx="10">
                  <c:v>6.6629771058982765</c:v>
                </c:pt>
                <c:pt idx="11">
                  <c:v>6.7121081719148155</c:v>
                </c:pt>
                <c:pt idx="12">
                  <c:v>6.7341238538830135</c:v>
                </c:pt>
                <c:pt idx="13">
                  <c:v>6.7096077775085057</c:v>
                </c:pt>
                <c:pt idx="14">
                  <c:v>6.6607703200833637</c:v>
                </c:pt>
                <c:pt idx="15">
                  <c:v>6.5989212153530428</c:v>
                </c:pt>
              </c:numCache>
            </c:numRef>
          </c:val>
          <c:smooth val="0"/>
          <c:extLst>
            <c:ext xmlns:c16="http://schemas.microsoft.com/office/drawing/2014/chart" uri="{C3380CC4-5D6E-409C-BE32-E72D297353CC}">
              <c16:uniqueId val="{00000004-EE71-452C-8F87-4F5F5E6CD20C}"/>
            </c:ext>
          </c:extLst>
        </c:ser>
        <c:dLbls>
          <c:showLegendKey val="0"/>
          <c:showVal val="0"/>
          <c:showCatName val="0"/>
          <c:showSerName val="0"/>
          <c:showPercent val="0"/>
          <c:showBubbleSize val="0"/>
        </c:dLbls>
        <c:marker val="1"/>
        <c:smooth val="0"/>
        <c:axId val="746194488"/>
        <c:axId val="746184688"/>
      </c:lineChart>
      <c:catAx>
        <c:axId val="746194488"/>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184688"/>
        <c:crosses val="autoZero"/>
        <c:auto val="1"/>
        <c:lblAlgn val="ctr"/>
        <c:lblOffset val="100"/>
        <c:noMultiLvlLbl val="0"/>
      </c:catAx>
      <c:valAx>
        <c:axId val="746184688"/>
        <c:scaling>
          <c:orientation val="minMax"/>
          <c:max val="20"/>
          <c:min val="5"/>
        </c:scaling>
        <c:delete val="0"/>
        <c:axPos val="l"/>
        <c:numFmt formatCode="General" sourceLinked="1"/>
        <c:majorTickMark val="out"/>
        <c:minorTickMark val="none"/>
        <c:tickLblPos val="nextTo"/>
        <c:crossAx val="746194488"/>
        <c:crosses val="autoZero"/>
        <c:crossBetween val="between"/>
        <c:majorUnit val="5"/>
      </c:valAx>
      <c:spPr>
        <a:solidFill>
          <a:srgbClr val="FFFFFF"/>
        </a:solidFill>
      </c:spPr>
    </c:plotArea>
    <c:legend>
      <c:legendPos val="l"/>
      <c:legendEntry>
        <c:idx val="0"/>
        <c:delete val="1"/>
      </c:legendEntry>
      <c:layout>
        <c:manualLayout>
          <c:xMode val="edge"/>
          <c:yMode val="edge"/>
          <c:x val="0.52031503185575345"/>
          <c:y val="8.0023896439499975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842D-4FAE-A8A8-3DCE6D8F4980}"/>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842D-4FAE-A8A8-3DCE6D8F4980}"/>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134.82649347068548</c:v>
                </c:pt>
                <c:pt idx="1">
                  <c:v>134.4143745569813</c:v>
                </c:pt>
              </c:numCache>
            </c:numRef>
          </c:val>
          <c:extLst>
            <c:ext xmlns:c16="http://schemas.microsoft.com/office/drawing/2014/chart" uri="{C3380CC4-5D6E-409C-BE32-E72D297353CC}">
              <c16:uniqueId val="{00000003-842D-4FAE-A8A8-3DCE6D8F4980}"/>
            </c:ext>
          </c:extLst>
        </c:ser>
        <c:dLbls>
          <c:showLegendKey val="0"/>
          <c:showVal val="1"/>
          <c:showCatName val="0"/>
          <c:showSerName val="0"/>
          <c:showPercent val="0"/>
          <c:showBubbleSize val="0"/>
        </c:dLbls>
        <c:gapWidth val="50"/>
        <c:overlap val="88"/>
        <c:axId val="746189000"/>
        <c:axId val="746187040"/>
      </c:barChart>
      <c:catAx>
        <c:axId val="746189000"/>
        <c:scaling>
          <c:orientation val="minMax"/>
        </c:scaling>
        <c:delete val="0"/>
        <c:axPos val="b"/>
        <c:numFmt formatCode="General" sourceLinked="1"/>
        <c:majorTickMark val="out"/>
        <c:minorTickMark val="none"/>
        <c:tickLblPos val="nextTo"/>
        <c:crossAx val="746187040"/>
        <c:crosses val="autoZero"/>
        <c:auto val="0"/>
        <c:lblAlgn val="ctr"/>
        <c:lblOffset val="100"/>
        <c:tickLblSkip val="1"/>
        <c:tickMarkSkip val="1"/>
        <c:noMultiLvlLbl val="0"/>
      </c:catAx>
      <c:valAx>
        <c:axId val="746187040"/>
        <c:scaling>
          <c:orientation val="minMax"/>
          <c:max val="18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74618900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5F25-40F5-BAD8-CCFD1023ACFA}"/>
              </c:ext>
            </c:extLst>
          </c:dPt>
          <c:dPt>
            <c:idx val="1"/>
            <c:bubble3D val="0"/>
            <c:spPr>
              <a:solidFill>
                <a:srgbClr val="92B7C4"/>
              </a:solidFill>
              <a:ln w="3175">
                <a:noFill/>
              </a:ln>
            </c:spPr>
            <c:extLst>
              <c:ext xmlns:c16="http://schemas.microsoft.com/office/drawing/2014/chart" uri="{C3380CC4-5D6E-409C-BE32-E72D297353CC}">
                <c16:uniqueId val="{00000003-5F25-40F5-BAD8-CCFD1023ACFA}"/>
              </c:ext>
            </c:extLst>
          </c:dPt>
          <c:dLbls>
            <c:dLbl>
              <c:idx val="1"/>
              <c:delete val="1"/>
              <c:extLst>
                <c:ext xmlns:c15="http://schemas.microsoft.com/office/drawing/2012/chart" uri="{CE6537A1-D6FC-4f65-9D91-7224C49458BB}"/>
                <c:ext xmlns:c16="http://schemas.microsoft.com/office/drawing/2014/chart" uri="{C3380CC4-5D6E-409C-BE32-E72D297353CC}">
                  <c16:uniqueId val="{00000003-5F25-40F5-BAD8-CCFD1023ACFA}"/>
                </c:ext>
              </c:extLst>
            </c:dLbl>
            <c:spPr>
              <a:noFill/>
              <a:ln>
                <a:noFill/>
              </a:ln>
              <a:effectLst/>
            </c:spPr>
            <c:txPr>
              <a:bodyPr/>
              <a:lstStyle/>
              <a:p>
                <a:pPr>
                  <a:defRPr>
                    <a:solidFill>
                      <a:schemeClr val="bg1"/>
                    </a:solidFill>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9.3235530463531653</c:v>
                </c:pt>
                <c:pt idx="1">
                  <c:v>90.676446953646831</c:v>
                </c:pt>
              </c:numCache>
            </c:numRef>
          </c:val>
          <c:extLst>
            <c:ext xmlns:c16="http://schemas.microsoft.com/office/drawing/2014/chart" uri="{C3380CC4-5D6E-409C-BE32-E72D297353CC}">
              <c16:uniqueId val="{00000004-5F25-40F5-BAD8-CCFD1023ACFA}"/>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100</c:v>
                </c:pt>
                <c:pt idx="15">
                  <c:v>100</c:v>
                </c:pt>
              </c:numCache>
            </c:numRef>
          </c:val>
          <c:extLst>
            <c:ext xmlns:c16="http://schemas.microsoft.com/office/drawing/2014/chart" uri="{C3380CC4-5D6E-409C-BE32-E72D297353CC}">
              <c16:uniqueId val="{00000000-1872-444D-B43E-28EEEB3B267D}"/>
            </c:ext>
          </c:extLst>
        </c:ser>
        <c:dLbls>
          <c:showLegendKey val="0"/>
          <c:showVal val="0"/>
          <c:showCatName val="0"/>
          <c:showSerName val="0"/>
          <c:showPercent val="0"/>
          <c:showBubbleSize val="0"/>
        </c:dLbls>
        <c:gapWidth val="0"/>
        <c:axId val="746192136"/>
        <c:axId val="746192920"/>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1872-444D-B43E-28EEEB3B267D}"/>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40.591110410057595</c:v>
                </c:pt>
                <c:pt idx="1">
                  <c:v>40.962215351397077</c:v>
                </c:pt>
                <c:pt idx="2">
                  <c:v>41.095493876401427</c:v>
                </c:pt>
                <c:pt idx="3">
                  <c:v>41.319418484016587</c:v>
                </c:pt>
                <c:pt idx="4">
                  <c:v>41.542548486631503</c:v>
                </c:pt>
                <c:pt idx="5">
                  <c:v>41.755272931776332</c:v>
                </c:pt>
                <c:pt idx="6">
                  <c:v>41.991811238037037</c:v>
                </c:pt>
                <c:pt idx="7">
                  <c:v>42.070856262519321</c:v>
                </c:pt>
                <c:pt idx="8">
                  <c:v>42.114653736298422</c:v>
                </c:pt>
                <c:pt idx="9">
                  <c:v>42.180049952692904</c:v>
                </c:pt>
                <c:pt idx="10">
                  <c:v>42.230862894240211</c:v>
                </c:pt>
                <c:pt idx="11">
                  <c:v>42.189487975211009</c:v>
                </c:pt>
                <c:pt idx="12">
                  <c:v>42.11744242664723</c:v>
                </c:pt>
                <c:pt idx="13">
                  <c:v>42.0142704054023</c:v>
                </c:pt>
                <c:pt idx="14">
                  <c:v>41.867371647439938</c:v>
                </c:pt>
                <c:pt idx="15">
                  <c:v>41.692999352234274</c:v>
                </c:pt>
              </c:numCache>
            </c:numRef>
          </c:val>
          <c:smooth val="0"/>
          <c:extLst>
            <c:ext xmlns:c16="http://schemas.microsoft.com/office/drawing/2014/chart" uri="{C3380CC4-5D6E-409C-BE32-E72D297353CC}">
              <c16:uniqueId val="{00000003-1872-444D-B43E-28EEEB3B267D}"/>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44.243402779016066</c:v>
                </c:pt>
                <c:pt idx="1">
                  <c:v>43.285026126134731</c:v>
                </c:pt>
                <c:pt idx="2">
                  <c:v>42.455434846365222</c:v>
                </c:pt>
                <c:pt idx="3">
                  <c:v>41.79931531039751</c:v>
                </c:pt>
                <c:pt idx="4">
                  <c:v>41.217156488677794</c:v>
                </c:pt>
                <c:pt idx="5">
                  <c:v>40.751879022543491</c:v>
                </c:pt>
                <c:pt idx="6">
                  <c:v>40.303237335265536</c:v>
                </c:pt>
                <c:pt idx="7">
                  <c:v>39.895648240394671</c:v>
                </c:pt>
                <c:pt idx="8">
                  <c:v>39.614392593091623</c:v>
                </c:pt>
                <c:pt idx="9">
                  <c:v>39.546368928509011</c:v>
                </c:pt>
                <c:pt idx="10">
                  <c:v>39.634956647292505</c:v>
                </c:pt>
                <c:pt idx="11">
                  <c:v>39.747834003823137</c:v>
                </c:pt>
                <c:pt idx="12">
                  <c:v>39.824136626886755</c:v>
                </c:pt>
                <c:pt idx="13">
                  <c:v>39.768284989127594</c:v>
                </c:pt>
                <c:pt idx="14">
                  <c:v>39.578293383312833</c:v>
                </c:pt>
                <c:pt idx="15">
                  <c:v>39.271297604787641</c:v>
                </c:pt>
              </c:numCache>
            </c:numRef>
          </c:val>
          <c:smooth val="0"/>
          <c:extLst>
            <c:ext xmlns:c16="http://schemas.microsoft.com/office/drawing/2014/chart" uri="{C3380CC4-5D6E-409C-BE32-E72D297353CC}">
              <c16:uniqueId val="{00000004-1872-444D-B43E-28EEEB3B267D}"/>
            </c:ext>
          </c:extLst>
        </c:ser>
        <c:dLbls>
          <c:showLegendKey val="0"/>
          <c:showVal val="0"/>
          <c:showCatName val="0"/>
          <c:showSerName val="0"/>
          <c:showPercent val="0"/>
          <c:showBubbleSize val="0"/>
        </c:dLbls>
        <c:marker val="1"/>
        <c:smooth val="0"/>
        <c:axId val="746192136"/>
        <c:axId val="746192920"/>
      </c:lineChart>
      <c:catAx>
        <c:axId val="746192136"/>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746192920"/>
        <c:crosses val="autoZero"/>
        <c:auto val="1"/>
        <c:lblAlgn val="ctr"/>
        <c:lblOffset val="100"/>
        <c:noMultiLvlLbl val="0"/>
      </c:catAx>
      <c:valAx>
        <c:axId val="746192920"/>
        <c:scaling>
          <c:orientation val="minMax"/>
          <c:max val="55"/>
          <c:min val="35"/>
        </c:scaling>
        <c:delete val="0"/>
        <c:axPos val="l"/>
        <c:numFmt formatCode="General" sourceLinked="1"/>
        <c:majorTickMark val="out"/>
        <c:minorTickMark val="none"/>
        <c:tickLblPos val="nextTo"/>
        <c:crossAx val="746192136"/>
        <c:crosses val="autoZero"/>
        <c:crossBetween val="between"/>
        <c:majorUnit val="5"/>
      </c:valAx>
      <c:spPr>
        <a:solidFill>
          <a:srgbClr val="FFFFFF"/>
        </a:solidFill>
      </c:spPr>
    </c:plotArea>
    <c:legend>
      <c:legendPos val="l"/>
      <c:legendEntry>
        <c:idx val="0"/>
        <c:delete val="1"/>
      </c:legendEntry>
      <c:layout>
        <c:manualLayout>
          <c:xMode val="edge"/>
          <c:yMode val="edge"/>
          <c:x val="0.52936071254322514"/>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967F-451D-8C1D-A828F5482BAE}"/>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967F-451D-8C1D-A828F5482BAE}"/>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111.60227465414745</c:v>
                </c:pt>
                <c:pt idx="1">
                  <c:v>102.46220280708474</c:v>
                </c:pt>
              </c:numCache>
            </c:numRef>
          </c:val>
          <c:extLst>
            <c:ext xmlns:c16="http://schemas.microsoft.com/office/drawing/2014/chart" uri="{C3380CC4-5D6E-409C-BE32-E72D297353CC}">
              <c16:uniqueId val="{00000003-967F-451D-8C1D-A828F5482BAE}"/>
            </c:ext>
          </c:extLst>
        </c:ser>
        <c:dLbls>
          <c:showLegendKey val="0"/>
          <c:showVal val="1"/>
          <c:showCatName val="0"/>
          <c:showSerName val="0"/>
          <c:showPercent val="0"/>
          <c:showBubbleSize val="0"/>
        </c:dLbls>
        <c:gapWidth val="50"/>
        <c:overlap val="88"/>
        <c:axId val="746193704"/>
        <c:axId val="746194880"/>
      </c:barChart>
      <c:catAx>
        <c:axId val="746193704"/>
        <c:scaling>
          <c:orientation val="minMax"/>
        </c:scaling>
        <c:delete val="0"/>
        <c:axPos val="b"/>
        <c:numFmt formatCode="General" sourceLinked="1"/>
        <c:majorTickMark val="out"/>
        <c:minorTickMark val="none"/>
        <c:tickLblPos val="nextTo"/>
        <c:crossAx val="746194880"/>
        <c:crosses val="autoZero"/>
        <c:auto val="0"/>
        <c:lblAlgn val="ctr"/>
        <c:lblOffset val="100"/>
        <c:tickLblSkip val="1"/>
        <c:tickMarkSkip val="1"/>
        <c:noMultiLvlLbl val="0"/>
      </c:catAx>
      <c:valAx>
        <c:axId val="746194880"/>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746193704"/>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006666"/>
              </a:solidFill>
              <a:ln w="3175">
                <a:noFill/>
              </a:ln>
            </c:spPr>
            <c:extLst>
              <c:ext xmlns:c16="http://schemas.microsoft.com/office/drawing/2014/chart" uri="{C3380CC4-5D6E-409C-BE32-E72D297353CC}">
                <c16:uniqueId val="{00000001-A8FB-457C-A25B-DC55433CF08D}"/>
              </c:ext>
            </c:extLst>
          </c:dPt>
          <c:dPt>
            <c:idx val="1"/>
            <c:bubble3D val="0"/>
            <c:spPr>
              <a:solidFill>
                <a:srgbClr val="92B7C4"/>
              </a:solidFill>
              <a:ln w="3175">
                <a:noFill/>
              </a:ln>
            </c:spPr>
            <c:extLst>
              <c:ext xmlns:c16="http://schemas.microsoft.com/office/drawing/2014/chart" uri="{C3380CC4-5D6E-409C-BE32-E72D297353CC}">
                <c16:uniqueId val="{00000003-A8FB-457C-A25B-DC55433CF08D}"/>
              </c:ext>
            </c:extLst>
          </c:dPt>
          <c:dLbls>
            <c:dLbl>
              <c:idx val="1"/>
              <c:delete val="1"/>
              <c:extLst>
                <c:ext xmlns:c15="http://schemas.microsoft.com/office/drawing/2012/chart" uri="{CE6537A1-D6FC-4f65-9D91-7224C49458BB}"/>
                <c:ext xmlns:c16="http://schemas.microsoft.com/office/drawing/2014/chart" uri="{C3380CC4-5D6E-409C-BE32-E72D297353CC}">
                  <c16:uniqueId val="{00000003-A8FB-457C-A25B-DC55433CF08D}"/>
                </c:ext>
              </c:extLst>
            </c:dLbl>
            <c:spPr>
              <a:noFill/>
              <a:ln>
                <a:noFill/>
              </a:ln>
              <a:effectLst/>
            </c:spPr>
            <c:txPr>
              <a:bodyPr/>
              <a:lstStyle/>
              <a:p>
                <a:pPr>
                  <a:defRPr>
                    <a:solidFill>
                      <a:schemeClr val="bg1"/>
                    </a:solidFill>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58.572126168426841</c:v>
                </c:pt>
                <c:pt idx="1">
                  <c:v>41.427873831573159</c:v>
                </c:pt>
              </c:numCache>
            </c:numRef>
          </c:val>
          <c:extLst>
            <c:ext xmlns:c16="http://schemas.microsoft.com/office/drawing/2014/chart" uri="{C3380CC4-5D6E-409C-BE32-E72D297353CC}">
              <c16:uniqueId val="{00000004-A8FB-457C-A25B-DC55433CF08D}"/>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876379487651769"/>
          <c:y val="1.4470284237726097E-2"/>
          <c:w val="0.41639502965909331"/>
          <c:h val="0.93414544112218534"/>
        </c:manualLayout>
      </c:layout>
      <c:barChart>
        <c:barDir val="bar"/>
        <c:grouping val="clustered"/>
        <c:varyColors val="0"/>
        <c:ser>
          <c:idx val="0"/>
          <c:order val="0"/>
          <c:tx>
            <c:strRef>
              <c:f>Sheet1!$B$1</c:f>
              <c:strCache>
                <c:ptCount val="1"/>
                <c:pt idx="0">
                  <c:v>31.03.</c:v>
                </c:pt>
              </c:strCache>
            </c:strRef>
          </c:tx>
          <c:spPr>
            <a:solidFill>
              <a:srgbClr val="002060"/>
            </a:solidFill>
            <a:ln>
              <a:noFill/>
            </a:ln>
            <a:effectLst/>
          </c:spPr>
          <c:invertIfNegative val="0"/>
          <c:dLbls>
            <c:dLbl>
              <c:idx val="8"/>
              <c:layout>
                <c:manualLayout>
                  <c:x val="-4.275099415390051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94-4D50-94C4-CF42EC114B26}"/>
                </c:ext>
              </c:extLst>
            </c:dLbl>
            <c:dLbl>
              <c:idx val="9"/>
              <c:layout>
                <c:manualLayout>
                  <c:x val="3.898635477582845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94-4D50-94C4-CF42EC114B26}"/>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Ieguves rūpniecība</c:v>
                </c:pt>
                <c:pt idx="1">
                  <c:v>Informācijas tehnoloģijas / Telekom.</c:v>
                </c:pt>
                <c:pt idx="2">
                  <c:v>Izglītība / Zinātne</c:v>
                </c:pt>
                <c:pt idx="3">
                  <c:v>Citi pakalpojumi</c:v>
                </c:pt>
                <c:pt idx="4">
                  <c:v>Izmitināšana/ ēdināšanas </c:v>
                </c:pt>
                <c:pt idx="5">
                  <c:v>Lauksaimniecība / Vide</c:v>
                </c:pt>
                <c:pt idx="6">
                  <c:v>Veselības aprūpe / Sociālā aprūpe</c:v>
                </c:pt>
                <c:pt idx="7">
                  <c:v>Valsts pārvalde/ aizsardzība</c:v>
                </c:pt>
                <c:pt idx="8">
                  <c:v>Tirdzniecība</c:v>
                </c:pt>
                <c:pt idx="9">
                  <c:v>Transports/ uzglabāšana</c:v>
                </c:pt>
                <c:pt idx="10">
                  <c:v>Administratīvais/ atbalsta d.</c:v>
                </c:pt>
                <c:pt idx="11">
                  <c:v>Apstrādes rūpniecība</c:v>
                </c:pt>
                <c:pt idx="12">
                  <c:v>Būvniecība / Nekustamais īpašums</c:v>
                </c:pt>
              </c:strCache>
            </c:strRef>
          </c:cat>
          <c:val>
            <c:numRef>
              <c:f>Sheet1!$B$2:$B$14</c:f>
              <c:numCache>
                <c:formatCode>General</c:formatCode>
                <c:ptCount val="13"/>
                <c:pt idx="0">
                  <c:v>137</c:v>
                </c:pt>
                <c:pt idx="1">
                  <c:v>173</c:v>
                </c:pt>
                <c:pt idx="2">
                  <c:v>343</c:v>
                </c:pt>
                <c:pt idx="3">
                  <c:v>396</c:v>
                </c:pt>
                <c:pt idx="4">
                  <c:v>447</c:v>
                </c:pt>
                <c:pt idx="5">
                  <c:v>458</c:v>
                </c:pt>
                <c:pt idx="6">
                  <c:v>574</c:v>
                </c:pt>
                <c:pt idx="7">
                  <c:v>766</c:v>
                </c:pt>
                <c:pt idx="8">
                  <c:v>856</c:v>
                </c:pt>
                <c:pt idx="9">
                  <c:v>1463</c:v>
                </c:pt>
                <c:pt idx="10">
                  <c:v>1472</c:v>
                </c:pt>
                <c:pt idx="11">
                  <c:v>1566</c:v>
                </c:pt>
                <c:pt idx="12">
                  <c:v>1911</c:v>
                </c:pt>
              </c:numCache>
            </c:numRef>
          </c:val>
          <c:extLst>
            <c:ext xmlns:c16="http://schemas.microsoft.com/office/drawing/2014/chart" uri="{C3380CC4-5D6E-409C-BE32-E72D297353CC}">
              <c16:uniqueId val="{00000002-4394-4D50-94C4-CF42EC114B26}"/>
            </c:ext>
          </c:extLst>
        </c:ser>
        <c:dLbls>
          <c:showLegendKey val="0"/>
          <c:showVal val="0"/>
          <c:showCatName val="0"/>
          <c:showSerName val="0"/>
          <c:showPercent val="0"/>
          <c:showBubbleSize val="0"/>
        </c:dLbls>
        <c:gapWidth val="82"/>
        <c:axId val="827992240"/>
        <c:axId val="550958816"/>
      </c:barChart>
      <c:catAx>
        <c:axId val="827992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550958816"/>
        <c:crosses val="autoZero"/>
        <c:auto val="1"/>
        <c:lblAlgn val="ctr"/>
        <c:lblOffset val="100"/>
        <c:noMultiLvlLbl val="0"/>
      </c:catAx>
      <c:valAx>
        <c:axId val="550958816"/>
        <c:scaling>
          <c:orientation val="minMax"/>
        </c:scaling>
        <c:delete val="1"/>
        <c:axPos val="b"/>
        <c:numFmt formatCode="General" sourceLinked="1"/>
        <c:majorTickMark val="none"/>
        <c:minorTickMark val="none"/>
        <c:tickLblPos val="nextTo"/>
        <c:crossAx val="8279922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Sheet1!$B$4:$W$4</c:f>
              <c:numCache>
                <c:formatCode>General</c:formatCode>
                <c:ptCount val="16"/>
                <c:pt idx="5">
                  <c:v>400</c:v>
                </c:pt>
                <c:pt idx="15">
                  <c:v>400</c:v>
                </c:pt>
              </c:numCache>
            </c:numRef>
          </c:val>
          <c:extLst>
            <c:ext xmlns:c16="http://schemas.microsoft.com/office/drawing/2014/chart" uri="{C3380CC4-5D6E-409C-BE32-E72D297353CC}">
              <c16:uniqueId val="{00000000-62E0-4A8F-B174-F32F6EAB1168}"/>
            </c:ext>
          </c:extLst>
        </c:ser>
        <c:dLbls>
          <c:showLegendKey val="0"/>
          <c:showVal val="0"/>
          <c:showCatName val="0"/>
          <c:showSerName val="0"/>
          <c:showPercent val="0"/>
          <c:showBubbleSize val="0"/>
        </c:dLbls>
        <c:gapWidth val="0"/>
        <c:axId val="598979808"/>
        <c:axId val="59898882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62E0-4A8F-B174-F32F6EAB1168}"/>
              </c:ext>
            </c:extLst>
          </c:dPt>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244.65035908308903</c:v>
                </c:pt>
                <c:pt idx="1">
                  <c:v>243.21843346811471</c:v>
                </c:pt>
                <c:pt idx="2">
                  <c:v>240.42379452595324</c:v>
                </c:pt>
                <c:pt idx="3">
                  <c:v>237.56945813631148</c:v>
                </c:pt>
                <c:pt idx="4">
                  <c:v>235.12996111933083</c:v>
                </c:pt>
                <c:pt idx="5">
                  <c:v>232.85931475862364</c:v>
                </c:pt>
                <c:pt idx="6">
                  <c:v>230.33016416087733</c:v>
                </c:pt>
                <c:pt idx="7">
                  <c:v>227.22930546537873</c:v>
                </c:pt>
                <c:pt idx="8">
                  <c:v>223.65966789199715</c:v>
                </c:pt>
                <c:pt idx="9">
                  <c:v>220.11416220625395</c:v>
                </c:pt>
                <c:pt idx="10">
                  <c:v>216.5921598341582</c:v>
                </c:pt>
                <c:pt idx="11">
                  <c:v>212.93419877572904</c:v>
                </c:pt>
                <c:pt idx="12">
                  <c:v>209.22330431784431</c:v>
                </c:pt>
                <c:pt idx="13">
                  <c:v>205.56017775531393</c:v>
                </c:pt>
                <c:pt idx="14">
                  <c:v>201.89163945573731</c:v>
                </c:pt>
                <c:pt idx="15">
                  <c:v>198.18753467032533</c:v>
                </c:pt>
              </c:numCache>
            </c:numRef>
          </c:val>
          <c:smooth val="0"/>
          <c:extLst>
            <c:ext xmlns:c16="http://schemas.microsoft.com/office/drawing/2014/chart" uri="{C3380CC4-5D6E-409C-BE32-E72D297353CC}">
              <c16:uniqueId val="{00000003-62E0-4A8F-B174-F32F6EAB1168}"/>
            </c:ext>
          </c:extLst>
        </c:ser>
        <c:ser>
          <c:idx val="0"/>
          <c:order val="1"/>
          <c:tx>
            <c:strRef>
              <c:f>Sheet1!$A$3</c:f>
              <c:strCache>
                <c:ptCount val="1"/>
                <c:pt idx="0">
                  <c:v>Piedāvājums</c:v>
                </c:pt>
              </c:strCache>
            </c:strRef>
          </c:tx>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268.70018077931667</c:v>
                </c:pt>
                <c:pt idx="1">
                  <c:v>264.25982492873362</c:v>
                </c:pt>
                <c:pt idx="2">
                  <c:v>261.21229497549524</c:v>
                </c:pt>
                <c:pt idx="3">
                  <c:v>259.14283717663676</c:v>
                </c:pt>
                <c:pt idx="4">
                  <c:v>257.34558830718288</c:v>
                </c:pt>
                <c:pt idx="5">
                  <c:v>256.01014847472885</c:v>
                </c:pt>
                <c:pt idx="6">
                  <c:v>254.52109093339473</c:v>
                </c:pt>
                <c:pt idx="7">
                  <c:v>252.84610470787322</c:v>
                </c:pt>
                <c:pt idx="8">
                  <c:v>251.37553790984109</c:v>
                </c:pt>
                <c:pt idx="9">
                  <c:v>250.64628462180841</c:v>
                </c:pt>
                <c:pt idx="10">
                  <c:v>250.37875909807201</c:v>
                </c:pt>
                <c:pt idx="11">
                  <c:v>250.23402436268702</c:v>
                </c:pt>
                <c:pt idx="12">
                  <c:v>250.19745094500948</c:v>
                </c:pt>
                <c:pt idx="13">
                  <c:v>249.72628635776832</c:v>
                </c:pt>
                <c:pt idx="14">
                  <c:v>248.79102847478484</c:v>
                </c:pt>
                <c:pt idx="15">
                  <c:v>247.46342969959656</c:v>
                </c:pt>
              </c:numCache>
            </c:numRef>
          </c:val>
          <c:smooth val="0"/>
          <c:extLst>
            <c:ext xmlns:c16="http://schemas.microsoft.com/office/drawing/2014/chart" uri="{C3380CC4-5D6E-409C-BE32-E72D297353CC}">
              <c16:uniqueId val="{00000004-62E0-4A8F-B174-F32F6EAB1168}"/>
            </c:ext>
          </c:extLst>
        </c:ser>
        <c:dLbls>
          <c:showLegendKey val="0"/>
          <c:showVal val="0"/>
          <c:showCatName val="0"/>
          <c:showSerName val="0"/>
          <c:showPercent val="0"/>
          <c:showBubbleSize val="0"/>
        </c:dLbls>
        <c:marker val="1"/>
        <c:smooth val="0"/>
        <c:axId val="598979808"/>
        <c:axId val="598988824"/>
      </c:lineChart>
      <c:catAx>
        <c:axId val="598979808"/>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598988824"/>
        <c:crosses val="autoZero"/>
        <c:auto val="1"/>
        <c:lblAlgn val="ctr"/>
        <c:lblOffset val="100"/>
        <c:noMultiLvlLbl val="0"/>
      </c:catAx>
      <c:valAx>
        <c:axId val="598988824"/>
        <c:scaling>
          <c:orientation val="minMax"/>
          <c:max val="300"/>
          <c:min val="120"/>
        </c:scaling>
        <c:delete val="0"/>
        <c:axPos val="l"/>
        <c:numFmt formatCode="General" sourceLinked="1"/>
        <c:majorTickMark val="out"/>
        <c:minorTickMark val="none"/>
        <c:tickLblPos val="nextTo"/>
        <c:crossAx val="598979808"/>
        <c:crosses val="autoZero"/>
        <c:crossBetween val="between"/>
        <c:majorUnit val="30"/>
      </c:valAx>
      <c:spPr>
        <a:solidFill>
          <a:srgbClr val="FFFFFF"/>
        </a:solidFill>
      </c:spPr>
    </c:plotArea>
    <c:legend>
      <c:legendPos val="l"/>
      <c:legendEntry>
        <c:idx val="0"/>
        <c:delete val="1"/>
      </c:legendEntry>
      <c:layout>
        <c:manualLayout>
          <c:xMode val="edge"/>
          <c:yMode val="edge"/>
          <c:x val="0.51579219151201761"/>
          <c:y val="0.47702433755110124"/>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006666"/>
            </a:solidFill>
            <a:ln w="3175">
              <a:noFill/>
            </a:ln>
          </c:spPr>
          <c:invertIfNegative val="0"/>
          <c:dLbls>
            <c:delete val="1"/>
          </c:dLbls>
          <c:cat>
            <c:strRef>
              <c:f>Sheet1!$A$2:$A$3</c:f>
              <c:strCache>
                <c:ptCount val="2"/>
                <c:pt idx="0">
                  <c:v>p2024</c:v>
                </c:pt>
                <c:pt idx="1">
                  <c:v>p2026</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3E78-4C2C-8D31-E57B39A9B8C3}"/>
            </c:ext>
          </c:extLst>
        </c:ser>
        <c:ser>
          <c:idx val="0"/>
          <c:order val="1"/>
          <c:tx>
            <c:strRef>
              <c:f>Sheet1!$C$1</c:f>
              <c:strCache>
                <c:ptCount val="1"/>
                <c:pt idx="0">
                  <c:v>pieprasījums</c:v>
                </c:pt>
              </c:strCache>
            </c:strRef>
          </c:tx>
          <c:spPr>
            <a:solidFill>
              <a:srgbClr val="92B7C4"/>
            </a:solidFill>
            <a:ln w="3175">
              <a:noFill/>
            </a:ln>
          </c:spPr>
          <c:invertIfNegative val="0"/>
          <c:dPt>
            <c:idx val="0"/>
            <c:invertIfNegative val="0"/>
            <c:bubble3D val="0"/>
            <c:spPr>
              <a:solidFill>
                <a:srgbClr val="92B7C4"/>
              </a:solidFill>
              <a:ln w="19050">
                <a:noFill/>
              </a:ln>
            </c:spPr>
            <c:extLst>
              <c:ext xmlns:c16="http://schemas.microsoft.com/office/drawing/2014/chart" uri="{C3380CC4-5D6E-409C-BE32-E72D297353CC}">
                <c16:uniqueId val="{00000002-3E78-4C2C-8D31-E57B39A9B8C3}"/>
              </c:ext>
            </c:extLst>
          </c:dPt>
          <c:dLbls>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p2024</c:v>
                </c:pt>
                <c:pt idx="1">
                  <c:v>p2026</c:v>
                </c:pt>
              </c:strCache>
            </c:strRef>
          </c:cat>
          <c:val>
            <c:numRef>
              <c:f>Sheet1!$C$2:$C$3</c:f>
              <c:numCache>
                <c:formatCode>0</c:formatCode>
                <c:ptCount val="2"/>
                <c:pt idx="0">
                  <c:v>87.725778548287209</c:v>
                </c:pt>
                <c:pt idx="1">
                  <c:v>90.957064064048041</c:v>
                </c:pt>
              </c:numCache>
            </c:numRef>
          </c:val>
          <c:extLst>
            <c:ext xmlns:c16="http://schemas.microsoft.com/office/drawing/2014/chart" uri="{C3380CC4-5D6E-409C-BE32-E72D297353CC}">
              <c16:uniqueId val="{00000003-3E78-4C2C-8D31-E57B39A9B8C3}"/>
            </c:ext>
          </c:extLst>
        </c:ser>
        <c:dLbls>
          <c:showLegendKey val="0"/>
          <c:showVal val="1"/>
          <c:showCatName val="0"/>
          <c:showSerName val="0"/>
          <c:showPercent val="0"/>
          <c:showBubbleSize val="0"/>
        </c:dLbls>
        <c:gapWidth val="50"/>
        <c:overlap val="88"/>
        <c:axId val="598986080"/>
        <c:axId val="598989216"/>
      </c:barChart>
      <c:catAx>
        <c:axId val="598986080"/>
        <c:scaling>
          <c:orientation val="minMax"/>
        </c:scaling>
        <c:delete val="0"/>
        <c:axPos val="b"/>
        <c:numFmt formatCode="General" sourceLinked="1"/>
        <c:majorTickMark val="out"/>
        <c:minorTickMark val="none"/>
        <c:tickLblPos val="nextTo"/>
        <c:crossAx val="598989216"/>
        <c:crosses val="autoZero"/>
        <c:auto val="0"/>
        <c:lblAlgn val="ctr"/>
        <c:lblOffset val="100"/>
        <c:tickLblSkip val="1"/>
        <c:tickMarkSkip val="1"/>
        <c:noMultiLvlLbl val="0"/>
      </c:catAx>
      <c:valAx>
        <c:axId val="598989216"/>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en-US"/>
          </a:p>
        </c:txPr>
        <c:crossAx val="59898608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92B7C4"/>
              </a:solidFill>
              <a:prstDash val="solid"/>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89.297919309321912</c:v>
                </c:pt>
                <c:pt idx="1">
                  <c:v>90.286439257340263</c:v>
                </c:pt>
                <c:pt idx="2">
                  <c:v>91.431913018216605</c:v>
                </c:pt>
                <c:pt idx="3">
                  <c:v>92.47966560436133</c:v>
                </c:pt>
                <c:pt idx="4">
                  <c:v>93.543898580080082</c:v>
                </c:pt>
                <c:pt idx="5">
                  <c:v>94.74080213005999</c:v>
                </c:pt>
                <c:pt idx="6">
                  <c:v>95.453307772958908</c:v>
                </c:pt>
                <c:pt idx="7">
                  <c:v>95.88663779360661</c:v>
                </c:pt>
                <c:pt idx="8">
                  <c:v>96.131169152464452</c:v>
                </c:pt>
                <c:pt idx="9">
                  <c:v>96.527436157370758</c:v>
                </c:pt>
                <c:pt idx="10">
                  <c:v>96.9353734736479</c:v>
                </c:pt>
                <c:pt idx="11">
                  <c:v>97.234069431403157</c:v>
                </c:pt>
                <c:pt idx="12">
                  <c:v>97.525902102192731</c:v>
                </c:pt>
                <c:pt idx="13">
                  <c:v>97.816896893950243</c:v>
                </c:pt>
                <c:pt idx="14">
                  <c:v>98.087501555060769</c:v>
                </c:pt>
                <c:pt idx="15">
                  <c:v>98.317402470259282</c:v>
                </c:pt>
              </c:numCache>
            </c:numRef>
          </c:val>
          <c:smooth val="0"/>
          <c:extLst>
            <c:ext xmlns:c16="http://schemas.microsoft.com/office/drawing/2014/chart" uri="{C3380CC4-5D6E-409C-BE32-E72D297353CC}">
              <c16:uniqueId val="{00000000-070D-46FF-A98B-0EB55FE16B4B}"/>
            </c:ext>
          </c:extLst>
        </c:ser>
        <c:ser>
          <c:idx val="0"/>
          <c:order val="1"/>
          <c:tx>
            <c:strRef>
              <c:f>Sheet1!$A$3</c:f>
              <c:strCache>
                <c:ptCount val="1"/>
                <c:pt idx="0">
                  <c:v>Piedāvājums</c:v>
                </c:pt>
              </c:strCache>
            </c:strRef>
          </c:tx>
          <c:spPr>
            <a:ln>
              <a:solidFill>
                <a:srgbClr val="006666"/>
              </a:solidFill>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91.692248388680937</c:v>
                </c:pt>
                <c:pt idx="1">
                  <c:v>92.022770303763977</c:v>
                </c:pt>
                <c:pt idx="2">
                  <c:v>92.557807444394072</c:v>
                </c:pt>
                <c:pt idx="3">
                  <c:v>93.242079449214103</c:v>
                </c:pt>
                <c:pt idx="4">
                  <c:v>93.835909456577156</c:v>
                </c:pt>
                <c:pt idx="5">
                  <c:v>94.568280390778796</c:v>
                </c:pt>
                <c:pt idx="6">
                  <c:v>95.083270088056508</c:v>
                </c:pt>
                <c:pt idx="7">
                  <c:v>95.538623314876531</c:v>
                </c:pt>
                <c:pt idx="8">
                  <c:v>95.862557645872002</c:v>
                </c:pt>
                <c:pt idx="9">
                  <c:v>96.283932664038588</c:v>
                </c:pt>
                <c:pt idx="10">
                  <c:v>96.652630048688366</c:v>
                </c:pt>
                <c:pt idx="11">
                  <c:v>96.881002618336012</c:v>
                </c:pt>
                <c:pt idx="12">
                  <c:v>97.153423787831613</c:v>
                </c:pt>
                <c:pt idx="13">
                  <c:v>97.417740698224748</c:v>
                </c:pt>
                <c:pt idx="14">
                  <c:v>97.684522549448374</c:v>
                </c:pt>
                <c:pt idx="15">
                  <c:v>97.929112176538709</c:v>
                </c:pt>
              </c:numCache>
            </c:numRef>
          </c:val>
          <c:smooth val="0"/>
          <c:extLst>
            <c:ext xmlns:c16="http://schemas.microsoft.com/office/drawing/2014/chart" uri="{C3380CC4-5D6E-409C-BE32-E72D297353CC}">
              <c16:uniqueId val="{00000001-070D-46FF-A98B-0EB55FE16B4B}"/>
            </c:ext>
          </c:extLst>
        </c:ser>
        <c:dLbls>
          <c:showLegendKey val="0"/>
          <c:showVal val="0"/>
          <c:showCatName val="0"/>
          <c:showSerName val="0"/>
          <c:showPercent val="0"/>
          <c:showBubbleSize val="0"/>
        </c:dLbls>
        <c:smooth val="0"/>
        <c:axId val="598979024"/>
        <c:axId val="598984904"/>
      </c:lineChart>
      <c:catAx>
        <c:axId val="598979024"/>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en-US"/>
          </a:p>
        </c:txPr>
        <c:crossAx val="598984904"/>
        <c:crosses val="autoZero"/>
        <c:auto val="1"/>
        <c:lblAlgn val="ctr"/>
        <c:lblOffset val="0"/>
        <c:tickLblSkip val="2"/>
        <c:tickMarkSkip val="1"/>
        <c:noMultiLvlLbl val="1"/>
      </c:catAx>
      <c:valAx>
        <c:axId val="598984904"/>
        <c:scaling>
          <c:orientation val="minMax"/>
          <c:max val="105"/>
          <c:min val="85"/>
        </c:scaling>
        <c:delete val="0"/>
        <c:axPos val="l"/>
        <c:numFmt formatCode="0" sourceLinked="0"/>
        <c:majorTickMark val="out"/>
        <c:minorTickMark val="none"/>
        <c:tickLblPos val="nextTo"/>
        <c:txPr>
          <a:bodyPr rot="0" vert="horz"/>
          <a:lstStyle/>
          <a:p>
            <a:pPr>
              <a:defRPr/>
            </a:pPr>
            <a:endParaRPr lang="en-US"/>
          </a:p>
        </c:txPr>
        <c:crossAx val="598979024"/>
        <c:crossesAt val="1"/>
        <c:crossBetween val="between"/>
        <c:majorUnit val="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92B7C4"/>
              </a:solidFill>
              <a:prstDash val="solid"/>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185.92009012288779</c:v>
                </c:pt>
                <c:pt idx="1">
                  <c:v>187.44077297804165</c:v>
                </c:pt>
                <c:pt idx="2">
                  <c:v>188.81818758644769</c:v>
                </c:pt>
                <c:pt idx="3">
                  <c:v>190.60871808092597</c:v>
                </c:pt>
                <c:pt idx="4">
                  <c:v>192.87672127671146</c:v>
                </c:pt>
                <c:pt idx="5">
                  <c:v>195.49004078130085</c:v>
                </c:pt>
                <c:pt idx="6">
                  <c:v>197.9662536788498</c:v>
                </c:pt>
                <c:pt idx="7">
                  <c:v>199.76019562134158</c:v>
                </c:pt>
                <c:pt idx="8">
                  <c:v>201.29471897604006</c:v>
                </c:pt>
                <c:pt idx="9">
                  <c:v>202.90543697720636</c:v>
                </c:pt>
                <c:pt idx="10">
                  <c:v>204.41831937036346</c:v>
                </c:pt>
                <c:pt idx="11">
                  <c:v>205.68801943943777</c:v>
                </c:pt>
                <c:pt idx="12">
                  <c:v>206.90514948514578</c:v>
                </c:pt>
                <c:pt idx="13">
                  <c:v>208.0956488505407</c:v>
                </c:pt>
                <c:pt idx="14">
                  <c:v>209.21148646414184</c:v>
                </c:pt>
                <c:pt idx="15">
                  <c:v>210.21915872891736</c:v>
                </c:pt>
              </c:numCache>
            </c:numRef>
          </c:val>
          <c:smooth val="0"/>
          <c:extLst>
            <c:ext xmlns:c16="http://schemas.microsoft.com/office/drawing/2014/chart" uri="{C3380CC4-5D6E-409C-BE32-E72D297353CC}">
              <c16:uniqueId val="{00000000-FE9F-45FF-8439-71CFD3092B49}"/>
            </c:ext>
          </c:extLst>
        </c:ser>
        <c:ser>
          <c:idx val="0"/>
          <c:order val="1"/>
          <c:tx>
            <c:strRef>
              <c:f>Sheet1!$A$3</c:f>
              <c:strCache>
                <c:ptCount val="1"/>
                <c:pt idx="0">
                  <c:v>Piedāvājums</c:v>
                </c:pt>
              </c:strCache>
            </c:strRef>
          </c:tx>
          <c:spPr>
            <a:ln>
              <a:solidFill>
                <a:srgbClr val="006666"/>
              </a:solidFill>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190.56714823532124</c:v>
                </c:pt>
                <c:pt idx="1">
                  <c:v>191.21058896272925</c:v>
                </c:pt>
                <c:pt idx="2">
                  <c:v>192.19475869022068</c:v>
                </c:pt>
                <c:pt idx="3">
                  <c:v>193.46348725531936</c:v>
                </c:pt>
                <c:pt idx="4">
                  <c:v>194.85867562851129</c:v>
                </c:pt>
                <c:pt idx="5">
                  <c:v>196.71930194909018</c:v>
                </c:pt>
                <c:pt idx="6">
                  <c:v>198.21071329489536</c:v>
                </c:pt>
                <c:pt idx="7">
                  <c:v>199.07602357896982</c:v>
                </c:pt>
                <c:pt idx="8">
                  <c:v>199.77403219262294</c:v>
                </c:pt>
                <c:pt idx="9">
                  <c:v>200.68235155256727</c:v>
                </c:pt>
                <c:pt idx="10">
                  <c:v>201.60144050697522</c:v>
                </c:pt>
                <c:pt idx="11">
                  <c:v>202.28510471064484</c:v>
                </c:pt>
                <c:pt idx="12">
                  <c:v>203.14834407703356</c:v>
                </c:pt>
                <c:pt idx="13">
                  <c:v>204.04837357948068</c:v>
                </c:pt>
                <c:pt idx="14">
                  <c:v>205.02128759443539</c:v>
                </c:pt>
                <c:pt idx="15">
                  <c:v>206.10358047249804</c:v>
                </c:pt>
              </c:numCache>
            </c:numRef>
          </c:val>
          <c:smooth val="0"/>
          <c:extLst>
            <c:ext xmlns:c16="http://schemas.microsoft.com/office/drawing/2014/chart" uri="{C3380CC4-5D6E-409C-BE32-E72D297353CC}">
              <c16:uniqueId val="{00000001-FE9F-45FF-8439-71CFD3092B49}"/>
            </c:ext>
          </c:extLst>
        </c:ser>
        <c:dLbls>
          <c:showLegendKey val="0"/>
          <c:showVal val="0"/>
          <c:showCatName val="0"/>
          <c:showSerName val="0"/>
          <c:showPercent val="0"/>
          <c:showBubbleSize val="0"/>
        </c:dLbls>
        <c:smooth val="0"/>
        <c:axId val="598986472"/>
        <c:axId val="598987256"/>
      </c:lineChart>
      <c:catAx>
        <c:axId val="598986472"/>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en-US"/>
          </a:p>
        </c:txPr>
        <c:crossAx val="598987256"/>
        <c:crosses val="autoZero"/>
        <c:auto val="1"/>
        <c:lblAlgn val="ctr"/>
        <c:lblOffset val="0"/>
        <c:tickLblSkip val="2"/>
        <c:tickMarkSkip val="2"/>
        <c:noMultiLvlLbl val="1"/>
      </c:catAx>
      <c:valAx>
        <c:axId val="598987256"/>
        <c:scaling>
          <c:orientation val="minMax"/>
          <c:max val="230"/>
          <c:min val="180"/>
        </c:scaling>
        <c:delete val="0"/>
        <c:axPos val="l"/>
        <c:numFmt formatCode="0" sourceLinked="0"/>
        <c:majorTickMark val="out"/>
        <c:minorTickMark val="none"/>
        <c:tickLblPos val="nextTo"/>
        <c:txPr>
          <a:bodyPr rot="0" vert="horz"/>
          <a:lstStyle/>
          <a:p>
            <a:pPr>
              <a:defRPr/>
            </a:pPr>
            <a:endParaRPr lang="en-US"/>
          </a:p>
        </c:txPr>
        <c:crossAx val="598986472"/>
        <c:crossesAt val="1"/>
        <c:crossBetween val="between"/>
        <c:majorUnit val="10"/>
      </c:valAx>
      <c:spPr>
        <a:noFill/>
        <a:ln w="6335">
          <a:noFill/>
        </a:ln>
      </c:spPr>
    </c:plotArea>
    <c:legend>
      <c:legendPos val="t"/>
      <c:layout>
        <c:manualLayout>
          <c:xMode val="edge"/>
          <c:yMode val="edge"/>
          <c:x val="0.2902700213763707"/>
          <c:y val="3.478024674591098E-2"/>
          <c:w val="0.50226321132565288"/>
          <c:h val="0.22811681076125775"/>
        </c:manualLayout>
      </c:layout>
      <c:overlay val="0"/>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92B7C4"/>
              </a:solidFill>
              <a:prstDash val="solid"/>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123.18765273138227</c:v>
                </c:pt>
                <c:pt idx="1">
                  <c:v>124.94561932727454</c:v>
                </c:pt>
                <c:pt idx="2">
                  <c:v>126.80827799084319</c:v>
                </c:pt>
                <c:pt idx="3">
                  <c:v>128.6395628657047</c:v>
                </c:pt>
                <c:pt idx="4">
                  <c:v>130.76462660079102</c:v>
                </c:pt>
                <c:pt idx="5">
                  <c:v>133.02559058158943</c:v>
                </c:pt>
                <c:pt idx="6">
                  <c:v>135.06665086928322</c:v>
                </c:pt>
                <c:pt idx="7">
                  <c:v>136.66587872929409</c:v>
                </c:pt>
                <c:pt idx="8">
                  <c:v>138.03984596353843</c:v>
                </c:pt>
                <c:pt idx="9">
                  <c:v>139.51021580233888</c:v>
                </c:pt>
                <c:pt idx="10">
                  <c:v>140.98656911439167</c:v>
                </c:pt>
                <c:pt idx="11">
                  <c:v>142.31518638242707</c:v>
                </c:pt>
                <c:pt idx="12">
                  <c:v>143.59714069496198</c:v>
                </c:pt>
                <c:pt idx="13">
                  <c:v>144.89656075705838</c:v>
                </c:pt>
                <c:pt idx="14">
                  <c:v>146.16194830175795</c:v>
                </c:pt>
                <c:pt idx="15">
                  <c:v>147.39897130819222</c:v>
                </c:pt>
              </c:numCache>
            </c:numRef>
          </c:val>
          <c:smooth val="0"/>
          <c:extLst>
            <c:ext xmlns:c16="http://schemas.microsoft.com/office/drawing/2014/chart" uri="{C3380CC4-5D6E-409C-BE32-E72D297353CC}">
              <c16:uniqueId val="{00000000-E837-4FA3-8A97-D57AFB8A9F97}"/>
            </c:ext>
          </c:extLst>
        </c:ser>
        <c:ser>
          <c:idx val="0"/>
          <c:order val="1"/>
          <c:tx>
            <c:strRef>
              <c:f>Sheet1!$A$3</c:f>
              <c:strCache>
                <c:ptCount val="1"/>
                <c:pt idx="0">
                  <c:v>Piedāvājums</c:v>
                </c:pt>
              </c:strCache>
            </c:strRef>
          </c:tx>
          <c:spPr>
            <a:ln>
              <a:solidFill>
                <a:srgbClr val="006666"/>
              </a:solidFill>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130.01591127625463</c:v>
                </c:pt>
                <c:pt idx="1">
                  <c:v>131.13175019271361</c:v>
                </c:pt>
                <c:pt idx="2">
                  <c:v>132.29838074488373</c:v>
                </c:pt>
                <c:pt idx="3">
                  <c:v>133.51849634588123</c:v>
                </c:pt>
                <c:pt idx="4">
                  <c:v>134.61361412442977</c:v>
                </c:pt>
                <c:pt idx="5">
                  <c:v>135.75946356316194</c:v>
                </c:pt>
                <c:pt idx="6">
                  <c:v>136.9123075040649</c:v>
                </c:pt>
                <c:pt idx="7">
                  <c:v>137.90322306809446</c:v>
                </c:pt>
                <c:pt idx="8">
                  <c:v>138.95134429610883</c:v>
                </c:pt>
                <c:pt idx="9">
                  <c:v>140.22825301073959</c:v>
                </c:pt>
                <c:pt idx="10">
                  <c:v>141.51959045263624</c:v>
                </c:pt>
                <c:pt idx="11">
                  <c:v>142.65916658110561</c:v>
                </c:pt>
                <c:pt idx="12">
                  <c:v>143.86281520149205</c:v>
                </c:pt>
                <c:pt idx="13">
                  <c:v>145.04189386279265</c:v>
                </c:pt>
                <c:pt idx="14">
                  <c:v>146.21523960554592</c:v>
                </c:pt>
                <c:pt idx="15">
                  <c:v>147.38523315220209</c:v>
                </c:pt>
              </c:numCache>
            </c:numRef>
          </c:val>
          <c:smooth val="0"/>
          <c:extLst>
            <c:ext xmlns:c16="http://schemas.microsoft.com/office/drawing/2014/chart" uri="{C3380CC4-5D6E-409C-BE32-E72D297353CC}">
              <c16:uniqueId val="{00000001-E837-4FA3-8A97-D57AFB8A9F97}"/>
            </c:ext>
          </c:extLst>
        </c:ser>
        <c:dLbls>
          <c:showLegendKey val="0"/>
          <c:showVal val="0"/>
          <c:showCatName val="0"/>
          <c:showSerName val="0"/>
          <c:showPercent val="0"/>
          <c:showBubbleSize val="0"/>
        </c:dLbls>
        <c:smooth val="0"/>
        <c:axId val="598990000"/>
        <c:axId val="598990392"/>
      </c:lineChart>
      <c:catAx>
        <c:axId val="598990000"/>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en-US"/>
          </a:p>
        </c:txPr>
        <c:crossAx val="598990392"/>
        <c:crosses val="autoZero"/>
        <c:auto val="1"/>
        <c:lblAlgn val="ctr"/>
        <c:lblOffset val="0"/>
        <c:tickLblSkip val="2"/>
        <c:tickMarkSkip val="1"/>
        <c:noMultiLvlLbl val="1"/>
      </c:catAx>
      <c:valAx>
        <c:axId val="598990392"/>
        <c:scaling>
          <c:orientation val="minMax"/>
          <c:min val="100"/>
        </c:scaling>
        <c:delete val="0"/>
        <c:axPos val="l"/>
        <c:numFmt formatCode="0" sourceLinked="0"/>
        <c:majorTickMark val="out"/>
        <c:minorTickMark val="none"/>
        <c:tickLblPos val="nextTo"/>
        <c:txPr>
          <a:bodyPr rot="0" vert="horz"/>
          <a:lstStyle/>
          <a:p>
            <a:pPr>
              <a:defRPr/>
            </a:pPr>
            <a:endParaRPr lang="en-US"/>
          </a:p>
        </c:txPr>
        <c:crossAx val="598990000"/>
        <c:crossesAt val="1"/>
        <c:crossBetween val="between"/>
        <c:majorUnit val="1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92B7C4"/>
              </a:solidFill>
              <a:prstDash val="solid"/>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46.537064570614383</c:v>
                </c:pt>
                <c:pt idx="1">
                  <c:v>45.412454559074625</c:v>
                </c:pt>
                <c:pt idx="2">
                  <c:v>44.309028377109094</c:v>
                </c:pt>
                <c:pt idx="3">
                  <c:v>43.199546156687795</c:v>
                </c:pt>
                <c:pt idx="4">
                  <c:v>42.19949625472227</c:v>
                </c:pt>
                <c:pt idx="5">
                  <c:v>41.222090238721762</c:v>
                </c:pt>
                <c:pt idx="6">
                  <c:v>40.18536265031851</c:v>
                </c:pt>
                <c:pt idx="7">
                  <c:v>38.991039996029166</c:v>
                </c:pt>
                <c:pt idx="8">
                  <c:v>37.727052848964391</c:v>
                </c:pt>
                <c:pt idx="9">
                  <c:v>36.469927729308168</c:v>
                </c:pt>
                <c:pt idx="10">
                  <c:v>35.212326078704123</c:v>
                </c:pt>
                <c:pt idx="11">
                  <c:v>33.909192376396014</c:v>
                </c:pt>
                <c:pt idx="12">
                  <c:v>32.587582199595495</c:v>
                </c:pt>
                <c:pt idx="13">
                  <c:v>31.267667811522895</c:v>
                </c:pt>
                <c:pt idx="14">
                  <c:v>29.935897917867905</c:v>
                </c:pt>
                <c:pt idx="15">
                  <c:v>28.601740866899434</c:v>
                </c:pt>
              </c:numCache>
            </c:numRef>
          </c:val>
          <c:smooth val="0"/>
          <c:extLst>
            <c:ext xmlns:c16="http://schemas.microsoft.com/office/drawing/2014/chart" uri="{C3380CC4-5D6E-409C-BE32-E72D297353CC}">
              <c16:uniqueId val="{00000000-21A6-4207-8ED5-9CA6084DC682}"/>
            </c:ext>
          </c:extLst>
        </c:ser>
        <c:ser>
          <c:idx val="0"/>
          <c:order val="1"/>
          <c:tx>
            <c:strRef>
              <c:f>Sheet1!$A$3</c:f>
              <c:strCache>
                <c:ptCount val="1"/>
                <c:pt idx="0">
                  <c:v>Piedāvājums</c:v>
                </c:pt>
              </c:strCache>
            </c:strRef>
          </c:tx>
          <c:spPr>
            <a:ln>
              <a:solidFill>
                <a:srgbClr val="006666"/>
              </a:solidFill>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49.941126502542907</c:v>
                </c:pt>
                <c:pt idx="1">
                  <c:v>50.127278679606192</c:v>
                </c:pt>
                <c:pt idx="2">
                  <c:v>50.231363427935513</c:v>
                </c:pt>
                <c:pt idx="3">
                  <c:v>50.176606773504503</c:v>
                </c:pt>
                <c:pt idx="4">
                  <c:v>49.938250806367236</c:v>
                </c:pt>
                <c:pt idx="5">
                  <c:v>49.490096253685095</c:v>
                </c:pt>
                <c:pt idx="6">
                  <c:v>48.632148152212494</c:v>
                </c:pt>
                <c:pt idx="7">
                  <c:v>47.915021655126317</c:v>
                </c:pt>
                <c:pt idx="8">
                  <c:v>47.275722250714679</c:v>
                </c:pt>
                <c:pt idx="9">
                  <c:v>46.668299118134527</c:v>
                </c:pt>
                <c:pt idx="10">
                  <c:v>45.962367795562443</c:v>
                </c:pt>
                <c:pt idx="11">
                  <c:v>45.087424868508243</c:v>
                </c:pt>
                <c:pt idx="12">
                  <c:v>44.154637144716226</c:v>
                </c:pt>
                <c:pt idx="13">
                  <c:v>43.128037790207223</c:v>
                </c:pt>
                <c:pt idx="14">
                  <c:v>42.025345309823109</c:v>
                </c:pt>
                <c:pt idx="15">
                  <c:v>40.839260001583163</c:v>
                </c:pt>
              </c:numCache>
            </c:numRef>
          </c:val>
          <c:smooth val="0"/>
          <c:extLst>
            <c:ext xmlns:c16="http://schemas.microsoft.com/office/drawing/2014/chart" uri="{C3380CC4-5D6E-409C-BE32-E72D297353CC}">
              <c16:uniqueId val="{00000001-21A6-4207-8ED5-9CA6084DC682}"/>
            </c:ext>
          </c:extLst>
        </c:ser>
        <c:dLbls>
          <c:showLegendKey val="0"/>
          <c:showVal val="0"/>
          <c:showCatName val="0"/>
          <c:showSerName val="0"/>
          <c:showPercent val="0"/>
          <c:showBubbleSize val="0"/>
        </c:dLbls>
        <c:smooth val="0"/>
        <c:axId val="598982160"/>
        <c:axId val="598979416"/>
      </c:lineChart>
      <c:catAx>
        <c:axId val="598982160"/>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en-US"/>
          </a:p>
        </c:txPr>
        <c:crossAx val="598979416"/>
        <c:crosses val="autoZero"/>
        <c:auto val="1"/>
        <c:lblAlgn val="ctr"/>
        <c:lblOffset val="0"/>
        <c:tickLblSkip val="2"/>
        <c:tickMarkSkip val="1"/>
        <c:noMultiLvlLbl val="1"/>
      </c:catAx>
      <c:valAx>
        <c:axId val="598979416"/>
        <c:scaling>
          <c:orientation val="minMax"/>
          <c:min val="20"/>
        </c:scaling>
        <c:delete val="0"/>
        <c:axPos val="l"/>
        <c:numFmt formatCode="0" sourceLinked="0"/>
        <c:majorTickMark val="out"/>
        <c:minorTickMark val="none"/>
        <c:tickLblPos val="nextTo"/>
        <c:txPr>
          <a:bodyPr rot="0" vert="horz"/>
          <a:lstStyle/>
          <a:p>
            <a:pPr>
              <a:defRPr/>
            </a:pPr>
            <a:endParaRPr lang="en-US"/>
          </a:p>
        </c:txPr>
        <c:crossAx val="598982160"/>
        <c:crossesAt val="1"/>
        <c:crossBetween val="between"/>
        <c:majorUnit val="10"/>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92B7C4"/>
              </a:solidFill>
              <a:prstDash val="solid"/>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134.41681732416757</c:v>
                </c:pt>
                <c:pt idx="1">
                  <c:v>132.80806646019062</c:v>
                </c:pt>
                <c:pt idx="2">
                  <c:v>130.8916269036354</c:v>
                </c:pt>
                <c:pt idx="3">
                  <c:v>129.0675036411503</c:v>
                </c:pt>
                <c:pt idx="4">
                  <c:v>127.64682932443428</c:v>
                </c:pt>
                <c:pt idx="5">
                  <c:v>126.34603586436783</c:v>
                </c:pt>
                <c:pt idx="6">
                  <c:v>125.17836410522548</c:v>
                </c:pt>
                <c:pt idx="7">
                  <c:v>123.66973366519676</c:v>
                </c:pt>
                <c:pt idx="8">
                  <c:v>122.00052625032355</c:v>
                </c:pt>
                <c:pt idx="9">
                  <c:v>120.40855719946559</c:v>
                </c:pt>
                <c:pt idx="10">
                  <c:v>118.81203111864681</c:v>
                </c:pt>
                <c:pt idx="11">
                  <c:v>117.08201427999168</c:v>
                </c:pt>
                <c:pt idx="12">
                  <c:v>115.29646307142774</c:v>
                </c:pt>
                <c:pt idx="13">
                  <c:v>113.52704493239311</c:v>
                </c:pt>
                <c:pt idx="14">
                  <c:v>111.7286768979057</c:v>
                </c:pt>
                <c:pt idx="15">
                  <c:v>109.92822754561861</c:v>
                </c:pt>
              </c:numCache>
            </c:numRef>
          </c:val>
          <c:smooth val="0"/>
          <c:extLst>
            <c:ext xmlns:c16="http://schemas.microsoft.com/office/drawing/2014/chart" uri="{C3380CC4-5D6E-409C-BE32-E72D297353CC}">
              <c16:uniqueId val="{00000000-E1B9-4103-93C7-47E6D6FCB13A}"/>
            </c:ext>
          </c:extLst>
        </c:ser>
        <c:ser>
          <c:idx val="0"/>
          <c:order val="1"/>
          <c:tx>
            <c:strRef>
              <c:f>Sheet1!$A$3</c:f>
              <c:strCache>
                <c:ptCount val="1"/>
                <c:pt idx="0">
                  <c:v>Piedāvājums</c:v>
                </c:pt>
              </c:strCache>
            </c:strRef>
          </c:tx>
          <c:spPr>
            <a:ln>
              <a:solidFill>
                <a:srgbClr val="006666"/>
              </a:solidFill>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147.49555957027766</c:v>
                </c:pt>
                <c:pt idx="1">
                  <c:v>146.53557991324524</c:v>
                </c:pt>
                <c:pt idx="2">
                  <c:v>146.10892474980659</c:v>
                </c:pt>
                <c:pt idx="3">
                  <c:v>145.92162359751316</c:v>
                </c:pt>
                <c:pt idx="4">
                  <c:v>145.37797531698044</c:v>
                </c:pt>
                <c:pt idx="5">
                  <c:v>144.54557067059272</c:v>
                </c:pt>
                <c:pt idx="6">
                  <c:v>143.18011292695419</c:v>
                </c:pt>
                <c:pt idx="7">
                  <c:v>141.414778911459</c:v>
                </c:pt>
                <c:pt idx="8">
                  <c:v>139.66669270773974</c:v>
                </c:pt>
                <c:pt idx="9">
                  <c:v>138.31170478308812</c:v>
                </c:pt>
                <c:pt idx="10">
                  <c:v>137.20009648896712</c:v>
                </c:pt>
                <c:pt idx="11">
                  <c:v>136.02946908604423</c:v>
                </c:pt>
                <c:pt idx="12">
                  <c:v>134.90918020128666</c:v>
                </c:pt>
                <c:pt idx="13">
                  <c:v>133.65495470154198</c:v>
                </c:pt>
                <c:pt idx="14">
                  <c:v>132.34533642316461</c:v>
                </c:pt>
                <c:pt idx="15">
                  <c:v>131.00616203328957</c:v>
                </c:pt>
              </c:numCache>
            </c:numRef>
          </c:val>
          <c:smooth val="0"/>
          <c:extLst>
            <c:ext xmlns:c16="http://schemas.microsoft.com/office/drawing/2014/chart" uri="{C3380CC4-5D6E-409C-BE32-E72D297353CC}">
              <c16:uniqueId val="{00000001-E1B9-4103-93C7-47E6D6FCB13A}"/>
            </c:ext>
          </c:extLst>
        </c:ser>
        <c:dLbls>
          <c:showLegendKey val="0"/>
          <c:showVal val="0"/>
          <c:showCatName val="0"/>
          <c:showSerName val="0"/>
          <c:showPercent val="0"/>
          <c:showBubbleSize val="0"/>
        </c:dLbls>
        <c:smooth val="0"/>
        <c:axId val="598980592"/>
        <c:axId val="598982944"/>
      </c:lineChart>
      <c:catAx>
        <c:axId val="598980592"/>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en-US"/>
          </a:p>
        </c:txPr>
        <c:crossAx val="598982944"/>
        <c:crosses val="autoZero"/>
        <c:auto val="1"/>
        <c:lblAlgn val="ctr"/>
        <c:lblOffset val="0"/>
        <c:tickLblSkip val="2"/>
        <c:tickMarkSkip val="1"/>
        <c:noMultiLvlLbl val="1"/>
      </c:catAx>
      <c:valAx>
        <c:axId val="598982944"/>
        <c:scaling>
          <c:orientation val="minMax"/>
          <c:max val="165"/>
          <c:min val="90"/>
        </c:scaling>
        <c:delete val="0"/>
        <c:axPos val="l"/>
        <c:numFmt formatCode="0" sourceLinked="0"/>
        <c:majorTickMark val="out"/>
        <c:minorTickMark val="none"/>
        <c:tickLblPos val="nextTo"/>
        <c:txPr>
          <a:bodyPr rot="0" vert="horz"/>
          <a:lstStyle/>
          <a:p>
            <a:pPr>
              <a:defRPr/>
            </a:pPr>
            <a:endParaRPr lang="en-US"/>
          </a:p>
        </c:txPr>
        <c:crossAx val="598980592"/>
        <c:crossesAt val="1"/>
        <c:crossBetween val="between"/>
        <c:majorUnit val="1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92B7C4"/>
              </a:solidFill>
              <a:prstDash val="solid"/>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24.714889960960701</c:v>
                </c:pt>
                <c:pt idx="1">
                  <c:v>24.439248083961189</c:v>
                </c:pt>
                <c:pt idx="2">
                  <c:v>24.261434476929796</c:v>
                </c:pt>
                <c:pt idx="3">
                  <c:v>24.081658730412062</c:v>
                </c:pt>
                <c:pt idx="4">
                  <c:v>23.931840818018653</c:v>
                </c:pt>
                <c:pt idx="5">
                  <c:v>23.770067490501674</c:v>
                </c:pt>
                <c:pt idx="6">
                  <c:v>23.690648748959671</c:v>
                </c:pt>
                <c:pt idx="7">
                  <c:v>23.592854354738268</c:v>
                </c:pt>
                <c:pt idx="8">
                  <c:v>23.493205760330277</c:v>
                </c:pt>
                <c:pt idx="9">
                  <c:v>23.400724200136523</c:v>
                </c:pt>
                <c:pt idx="10">
                  <c:v>23.301508156167181</c:v>
                </c:pt>
                <c:pt idx="11">
                  <c:v>23.198025158726455</c:v>
                </c:pt>
                <c:pt idx="12">
                  <c:v>23.134142453695038</c:v>
                </c:pt>
                <c:pt idx="13">
                  <c:v>23.066699356272938</c:v>
                </c:pt>
                <c:pt idx="14">
                  <c:v>23.005771906205368</c:v>
                </c:pt>
                <c:pt idx="15">
                  <c:v>22.943947792593317</c:v>
                </c:pt>
              </c:numCache>
            </c:numRef>
          </c:val>
          <c:smooth val="0"/>
          <c:extLst>
            <c:ext xmlns:c16="http://schemas.microsoft.com/office/drawing/2014/chart" uri="{C3380CC4-5D6E-409C-BE32-E72D297353CC}">
              <c16:uniqueId val="{00000000-EDD2-4531-B65C-6C55BFB6820C}"/>
            </c:ext>
          </c:extLst>
        </c:ser>
        <c:ser>
          <c:idx val="0"/>
          <c:order val="1"/>
          <c:tx>
            <c:strRef>
              <c:f>Sheet1!$A$3</c:f>
              <c:strCache>
                <c:ptCount val="1"/>
                <c:pt idx="0">
                  <c:v>Piedāvājums</c:v>
                </c:pt>
              </c:strCache>
            </c:strRef>
          </c:tx>
          <c:spPr>
            <a:ln>
              <a:solidFill>
                <a:srgbClr val="006666"/>
              </a:solidFill>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27.133280409835759</c:v>
                </c:pt>
                <c:pt idx="1">
                  <c:v>26.521001916119431</c:v>
                </c:pt>
                <c:pt idx="2">
                  <c:v>26.015161813766003</c:v>
                </c:pt>
                <c:pt idx="3">
                  <c:v>25.640759472174189</c:v>
                </c:pt>
                <c:pt idx="4">
                  <c:v>25.286493050523248</c:v>
                </c:pt>
                <c:pt idx="5">
                  <c:v>24.997138423329126</c:v>
                </c:pt>
                <c:pt idx="6">
                  <c:v>24.712439535299673</c:v>
                </c:pt>
                <c:pt idx="7">
                  <c:v>24.412955462862037</c:v>
                </c:pt>
                <c:pt idx="8">
                  <c:v>24.138693647333596</c:v>
                </c:pt>
                <c:pt idx="9">
                  <c:v>23.91074968564924</c:v>
                </c:pt>
                <c:pt idx="10">
                  <c:v>23.698183378385242</c:v>
                </c:pt>
                <c:pt idx="11">
                  <c:v>23.468160391495349</c:v>
                </c:pt>
                <c:pt idx="12">
                  <c:v>23.256383230931092</c:v>
                </c:pt>
                <c:pt idx="13">
                  <c:v>23.057735460821831</c:v>
                </c:pt>
                <c:pt idx="14">
                  <c:v>22.870793887332763</c:v>
                </c:pt>
                <c:pt idx="15">
                  <c:v>22.693766123365453</c:v>
                </c:pt>
              </c:numCache>
            </c:numRef>
          </c:val>
          <c:smooth val="0"/>
          <c:extLst>
            <c:ext xmlns:c16="http://schemas.microsoft.com/office/drawing/2014/chart" uri="{C3380CC4-5D6E-409C-BE32-E72D297353CC}">
              <c16:uniqueId val="{00000001-EDD2-4531-B65C-6C55BFB6820C}"/>
            </c:ext>
          </c:extLst>
        </c:ser>
        <c:dLbls>
          <c:showLegendKey val="0"/>
          <c:showVal val="0"/>
          <c:showCatName val="0"/>
          <c:showSerName val="0"/>
          <c:showPercent val="0"/>
          <c:showBubbleSize val="0"/>
        </c:dLbls>
        <c:smooth val="0"/>
        <c:axId val="566346576"/>
        <c:axId val="566357944"/>
      </c:lineChart>
      <c:catAx>
        <c:axId val="566346576"/>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en-US"/>
          </a:p>
        </c:txPr>
        <c:crossAx val="566357944"/>
        <c:crosses val="autoZero"/>
        <c:auto val="1"/>
        <c:lblAlgn val="ctr"/>
        <c:lblOffset val="0"/>
        <c:tickLblSkip val="2"/>
        <c:tickMarkSkip val="1"/>
        <c:noMultiLvlLbl val="1"/>
      </c:catAx>
      <c:valAx>
        <c:axId val="566357944"/>
        <c:scaling>
          <c:orientation val="minMax"/>
          <c:min val="20"/>
        </c:scaling>
        <c:delete val="0"/>
        <c:axPos val="l"/>
        <c:numFmt formatCode="0" sourceLinked="0"/>
        <c:majorTickMark val="out"/>
        <c:minorTickMark val="none"/>
        <c:tickLblPos val="nextTo"/>
        <c:txPr>
          <a:bodyPr rot="0" vert="horz"/>
          <a:lstStyle/>
          <a:p>
            <a:pPr>
              <a:defRPr/>
            </a:pPr>
            <a:endParaRPr lang="en-US"/>
          </a:p>
        </c:txPr>
        <c:crossAx val="566346576"/>
        <c:crossesAt val="1"/>
        <c:crossBetween val="between"/>
        <c:majorUnit val="3"/>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92B7C4"/>
              </a:solidFill>
              <a:prstDash val="solid"/>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100.82793518747724</c:v>
                </c:pt>
                <c:pt idx="1">
                  <c:v>103.63209762341967</c:v>
                </c:pt>
                <c:pt idx="2">
                  <c:v>106.11067886614202</c:v>
                </c:pt>
                <c:pt idx="3">
                  <c:v>107.94985170132153</c:v>
                </c:pt>
                <c:pt idx="4">
                  <c:v>108.48914606510625</c:v>
                </c:pt>
                <c:pt idx="5">
                  <c:v>108.8993938451936</c:v>
                </c:pt>
                <c:pt idx="6">
                  <c:v>109.16990016548036</c:v>
                </c:pt>
                <c:pt idx="7">
                  <c:v>109.55644889629194</c:v>
                </c:pt>
                <c:pt idx="8">
                  <c:v>110.01269838321892</c:v>
                </c:pt>
                <c:pt idx="9">
                  <c:v>110.56421618682558</c:v>
                </c:pt>
                <c:pt idx="10">
                  <c:v>111.16685561361108</c:v>
                </c:pt>
                <c:pt idx="11">
                  <c:v>111.77988553438426</c:v>
                </c:pt>
                <c:pt idx="12">
                  <c:v>112.43861148238558</c:v>
                </c:pt>
                <c:pt idx="13">
                  <c:v>113.10335386055024</c:v>
                </c:pt>
                <c:pt idx="14">
                  <c:v>113.78455276578204</c:v>
                </c:pt>
                <c:pt idx="15">
                  <c:v>114.50350982276645</c:v>
                </c:pt>
              </c:numCache>
            </c:numRef>
          </c:val>
          <c:smooth val="0"/>
          <c:extLst>
            <c:ext xmlns:c16="http://schemas.microsoft.com/office/drawing/2014/chart" uri="{C3380CC4-5D6E-409C-BE32-E72D297353CC}">
              <c16:uniqueId val="{00000000-0F88-4BDB-8F61-982745C5790C}"/>
            </c:ext>
          </c:extLst>
        </c:ser>
        <c:ser>
          <c:idx val="0"/>
          <c:order val="1"/>
          <c:tx>
            <c:strRef>
              <c:f>Sheet1!$A$3</c:f>
              <c:strCache>
                <c:ptCount val="1"/>
                <c:pt idx="0">
                  <c:v>Piedāvājums</c:v>
                </c:pt>
              </c:strCache>
            </c:strRef>
          </c:tx>
          <c:spPr>
            <a:ln>
              <a:solidFill>
                <a:srgbClr val="006666"/>
              </a:solidFill>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101.42658914130075</c:v>
                </c:pt>
                <c:pt idx="1">
                  <c:v>100.75537005843266</c:v>
                </c:pt>
                <c:pt idx="2">
                  <c:v>101.02260351223799</c:v>
                </c:pt>
                <c:pt idx="3">
                  <c:v>101.23503339368963</c:v>
                </c:pt>
                <c:pt idx="4">
                  <c:v>100.59944161146569</c:v>
                </c:pt>
                <c:pt idx="5">
                  <c:v>99.748953654082982</c:v>
                </c:pt>
                <c:pt idx="6">
                  <c:v>98.414174061663104</c:v>
                </c:pt>
                <c:pt idx="7">
                  <c:v>97.153740774925453</c:v>
                </c:pt>
                <c:pt idx="8">
                  <c:v>95.819779123697785</c:v>
                </c:pt>
                <c:pt idx="9">
                  <c:v>94.695783403023555</c:v>
                </c:pt>
                <c:pt idx="10">
                  <c:v>93.740767898554964</c:v>
                </c:pt>
                <c:pt idx="11">
                  <c:v>92.806791294717456</c:v>
                </c:pt>
                <c:pt idx="12">
                  <c:v>91.83709221904833</c:v>
                </c:pt>
                <c:pt idx="13">
                  <c:v>90.770462053227845</c:v>
                </c:pt>
                <c:pt idx="14">
                  <c:v>89.644164014081184</c:v>
                </c:pt>
                <c:pt idx="15">
                  <c:v>88.453115284179319</c:v>
                </c:pt>
              </c:numCache>
            </c:numRef>
          </c:val>
          <c:smooth val="0"/>
          <c:extLst>
            <c:ext xmlns:c16="http://schemas.microsoft.com/office/drawing/2014/chart" uri="{C3380CC4-5D6E-409C-BE32-E72D297353CC}">
              <c16:uniqueId val="{00000001-0F88-4BDB-8F61-982745C5790C}"/>
            </c:ext>
          </c:extLst>
        </c:ser>
        <c:dLbls>
          <c:showLegendKey val="0"/>
          <c:showVal val="0"/>
          <c:showCatName val="0"/>
          <c:showSerName val="0"/>
          <c:showPercent val="0"/>
          <c:showBubbleSize val="0"/>
        </c:dLbls>
        <c:smooth val="0"/>
        <c:axId val="566347752"/>
        <c:axId val="566350888"/>
      </c:lineChart>
      <c:catAx>
        <c:axId val="566347752"/>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en-US"/>
          </a:p>
        </c:txPr>
        <c:crossAx val="566350888"/>
        <c:crosses val="autoZero"/>
        <c:auto val="1"/>
        <c:lblAlgn val="ctr"/>
        <c:lblOffset val="0"/>
        <c:tickLblSkip val="2"/>
        <c:tickMarkSkip val="1"/>
        <c:noMultiLvlLbl val="1"/>
      </c:catAx>
      <c:valAx>
        <c:axId val="566350888"/>
        <c:scaling>
          <c:orientation val="minMax"/>
          <c:min val="80"/>
        </c:scaling>
        <c:delete val="0"/>
        <c:axPos val="l"/>
        <c:numFmt formatCode="0" sourceLinked="0"/>
        <c:majorTickMark val="out"/>
        <c:minorTickMark val="none"/>
        <c:tickLblPos val="nextTo"/>
        <c:txPr>
          <a:bodyPr rot="0" vert="horz"/>
          <a:lstStyle/>
          <a:p>
            <a:pPr>
              <a:defRPr/>
            </a:pPr>
            <a:endParaRPr lang="en-US"/>
          </a:p>
        </c:txPr>
        <c:crossAx val="566347752"/>
        <c:crossesAt val="1"/>
        <c:crossBetween val="between"/>
        <c:majorUnit val="10"/>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92B7C4"/>
              </a:solidFill>
              <a:prstDash val="solid"/>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75.578521444233189</c:v>
                </c:pt>
                <c:pt idx="1">
                  <c:v>75.463059759076074</c:v>
                </c:pt>
                <c:pt idx="2">
                  <c:v>75.674913368861809</c:v>
                </c:pt>
                <c:pt idx="3">
                  <c:v>75.89739703191141</c:v>
                </c:pt>
                <c:pt idx="4">
                  <c:v>75.854437328083591</c:v>
                </c:pt>
                <c:pt idx="5">
                  <c:v>75.70918533781466</c:v>
                </c:pt>
                <c:pt idx="6">
                  <c:v>75.511994843791499</c:v>
                </c:pt>
                <c:pt idx="7">
                  <c:v>75.393653602857952</c:v>
                </c:pt>
                <c:pt idx="8">
                  <c:v>75.380051043593994</c:v>
                </c:pt>
                <c:pt idx="9">
                  <c:v>75.316950695712876</c:v>
                </c:pt>
                <c:pt idx="10">
                  <c:v>75.248749820513581</c:v>
                </c:pt>
                <c:pt idx="11">
                  <c:v>75.129547444342833</c:v>
                </c:pt>
                <c:pt idx="12">
                  <c:v>75.035168678438936</c:v>
                </c:pt>
                <c:pt idx="13">
                  <c:v>74.910664350564275</c:v>
                </c:pt>
                <c:pt idx="14">
                  <c:v>74.793759030945481</c:v>
                </c:pt>
                <c:pt idx="15">
                  <c:v>74.728274796026014</c:v>
                </c:pt>
              </c:numCache>
            </c:numRef>
          </c:val>
          <c:smooth val="0"/>
          <c:extLst>
            <c:ext xmlns:c16="http://schemas.microsoft.com/office/drawing/2014/chart" uri="{C3380CC4-5D6E-409C-BE32-E72D297353CC}">
              <c16:uniqueId val="{00000000-7B28-4CF2-86E5-8CC5001DC69E}"/>
            </c:ext>
          </c:extLst>
        </c:ser>
        <c:ser>
          <c:idx val="0"/>
          <c:order val="1"/>
          <c:tx>
            <c:strRef>
              <c:f>Sheet1!$A$3</c:f>
              <c:strCache>
                <c:ptCount val="1"/>
                <c:pt idx="0">
                  <c:v>Piedāvājums</c:v>
                </c:pt>
              </c:strCache>
            </c:strRef>
          </c:tx>
          <c:spPr>
            <a:ln>
              <a:solidFill>
                <a:srgbClr val="006666"/>
              </a:solidFill>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78.657384642424816</c:v>
                </c:pt>
                <c:pt idx="1">
                  <c:v>77.215981401781477</c:v>
                </c:pt>
                <c:pt idx="2">
                  <c:v>75.713088883922453</c:v>
                </c:pt>
                <c:pt idx="3">
                  <c:v>74.6819247672247</c:v>
                </c:pt>
                <c:pt idx="4">
                  <c:v>73.844846959080883</c:v>
                </c:pt>
                <c:pt idx="5">
                  <c:v>73.093352909816048</c:v>
                </c:pt>
                <c:pt idx="6">
                  <c:v>71.934749310337182</c:v>
                </c:pt>
                <c:pt idx="7">
                  <c:v>70.83090413052642</c:v>
                </c:pt>
                <c:pt idx="8">
                  <c:v>69.739355008090058</c:v>
                </c:pt>
                <c:pt idx="9">
                  <c:v>68.88038253070286</c:v>
                </c:pt>
                <c:pt idx="10">
                  <c:v>68.227347312568867</c:v>
                </c:pt>
                <c:pt idx="11">
                  <c:v>67.62871286475125</c:v>
                </c:pt>
                <c:pt idx="12">
                  <c:v>67.076146429681799</c:v>
                </c:pt>
                <c:pt idx="13">
                  <c:v>66.485659176138</c:v>
                </c:pt>
                <c:pt idx="14">
                  <c:v>65.885757585780325</c:v>
                </c:pt>
                <c:pt idx="15">
                  <c:v>65.331897040251334</c:v>
                </c:pt>
              </c:numCache>
            </c:numRef>
          </c:val>
          <c:smooth val="0"/>
          <c:extLst>
            <c:ext xmlns:c16="http://schemas.microsoft.com/office/drawing/2014/chart" uri="{C3380CC4-5D6E-409C-BE32-E72D297353CC}">
              <c16:uniqueId val="{00000001-7B28-4CF2-86E5-8CC5001DC69E}"/>
            </c:ext>
          </c:extLst>
        </c:ser>
        <c:dLbls>
          <c:showLegendKey val="0"/>
          <c:showVal val="0"/>
          <c:showCatName val="0"/>
          <c:showSerName val="0"/>
          <c:showPercent val="0"/>
          <c:showBubbleSize val="0"/>
        </c:dLbls>
        <c:smooth val="0"/>
        <c:axId val="566348928"/>
        <c:axId val="566350104"/>
      </c:lineChart>
      <c:catAx>
        <c:axId val="566348928"/>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en-US"/>
          </a:p>
        </c:txPr>
        <c:crossAx val="566350104"/>
        <c:crosses val="autoZero"/>
        <c:auto val="1"/>
        <c:lblAlgn val="ctr"/>
        <c:lblOffset val="0"/>
        <c:tickLblSkip val="2"/>
        <c:tickMarkSkip val="1"/>
        <c:noMultiLvlLbl val="1"/>
      </c:catAx>
      <c:valAx>
        <c:axId val="566350104"/>
        <c:scaling>
          <c:orientation val="minMax"/>
          <c:max val="105"/>
          <c:min val="55"/>
        </c:scaling>
        <c:delete val="0"/>
        <c:axPos val="l"/>
        <c:numFmt formatCode="0" sourceLinked="0"/>
        <c:majorTickMark val="out"/>
        <c:minorTickMark val="none"/>
        <c:tickLblPos val="nextTo"/>
        <c:txPr>
          <a:bodyPr rot="0" vert="horz"/>
          <a:lstStyle/>
          <a:p>
            <a:pPr>
              <a:defRPr/>
            </a:pPr>
            <a:endParaRPr lang="en-US"/>
          </a:p>
        </c:txPr>
        <c:crossAx val="566348928"/>
        <c:crossesAt val="1"/>
        <c:crossBetween val="between"/>
        <c:majorUnit val="10"/>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3591627406406837E-2"/>
          <c:y val="4.9450156310079076E-2"/>
          <c:w val="0.9762430951361204"/>
          <c:h val="0.46461128978595978"/>
        </c:manualLayout>
      </c:layout>
      <c:barChart>
        <c:barDir val="col"/>
        <c:grouping val="clustered"/>
        <c:varyColors val="0"/>
        <c:ser>
          <c:idx val="0"/>
          <c:order val="0"/>
          <c:tx>
            <c:strRef>
              <c:f>Sheet1!$B$1</c:f>
              <c:strCache>
                <c:ptCount val="1"/>
                <c:pt idx="0">
                  <c:v>Series 1</c:v>
                </c:pt>
              </c:strCache>
            </c:strRef>
          </c:tx>
          <c:spPr>
            <a:solidFill>
              <a:srgbClr val="ED7D31">
                <a:lumMod val="75000"/>
              </a:srgbClr>
            </a:solidFill>
            <a:ln>
              <a:noFill/>
            </a:ln>
            <a:effectLst/>
          </c:spPr>
          <c:invertIfNegative val="0"/>
          <c:dLbls>
            <c:dLbl>
              <c:idx val="0"/>
              <c:layout>
                <c:manualLayout>
                  <c:x val="-1.9157781227139279E-3"/>
                  <c:y val="9.3896713615023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09-4DAF-91B0-EBF7265767F1}"/>
                </c:ext>
              </c:extLst>
            </c:dLbl>
            <c:dLbl>
              <c:idx val="1"/>
              <c:layout>
                <c:manualLayout>
                  <c:x val="4.3901153131103424E-18"/>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09-4DAF-91B0-EBF7265767F1}"/>
                </c:ext>
              </c:extLst>
            </c:dLbl>
            <c:dLbl>
              <c:idx val="2"/>
              <c:layout>
                <c:manualLayout>
                  <c:x val="-8.7802306262206848E-18"/>
                  <c:y val="1.1111111111111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09-4DAF-91B0-EBF7265767F1}"/>
                </c:ext>
              </c:extLst>
            </c:dLbl>
            <c:dLbl>
              <c:idx val="3"/>
              <c:layout>
                <c:manualLayout>
                  <c:x val="0"/>
                  <c:y val="1.6666666666666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09-4DAF-91B0-EBF7265767F1}"/>
                </c:ext>
              </c:extLst>
            </c:dLbl>
            <c:spPr>
              <a:noFill/>
              <a:ln>
                <a:noFill/>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Sheet1!$A$2:$A$51</c:f>
              <c:strCache>
                <c:ptCount val="30"/>
                <c:pt idx="0">
                  <c:v>Palīgstrādnieks</c:v>
                </c:pt>
                <c:pt idx="1">
                  <c:v>Kravas automobiļa vadītājs</c:v>
                </c:pt>
                <c:pt idx="2">
                  <c:v>Būvstrādnieks</c:v>
                </c:pt>
                <c:pt idx="3">
                  <c:v>Pavārs</c:v>
                </c:pt>
                <c:pt idx="4">
                  <c:v>Mazumtirdzniecības veikala pārdevējs</c:v>
                </c:pt>
                <c:pt idx="5">
                  <c:v>Vilcējautomobiļa vadītājs</c:v>
                </c:pt>
                <c:pt idx="6">
                  <c:v>Kūdras ieguves palīgstrādnieks</c:v>
                </c:pt>
                <c:pt idx="7">
                  <c:v>Sezonas lauksaimniecības strādnieks</c:v>
                </c:pt>
                <c:pt idx="8">
                  <c:v>Apkopējs</c:v>
                </c:pt>
                <c:pt idx="9">
                  <c:v>Ceha strādnieks</c:v>
                </c:pt>
                <c:pt idx="10">
                  <c:v>Māsa / vispārējās aprūpes māsa</c:v>
                </c:pt>
                <c:pt idx="11">
                  <c:v>Betonētājs</c:v>
                </c:pt>
                <c:pt idx="12">
                  <c:v>Aprūpētājs</c:v>
                </c:pt>
                <c:pt idx="13">
                  <c:v>Autobusa vadītājs</c:v>
                </c:pt>
                <c:pt idx="14">
                  <c:v>Metālmateriālu metinātājs</c:v>
                </c:pt>
                <c:pt idx="15">
                  <c:v>Lokmetinātājs (MAG)</c:v>
                </c:pt>
                <c:pt idx="16">
                  <c:v>Virtuves darbinieks</c:v>
                </c:pt>
                <c:pt idx="17">
                  <c:v>Automobiļa vadītājs</c:v>
                </c:pt>
                <c:pt idx="18">
                  <c:v>Remontstrādnieks</c:v>
                </c:pt>
                <c:pt idx="19">
                  <c:v>Ceļu būves palīgstrādnieks</c:v>
                </c:pt>
                <c:pt idx="20">
                  <c:v>Veikala kasieris</c:v>
                </c:pt>
                <c:pt idx="21">
                  <c:v>Vecākais eksperts</c:v>
                </c:pt>
                <c:pt idx="22">
                  <c:v>Elektriķis</c:v>
                </c:pt>
                <c:pt idx="23">
                  <c:v>Sociālais darbinieks</c:v>
                </c:pt>
                <c:pt idx="24">
                  <c:v>Tirdzniecības zāles darbinieks</c:v>
                </c:pt>
                <c:pt idx="25">
                  <c:v>Krāvējs</c:v>
                </c:pt>
                <c:pt idx="26">
                  <c:v>Pavāra palīgs</c:v>
                </c:pt>
                <c:pt idx="27">
                  <c:v>Sētnieks</c:v>
                </c:pt>
                <c:pt idx="28">
                  <c:v>Montētājs</c:v>
                </c:pt>
                <c:pt idx="29">
                  <c:v>Ieslodzījuma vietas vecākais inspektors</c:v>
                </c:pt>
              </c:strCache>
            </c:strRef>
          </c:cat>
          <c:val>
            <c:numRef>
              <c:f>Sheet1!$B$2:$B$51</c:f>
              <c:numCache>
                <c:formatCode>General</c:formatCode>
                <c:ptCount val="30"/>
                <c:pt idx="0">
                  <c:v>2157</c:v>
                </c:pt>
                <c:pt idx="1">
                  <c:v>1257</c:v>
                </c:pt>
                <c:pt idx="2">
                  <c:v>1247</c:v>
                </c:pt>
                <c:pt idx="3">
                  <c:v>433</c:v>
                </c:pt>
                <c:pt idx="4">
                  <c:v>403</c:v>
                </c:pt>
                <c:pt idx="5">
                  <c:v>369</c:v>
                </c:pt>
                <c:pt idx="6">
                  <c:v>363</c:v>
                </c:pt>
                <c:pt idx="7">
                  <c:v>345</c:v>
                </c:pt>
                <c:pt idx="8">
                  <c:v>318</c:v>
                </c:pt>
                <c:pt idx="9">
                  <c:v>273</c:v>
                </c:pt>
                <c:pt idx="10">
                  <c:v>240</c:v>
                </c:pt>
                <c:pt idx="11">
                  <c:v>236</c:v>
                </c:pt>
                <c:pt idx="12">
                  <c:v>204</c:v>
                </c:pt>
                <c:pt idx="13">
                  <c:v>204</c:v>
                </c:pt>
                <c:pt idx="14">
                  <c:v>178</c:v>
                </c:pt>
                <c:pt idx="15">
                  <c:v>162</c:v>
                </c:pt>
                <c:pt idx="16">
                  <c:v>150</c:v>
                </c:pt>
                <c:pt idx="17">
                  <c:v>147</c:v>
                </c:pt>
                <c:pt idx="18">
                  <c:v>142</c:v>
                </c:pt>
                <c:pt idx="19">
                  <c:v>136</c:v>
                </c:pt>
                <c:pt idx="20">
                  <c:v>136</c:v>
                </c:pt>
                <c:pt idx="21">
                  <c:v>134</c:v>
                </c:pt>
                <c:pt idx="22">
                  <c:v>134</c:v>
                </c:pt>
                <c:pt idx="23">
                  <c:v>131</c:v>
                </c:pt>
                <c:pt idx="24">
                  <c:v>131</c:v>
                </c:pt>
                <c:pt idx="25">
                  <c:v>129</c:v>
                </c:pt>
                <c:pt idx="26">
                  <c:v>123</c:v>
                </c:pt>
                <c:pt idx="27">
                  <c:v>121</c:v>
                </c:pt>
                <c:pt idx="28">
                  <c:v>115</c:v>
                </c:pt>
                <c:pt idx="29">
                  <c:v>111</c:v>
                </c:pt>
              </c:numCache>
            </c:numRef>
          </c:val>
          <c:extLst>
            <c:ext xmlns:c16="http://schemas.microsoft.com/office/drawing/2014/chart" uri="{C3380CC4-5D6E-409C-BE32-E72D297353CC}">
              <c16:uniqueId val="{00000004-A209-4DAF-91B0-EBF7265767F1}"/>
            </c:ext>
          </c:extLst>
        </c:ser>
        <c:dLbls>
          <c:showLegendKey val="0"/>
          <c:showVal val="0"/>
          <c:showCatName val="0"/>
          <c:showSerName val="0"/>
          <c:showPercent val="0"/>
          <c:showBubbleSize val="0"/>
        </c:dLbls>
        <c:gapWidth val="60"/>
        <c:axId val="742026784"/>
        <c:axId val="742027176"/>
      </c:barChart>
      <c:catAx>
        <c:axId val="742026784"/>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27176"/>
        <c:crosses val="autoZero"/>
        <c:auto val="0"/>
        <c:lblAlgn val="ctr"/>
        <c:lblOffset val="100"/>
        <c:tickLblSkip val="1"/>
        <c:noMultiLvlLbl val="0"/>
      </c:catAx>
      <c:valAx>
        <c:axId val="742027176"/>
        <c:scaling>
          <c:orientation val="minMax"/>
        </c:scaling>
        <c:delete val="1"/>
        <c:axPos val="l"/>
        <c:numFmt formatCode="General" sourceLinked="1"/>
        <c:majorTickMark val="none"/>
        <c:minorTickMark val="none"/>
        <c:tickLblPos val="nextTo"/>
        <c:crossAx val="7420267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92B7C4"/>
              </a:solidFill>
              <a:prstDash val="solid"/>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Sheet1!$B$2:$W$2</c:f>
              <c:numCache>
                <c:formatCode>0</c:formatCode>
                <c:ptCount val="16"/>
                <c:pt idx="0">
                  <c:v>106.31279290037806</c:v>
                </c:pt>
                <c:pt idx="1">
                  <c:v>104.85271577395993</c:v>
                </c:pt>
                <c:pt idx="2">
                  <c:v>103.55954826840443</c:v>
                </c:pt>
                <c:pt idx="3">
                  <c:v>102.12965232278168</c:v>
                </c:pt>
                <c:pt idx="4">
                  <c:v>100.09613480146811</c:v>
                </c:pt>
                <c:pt idx="5">
                  <c:v>97.823479570124817</c:v>
                </c:pt>
                <c:pt idx="6">
                  <c:v>95.398286218822335</c:v>
                </c:pt>
                <c:pt idx="7">
                  <c:v>92.973702177223899</c:v>
                </c:pt>
                <c:pt idx="8">
                  <c:v>90.506387670843935</c:v>
                </c:pt>
                <c:pt idx="9">
                  <c:v>88.094972107479123</c:v>
                </c:pt>
                <c:pt idx="10">
                  <c:v>85.713013185062792</c:v>
                </c:pt>
                <c:pt idx="11">
                  <c:v>83.345316278840386</c:v>
                </c:pt>
                <c:pt idx="12">
                  <c:v>80.988068519488536</c:v>
                </c:pt>
                <c:pt idx="13">
                  <c:v>78.640657662320422</c:v>
                </c:pt>
                <c:pt idx="14">
                  <c:v>76.280284210312786</c:v>
                </c:pt>
                <c:pt idx="15">
                  <c:v>73.972131057614945</c:v>
                </c:pt>
              </c:numCache>
            </c:numRef>
          </c:val>
          <c:smooth val="0"/>
          <c:extLst>
            <c:ext xmlns:c16="http://schemas.microsoft.com/office/drawing/2014/chart" uri="{C3380CC4-5D6E-409C-BE32-E72D297353CC}">
              <c16:uniqueId val="{00000000-F67F-4483-A96A-79A948F0AC09}"/>
            </c:ext>
          </c:extLst>
        </c:ser>
        <c:ser>
          <c:idx val="0"/>
          <c:order val="1"/>
          <c:tx>
            <c:strRef>
              <c:f>Sheet1!$A$3</c:f>
              <c:strCache>
                <c:ptCount val="1"/>
                <c:pt idx="0">
                  <c:v>Piedāvājums</c:v>
                </c:pt>
              </c:strCache>
            </c:strRef>
          </c:tx>
          <c:spPr>
            <a:ln>
              <a:solidFill>
                <a:srgbClr val="006666"/>
              </a:solidFill>
            </a:ln>
          </c:spPr>
          <c:marker>
            <c:symbol val="none"/>
          </c:marker>
          <c:cat>
            <c:numRef>
              <c:f>Sheet1!$B$1:$W$1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Sheet1!$B$3:$W$3</c:f>
              <c:numCache>
                <c:formatCode>0</c:formatCode>
                <c:ptCount val="16"/>
                <c:pt idx="0">
                  <c:v>132.52389353067451</c:v>
                </c:pt>
                <c:pt idx="1">
                  <c:v>133.35937127440786</c:v>
                </c:pt>
                <c:pt idx="2">
                  <c:v>135.24791319393856</c:v>
                </c:pt>
                <c:pt idx="3">
                  <c:v>137.56130086155085</c:v>
                </c:pt>
                <c:pt idx="4">
                  <c:v>139.53620695983065</c:v>
                </c:pt>
                <c:pt idx="5">
                  <c:v>140.78799585044405</c:v>
                </c:pt>
                <c:pt idx="6">
                  <c:v>141.09751754178177</c:v>
                </c:pt>
                <c:pt idx="7">
                  <c:v>140.7477165951241</c:v>
                </c:pt>
                <c:pt idx="8">
                  <c:v>139.45983183563226</c:v>
                </c:pt>
                <c:pt idx="9">
                  <c:v>137.74038892534455</c:v>
                </c:pt>
                <c:pt idx="10">
                  <c:v>135.79146415945496</c:v>
                </c:pt>
                <c:pt idx="11">
                  <c:v>133.72946028604503</c:v>
                </c:pt>
                <c:pt idx="12">
                  <c:v>131.51281305676775</c:v>
                </c:pt>
                <c:pt idx="13">
                  <c:v>129.06236387915339</c:v>
                </c:pt>
                <c:pt idx="14">
                  <c:v>126.5770795047152</c:v>
                </c:pt>
                <c:pt idx="15">
                  <c:v>124.17441809994521</c:v>
                </c:pt>
              </c:numCache>
            </c:numRef>
          </c:val>
          <c:smooth val="0"/>
          <c:extLst>
            <c:ext xmlns:c16="http://schemas.microsoft.com/office/drawing/2014/chart" uri="{C3380CC4-5D6E-409C-BE32-E72D297353CC}">
              <c16:uniqueId val="{00000001-F67F-4483-A96A-79A948F0AC09}"/>
            </c:ext>
          </c:extLst>
        </c:ser>
        <c:dLbls>
          <c:showLegendKey val="0"/>
          <c:showVal val="0"/>
          <c:showCatName val="0"/>
          <c:showSerName val="0"/>
          <c:showPercent val="0"/>
          <c:showBubbleSize val="0"/>
        </c:dLbls>
        <c:smooth val="0"/>
        <c:axId val="652768408"/>
        <c:axId val="652764096"/>
      </c:lineChart>
      <c:catAx>
        <c:axId val="652768408"/>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en-US"/>
          </a:p>
        </c:txPr>
        <c:crossAx val="652764096"/>
        <c:crosses val="autoZero"/>
        <c:auto val="1"/>
        <c:lblAlgn val="ctr"/>
        <c:lblOffset val="0"/>
        <c:tickLblSkip val="2"/>
        <c:tickMarkSkip val="1"/>
        <c:noMultiLvlLbl val="1"/>
      </c:catAx>
      <c:valAx>
        <c:axId val="652764096"/>
        <c:scaling>
          <c:orientation val="minMax"/>
          <c:min val="60"/>
        </c:scaling>
        <c:delete val="0"/>
        <c:axPos val="l"/>
        <c:numFmt formatCode="0" sourceLinked="0"/>
        <c:majorTickMark val="out"/>
        <c:minorTickMark val="none"/>
        <c:tickLblPos val="nextTo"/>
        <c:txPr>
          <a:bodyPr rot="0" vert="horz"/>
          <a:lstStyle/>
          <a:p>
            <a:pPr>
              <a:defRPr/>
            </a:pPr>
            <a:endParaRPr lang="en-US"/>
          </a:p>
        </c:txPr>
        <c:crossAx val="652768408"/>
        <c:crossesAt val="1"/>
        <c:crossBetween val="between"/>
        <c:majorUnit val="1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2">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1310180318519607"/>
          <c:h val="0.88902326776863527"/>
        </c:manualLayout>
      </c:layout>
      <c:barChart>
        <c:barDir val="col"/>
        <c:grouping val="clustered"/>
        <c:varyColors val="0"/>
        <c:ser>
          <c:idx val="3"/>
          <c:order val="0"/>
          <c:tx>
            <c:strRef>
              <c:f>Sheet1!$B$1</c:f>
              <c:strCache>
                <c:ptCount val="1"/>
                <c:pt idx="0">
                  <c:v>piedāvājums</c:v>
                </c:pt>
              </c:strCache>
            </c:strRef>
          </c:tx>
          <c:spPr>
            <a:solidFill>
              <a:srgbClr val="006666"/>
            </a:solidFill>
            <a:ln>
              <a:noFill/>
            </a:ln>
            <a:effectLst/>
          </c:spPr>
          <c:invertIfNegative val="0"/>
          <c:dLbls>
            <c:delete val="1"/>
          </c:dLbls>
          <c:cat>
            <c:numRef>
              <c:f>Sheet1!$A$2:$A$11</c:f>
              <c:numCache>
                <c:formatCode>General</c:formatCode>
                <c:ptCount val="10"/>
              </c:numCache>
            </c:numRef>
          </c:cat>
          <c:val>
            <c:numRef>
              <c:f>Sheet1!$B$2:$B$11</c:f>
              <c:numCache>
                <c:formatCode>#,##0</c:formatCode>
                <c:ptCount val="10"/>
                <c:pt idx="0">
                  <c:v>100</c:v>
                </c:pt>
                <c:pt idx="1">
                  <c:v>100</c:v>
                </c:pt>
                <c:pt idx="2">
                  <c:v>100</c:v>
                </c:pt>
                <c:pt idx="3">
                  <c:v>100</c:v>
                </c:pt>
                <c:pt idx="4">
                  <c:v>100</c:v>
                </c:pt>
                <c:pt idx="5">
                  <c:v>100</c:v>
                </c:pt>
                <c:pt idx="6">
                  <c:v>100</c:v>
                </c:pt>
                <c:pt idx="7">
                  <c:v>100</c:v>
                </c:pt>
                <c:pt idx="8">
                  <c:v>100</c:v>
                </c:pt>
                <c:pt idx="9">
                  <c:v>100</c:v>
                </c:pt>
              </c:numCache>
            </c:numRef>
          </c:val>
          <c:extLst>
            <c:ext xmlns:c16="http://schemas.microsoft.com/office/drawing/2014/chart" uri="{C3380CC4-5D6E-409C-BE32-E72D297353CC}">
              <c16:uniqueId val="{00000000-5627-4C34-A98B-E280F81D2DCD}"/>
            </c:ext>
          </c:extLst>
        </c:ser>
        <c:ser>
          <c:idx val="0"/>
          <c:order val="1"/>
          <c:tx>
            <c:strRef>
              <c:f>Sheet1!$C$1</c:f>
              <c:strCache>
                <c:ptCount val="1"/>
                <c:pt idx="0">
                  <c:v>pieprasījums</c:v>
                </c:pt>
              </c:strCache>
            </c:strRef>
          </c:tx>
          <c:spPr>
            <a:solidFill>
              <a:srgbClr val="92B7C4"/>
            </a:solidFill>
            <a:ln>
              <a:noFill/>
            </a:ln>
            <a:effectLst/>
          </c:spPr>
          <c:invertIfNegative val="0"/>
          <c:dPt>
            <c:idx val="0"/>
            <c:invertIfNegative val="0"/>
            <c:bubble3D val="0"/>
            <c:extLst>
              <c:ext xmlns:c16="http://schemas.microsoft.com/office/drawing/2014/chart" uri="{C3380CC4-5D6E-409C-BE32-E72D297353CC}">
                <c16:uniqueId val="{00000001-5627-4C34-A98B-E280F81D2DCD}"/>
              </c:ext>
            </c:extLst>
          </c:dPt>
          <c:dLbls>
            <c:dLbl>
              <c:idx val="9"/>
              <c:layout>
                <c:manualLayout>
                  <c:x val="0"/>
                  <c:y val="0.1579346251767050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27-4C34-A98B-E280F81D2DCD}"/>
                </c:ext>
              </c:extLst>
            </c:dLbl>
            <c:spPr>
              <a:noFill/>
              <a:ln>
                <a:noFill/>
              </a:ln>
              <a:effectLst/>
            </c:spPr>
            <c:txPr>
              <a:bodyPr rot="0" vert="horz"/>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Sheet1!$C$2:$C$11</c:f>
              <c:numCache>
                <c:formatCode>0</c:formatCode>
                <c:ptCount val="10"/>
                <c:pt idx="0">
                  <c:v>94.4</c:v>
                </c:pt>
                <c:pt idx="1">
                  <c:v>100.2</c:v>
                </c:pt>
                <c:pt idx="2">
                  <c:v>99.4</c:v>
                </c:pt>
                <c:pt idx="3">
                  <c:v>98</c:v>
                </c:pt>
                <c:pt idx="4">
                  <c:v>83.3</c:v>
                </c:pt>
                <c:pt idx="5">
                  <c:v>87.4</c:v>
                </c:pt>
                <c:pt idx="6">
                  <c:v>95.1</c:v>
                </c:pt>
                <c:pt idx="7">
                  <c:v>104.4</c:v>
                </c:pt>
                <c:pt idx="8">
                  <c:v>101.9</c:v>
                </c:pt>
                <c:pt idx="9">
                  <c:v>78.099999999999994</c:v>
                </c:pt>
              </c:numCache>
            </c:numRef>
          </c:val>
          <c:extLst>
            <c:ext xmlns:c16="http://schemas.microsoft.com/office/drawing/2014/chart" uri="{C3380CC4-5D6E-409C-BE32-E72D297353CC}">
              <c16:uniqueId val="{00000003-5627-4C34-A98B-E280F81D2DCD}"/>
            </c:ext>
          </c:extLst>
        </c:ser>
        <c:dLbls>
          <c:showLegendKey val="0"/>
          <c:showVal val="1"/>
          <c:showCatName val="0"/>
          <c:showSerName val="0"/>
          <c:showPercent val="0"/>
          <c:showBubbleSize val="0"/>
        </c:dLbls>
        <c:gapWidth val="40"/>
        <c:overlap val="70"/>
        <c:axId val="652783304"/>
        <c:axId val="652773504"/>
      </c:barChart>
      <c:catAx>
        <c:axId val="652783304"/>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en-US"/>
          </a:p>
        </c:txPr>
        <c:crossAx val="652773504"/>
        <c:crosses val="autoZero"/>
        <c:auto val="0"/>
        <c:lblAlgn val="ctr"/>
        <c:lblOffset val="100"/>
        <c:tickLblSkip val="1"/>
        <c:tickMarkSkip val="1"/>
        <c:noMultiLvlLbl val="0"/>
      </c:catAx>
      <c:valAx>
        <c:axId val="652773504"/>
        <c:scaling>
          <c:orientation val="minMax"/>
          <c:max val="130"/>
          <c:min val="5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en-US"/>
          </a:p>
        </c:txPr>
        <c:crossAx val="652783304"/>
        <c:crosses val="autoZero"/>
        <c:crossBetween val="between"/>
        <c:majorUnit val="20"/>
      </c:valAx>
      <c:spPr>
        <a:solidFill>
          <a:srgbClr val="FFFFFF"/>
        </a:solidFill>
        <a:ln>
          <a:noFill/>
        </a:ln>
        <a:effectLst/>
      </c:spPr>
    </c:plotArea>
    <c:legend>
      <c:legendPos val="l"/>
      <c:layout>
        <c:manualLayout>
          <c:xMode val="edge"/>
          <c:yMode val="edge"/>
          <c:x val="0.42587947920907415"/>
          <c:y val="4.5874911864512743E-2"/>
          <c:w val="0.1753675925925926"/>
          <c:h val="0.21501793969622346"/>
        </c:manualLayout>
      </c:layout>
      <c:overlay val="1"/>
      <c:spPr>
        <a:solidFill>
          <a:srgbClr val="FFFFFF"/>
        </a:solidFill>
        <a:ln>
          <a:noFill/>
        </a:ln>
        <a:effectLst/>
      </c:spPr>
      <c:txPr>
        <a:bodyPr rot="0" vert="horz"/>
        <a:lstStyle/>
        <a:p>
          <a:pPr>
            <a:defRPr/>
          </a:pPr>
          <a:endParaRPr lang="en-US"/>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1">
    <c:autoUpdate val="0"/>
  </c:externalData>
  <c:userShapes r:id="rId2"/>
</c:chartSpace>
</file>

<file path=word/charts/chart1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1310180318519607"/>
          <c:h val="0.88582237276206388"/>
        </c:manualLayout>
      </c:layout>
      <c:barChart>
        <c:barDir val="col"/>
        <c:grouping val="clustered"/>
        <c:varyColors val="0"/>
        <c:ser>
          <c:idx val="3"/>
          <c:order val="0"/>
          <c:tx>
            <c:strRef>
              <c:f>Sheet1!$B$1</c:f>
              <c:strCache>
                <c:ptCount val="1"/>
                <c:pt idx="0">
                  <c:v>piedāvājums</c:v>
                </c:pt>
              </c:strCache>
            </c:strRef>
          </c:tx>
          <c:spPr>
            <a:solidFill>
              <a:srgbClr val="006666"/>
            </a:solidFill>
            <a:ln>
              <a:noFill/>
            </a:ln>
            <a:effectLst/>
          </c:spPr>
          <c:invertIfNegative val="0"/>
          <c:dLbls>
            <c:delete val="1"/>
          </c:dLbls>
          <c:cat>
            <c:numRef>
              <c:f>Sheet1!$A$2:$A$11</c:f>
              <c:numCache>
                <c:formatCode>General</c:formatCode>
                <c:ptCount val="10"/>
              </c:numCache>
            </c:numRef>
          </c:cat>
          <c:val>
            <c:numRef>
              <c:f>Sheet1!$B$2:$B$11</c:f>
              <c:numCache>
                <c:formatCode>#,##0</c:formatCode>
                <c:ptCount val="10"/>
                <c:pt idx="0">
                  <c:v>100</c:v>
                </c:pt>
                <c:pt idx="1">
                  <c:v>100</c:v>
                </c:pt>
                <c:pt idx="2">
                  <c:v>100</c:v>
                </c:pt>
                <c:pt idx="3">
                  <c:v>100</c:v>
                </c:pt>
                <c:pt idx="4">
                  <c:v>100</c:v>
                </c:pt>
                <c:pt idx="5">
                  <c:v>100</c:v>
                </c:pt>
                <c:pt idx="6">
                  <c:v>100</c:v>
                </c:pt>
                <c:pt idx="7">
                  <c:v>100</c:v>
                </c:pt>
                <c:pt idx="8">
                  <c:v>100</c:v>
                </c:pt>
                <c:pt idx="9">
                  <c:v>100</c:v>
                </c:pt>
              </c:numCache>
            </c:numRef>
          </c:val>
          <c:extLst>
            <c:ext xmlns:c16="http://schemas.microsoft.com/office/drawing/2014/chart" uri="{C3380CC4-5D6E-409C-BE32-E72D297353CC}">
              <c16:uniqueId val="{00000000-3D99-4E39-8400-BFDDD51832D2}"/>
            </c:ext>
          </c:extLst>
        </c:ser>
        <c:ser>
          <c:idx val="0"/>
          <c:order val="1"/>
          <c:tx>
            <c:strRef>
              <c:f>Sheet1!$C$1</c:f>
              <c:strCache>
                <c:ptCount val="1"/>
                <c:pt idx="0">
                  <c:v>pieprasījums</c:v>
                </c:pt>
              </c:strCache>
            </c:strRef>
          </c:tx>
          <c:spPr>
            <a:solidFill>
              <a:srgbClr val="92B7C4"/>
            </a:solidFill>
            <a:ln>
              <a:noFill/>
            </a:ln>
            <a:effectLst/>
          </c:spPr>
          <c:invertIfNegative val="0"/>
          <c:dPt>
            <c:idx val="0"/>
            <c:invertIfNegative val="0"/>
            <c:bubble3D val="0"/>
            <c:extLst>
              <c:ext xmlns:c16="http://schemas.microsoft.com/office/drawing/2014/chart" uri="{C3380CC4-5D6E-409C-BE32-E72D297353CC}">
                <c16:uniqueId val="{00000001-3D99-4E39-8400-BFDDD51832D2}"/>
              </c:ext>
            </c:extLst>
          </c:dPt>
          <c:dLbls>
            <c:dLbl>
              <c:idx val="9"/>
              <c:layout>
                <c:manualLayout>
                  <c:x val="0"/>
                  <c:y val="0.128890031225143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99-4E39-8400-BFDDD51832D2}"/>
                </c:ext>
              </c:extLst>
            </c:dLbl>
            <c:spPr>
              <a:noFill/>
              <a:ln>
                <a:noFill/>
              </a:ln>
              <a:effectLst/>
            </c:spPr>
            <c:txPr>
              <a:bodyPr rot="0" vert="horz"/>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Sheet1!$C$2:$C$11</c:f>
              <c:numCache>
                <c:formatCode>#,##0</c:formatCode>
                <c:ptCount val="10"/>
                <c:pt idx="0">
                  <c:v>95.003570611444204</c:v>
                </c:pt>
                <c:pt idx="1">
                  <c:v>100.39650139278358</c:v>
                </c:pt>
                <c:pt idx="2">
                  <c:v>101.99684947102047</c:v>
                </c:pt>
                <c:pt idx="3">
                  <c:v>100.00932125674757</c:v>
                </c:pt>
                <c:pt idx="4">
                  <c:v>70.034914603718747</c:v>
                </c:pt>
                <c:pt idx="5">
                  <c:v>83.91073048738356</c:v>
                </c:pt>
                <c:pt idx="6">
                  <c:v>101.10242463885392</c:v>
                </c:pt>
                <c:pt idx="7">
                  <c:v>120.73080197160819</c:v>
                </c:pt>
                <c:pt idx="8">
                  <c:v>111.80772358476872</c:v>
                </c:pt>
                <c:pt idx="9">
                  <c:v>63.919883265208149</c:v>
                </c:pt>
              </c:numCache>
            </c:numRef>
          </c:val>
          <c:extLst>
            <c:ext xmlns:c16="http://schemas.microsoft.com/office/drawing/2014/chart" uri="{C3380CC4-5D6E-409C-BE32-E72D297353CC}">
              <c16:uniqueId val="{00000003-3D99-4E39-8400-BFDDD51832D2}"/>
            </c:ext>
          </c:extLst>
        </c:ser>
        <c:dLbls>
          <c:showLegendKey val="0"/>
          <c:showVal val="1"/>
          <c:showCatName val="0"/>
          <c:showSerName val="0"/>
          <c:showPercent val="0"/>
          <c:showBubbleSize val="0"/>
        </c:dLbls>
        <c:gapWidth val="40"/>
        <c:overlap val="70"/>
        <c:axId val="652779384"/>
        <c:axId val="652779776"/>
      </c:barChart>
      <c:catAx>
        <c:axId val="652779384"/>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en-US"/>
          </a:p>
        </c:txPr>
        <c:crossAx val="652779776"/>
        <c:crosses val="autoZero"/>
        <c:auto val="0"/>
        <c:lblAlgn val="ctr"/>
        <c:lblOffset val="100"/>
        <c:tickLblSkip val="1"/>
        <c:tickMarkSkip val="1"/>
        <c:noMultiLvlLbl val="0"/>
      </c:catAx>
      <c:valAx>
        <c:axId val="652779776"/>
        <c:scaling>
          <c:orientation val="minMax"/>
          <c:max val="130"/>
          <c:min val="5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en-US"/>
          </a:p>
        </c:txPr>
        <c:crossAx val="652779384"/>
        <c:crosses val="autoZero"/>
        <c:crossBetween val="between"/>
        <c:majorUnit val="20"/>
      </c:valAx>
      <c:spPr>
        <a:solidFill>
          <a:srgbClr val="FFFFFF"/>
        </a:solidFill>
        <a:ln>
          <a:noFill/>
        </a:ln>
        <a:effectLst/>
      </c:spPr>
    </c:plotArea>
    <c:legend>
      <c:legendPos val="l"/>
      <c:layout>
        <c:manualLayout>
          <c:xMode val="edge"/>
          <c:yMode val="edge"/>
          <c:x val="0.42587947920907415"/>
          <c:y val="0"/>
          <c:w val="0.1753675925925926"/>
          <c:h val="0.2620584976502992"/>
        </c:manualLayout>
      </c:layout>
      <c:overlay val="1"/>
      <c:spPr>
        <a:solidFill>
          <a:srgbClr val="FFFFFF"/>
        </a:solidFill>
        <a:ln>
          <a:noFill/>
        </a:ln>
        <a:effectLst/>
      </c:spPr>
      <c:txPr>
        <a:bodyPr rot="0" vert="horz"/>
        <a:lstStyle/>
        <a:p>
          <a:pPr>
            <a:defRPr/>
          </a:pPr>
          <a:endParaRPr lang="en-US"/>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en-US"/>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145291651112511E-2"/>
          <c:y val="2.9830040724474274E-2"/>
          <c:w val="0.91017927059007375"/>
          <c:h val="0.87407059741655713"/>
        </c:manualLayout>
      </c:layout>
      <c:scatterChart>
        <c:scatterStyle val="smoothMarker"/>
        <c:varyColors val="0"/>
        <c:ser>
          <c:idx val="0"/>
          <c:order val="0"/>
          <c:tx>
            <c:strRef>
              <c:f>Sheet1!$C$1</c:f>
              <c:strCache>
                <c:ptCount val="1"/>
                <c:pt idx="0">
                  <c:v>vakanču skaits pret ekonomiski aktīvajiem iedzīvotājiem</c:v>
                </c:pt>
              </c:strCache>
            </c:strRef>
          </c:tx>
          <c:spPr>
            <a:ln w="28575">
              <a:solidFill>
                <a:srgbClr val="4F81BD">
                  <a:lumMod val="75000"/>
                </a:srgbClr>
              </a:solidFill>
            </a:ln>
          </c:spPr>
          <c:marker>
            <c:symbol val="diamond"/>
            <c:size val="5"/>
            <c:spPr>
              <a:solidFill>
                <a:sysClr val="window" lastClr="FFFFFF">
                  <a:lumMod val="85000"/>
                </a:sysClr>
              </a:solidFill>
              <a:ln w="0">
                <a:solidFill>
                  <a:sysClr val="window" lastClr="FFFFFF">
                    <a:lumMod val="50000"/>
                  </a:sysClr>
                </a:solidFill>
              </a:ln>
            </c:spPr>
          </c:marker>
          <c:dPt>
            <c:idx val="33"/>
            <c:marker>
              <c:spPr>
                <a:solidFill>
                  <a:srgbClr val="E7E6E6"/>
                </a:solidFill>
                <a:ln w="0">
                  <a:solidFill>
                    <a:sysClr val="window" lastClr="FFFFFF">
                      <a:lumMod val="50000"/>
                    </a:sysClr>
                  </a:solidFill>
                </a:ln>
              </c:spPr>
            </c:marker>
            <c:bubble3D val="0"/>
            <c:extLst>
              <c:ext xmlns:c16="http://schemas.microsoft.com/office/drawing/2014/chart" uri="{C3380CC4-5D6E-409C-BE32-E72D297353CC}">
                <c16:uniqueId val="{00000000-0C33-4F0E-9FA0-3FD866AFDEB5}"/>
              </c:ext>
            </c:extLst>
          </c:dPt>
          <c:dPt>
            <c:idx val="35"/>
            <c:bubble3D val="0"/>
            <c:extLst>
              <c:ext xmlns:c16="http://schemas.microsoft.com/office/drawing/2014/chart" uri="{C3380CC4-5D6E-409C-BE32-E72D297353CC}">
                <c16:uniqueId val="{00000001-0C33-4F0E-9FA0-3FD866AFDEB5}"/>
              </c:ext>
            </c:extLst>
          </c:dPt>
          <c:dPt>
            <c:idx val="37"/>
            <c:marker>
              <c:symbol val="none"/>
            </c:marker>
            <c:bubble3D val="0"/>
            <c:extLst>
              <c:ext xmlns:c16="http://schemas.microsoft.com/office/drawing/2014/chart" uri="{C3380CC4-5D6E-409C-BE32-E72D297353CC}">
                <c16:uniqueId val="{00000002-0C33-4F0E-9FA0-3FD866AFDEB5}"/>
              </c:ext>
            </c:extLst>
          </c:dPt>
          <c:dPt>
            <c:idx val="38"/>
            <c:marker>
              <c:symbol val="none"/>
            </c:marker>
            <c:bubble3D val="0"/>
            <c:extLst>
              <c:ext xmlns:c16="http://schemas.microsoft.com/office/drawing/2014/chart" uri="{C3380CC4-5D6E-409C-BE32-E72D297353CC}">
                <c16:uniqueId val="{00000003-0C33-4F0E-9FA0-3FD866AFDEB5}"/>
              </c:ext>
            </c:extLst>
          </c:dPt>
          <c:dPt>
            <c:idx val="39"/>
            <c:bubble3D val="0"/>
            <c:extLst>
              <c:ext xmlns:c16="http://schemas.microsoft.com/office/drawing/2014/chart" uri="{C3380CC4-5D6E-409C-BE32-E72D297353CC}">
                <c16:uniqueId val="{00000004-0C33-4F0E-9FA0-3FD866AFDEB5}"/>
              </c:ext>
            </c:extLst>
          </c:dPt>
          <c:dPt>
            <c:idx val="41"/>
            <c:bubble3D val="0"/>
            <c:extLst>
              <c:ext xmlns:c16="http://schemas.microsoft.com/office/drawing/2014/chart" uri="{C3380CC4-5D6E-409C-BE32-E72D297353CC}">
                <c16:uniqueId val="{00000005-0C33-4F0E-9FA0-3FD866AFDEB5}"/>
              </c:ext>
            </c:extLst>
          </c:dPt>
          <c:dPt>
            <c:idx val="43"/>
            <c:bubble3D val="0"/>
            <c:extLst>
              <c:ext xmlns:c16="http://schemas.microsoft.com/office/drawing/2014/chart" uri="{C3380CC4-5D6E-409C-BE32-E72D297353CC}">
                <c16:uniqueId val="{00000006-0C33-4F0E-9FA0-3FD866AFDEB5}"/>
              </c:ext>
            </c:extLst>
          </c:dPt>
          <c:dPt>
            <c:idx val="47"/>
            <c:marker>
              <c:spPr>
                <a:solidFill>
                  <a:sysClr val="window" lastClr="FFFFFF">
                    <a:lumMod val="85000"/>
                  </a:sysClr>
                </a:solidFill>
                <a:ln w="0" cap="flat" cmpd="sng">
                  <a:solidFill>
                    <a:sysClr val="window" lastClr="FFFFFF">
                      <a:lumMod val="50000"/>
                    </a:sysClr>
                  </a:solidFill>
                  <a:round/>
                </a:ln>
              </c:spPr>
            </c:marker>
            <c:bubble3D val="0"/>
            <c:extLst>
              <c:ext xmlns:c16="http://schemas.microsoft.com/office/drawing/2014/chart" uri="{C3380CC4-5D6E-409C-BE32-E72D297353CC}">
                <c16:uniqueId val="{00000007-0C33-4F0E-9FA0-3FD866AFDEB5}"/>
              </c:ext>
            </c:extLst>
          </c:dPt>
          <c:dPt>
            <c:idx val="55"/>
            <c:bubble3D val="0"/>
            <c:extLst>
              <c:ext xmlns:c16="http://schemas.microsoft.com/office/drawing/2014/chart" uri="{C3380CC4-5D6E-409C-BE32-E72D297353CC}">
                <c16:uniqueId val="{00000008-0C33-4F0E-9FA0-3FD866AFDEB5}"/>
              </c:ext>
            </c:extLst>
          </c:dPt>
          <c:dPt>
            <c:idx val="57"/>
            <c:marker>
              <c:spPr>
                <a:solidFill>
                  <a:srgbClr val="E8E8E8"/>
                </a:solidFill>
                <a:ln w="0">
                  <a:solidFill>
                    <a:sysClr val="window" lastClr="FFFFFF">
                      <a:lumMod val="50000"/>
                    </a:sysClr>
                  </a:solidFill>
                </a:ln>
              </c:spPr>
            </c:marker>
            <c:bubble3D val="0"/>
            <c:extLst>
              <c:ext xmlns:c16="http://schemas.microsoft.com/office/drawing/2014/chart" uri="{C3380CC4-5D6E-409C-BE32-E72D297353CC}">
                <c16:uniqueId val="{00000009-0C33-4F0E-9FA0-3FD866AFDEB5}"/>
              </c:ext>
            </c:extLst>
          </c:dPt>
          <c:dPt>
            <c:idx val="63"/>
            <c:marker>
              <c:symbol val="circle"/>
              <c:size val="6"/>
              <c:spPr>
                <a:solidFill>
                  <a:srgbClr val="C00000"/>
                </a:solidFill>
                <a:ln w="0">
                  <a:solidFill>
                    <a:sysClr val="window" lastClr="FFFFFF">
                      <a:lumMod val="50000"/>
                    </a:sysClr>
                  </a:solidFill>
                </a:ln>
              </c:spPr>
            </c:marker>
            <c:bubble3D val="0"/>
            <c:extLst>
              <c:ext xmlns:c16="http://schemas.microsoft.com/office/drawing/2014/chart" uri="{C3380CC4-5D6E-409C-BE32-E72D297353CC}">
                <c16:uniqueId val="{0000000A-0C33-4F0E-9FA0-3FD866AFDEB5}"/>
              </c:ext>
            </c:extLst>
          </c:dPt>
          <c:dLbls>
            <c:dLbl>
              <c:idx val="1"/>
              <c:tx>
                <c:rich>
                  <a:bodyPr/>
                  <a:lstStyle/>
                  <a:p>
                    <a:r>
                      <a:rPr lang="en-US" dirty="0"/>
                      <a:t>2010 II</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0C33-4F0E-9FA0-3FD866AFDEB5}"/>
                </c:ext>
              </c:extLst>
            </c:dLbl>
            <c:dLbl>
              <c:idx val="9"/>
              <c:layout>
                <c:manualLayout>
                  <c:x val="-5.4479756456899744E-2"/>
                  <c:y val="-4.6991524874982121E-2"/>
                </c:manualLayout>
              </c:layout>
              <c:tx>
                <c:rich>
                  <a:bodyPr/>
                  <a:lstStyle/>
                  <a:p>
                    <a:r>
                      <a:rPr lang="en-US" dirty="0"/>
                      <a:t>2012 II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C33-4F0E-9FA0-3FD866AFDEB5}"/>
                </c:ext>
              </c:extLst>
            </c:dLbl>
            <c:dLbl>
              <c:idx val="19"/>
              <c:layout>
                <c:manualLayout>
                  <c:x val="-9.0456806874717369E-2"/>
                  <c:y val="3.6188178528347409E-2"/>
                </c:manualLayout>
              </c:layout>
              <c:tx>
                <c:rich>
                  <a:bodyPr/>
                  <a:lstStyle/>
                  <a:p>
                    <a:r>
                      <a:rPr lang="en-US"/>
                      <a:t>2014 IV</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C33-4F0E-9FA0-3FD866AFDEB5}"/>
                </c:ext>
              </c:extLst>
            </c:dLbl>
            <c:dLbl>
              <c:idx val="29"/>
              <c:layout>
                <c:manualLayout>
                  <c:x val="-0.11198481465257824"/>
                  <c:y val="4.8993664694205144E-2"/>
                </c:manualLayout>
              </c:layout>
              <c:tx>
                <c:rich>
                  <a:bodyPr/>
                  <a:lstStyle/>
                  <a:p>
                    <a:r>
                      <a:rPr lang="en-US"/>
                      <a:t>2017 II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0C33-4F0E-9FA0-3FD866AFDEB5}"/>
                </c:ext>
              </c:extLst>
            </c:dLbl>
            <c:dLbl>
              <c:idx val="40"/>
              <c:layout>
                <c:manualLayout>
                  <c:x val="1.9845644983461964E-2"/>
                  <c:y val="-5.8806233460746843E-3"/>
                </c:manualLayout>
              </c:layout>
              <c:tx>
                <c:rich>
                  <a:bodyPr/>
                  <a:lstStyle/>
                  <a:p>
                    <a:r>
                      <a:rPr lang="en-US"/>
                      <a:t>2020</a:t>
                    </a:r>
                    <a:r>
                      <a:rPr lang="en-US" baseline="0"/>
                      <a:t> I</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0C33-4F0E-9FA0-3FD866AFDEB5}"/>
                </c:ext>
              </c:extLst>
            </c:dLbl>
            <c:dLbl>
              <c:idx val="43"/>
              <c:layout>
                <c:manualLayout>
                  <c:x val="2.2050716648290667E-3"/>
                  <c:y val="4.7044986768597474E-2"/>
                </c:manualLayout>
              </c:layout>
              <c:tx>
                <c:rich>
                  <a:bodyPr/>
                  <a:lstStyle/>
                  <a:p>
                    <a:r>
                      <a:rPr lang="en-US"/>
                      <a:t>2020 IV</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C33-4F0E-9FA0-3FD866AFDEB5}"/>
                </c:ext>
              </c:extLst>
            </c:dLbl>
            <c:dLbl>
              <c:idx val="47"/>
              <c:delete val="1"/>
              <c:extLst>
                <c:ext xmlns:c15="http://schemas.microsoft.com/office/drawing/2012/chart" uri="{CE6537A1-D6FC-4f65-9D91-7224C49458BB}">
                  <c15:layout>
                    <c:manualLayout>
                      <c:w val="5.8423460573492257E-2"/>
                      <c:h val="9.7883207116017293E-2"/>
                    </c:manualLayout>
                  </c15:layout>
                </c:ext>
                <c:ext xmlns:c16="http://schemas.microsoft.com/office/drawing/2014/chart" uri="{C3380CC4-5D6E-409C-BE32-E72D297353CC}">
                  <c16:uniqueId val="{00000007-0C33-4F0E-9FA0-3FD866AFDEB5}"/>
                </c:ext>
              </c:extLst>
            </c:dLbl>
            <c:dLbl>
              <c:idx val="48"/>
              <c:layout>
                <c:manualLayout>
                  <c:x val="2.2050716648291068E-2"/>
                  <c:y val="0"/>
                </c:manualLayout>
              </c:layout>
              <c:tx>
                <c:rich>
                  <a:bodyPr/>
                  <a:lstStyle/>
                  <a:p>
                    <a:r>
                      <a:rPr lang="en-US"/>
                      <a:t>2022 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0C33-4F0E-9FA0-3FD866AFDEB5}"/>
                </c:ext>
              </c:extLst>
            </c:dLbl>
            <c:dLbl>
              <c:idx val="50"/>
              <c:layout>
                <c:manualLayout>
                  <c:x val="-7.4972436604189632E-2"/>
                  <c:y val="-9.9970596883269633E-2"/>
                </c:manualLayout>
              </c:layout>
              <c:tx>
                <c:rich>
                  <a:bodyPr wrap="square" lIns="38100" tIns="19050" rIns="38100" bIns="19050" anchor="ctr">
                    <a:noAutofit/>
                  </a:bodyPr>
                  <a:lstStyle/>
                  <a:p>
                    <a:pPr>
                      <a:defRPr/>
                    </a:pPr>
                    <a:r>
                      <a:rPr lang="en-US"/>
                      <a:t>2022 III</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6471798522428363E-2"/>
                      <c:h val="0.11552507715424136"/>
                    </c:manualLayout>
                  </c15:layout>
                  <c15:showDataLabelsRange val="0"/>
                </c:ext>
                <c:ext xmlns:c16="http://schemas.microsoft.com/office/drawing/2014/chart" uri="{C3380CC4-5D6E-409C-BE32-E72D297353CC}">
                  <c16:uniqueId val="{00000011-0C33-4F0E-9FA0-3FD866AFDEB5}"/>
                </c:ext>
              </c:extLst>
            </c:dLbl>
            <c:dLbl>
              <c:idx val="53"/>
              <c:layout>
                <c:manualLayout>
                  <c:x val="-8.1587651598676952E-2"/>
                  <c:y val="-2.3522493384298737E-2"/>
                </c:manualLayout>
              </c:layout>
              <c:tx>
                <c:rich>
                  <a:bodyPr/>
                  <a:lstStyle/>
                  <a:p>
                    <a:r>
                      <a:rPr lang="en-US"/>
                      <a:t>2023 II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0C33-4F0E-9FA0-3FD866AFDEB5}"/>
                </c:ext>
              </c:extLst>
            </c:dLbl>
            <c:dLbl>
              <c:idx val="57"/>
              <c:layout>
                <c:manualLayout>
                  <c:x val="-8.3792723263506064E-2"/>
                  <c:y val="6.4705882352941183E-2"/>
                </c:manualLayout>
              </c:layout>
              <c:tx>
                <c:rich>
                  <a:bodyPr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800" b="0" i="0" u="none" strike="noStrike" kern="1200" baseline="0">
                        <a:solidFill>
                          <a:sysClr val="windowText" lastClr="000000"/>
                        </a:solidFill>
                        <a:latin typeface="Segoe UI Light" panose="020B0502040204020203" pitchFamily="34" charset="0"/>
                        <a:cs typeface="Segoe UI Light" panose="020B0502040204020203" pitchFamily="34" charset="0"/>
                      </a:rPr>
                      <a:t>2024 II</a:t>
                    </a:r>
                  </a:p>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C33-4F0E-9FA0-3FD866AFDEB5}"/>
                </c:ext>
              </c:extLst>
            </c:dLbl>
            <c:dLbl>
              <c:idx val="60"/>
              <c:tx>
                <c:rich>
                  <a:bodyPr/>
                  <a:lstStyle/>
                  <a:p>
                    <a:r>
                      <a:rPr lang="en-US"/>
                      <a:t>2025 I</a:t>
                    </a:r>
                  </a:p>
                </c:rich>
              </c:tx>
              <c:showLegendKey val="0"/>
              <c:showVal val="1"/>
              <c:showCatName val="0"/>
              <c:showSerName val="0"/>
              <c:showPercent val="0"/>
              <c:showBubbleSize val="0"/>
              <c:extLst>
                <c:ext xmlns:c15="http://schemas.microsoft.com/office/drawing/2012/chart" uri="{CE6537A1-D6FC-4f65-9D91-7224C49458BB}">
                  <c15:layout>
                    <c:manualLayout>
                      <c:w val="6.9623377557257393E-2"/>
                      <c:h val="5.4018366469036974E-2"/>
                    </c:manualLayout>
                  </c15:layout>
                  <c15:showDataLabelsRange val="0"/>
                </c:ext>
                <c:ext xmlns:c16="http://schemas.microsoft.com/office/drawing/2014/chart" uri="{C3380CC4-5D6E-409C-BE32-E72D297353CC}">
                  <c16:uniqueId val="{0000000B-10DE-43F8-8116-C562F7BF980B}"/>
                </c:ext>
              </c:extLst>
            </c:dLbl>
            <c:dLbl>
              <c:idx val="63"/>
              <c:layout>
                <c:manualLayout>
                  <c:x val="-3.0871003307607496E-2"/>
                  <c:y val="4.9391427059446109E-2"/>
                </c:manualLayout>
              </c:layout>
              <c:tx>
                <c:rich>
                  <a:bodyPr/>
                  <a:lstStyle/>
                  <a:p>
                    <a:fld id="{61C0E7A3-1CF5-491D-A449-2261432D5977}" type="CELLREF">
                      <a:rPr lang="en-US"/>
                      <a:pPr/>
                      <a:t>[CELLREF]</a:t>
                    </a:fld>
                    <a:endParaRPr lang="lv-LV"/>
                  </a:p>
                </c:rich>
              </c:tx>
              <c:showLegendKey val="0"/>
              <c:showVal val="1"/>
              <c:showCatName val="0"/>
              <c:showSerName val="0"/>
              <c:showPercent val="0"/>
              <c:showBubbleSize val="0"/>
              <c:extLst>
                <c:ext xmlns:c15="http://schemas.microsoft.com/office/drawing/2012/chart" uri="{CE6537A1-D6FC-4f65-9D91-7224C49458BB}">
                  <c15:dlblFieldTable>
                    <c15:dlblFTEntry>
                      <c15:txfldGUID>{61C0E7A3-1CF5-491D-A449-2261432D5977}</c15:txfldGUID>
                      <c15:f>Sheet1!$A$81</c15:f>
                      <c15:dlblFieldTableCache>
                        <c:ptCount val="1"/>
                        <c:pt idx="0">
                          <c:v>2025 IV</c:v>
                        </c:pt>
                      </c15:dlblFieldTableCache>
                    </c15:dlblFTEntry>
                  </c15:dlblFieldTable>
                  <c15:showDataLabelsRange val="0"/>
                </c:ext>
                <c:ext xmlns:c16="http://schemas.microsoft.com/office/drawing/2014/chart" uri="{C3380CC4-5D6E-409C-BE32-E72D297353CC}">
                  <c16:uniqueId val="{0000000A-0C33-4F0E-9FA0-3FD866AFDEB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3175"/>
                  </c:spPr>
                </c15:leaderLines>
              </c:ext>
            </c:extLst>
          </c:dLbls>
          <c:xVal>
            <c:numRef>
              <c:f>Sheet1!$B$2:$B$81</c:f>
              <c:numCache>
                <c:formatCode>General</c:formatCode>
                <c:ptCount val="64"/>
                <c:pt idx="0">
                  <c:v>17.666666666666668</c:v>
                </c:pt>
                <c:pt idx="1">
                  <c:v>17.962444423422571</c:v>
                </c:pt>
                <c:pt idx="2">
                  <c:v>16.261705920990895</c:v>
                </c:pt>
                <c:pt idx="3">
                  <c:v>15.495089158005149</c:v>
                </c:pt>
                <c:pt idx="4">
                  <c:v>16.215116279069768</c:v>
                </c:pt>
                <c:pt idx="5">
                  <c:v>15.240104267233058</c:v>
                </c:pt>
                <c:pt idx="6">
                  <c:v>13.356428918000972</c:v>
                </c:pt>
                <c:pt idx="7">
                  <c:v>12.651773599534794</c:v>
                </c:pt>
                <c:pt idx="8">
                  <c:v>13.074457593688361</c:v>
                </c:pt>
                <c:pt idx="9">
                  <c:v>12.343798299845439</c:v>
                </c:pt>
                <c:pt idx="10">
                  <c:v>11.06502653159672</c:v>
                </c:pt>
                <c:pt idx="11">
                  <c:v>10.188006170458927</c:v>
                </c:pt>
                <c:pt idx="12">
                  <c:v>10.624493426905207</c:v>
                </c:pt>
                <c:pt idx="13">
                  <c:v>10.23811895984856</c:v>
                </c:pt>
                <c:pt idx="14">
                  <c:v>9.0539487778751582</c:v>
                </c:pt>
                <c:pt idx="15">
                  <c:v>8.831772937814133</c:v>
                </c:pt>
                <c:pt idx="16">
                  <c:v>9.673298010596822</c:v>
                </c:pt>
                <c:pt idx="17">
                  <c:v>9.2444489098764198</c:v>
                </c:pt>
                <c:pt idx="18">
                  <c:v>8.395215021199272</c:v>
                </c:pt>
                <c:pt idx="19">
                  <c:v>8.0568783068783087</c:v>
                </c:pt>
                <c:pt idx="20">
                  <c:v>8.7594962421287832</c:v>
                </c:pt>
                <c:pt idx="21">
                  <c:v>8.3224153521551294</c:v>
                </c:pt>
                <c:pt idx="22">
                  <c:v>8.0759835819401342</c:v>
                </c:pt>
                <c:pt idx="23">
                  <c:v>7.8200581104097795</c:v>
                </c:pt>
                <c:pt idx="24">
                  <c:v>8.628519527702089</c:v>
                </c:pt>
                <c:pt idx="25">
                  <c:v>8.288016112789526</c:v>
                </c:pt>
                <c:pt idx="26">
                  <c:v>7.8229229836264418</c:v>
                </c:pt>
                <c:pt idx="27">
                  <c:v>7.5471871178149197</c:v>
                </c:pt>
                <c:pt idx="28">
                  <c:v>8.1999999999999993</c:v>
                </c:pt>
                <c:pt idx="29">
                  <c:v>7.2</c:v>
                </c:pt>
                <c:pt idx="30">
                  <c:v>6.6</c:v>
                </c:pt>
                <c:pt idx="31">
                  <c:v>6.8</c:v>
                </c:pt>
                <c:pt idx="32">
                  <c:v>7</c:v>
                </c:pt>
                <c:pt idx="33">
                  <c:v>6.4</c:v>
                </c:pt>
                <c:pt idx="34">
                  <c:v>6.1</c:v>
                </c:pt>
                <c:pt idx="35">
                  <c:v>6.4</c:v>
                </c:pt>
                <c:pt idx="36">
                  <c:v>6.6</c:v>
                </c:pt>
                <c:pt idx="37">
                  <c:v>6</c:v>
                </c:pt>
                <c:pt idx="38">
                  <c:v>5.7</c:v>
                </c:pt>
                <c:pt idx="39">
                  <c:v>6.2</c:v>
                </c:pt>
                <c:pt idx="40">
                  <c:v>6.8</c:v>
                </c:pt>
                <c:pt idx="41">
                  <c:v>8.6</c:v>
                </c:pt>
                <c:pt idx="42">
                  <c:v>7.7</c:v>
                </c:pt>
                <c:pt idx="43">
                  <c:v>7.7</c:v>
                </c:pt>
                <c:pt idx="44">
                  <c:v>8.1999999999999993</c:v>
                </c:pt>
                <c:pt idx="45">
                  <c:v>7.4</c:v>
                </c:pt>
                <c:pt idx="46">
                  <c:v>6</c:v>
                </c:pt>
                <c:pt idx="47">
                  <c:v>6.7</c:v>
                </c:pt>
                <c:pt idx="48">
                  <c:v>6.8</c:v>
                </c:pt>
                <c:pt idx="49">
                  <c:v>5.9</c:v>
                </c:pt>
                <c:pt idx="50">
                  <c:v>5.7</c:v>
                </c:pt>
                <c:pt idx="51">
                  <c:v>6.1</c:v>
                </c:pt>
                <c:pt idx="52">
                  <c:v>6</c:v>
                </c:pt>
                <c:pt idx="53">
                  <c:v>5.5</c:v>
                </c:pt>
                <c:pt idx="54">
                  <c:v>5.3</c:v>
                </c:pt>
                <c:pt idx="55">
                  <c:v>5.7</c:v>
                </c:pt>
                <c:pt idx="56">
                  <c:v>5.8</c:v>
                </c:pt>
                <c:pt idx="57">
                  <c:v>5.0999999999999996</c:v>
                </c:pt>
                <c:pt idx="58">
                  <c:v>5.0999999999999996</c:v>
                </c:pt>
                <c:pt idx="59">
                  <c:v>5.3</c:v>
                </c:pt>
                <c:pt idx="60">
                  <c:v>5.5</c:v>
                </c:pt>
                <c:pt idx="61" formatCode="0.0">
                  <c:v>5</c:v>
                </c:pt>
                <c:pt idx="62" formatCode="0.0">
                  <c:v>4.7</c:v>
                </c:pt>
                <c:pt idx="63" formatCode="0.0">
                  <c:v>5</c:v>
                </c:pt>
              </c:numCache>
            </c:numRef>
          </c:xVal>
          <c:yVal>
            <c:numRef>
              <c:f>Sheet1!$C$2:$C$81</c:f>
              <c:numCache>
                <c:formatCode>General</c:formatCode>
                <c:ptCount val="64"/>
                <c:pt idx="0">
                  <c:v>0.16083451872925558</c:v>
                </c:pt>
                <c:pt idx="1">
                  <c:v>0.25276700406773245</c:v>
                </c:pt>
                <c:pt idx="2">
                  <c:v>0.31856995402083138</c:v>
                </c:pt>
                <c:pt idx="3">
                  <c:v>0.21540955468675502</c:v>
                </c:pt>
                <c:pt idx="4">
                  <c:v>0.25187229010642492</c:v>
                </c:pt>
                <c:pt idx="5">
                  <c:v>0.354701679860977</c:v>
                </c:pt>
                <c:pt idx="6">
                  <c:v>0.36157205240174672</c:v>
                </c:pt>
                <c:pt idx="7">
                  <c:v>0.24345803450281062</c:v>
                </c:pt>
                <c:pt idx="8">
                  <c:v>0.29457593688362921</c:v>
                </c:pt>
                <c:pt idx="9">
                  <c:v>0.39547913446676969</c:v>
                </c:pt>
                <c:pt idx="10">
                  <c:v>0.4894356005788712</c:v>
                </c:pt>
                <c:pt idx="11">
                  <c:v>0.30273814114924796</c:v>
                </c:pt>
                <c:pt idx="12">
                  <c:v>0.43599881387763173</c:v>
                </c:pt>
                <c:pt idx="13">
                  <c:v>0.59161103915512603</c:v>
                </c:pt>
                <c:pt idx="14">
                  <c:v>0.57727139935728888</c:v>
                </c:pt>
                <c:pt idx="15">
                  <c:v>0.42810682960480928</c:v>
                </c:pt>
                <c:pt idx="16">
                  <c:v>0.51194641607517744</c:v>
                </c:pt>
                <c:pt idx="17">
                  <c:v>0.61087109414246965</c:v>
                </c:pt>
                <c:pt idx="18">
                  <c:v>0.66262870987280431</c:v>
                </c:pt>
                <c:pt idx="19">
                  <c:v>0.42205942205942204</c:v>
                </c:pt>
                <c:pt idx="20">
                  <c:v>0.49482023156611821</c:v>
                </c:pt>
                <c:pt idx="21">
                  <c:v>0.62021501054958306</c:v>
                </c:pt>
                <c:pt idx="22">
                  <c:v>0.65892481729902896</c:v>
                </c:pt>
                <c:pt idx="23">
                  <c:v>0.51157198677487226</c:v>
                </c:pt>
                <c:pt idx="24">
                  <c:v>0.58724391966898781</c:v>
                </c:pt>
                <c:pt idx="25">
                  <c:v>0.65146022155085603</c:v>
                </c:pt>
                <c:pt idx="26">
                  <c:v>0.56448352536891044</c:v>
                </c:pt>
                <c:pt idx="27">
                  <c:v>0.452914798206278</c:v>
                </c:pt>
                <c:pt idx="28" formatCode="0.00">
                  <c:v>0.73125898541795031</c:v>
                </c:pt>
                <c:pt idx="29" formatCode="0.00">
                  <c:v>0.8169273229070837</c:v>
                </c:pt>
                <c:pt idx="30" formatCode="0.00">
                  <c:v>1.1328267477203648</c:v>
                </c:pt>
                <c:pt idx="31" formatCode="0.00">
                  <c:v>1.2869946023016601</c:v>
                </c:pt>
                <c:pt idx="32" formatCode="0.00">
                  <c:v>1.6555214723926381</c:v>
                </c:pt>
                <c:pt idx="33" formatCode="0.00">
                  <c:v>2.0326903553299491</c:v>
                </c:pt>
                <c:pt idx="34" formatCode="0.00">
                  <c:v>2.4454894822006472</c:v>
                </c:pt>
                <c:pt idx="35" formatCode="0.00">
                  <c:v>1.8352953219367387</c:v>
                </c:pt>
                <c:pt idx="36" formatCode="0.00">
                  <c:v>2.9129404492066762</c:v>
                </c:pt>
                <c:pt idx="37" formatCode="0.00">
                  <c:v>3.2232447523523939</c:v>
                </c:pt>
                <c:pt idx="38" formatCode="0.00">
                  <c:v>3.1983208764205999</c:v>
                </c:pt>
                <c:pt idx="39" formatCode="0.00">
                  <c:v>3.3442842430484037</c:v>
                </c:pt>
                <c:pt idx="40" formatCode="0.00">
                  <c:v>2.7641934822709571</c:v>
                </c:pt>
                <c:pt idx="41" formatCode="0.00">
                  <c:v>1.8491184911849119</c:v>
                </c:pt>
                <c:pt idx="42" formatCode="0.00">
                  <c:v>1.8063026072675015</c:v>
                </c:pt>
                <c:pt idx="43" formatCode="0.00">
                  <c:v>1.5055665383414838</c:v>
                </c:pt>
                <c:pt idx="44" formatCode="0.00">
                  <c:v>1.9615260265114776</c:v>
                </c:pt>
                <c:pt idx="45" formatCode="0.00">
                  <c:v>2.1568816169393648</c:v>
                </c:pt>
                <c:pt idx="46" formatCode="0.00">
                  <c:v>2.4996824724809485</c:v>
                </c:pt>
                <c:pt idx="47" formatCode="0.00">
                  <c:v>2.2676480068765446</c:v>
                </c:pt>
                <c:pt idx="48" formatCode="0.00">
                  <c:v>3.4686866531526728</c:v>
                </c:pt>
                <c:pt idx="49" formatCode="0.00">
                  <c:v>3.2806962025316455</c:v>
                </c:pt>
                <c:pt idx="50" formatCode="0.00">
                  <c:v>3.0278496738792837</c:v>
                </c:pt>
                <c:pt idx="51" formatCode="0.00">
                  <c:v>2.4280473744890472</c:v>
                </c:pt>
                <c:pt idx="52" formatCode="0.00">
                  <c:v>2.5544564986173155</c:v>
                </c:pt>
                <c:pt idx="53" formatCode="0.00">
                  <c:v>2.586057793714406</c:v>
                </c:pt>
                <c:pt idx="54" formatCode="0.00">
                  <c:v>2.2989290214195717</c:v>
                </c:pt>
                <c:pt idx="55" formatCode="0.00">
                  <c:v>2.0510669922497082</c:v>
                </c:pt>
                <c:pt idx="56" formatCode="0.00">
                  <c:v>2.0630402698713892</c:v>
                </c:pt>
                <c:pt idx="57" formatCode="0.00">
                  <c:v>2.0159249103564649</c:v>
                </c:pt>
                <c:pt idx="58" formatCode="0.00">
                  <c:v>1.9471954193616796</c:v>
                </c:pt>
                <c:pt idx="59" formatCode="0.00">
                  <c:v>1.6633727175080559</c:v>
                </c:pt>
                <c:pt idx="60" formatCode="0.00">
                  <c:v>1.4635733333333334</c:v>
                </c:pt>
                <c:pt idx="61" formatCode="0.00">
                  <c:v>1.3497376705141657</c:v>
                </c:pt>
                <c:pt idx="62" formatCode="0.00">
                  <c:v>1.2884274235625588</c:v>
                </c:pt>
                <c:pt idx="63" formatCode="0.00">
                  <c:v>0.95235579970420448</c:v>
                </c:pt>
              </c:numCache>
            </c:numRef>
          </c:yVal>
          <c:smooth val="1"/>
          <c:extLst>
            <c:ext xmlns:c16="http://schemas.microsoft.com/office/drawing/2014/chart" uri="{C3380CC4-5D6E-409C-BE32-E72D297353CC}">
              <c16:uniqueId val="{00000013-0C33-4F0E-9FA0-3FD866AFDEB5}"/>
            </c:ext>
          </c:extLst>
        </c:ser>
        <c:dLbls>
          <c:showLegendKey val="0"/>
          <c:showVal val="1"/>
          <c:showCatName val="0"/>
          <c:showSerName val="0"/>
          <c:showPercent val="0"/>
          <c:showBubbleSize val="0"/>
        </c:dLbls>
        <c:axId val="468466264"/>
        <c:axId val="468470184"/>
      </c:scatterChart>
      <c:valAx>
        <c:axId val="468466264"/>
        <c:scaling>
          <c:orientation val="minMax"/>
          <c:max val="18"/>
          <c:min val="4"/>
        </c:scaling>
        <c:delete val="0"/>
        <c:axPos val="b"/>
        <c:numFmt formatCode="General" sourceLinked="1"/>
        <c:majorTickMark val="out"/>
        <c:minorTickMark val="none"/>
        <c:tickLblPos val="nextTo"/>
        <c:spPr>
          <a:ln w="9525">
            <a:solidFill>
              <a:sysClr val="window" lastClr="FFFFFF">
                <a:lumMod val="65000"/>
              </a:sysClr>
            </a:solidFill>
          </a:ln>
        </c:spPr>
        <c:crossAx val="468470184"/>
        <c:crosses val="autoZero"/>
        <c:crossBetween val="midCat"/>
        <c:majorUnit val="2"/>
      </c:valAx>
      <c:valAx>
        <c:axId val="468470184"/>
        <c:scaling>
          <c:orientation val="minMax"/>
          <c:max val="3.6"/>
          <c:min val="0"/>
        </c:scaling>
        <c:delete val="0"/>
        <c:axPos val="l"/>
        <c:numFmt formatCode="0.0" sourceLinked="0"/>
        <c:majorTickMark val="out"/>
        <c:minorTickMark val="none"/>
        <c:tickLblPos val="nextTo"/>
        <c:spPr>
          <a:ln w="3175">
            <a:noFill/>
          </a:ln>
        </c:spPr>
        <c:crossAx val="468466264"/>
        <c:crosses val="autoZero"/>
        <c:crossBetween val="midCat"/>
        <c:majorUnit val="0.9"/>
      </c:valAx>
      <c:spPr>
        <a:noFill/>
        <a:ln w="25400">
          <a:noFill/>
        </a:ln>
      </c:spPr>
    </c:plotArea>
    <c:plotVisOnly val="1"/>
    <c:dispBlanksAs val="gap"/>
    <c:showDLblsOverMax val="0"/>
  </c:chart>
  <c:spPr>
    <a:noFill/>
    <a:ln w="9525" cap="flat" cmpd="sng" algn="ctr">
      <a:noFill/>
      <a:prstDash val="solid"/>
    </a:ln>
    <a:effectLst>
      <a:outerShdw sx="1000" sy="1000" rotWithShape="0">
        <a:srgbClr val="000000"/>
      </a:outerShdw>
    </a:effectLst>
  </c:spPr>
  <c:txPr>
    <a:bodyPr/>
    <a:lstStyle/>
    <a:p>
      <a:pPr>
        <a:defRPr sz="800" b="0">
          <a:solidFill>
            <a:schemeClr val="dk1"/>
          </a:solidFill>
          <a:latin typeface="Segoe UI Light" panose="020B0502040204020203" pitchFamily="34" charset="0"/>
          <a:ea typeface="+mn-ea"/>
          <a:cs typeface="Segoe UI Light" panose="020B0502040204020203" pitchFamily="34"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45240540355504E-2"/>
          <c:y val="2.3574473256995031E-2"/>
          <c:w val="0.86172742188924289"/>
          <c:h val="0.87889017180459938"/>
        </c:manualLayout>
      </c:layout>
      <c:barChart>
        <c:barDir val="col"/>
        <c:grouping val="clustered"/>
        <c:varyColors val="0"/>
        <c:ser>
          <c:idx val="0"/>
          <c:order val="0"/>
          <c:tx>
            <c:strRef>
              <c:f>Sheet1!$A$3</c:f>
              <c:strCache>
                <c:ptCount val="1"/>
                <c:pt idx="0">
                  <c:v>Bruto darba alga</c:v>
                </c:pt>
              </c:strCache>
            </c:strRef>
          </c:tx>
          <c:spPr>
            <a:solidFill>
              <a:srgbClr val="228B9D"/>
            </a:solidFill>
          </c:spPr>
          <c:invertIfNegative val="0"/>
          <c:dPt>
            <c:idx val="7"/>
            <c:invertIfNegative val="0"/>
            <c:bubble3D val="0"/>
            <c:extLst>
              <c:ext xmlns:c16="http://schemas.microsoft.com/office/drawing/2014/chart" uri="{C3380CC4-5D6E-409C-BE32-E72D297353CC}">
                <c16:uniqueId val="{00000000-3447-4904-9817-D38C17709D2C}"/>
              </c:ext>
            </c:extLst>
          </c:dPt>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Sheet1!$B$2:$O$2</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strCache>
            </c:strRef>
          </c:cat>
          <c:val>
            <c:numRef>
              <c:f>Sheet1!$B$3:$O$3</c:f>
              <c:numCache>
                <c:formatCode>0</c:formatCode>
                <c:ptCount val="14"/>
                <c:pt idx="0">
                  <c:v>685</c:v>
                </c:pt>
                <c:pt idx="1">
                  <c:v>716</c:v>
                </c:pt>
                <c:pt idx="2">
                  <c:v>765</c:v>
                </c:pt>
                <c:pt idx="3">
                  <c:v>818</c:v>
                </c:pt>
                <c:pt idx="4">
                  <c:v>859</c:v>
                </c:pt>
                <c:pt idx="5">
                  <c:v>926</c:v>
                </c:pt>
                <c:pt idx="6">
                  <c:v>1004</c:v>
                </c:pt>
                <c:pt idx="7">
                  <c:v>1076</c:v>
                </c:pt>
                <c:pt idx="8">
                  <c:v>1143</c:v>
                </c:pt>
                <c:pt idx="9">
                  <c:v>1277</c:v>
                </c:pt>
                <c:pt idx="10">
                  <c:v>1373</c:v>
                </c:pt>
                <c:pt idx="11">
                  <c:v>1537</c:v>
                </c:pt>
                <c:pt idx="12">
                  <c:v>1685</c:v>
                </c:pt>
                <c:pt idx="13">
                  <c:v>1815</c:v>
                </c:pt>
              </c:numCache>
            </c:numRef>
          </c:val>
          <c:extLst>
            <c:ext xmlns:c16="http://schemas.microsoft.com/office/drawing/2014/chart" uri="{C3380CC4-5D6E-409C-BE32-E72D297353CC}">
              <c16:uniqueId val="{00000001-3447-4904-9817-D38C17709D2C}"/>
            </c:ext>
          </c:extLst>
        </c:ser>
        <c:dLbls>
          <c:dLblPos val="outEnd"/>
          <c:showLegendKey val="0"/>
          <c:showVal val="1"/>
          <c:showCatName val="0"/>
          <c:showSerName val="0"/>
          <c:showPercent val="0"/>
          <c:showBubbleSize val="0"/>
        </c:dLbls>
        <c:gapWidth val="60"/>
        <c:axId val="742047560"/>
        <c:axId val="742044424"/>
      </c:barChart>
      <c:catAx>
        <c:axId val="742047560"/>
        <c:scaling>
          <c:orientation val="minMax"/>
        </c:scaling>
        <c:delete val="0"/>
        <c:axPos val="b"/>
        <c:numFmt formatCode="0" sourceLinked="0"/>
        <c:majorTickMark val="out"/>
        <c:minorTickMark val="none"/>
        <c:tickLblPos val="low"/>
        <c:spPr>
          <a:ln w="9525"/>
        </c:spPr>
        <c:txPr>
          <a:bodyPr rot="-5400000" vert="horz"/>
          <a:lstStyle/>
          <a:p>
            <a:pPr>
              <a:defRPr/>
            </a:pPr>
            <a:endParaRPr lang="en-US"/>
          </a:p>
        </c:txPr>
        <c:crossAx val="742044424"/>
        <c:crosses val="autoZero"/>
        <c:auto val="1"/>
        <c:lblAlgn val="ctr"/>
        <c:lblOffset val="100"/>
        <c:noMultiLvlLbl val="0"/>
      </c:catAx>
      <c:valAx>
        <c:axId val="742044424"/>
        <c:scaling>
          <c:orientation val="minMax"/>
          <c:max val="1900"/>
          <c:min val="600"/>
        </c:scaling>
        <c:delete val="0"/>
        <c:axPos val="l"/>
        <c:numFmt formatCode="0" sourceLinked="0"/>
        <c:majorTickMark val="out"/>
        <c:minorTickMark val="none"/>
        <c:tickLblPos val="nextTo"/>
        <c:spPr>
          <a:ln>
            <a:noFill/>
          </a:ln>
        </c:spPr>
        <c:crossAx val="742047560"/>
        <c:crosses val="autoZero"/>
        <c:crossBetween val="between"/>
        <c:majorUnit val="150"/>
      </c:valAx>
      <c:spPr>
        <a:noFill/>
      </c:spPr>
    </c:plotArea>
    <c:plotVisOnly val="1"/>
    <c:dispBlanksAs val="gap"/>
    <c:showDLblsOverMax val="0"/>
  </c:chart>
  <c:spPr>
    <a:noFill/>
    <a:ln w="12700">
      <a:noFill/>
    </a:ln>
  </c:spPr>
  <c:txPr>
    <a:bodyPr/>
    <a:lstStyle/>
    <a:p>
      <a:pPr>
        <a:defRPr sz="800" b="0">
          <a:solidFill>
            <a:sysClr val="windowText" lastClr="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2019</c:v>
                </c:pt>
              </c:strCache>
            </c:strRef>
          </c:tx>
          <c:spPr>
            <a:solidFill>
              <a:schemeClr val="accent5">
                <a:lumMod val="75000"/>
              </a:schemeClr>
            </a:solidFill>
            <a:ln>
              <a:noFill/>
            </a:ln>
          </c:spPr>
          <c:invertIfNegative val="0"/>
          <c:dPt>
            <c:idx val="5"/>
            <c:invertIfNegative val="0"/>
            <c:bubble3D val="0"/>
            <c:extLst>
              <c:ext xmlns:c16="http://schemas.microsoft.com/office/drawing/2014/chart" uri="{C3380CC4-5D6E-409C-BE32-E72D297353CC}">
                <c16:uniqueId val="{00000000-639A-4973-94B2-7F96281B5068}"/>
              </c:ext>
            </c:extLst>
          </c:dPt>
          <c:dPt>
            <c:idx val="7"/>
            <c:invertIfNegative val="0"/>
            <c:bubble3D val="0"/>
            <c:extLst>
              <c:ext xmlns:c16="http://schemas.microsoft.com/office/drawing/2014/chart" uri="{C3380CC4-5D6E-409C-BE32-E72D297353CC}">
                <c16:uniqueId val="{00000001-639A-4973-94B2-7F96281B5068}"/>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9A-4973-94B2-7F96281B5068}"/>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9A-4973-94B2-7F96281B5068}"/>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9A-4973-94B2-7F96281B5068}"/>
                </c:ext>
              </c:extLst>
            </c:dLbl>
            <c:dLbl>
              <c:idx val="5"/>
              <c:layout>
                <c:manualLayout>
                  <c:x val="-1.6173905202954381E-16"/>
                  <c:y val="-4.74496968753993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9A-4973-94B2-7F96281B5068}"/>
                </c:ext>
              </c:extLst>
            </c:dLbl>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6"/>
                <c:pt idx="0">
                  <c:v>2020</c:v>
                </c:pt>
                <c:pt idx="1">
                  <c:v>2021</c:v>
                </c:pt>
                <c:pt idx="2">
                  <c:v>2022</c:v>
                </c:pt>
                <c:pt idx="3">
                  <c:v>2023</c:v>
                </c:pt>
                <c:pt idx="4">
                  <c:v>2024</c:v>
                </c:pt>
                <c:pt idx="5">
                  <c:v>2025</c:v>
                </c:pt>
              </c:numCache>
            </c:numRef>
          </c:cat>
          <c:val>
            <c:numRef>
              <c:f>Sheet1!$B$2:$B$9</c:f>
              <c:numCache>
                <c:formatCode>0.0</c:formatCode>
                <c:ptCount val="6"/>
                <c:pt idx="0">
                  <c:v>-0.29762480022637305</c:v>
                </c:pt>
                <c:pt idx="1">
                  <c:v>9.0925444045489883</c:v>
                </c:pt>
                <c:pt idx="2">
                  <c:v>11.419953411850599</c:v>
                </c:pt>
                <c:pt idx="3">
                  <c:v>-7.0214425406672376</c:v>
                </c:pt>
                <c:pt idx="4">
                  <c:v>0.10774935757001458</c:v>
                </c:pt>
                <c:pt idx="5">
                  <c:v>7.4038677353243543E-2</c:v>
                </c:pt>
              </c:numCache>
            </c:numRef>
          </c:val>
          <c:extLst>
            <c:ext xmlns:c16="http://schemas.microsoft.com/office/drawing/2014/chart" uri="{C3380CC4-5D6E-409C-BE32-E72D297353CC}">
              <c16:uniqueId val="{00000005-639A-4973-94B2-7F96281B5068}"/>
            </c:ext>
          </c:extLst>
        </c:ser>
        <c:dLbls>
          <c:dLblPos val="outEnd"/>
          <c:showLegendKey val="0"/>
          <c:showVal val="1"/>
          <c:showCatName val="0"/>
          <c:showSerName val="0"/>
          <c:showPercent val="0"/>
          <c:showBubbleSize val="0"/>
        </c:dLbls>
        <c:gapWidth val="30"/>
        <c:axId val="742127528"/>
        <c:axId val="742128312"/>
      </c:barChart>
      <c:catAx>
        <c:axId val="742127528"/>
        <c:scaling>
          <c:orientation val="minMax"/>
        </c:scaling>
        <c:delete val="0"/>
        <c:axPos val="b"/>
        <c:numFmt formatCode="General" sourceLinked="1"/>
        <c:majorTickMark val="out"/>
        <c:minorTickMark val="none"/>
        <c:tickLblPos val="low"/>
        <c:spPr>
          <a:ln w="6350"/>
        </c:spPr>
        <c:txPr>
          <a:bodyPr rot="-5400000" vert="horz"/>
          <a:lstStyle/>
          <a:p>
            <a:pPr>
              <a:defRPr/>
            </a:pPr>
            <a:endParaRPr lang="en-US"/>
          </a:p>
        </c:txPr>
        <c:crossAx val="742128312"/>
        <c:crosses val="autoZero"/>
        <c:auto val="1"/>
        <c:lblAlgn val="ctr"/>
        <c:lblOffset val="0"/>
        <c:noMultiLvlLbl val="0"/>
      </c:catAx>
      <c:valAx>
        <c:axId val="742128312"/>
        <c:scaling>
          <c:orientation val="minMax"/>
          <c:min val="-10"/>
        </c:scaling>
        <c:delete val="1"/>
        <c:axPos val="l"/>
        <c:numFmt formatCode="0" sourceLinked="0"/>
        <c:majorTickMark val="out"/>
        <c:minorTickMark val="none"/>
        <c:tickLblPos val="nextTo"/>
        <c:crossAx val="742127528"/>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45240540355504E-2"/>
          <c:y val="3.1299733519784594E-2"/>
          <c:w val="0.90582885518582523"/>
          <c:h val="0.79725509171688735"/>
        </c:manualLayout>
      </c:layout>
      <c:barChart>
        <c:barDir val="col"/>
        <c:grouping val="clustered"/>
        <c:varyColors val="0"/>
        <c:ser>
          <c:idx val="0"/>
          <c:order val="0"/>
          <c:tx>
            <c:strRef>
              <c:f>Sheet1!$A$3</c:f>
              <c:strCache>
                <c:ptCount val="1"/>
                <c:pt idx="0">
                  <c:v>Sabiedriskajā sektorā</c:v>
                </c:pt>
              </c:strCache>
            </c:strRef>
          </c:tx>
          <c:spPr>
            <a:solidFill>
              <a:srgbClr val="228B9D"/>
            </a:solidFill>
          </c:spPr>
          <c:invertIfNegative val="0"/>
          <c:dPt>
            <c:idx val="7"/>
            <c:invertIfNegative val="0"/>
            <c:bubble3D val="0"/>
            <c:extLst>
              <c:ext xmlns:c16="http://schemas.microsoft.com/office/drawing/2014/chart" uri="{C3380CC4-5D6E-409C-BE32-E72D297353CC}">
                <c16:uniqueId val="{00000000-B6DF-420C-A4D2-733DF4E22199}"/>
              </c:ext>
            </c:extLst>
          </c:dPt>
          <c:dLbls>
            <c:dLbl>
              <c:idx val="1"/>
              <c:layout>
                <c:manualLayout>
                  <c:x val="-2.6460859977949284E-2"/>
                  <c:y val="-1.17612466921493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DF-420C-A4D2-733DF4E22199}"/>
                </c:ext>
              </c:extLst>
            </c:dLbl>
            <c:dLbl>
              <c:idx val="6"/>
              <c:layout>
                <c:manualLayout>
                  <c:x val="-4.4101433296582946E-3"/>
                  <c:y val="-3.52837400764481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DF-420C-A4D2-733DF4E22199}"/>
                </c:ext>
              </c:extLst>
            </c:dLbl>
            <c:dLbl>
              <c:idx val="9"/>
              <c:layout>
                <c:manualLayout>
                  <c:x val="-3.087100330760757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DF-420C-A4D2-733DF4E22199}"/>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Sheet1!$B$2:$O$2</c:f>
              <c:numCache>
                <c:formatCode>0</c:formatCode>
                <c:ptCount val="14"/>
                <c:pt idx="0">
                  <c:v>2012</c:v>
                </c:pt>
                <c:pt idx="1">
                  <c:v>2013</c:v>
                </c:pt>
                <c:pt idx="2">
                  <c:v>2014</c:v>
                </c:pt>
                <c:pt idx="3">
                  <c:v>2015</c:v>
                </c:pt>
                <c:pt idx="4">
                  <c:v>2016</c:v>
                </c:pt>
                <c:pt idx="5" formatCode="General">
                  <c:v>2017</c:v>
                </c:pt>
                <c:pt idx="6">
                  <c:v>2018</c:v>
                </c:pt>
                <c:pt idx="7">
                  <c:v>2019</c:v>
                </c:pt>
                <c:pt idx="8">
                  <c:v>2020</c:v>
                </c:pt>
                <c:pt idx="9">
                  <c:v>2021</c:v>
                </c:pt>
                <c:pt idx="10">
                  <c:v>2022</c:v>
                </c:pt>
                <c:pt idx="11">
                  <c:v>2023</c:v>
                </c:pt>
                <c:pt idx="12">
                  <c:v>2024</c:v>
                </c:pt>
                <c:pt idx="13">
                  <c:v>2025</c:v>
                </c:pt>
              </c:numCache>
            </c:numRef>
          </c:cat>
          <c:val>
            <c:numRef>
              <c:f>Sheet1!$B$3:$O$3</c:f>
              <c:numCache>
                <c:formatCode>0.0</c:formatCode>
                <c:ptCount val="14"/>
                <c:pt idx="0">
                  <c:v>4.5</c:v>
                </c:pt>
                <c:pt idx="1">
                  <c:v>4.5999999999999996</c:v>
                </c:pt>
                <c:pt idx="2">
                  <c:v>6.1</c:v>
                </c:pt>
                <c:pt idx="3">
                  <c:v>5.2</c:v>
                </c:pt>
                <c:pt idx="4">
                  <c:v>3.7</c:v>
                </c:pt>
                <c:pt idx="5">
                  <c:v>7.4</c:v>
                </c:pt>
                <c:pt idx="6">
                  <c:v>8.5</c:v>
                </c:pt>
                <c:pt idx="7">
                  <c:v>6.8</c:v>
                </c:pt>
                <c:pt idx="8">
                  <c:v>4.9000000000000004</c:v>
                </c:pt>
                <c:pt idx="9">
                  <c:v>11.8</c:v>
                </c:pt>
                <c:pt idx="10">
                  <c:v>6.2</c:v>
                </c:pt>
                <c:pt idx="11">
                  <c:v>13.1</c:v>
                </c:pt>
                <c:pt idx="12">
                  <c:v>12.169993560849974</c:v>
                </c:pt>
                <c:pt idx="13">
                  <c:v>7</c:v>
                </c:pt>
              </c:numCache>
            </c:numRef>
          </c:val>
          <c:extLst>
            <c:ext xmlns:c16="http://schemas.microsoft.com/office/drawing/2014/chart" uri="{C3380CC4-5D6E-409C-BE32-E72D297353CC}">
              <c16:uniqueId val="{00000004-B6DF-420C-A4D2-733DF4E22199}"/>
            </c:ext>
          </c:extLst>
        </c:ser>
        <c:ser>
          <c:idx val="1"/>
          <c:order val="1"/>
          <c:tx>
            <c:strRef>
              <c:f>Sheet1!$A$4</c:f>
              <c:strCache>
                <c:ptCount val="1"/>
                <c:pt idx="0">
                  <c:v>Privātajā sektorā</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Sheet1!$B$2:$O$2</c:f>
              <c:numCache>
                <c:formatCode>0</c:formatCode>
                <c:ptCount val="14"/>
                <c:pt idx="0">
                  <c:v>2012</c:v>
                </c:pt>
                <c:pt idx="1">
                  <c:v>2013</c:v>
                </c:pt>
                <c:pt idx="2">
                  <c:v>2014</c:v>
                </c:pt>
                <c:pt idx="3">
                  <c:v>2015</c:v>
                </c:pt>
                <c:pt idx="4">
                  <c:v>2016</c:v>
                </c:pt>
                <c:pt idx="5" formatCode="General">
                  <c:v>2017</c:v>
                </c:pt>
                <c:pt idx="6">
                  <c:v>2018</c:v>
                </c:pt>
                <c:pt idx="7">
                  <c:v>2019</c:v>
                </c:pt>
                <c:pt idx="8">
                  <c:v>2020</c:v>
                </c:pt>
                <c:pt idx="9">
                  <c:v>2021</c:v>
                </c:pt>
                <c:pt idx="10">
                  <c:v>2022</c:v>
                </c:pt>
                <c:pt idx="11">
                  <c:v>2023</c:v>
                </c:pt>
                <c:pt idx="12">
                  <c:v>2024</c:v>
                </c:pt>
                <c:pt idx="13">
                  <c:v>2025</c:v>
                </c:pt>
              </c:numCache>
            </c:numRef>
          </c:cat>
          <c:val>
            <c:numRef>
              <c:f>Sheet1!$B$4:$O$4</c:f>
              <c:numCache>
                <c:formatCode>0.0</c:formatCode>
                <c:ptCount val="14"/>
                <c:pt idx="0">
                  <c:v>3.4591194968553509</c:v>
                </c:pt>
                <c:pt idx="1">
                  <c:v>4.7112462006079028</c:v>
                </c:pt>
                <c:pt idx="2">
                  <c:v>7.4</c:v>
                </c:pt>
                <c:pt idx="3">
                  <c:v>7.9</c:v>
                </c:pt>
                <c:pt idx="4">
                  <c:v>5.7571964956195245</c:v>
                </c:pt>
                <c:pt idx="5">
                  <c:v>8.2840236686390512</c:v>
                </c:pt>
                <c:pt idx="6">
                  <c:v>8.4</c:v>
                </c:pt>
                <c:pt idx="7">
                  <c:v>7.6</c:v>
                </c:pt>
                <c:pt idx="8">
                  <c:v>6.6541705716963451</c:v>
                </c:pt>
                <c:pt idx="9">
                  <c:v>11.86291739894552</c:v>
                </c:pt>
                <c:pt idx="10">
                  <c:v>8</c:v>
                </c:pt>
                <c:pt idx="11">
                  <c:v>11.5</c:v>
                </c:pt>
                <c:pt idx="12">
                  <c:v>8.6757990867579906</c:v>
                </c:pt>
                <c:pt idx="13">
                  <c:v>8.1</c:v>
                </c:pt>
              </c:numCache>
            </c:numRef>
          </c:val>
          <c:extLst>
            <c:ext xmlns:c16="http://schemas.microsoft.com/office/drawing/2014/chart" uri="{C3380CC4-5D6E-409C-BE32-E72D297353CC}">
              <c16:uniqueId val="{00000005-B6DF-420C-A4D2-733DF4E22199}"/>
            </c:ext>
          </c:extLst>
        </c:ser>
        <c:dLbls>
          <c:dLblPos val="outEnd"/>
          <c:showLegendKey val="0"/>
          <c:showVal val="1"/>
          <c:showCatName val="0"/>
          <c:showSerName val="0"/>
          <c:showPercent val="0"/>
          <c:showBubbleSize val="0"/>
        </c:dLbls>
        <c:gapWidth val="40"/>
        <c:axId val="742046776"/>
        <c:axId val="742047952"/>
      </c:barChart>
      <c:catAx>
        <c:axId val="742046776"/>
        <c:scaling>
          <c:orientation val="minMax"/>
        </c:scaling>
        <c:delete val="0"/>
        <c:axPos val="b"/>
        <c:numFmt formatCode="0" sourceLinked="0"/>
        <c:majorTickMark val="out"/>
        <c:minorTickMark val="none"/>
        <c:tickLblPos val="low"/>
        <c:spPr>
          <a:ln w="9525"/>
        </c:spPr>
        <c:txPr>
          <a:bodyPr rot="-5400000" vert="horz"/>
          <a:lstStyle/>
          <a:p>
            <a:pPr>
              <a:defRPr/>
            </a:pPr>
            <a:endParaRPr lang="en-US"/>
          </a:p>
        </c:txPr>
        <c:crossAx val="742047952"/>
        <c:crosses val="autoZero"/>
        <c:auto val="1"/>
        <c:lblAlgn val="ctr"/>
        <c:lblOffset val="100"/>
        <c:noMultiLvlLbl val="0"/>
      </c:catAx>
      <c:valAx>
        <c:axId val="742047952"/>
        <c:scaling>
          <c:orientation val="minMax"/>
          <c:max val="14"/>
          <c:min val="0"/>
        </c:scaling>
        <c:delete val="0"/>
        <c:axPos val="l"/>
        <c:numFmt formatCode="0" sourceLinked="0"/>
        <c:majorTickMark val="out"/>
        <c:minorTickMark val="none"/>
        <c:tickLblPos val="nextTo"/>
        <c:spPr>
          <a:ln>
            <a:noFill/>
          </a:ln>
        </c:spPr>
        <c:crossAx val="742046776"/>
        <c:crosses val="autoZero"/>
        <c:crossBetween val="between"/>
        <c:majorUnit val="2"/>
      </c:valAx>
      <c:spPr>
        <a:noFill/>
      </c:spPr>
    </c:plotArea>
    <c:legend>
      <c:legendPos val="t"/>
      <c:layout>
        <c:manualLayout>
          <c:xMode val="edge"/>
          <c:yMode val="edge"/>
          <c:x val="0.11267950932814766"/>
          <c:y val="1.1761246692149369E-2"/>
          <c:w val="0.43064980163036404"/>
          <c:h val="0.18676338927021877"/>
        </c:manualLayout>
      </c:layout>
      <c:overlay val="0"/>
    </c:legend>
    <c:plotVisOnly val="1"/>
    <c:dispBlanksAs val="gap"/>
    <c:showDLblsOverMax val="0"/>
  </c:chart>
  <c:spPr>
    <a:noFill/>
    <a:ln w="12700">
      <a:noFill/>
    </a:ln>
  </c:spPr>
  <c:txPr>
    <a:bodyPr/>
    <a:lstStyle/>
    <a:p>
      <a:pPr>
        <a:defRPr sz="800" b="0">
          <a:solidFill>
            <a:sysClr val="windowText" lastClr="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950715780152625E-2"/>
          <c:y val="6.0613946338154374E-2"/>
          <c:w val="0.91644931373655469"/>
          <c:h val="0.81145332428859507"/>
        </c:manualLayout>
      </c:layout>
      <c:barChart>
        <c:barDir val="col"/>
        <c:grouping val="clustered"/>
        <c:varyColors val="0"/>
        <c:ser>
          <c:idx val="0"/>
          <c:order val="0"/>
          <c:tx>
            <c:strRef>
              <c:f>Sheet1!$A$2</c:f>
              <c:strCache>
                <c:ptCount val="1"/>
                <c:pt idx="0">
                  <c:v>&gt;1 000 EUR</c:v>
                </c:pt>
              </c:strCache>
            </c:strRef>
          </c:tx>
          <c:spPr>
            <a:solidFill>
              <a:schemeClr val="accent6"/>
            </a:solidFill>
            <a:ln>
              <a:noFill/>
            </a:ln>
            <a:effectLst/>
          </c:spPr>
          <c:invertIfNegative val="0"/>
          <c:dPt>
            <c:idx val="9"/>
            <c:invertIfNegative val="0"/>
            <c:bubble3D val="0"/>
            <c:spPr>
              <a:solidFill>
                <a:schemeClr val="accent6"/>
              </a:solidFill>
              <a:ln>
                <a:noFill/>
              </a:ln>
              <a:effectLst/>
            </c:spPr>
            <c:extLst>
              <c:ext xmlns:c16="http://schemas.microsoft.com/office/drawing/2014/chart" uri="{C3380CC4-5D6E-409C-BE32-E72D297353CC}">
                <c16:uniqueId val="{00000001-EDF7-46D2-91C2-19D020CB1060}"/>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3-EDF7-46D2-91C2-19D020CB1060}"/>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5-EDF7-46D2-91C2-19D020CB1060}"/>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7-EDF7-46D2-91C2-19D020CB1060}"/>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9-EDF7-46D2-91C2-19D020CB1060}"/>
              </c:ext>
            </c:extLst>
          </c:dPt>
          <c:cat>
            <c:strRef>
              <c:f>Sheet1!$B$1:$S$1</c:f>
              <c:strCach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
</c:v>
                </c:pt>
                <c:pt idx="17">
                  <c:v>2025</c:v>
                </c:pt>
              </c:strCache>
            </c:strRef>
          </c:cat>
          <c:val>
            <c:numRef>
              <c:f>Sheet1!$B$2:$S$2</c:f>
              <c:numCache>
                <c:formatCode>0</c:formatCode>
                <c:ptCount val="18"/>
                <c:pt idx="0">
                  <c:v>19.8</c:v>
                </c:pt>
                <c:pt idx="1">
                  <c:v>16.3</c:v>
                </c:pt>
                <c:pt idx="2">
                  <c:v>13.999999999999996</c:v>
                </c:pt>
                <c:pt idx="3">
                  <c:v>15.099999999999998</c:v>
                </c:pt>
                <c:pt idx="4">
                  <c:v>16.400000000000002</c:v>
                </c:pt>
                <c:pt idx="5">
                  <c:v>18.200000000000003</c:v>
                </c:pt>
                <c:pt idx="6">
                  <c:v>20.399999999999999</c:v>
                </c:pt>
                <c:pt idx="7">
                  <c:v>22.9</c:v>
                </c:pt>
                <c:pt idx="8">
                  <c:v>25.4</c:v>
                </c:pt>
                <c:pt idx="9">
                  <c:v>29.399999999999995</c:v>
                </c:pt>
                <c:pt idx="10">
                  <c:v>33.699999999999996</c:v>
                </c:pt>
                <c:pt idx="11">
                  <c:v>38.016593293698328</c:v>
                </c:pt>
                <c:pt idx="12">
                  <c:v>41.2</c:v>
                </c:pt>
                <c:pt idx="13">
                  <c:v>46.699999999999996</c:v>
                </c:pt>
                <c:pt idx="14" formatCode="0.0">
                  <c:v>52.933333333333337</c:v>
                </c:pt>
                <c:pt idx="15" formatCode="0.0">
                  <c:v>60.033333333333331</c:v>
                </c:pt>
                <c:pt idx="16">
                  <c:v>65.174999999999997</c:v>
                </c:pt>
                <c:pt idx="17">
                  <c:v>68.3</c:v>
                </c:pt>
              </c:numCache>
            </c:numRef>
          </c:val>
          <c:extLst>
            <c:ext xmlns:c16="http://schemas.microsoft.com/office/drawing/2014/chart" uri="{C3380CC4-5D6E-409C-BE32-E72D297353CC}">
              <c16:uniqueId val="{0000000A-EDF7-46D2-91C2-19D020CB1060}"/>
            </c:ext>
          </c:extLst>
        </c:ser>
        <c:dLbls>
          <c:showLegendKey val="0"/>
          <c:showVal val="0"/>
          <c:showCatName val="0"/>
          <c:showSerName val="0"/>
          <c:showPercent val="0"/>
          <c:showBubbleSize val="0"/>
        </c:dLbls>
        <c:gapWidth val="60"/>
        <c:axId val="742045992"/>
        <c:axId val="742045600"/>
      </c:barChart>
      <c:lineChart>
        <c:grouping val="standard"/>
        <c:varyColors val="0"/>
        <c:ser>
          <c:idx val="9"/>
          <c:order val="1"/>
          <c:tx>
            <c:strRef>
              <c:f>Sheet1!$A$3</c:f>
              <c:strCache>
                <c:ptCount val="1"/>
                <c:pt idx="0">
                  <c:v>Minimālā darba alga vai mazāk</c:v>
                </c:pt>
              </c:strCache>
            </c:strRef>
          </c:tx>
          <c:spPr>
            <a:ln w="19050" cap="rnd" cmpd="sng" algn="ctr">
              <a:solidFill>
                <a:sysClr val="window" lastClr="FFFFFF">
                  <a:lumMod val="50000"/>
                </a:sysClr>
              </a:solidFill>
              <a:prstDash val="solid"/>
              <a:round/>
            </a:ln>
            <a:effectLst/>
          </c:spPr>
          <c:marker>
            <c:symbol val="none"/>
          </c:marker>
          <c:dPt>
            <c:idx val="9"/>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0C-EDF7-46D2-91C2-19D020CB1060}"/>
              </c:ext>
            </c:extLst>
          </c:dPt>
          <c:dPt>
            <c:idx val="10"/>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0E-EDF7-46D2-91C2-19D020CB1060}"/>
              </c:ext>
            </c:extLst>
          </c:dPt>
          <c:dPt>
            <c:idx val="11"/>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10-EDF7-46D2-91C2-19D020CB1060}"/>
              </c:ext>
            </c:extLst>
          </c:dPt>
          <c:dPt>
            <c:idx val="12"/>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12-EDF7-46D2-91C2-19D020CB1060}"/>
              </c:ext>
            </c:extLst>
          </c:dPt>
          <c:cat>
            <c:strRef>
              <c:f>Sheet1!$B$1:$S$1</c:f>
              <c:strCach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
</c:v>
                </c:pt>
                <c:pt idx="17">
                  <c:v>2025</c:v>
                </c:pt>
              </c:strCache>
            </c:strRef>
          </c:cat>
          <c:val>
            <c:numRef>
              <c:f>Sheet1!$B$3:$S$3</c:f>
              <c:numCache>
                <c:formatCode>0</c:formatCode>
                <c:ptCount val="18"/>
                <c:pt idx="0">
                  <c:v>17.899999999999999</c:v>
                </c:pt>
                <c:pt idx="1">
                  <c:v>24.2</c:v>
                </c:pt>
                <c:pt idx="2">
                  <c:v>26.5</c:v>
                </c:pt>
                <c:pt idx="3">
                  <c:v>28.2</c:v>
                </c:pt>
                <c:pt idx="4">
                  <c:v>26.3</c:v>
                </c:pt>
                <c:pt idx="5">
                  <c:v>23.6</c:v>
                </c:pt>
                <c:pt idx="6">
                  <c:v>23.2</c:v>
                </c:pt>
                <c:pt idx="7">
                  <c:v>23.5</c:v>
                </c:pt>
                <c:pt idx="8">
                  <c:v>21.7</c:v>
                </c:pt>
                <c:pt idx="9">
                  <c:v>20.100000000000001</c:v>
                </c:pt>
                <c:pt idx="10">
                  <c:v>20.6</c:v>
                </c:pt>
                <c:pt idx="11">
                  <c:v>18.899999999999999</c:v>
                </c:pt>
                <c:pt idx="12">
                  <c:v>18.100000000000001</c:v>
                </c:pt>
                <c:pt idx="13">
                  <c:v>19.399999999999999</c:v>
                </c:pt>
                <c:pt idx="14" formatCode="0.0">
                  <c:v>15.98133861217554</c:v>
                </c:pt>
                <c:pt idx="15" formatCode="0.0">
                  <c:v>17</c:v>
                </c:pt>
                <c:pt idx="16">
                  <c:v>15.324999999999999</c:v>
                </c:pt>
                <c:pt idx="17">
                  <c:v>16.5</c:v>
                </c:pt>
              </c:numCache>
            </c:numRef>
          </c:val>
          <c:smooth val="0"/>
          <c:extLst>
            <c:ext xmlns:c16="http://schemas.microsoft.com/office/drawing/2014/chart" uri="{C3380CC4-5D6E-409C-BE32-E72D297353CC}">
              <c16:uniqueId val="{00000013-EDF7-46D2-91C2-19D020CB1060}"/>
            </c:ext>
          </c:extLst>
        </c:ser>
        <c:dLbls>
          <c:showLegendKey val="0"/>
          <c:showVal val="0"/>
          <c:showCatName val="0"/>
          <c:showSerName val="0"/>
          <c:showPercent val="0"/>
          <c:showBubbleSize val="0"/>
        </c:dLbls>
        <c:marker val="1"/>
        <c:smooth val="0"/>
        <c:axId val="742045992"/>
        <c:axId val="742045600"/>
      </c:lineChart>
      <c:catAx>
        <c:axId val="742045992"/>
        <c:scaling>
          <c:orientation val="minMax"/>
        </c:scaling>
        <c:delete val="0"/>
        <c:axPos val="b"/>
        <c:numFmt formatCode="General" sourceLinked="1"/>
        <c:majorTickMark val="out"/>
        <c:minorTickMark val="none"/>
        <c:tickLblPos val="low"/>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Arial"/>
              </a:defRPr>
            </a:pPr>
            <a:endParaRPr lang="en-US"/>
          </a:p>
        </c:txPr>
        <c:crossAx val="742045600"/>
        <c:crosses val="autoZero"/>
        <c:auto val="0"/>
        <c:lblAlgn val="ctr"/>
        <c:lblOffset val="100"/>
        <c:noMultiLvlLbl val="0"/>
      </c:catAx>
      <c:valAx>
        <c:axId val="742045600"/>
        <c:scaling>
          <c:orientation val="minMax"/>
          <c:max val="70"/>
        </c:scaling>
        <c:delete val="0"/>
        <c:axPos val="l"/>
        <c:numFmt formatCode="0" sourceLinked="0"/>
        <c:majorTickMark val="out"/>
        <c:minorTickMark val="none"/>
        <c:tickLblPos val="nextTo"/>
        <c:spPr>
          <a:noFill/>
          <a:ln w="3175"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Arial"/>
              </a:defRPr>
            </a:pPr>
            <a:endParaRPr lang="en-US"/>
          </a:p>
        </c:txPr>
        <c:crossAx val="742045992"/>
        <c:crosses val="autoZero"/>
        <c:crossBetween val="between"/>
        <c:majorUnit val="10"/>
      </c:valAx>
      <c:spPr>
        <a:noFill/>
        <a:ln w="24631">
          <a:noFill/>
        </a:ln>
        <a:effectLst/>
      </c:spPr>
    </c:plotArea>
    <c:legend>
      <c:legendPos val="l"/>
      <c:layout>
        <c:manualLayout>
          <c:xMode val="edge"/>
          <c:yMode val="edge"/>
          <c:x val="0.10165866532394587"/>
          <c:y val="2.3790594243934739E-2"/>
          <c:w val="0.7801341269841271"/>
          <c:h val="0.17557515310586178"/>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Segoe UI Light" panose="020B0502040204020203" pitchFamily="34" charset="0"/>
              <a:ea typeface="Arial"/>
              <a:cs typeface="Arial"/>
            </a:defRPr>
          </a:pPr>
          <a:endParaRPr lang="en-US"/>
        </a:p>
      </c:txPr>
    </c:legend>
    <c:plotVisOnly val="1"/>
    <c:dispBlanksAs val="gap"/>
    <c:showDLblsOverMax val="0"/>
  </c:chart>
  <c:spPr>
    <a:no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Arial"/>
          <a:cs typeface="Arial"/>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379263833631537"/>
          <c:y val="1.089537653947103E-2"/>
          <c:w val="0.4678564508295523"/>
          <c:h val="0.97246682604785839"/>
        </c:manualLayout>
      </c:layout>
      <c:barChart>
        <c:barDir val="bar"/>
        <c:grouping val="clustered"/>
        <c:varyColors val="0"/>
        <c:ser>
          <c:idx val="2"/>
          <c:order val="0"/>
          <c:spPr>
            <a:solidFill>
              <a:srgbClr val="92B7C4"/>
            </a:solidFill>
          </c:spPr>
          <c:invertIfNegative val="0"/>
          <c:dPt>
            <c:idx val="4"/>
            <c:invertIfNegative val="0"/>
            <c:bubble3D val="0"/>
            <c:extLst>
              <c:ext xmlns:c16="http://schemas.microsoft.com/office/drawing/2014/chart" uri="{C3380CC4-5D6E-409C-BE32-E72D297353CC}">
                <c16:uniqueId val="{00000000-3105-40EA-A5FF-7EB3596123BB}"/>
              </c:ext>
            </c:extLst>
          </c:dPt>
          <c:dPt>
            <c:idx val="10"/>
            <c:invertIfNegative val="0"/>
            <c:bubble3D val="0"/>
            <c:extLst>
              <c:ext xmlns:c16="http://schemas.microsoft.com/office/drawing/2014/chart" uri="{C3380CC4-5D6E-409C-BE32-E72D297353CC}">
                <c16:uniqueId val="{00000001-3105-40EA-A5FF-7EB3596123BB}"/>
              </c:ext>
            </c:extLst>
          </c:dPt>
          <c:dPt>
            <c:idx val="11"/>
            <c:invertIfNegative val="0"/>
            <c:bubble3D val="0"/>
            <c:spPr>
              <a:solidFill>
                <a:srgbClr val="0E5A69"/>
              </a:solidFill>
            </c:spPr>
            <c:extLst>
              <c:ext xmlns:c16="http://schemas.microsoft.com/office/drawing/2014/chart" uri="{C3380CC4-5D6E-409C-BE32-E72D297353CC}">
                <c16:uniqueId val="{00000003-3105-40EA-A5FF-7EB3596123BB}"/>
              </c:ext>
            </c:extLst>
          </c:dPt>
          <c:dLbls>
            <c:dLbl>
              <c:idx val="10"/>
              <c:spPr>
                <a:noFill/>
                <a:ln>
                  <a:noFill/>
                </a:ln>
                <a:effectLst/>
              </c:spPr>
              <c:txPr>
                <a:bodyPr wrap="square" lIns="38100" tIns="19050" rIns="38100" bIns="19050" anchor="ctr">
                  <a:spAutoFit/>
                </a:bodyPr>
                <a:lstStyle/>
                <a:p>
                  <a:pPr>
                    <a:defRPr b="0">
                      <a:solidFill>
                        <a:schemeClr val="tx1"/>
                      </a:solidFill>
                    </a:defRPr>
                  </a:pPr>
                  <a:endParaRPr lang="en-US"/>
                </a:p>
              </c:tx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3105-40EA-A5FF-7EB3596123BB}"/>
                </c:ext>
              </c:extLst>
            </c:dLbl>
            <c:dLbl>
              <c:idx val="11"/>
              <c:spPr>
                <a:noFill/>
                <a:ln>
                  <a:noFill/>
                </a:ln>
                <a:effectLst/>
              </c:spPr>
              <c:txPr>
                <a:bodyPr wrap="square" lIns="38100" tIns="19050" rIns="38100" bIns="19050" anchor="ctr">
                  <a:spAutoFit/>
                </a:bodyPr>
                <a:lstStyle/>
                <a:p>
                  <a:pPr>
                    <a:defRPr b="1">
                      <a:solidFill>
                        <a:schemeClr val="bg1"/>
                      </a:solidFill>
                    </a:defRPr>
                  </a:pPr>
                  <a:endParaRPr lang="lv-LV"/>
                </a:p>
              </c:tx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3105-40EA-A5FF-7EB3596123BB}"/>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Sheet1!$E$3:$E$22</c:f>
              <c:strCache>
                <c:ptCount val="20"/>
                <c:pt idx="0">
                  <c:v>Citi pakalpojumi</c:v>
                </c:pt>
                <c:pt idx="1">
                  <c:v>Operācijas ar nekustamo īpašumu</c:v>
                </c:pt>
                <c:pt idx="2">
                  <c:v>Administratīvie apkalpojošie dienesti</c:v>
                </c:pt>
                <c:pt idx="3">
                  <c:v>Izglītība</c:v>
                </c:pt>
                <c:pt idx="4">
                  <c:v>Profesionālie un zinātniskie pakalpojumi</c:v>
                </c:pt>
                <c:pt idx="5">
                  <c:v>Elektroenerģija, gāze, siltums</c:v>
                </c:pt>
                <c:pt idx="6">
                  <c:v>Ūdensapgāde, atkritumu apsaimniekošana</c:v>
                </c:pt>
                <c:pt idx="7">
                  <c:v>Būvniecība</c:v>
                </c:pt>
                <c:pt idx="8">
                  <c:v>Transports un uzglabāšana</c:v>
                </c:pt>
                <c:pt idx="9">
                  <c:v>Lauksaimniecība, mežsaimniecība</c:v>
                </c:pt>
                <c:pt idx="10">
                  <c:v>Finanšu un apdrošināšanas darbības </c:v>
                </c:pt>
                <c:pt idx="11">
                  <c:v>Vidēji valstī</c:v>
                </c:pt>
                <c:pt idx="12">
                  <c:v>Izmitināšana un ēdināšana</c:v>
                </c:pt>
                <c:pt idx="13">
                  <c:v>Apstrādes rūpniecība</c:v>
                </c:pt>
                <c:pt idx="14">
                  <c:v>Ieguves rūpniecība</c:v>
                </c:pt>
                <c:pt idx="15">
                  <c:v>Tirdzniecība</c:v>
                </c:pt>
                <c:pt idx="16">
                  <c:v>Valsts pārvalde un aizsardzība</c:v>
                </c:pt>
                <c:pt idx="17">
                  <c:v>Māksla, izklaide un atpūta</c:v>
                </c:pt>
                <c:pt idx="18">
                  <c:v>Informācijas un komunikācijas pakalpojumi</c:v>
                </c:pt>
                <c:pt idx="19">
                  <c:v>Veselība un sociālā aprūpe</c:v>
                </c:pt>
              </c:strCache>
            </c:strRef>
          </c:cat>
          <c:val>
            <c:numRef>
              <c:f>Sheet1!$C$3:$C$22</c:f>
              <c:numCache>
                <c:formatCode>0.0</c:formatCode>
                <c:ptCount val="20"/>
                <c:pt idx="0">
                  <c:v>19</c:v>
                </c:pt>
                <c:pt idx="1">
                  <c:v>14.3</c:v>
                </c:pt>
                <c:pt idx="2">
                  <c:v>9.6999999999999993</c:v>
                </c:pt>
                <c:pt idx="3">
                  <c:v>9.3000000000000007</c:v>
                </c:pt>
                <c:pt idx="4">
                  <c:v>9.1999999999999993</c:v>
                </c:pt>
                <c:pt idx="5">
                  <c:v>9</c:v>
                </c:pt>
                <c:pt idx="6">
                  <c:v>9</c:v>
                </c:pt>
                <c:pt idx="7">
                  <c:v>9</c:v>
                </c:pt>
                <c:pt idx="8">
                  <c:v>8.3000000000000007</c:v>
                </c:pt>
                <c:pt idx="9">
                  <c:v>7.9</c:v>
                </c:pt>
                <c:pt idx="10">
                  <c:v>7.9</c:v>
                </c:pt>
                <c:pt idx="11">
                  <c:v>7.7</c:v>
                </c:pt>
                <c:pt idx="12">
                  <c:v>7.5</c:v>
                </c:pt>
                <c:pt idx="13">
                  <c:v>7.4</c:v>
                </c:pt>
                <c:pt idx="14">
                  <c:v>7</c:v>
                </c:pt>
                <c:pt idx="15">
                  <c:v>6.5</c:v>
                </c:pt>
                <c:pt idx="16">
                  <c:v>6.5</c:v>
                </c:pt>
                <c:pt idx="17">
                  <c:v>5.4</c:v>
                </c:pt>
                <c:pt idx="18">
                  <c:v>4.7</c:v>
                </c:pt>
                <c:pt idx="19">
                  <c:v>4.7</c:v>
                </c:pt>
              </c:numCache>
            </c:numRef>
          </c:val>
          <c:extLst>
            <c:ext xmlns:c16="http://schemas.microsoft.com/office/drawing/2014/chart" uri="{C3380CC4-5D6E-409C-BE32-E72D297353CC}">
              <c16:uniqueId val="{00000004-3105-40EA-A5FF-7EB3596123BB}"/>
            </c:ext>
          </c:extLst>
        </c:ser>
        <c:dLbls>
          <c:showLegendKey val="0"/>
          <c:showVal val="0"/>
          <c:showCatName val="0"/>
          <c:showSerName val="0"/>
          <c:showPercent val="0"/>
          <c:showBubbleSize val="0"/>
        </c:dLbls>
        <c:gapWidth val="40"/>
        <c:axId val="742045208"/>
        <c:axId val="742036192"/>
      </c:barChart>
      <c:catAx>
        <c:axId val="742045208"/>
        <c:scaling>
          <c:orientation val="minMax"/>
        </c:scaling>
        <c:delete val="0"/>
        <c:axPos val="l"/>
        <c:numFmt formatCode="General" sourceLinked="1"/>
        <c:majorTickMark val="out"/>
        <c:minorTickMark val="none"/>
        <c:tickLblPos val="nextTo"/>
        <c:spPr>
          <a:ln w="3175"/>
        </c:spPr>
        <c:crossAx val="742036192"/>
        <c:crosses val="autoZero"/>
        <c:auto val="0"/>
        <c:lblAlgn val="ctr"/>
        <c:lblOffset val="0"/>
        <c:noMultiLvlLbl val="1"/>
      </c:catAx>
      <c:valAx>
        <c:axId val="742036192"/>
        <c:scaling>
          <c:orientation val="minMax"/>
          <c:max val="20"/>
          <c:min val="0"/>
        </c:scaling>
        <c:delete val="0"/>
        <c:axPos val="b"/>
        <c:numFmt formatCode="0" sourceLinked="0"/>
        <c:majorTickMark val="out"/>
        <c:minorTickMark val="none"/>
        <c:tickLblPos val="nextTo"/>
        <c:spPr>
          <a:ln>
            <a:noFill/>
          </a:ln>
        </c:spPr>
        <c:crossAx val="742045208"/>
        <c:crosses val="autoZero"/>
        <c:crossBetween val="between"/>
        <c:majorUnit val="5"/>
      </c:valAx>
      <c:spPr>
        <a:noFill/>
        <a:ln w="24631">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272090056801266E-2"/>
          <c:y val="4.2695527409047404E-2"/>
          <c:w val="0.8838468202444979"/>
          <c:h val="0.50774664809163805"/>
        </c:manualLayout>
      </c:layout>
      <c:barChart>
        <c:barDir val="col"/>
        <c:grouping val="clustered"/>
        <c:varyColors val="0"/>
        <c:ser>
          <c:idx val="1"/>
          <c:order val="1"/>
          <c:tx>
            <c:strRef>
              <c:f>Sheet1!$C$1</c:f>
              <c:strCache>
                <c:ptCount val="1"/>
                <c:pt idx="0">
                  <c:v>Bruto darba samaksa 2026. gada februārī, EUR, kreisā ass</c:v>
                </c:pt>
              </c:strCache>
            </c:strRef>
          </c:tx>
          <c:spPr>
            <a:solidFill>
              <a:srgbClr val="CC9900"/>
            </a:solidFill>
            <a:ln>
              <a:noFill/>
            </a:ln>
            <a:effectLst/>
          </c:spPr>
          <c:invertIfNegative val="0"/>
          <c:dLbls>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56-4194-A33F-87249957616E}"/>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Vadītāji</c:v>
                </c:pt>
                <c:pt idx="1">
                  <c:v>Vecākie speciālisti</c:v>
                </c:pt>
                <c:pt idx="2">
                  <c:v>Speciālisti</c:v>
                </c:pt>
                <c:pt idx="3">
                  <c:v>Nacionālo bruņoto spēku profesijas</c:v>
                </c:pt>
                <c:pt idx="4">
                  <c:v>Kalpotāji</c:v>
                </c:pt>
                <c:pt idx="5">
                  <c:v>Kvalificēti strādnieki un amatnieki</c:v>
                </c:pt>
                <c:pt idx="6">
                  <c:v>Iekārtu un mašīnu operatori un izstrādājumu montieri</c:v>
                </c:pt>
                <c:pt idx="7">
                  <c:v>Kvalificēti lauksaimniecības, mežsaimniecības un zivsaimniecības darbinieki</c:v>
                </c:pt>
                <c:pt idx="8">
                  <c:v>Pakalpojumu un tirdzniecības darbinieki</c:v>
                </c:pt>
                <c:pt idx="9">
                  <c:v>Vienkāršās profesijas</c:v>
                </c:pt>
              </c:strCache>
            </c:strRef>
          </c:cat>
          <c:val>
            <c:numRef>
              <c:f>Sheet1!$C$2:$C$11</c:f>
              <c:numCache>
                <c:formatCode>#,##0</c:formatCode>
                <c:ptCount val="10"/>
                <c:pt idx="0" formatCode="0">
                  <c:v>2456.6097211441866</c:v>
                </c:pt>
                <c:pt idx="1">
                  <c:v>2366.0303069011798</c:v>
                </c:pt>
                <c:pt idx="2">
                  <c:v>1922.5884662479564</c:v>
                </c:pt>
                <c:pt idx="3" formatCode="0">
                  <c:v>1752.4476765981408</c:v>
                </c:pt>
                <c:pt idx="4">
                  <c:v>1600.5527723036505</c:v>
                </c:pt>
                <c:pt idx="5">
                  <c:v>1590.8471357523354</c:v>
                </c:pt>
                <c:pt idx="6">
                  <c:v>1524.8080767842616</c:v>
                </c:pt>
                <c:pt idx="7">
                  <c:v>1273.7699193198623</c:v>
                </c:pt>
                <c:pt idx="8">
                  <c:v>1196.8513472490813</c:v>
                </c:pt>
                <c:pt idx="9">
                  <c:v>1128.7517500568229</c:v>
                </c:pt>
              </c:numCache>
            </c:numRef>
          </c:val>
          <c:extLst>
            <c:ext xmlns:c16="http://schemas.microsoft.com/office/drawing/2014/chart" uri="{C3380CC4-5D6E-409C-BE32-E72D297353CC}">
              <c16:uniqueId val="{00000006-1C36-4F17-98A1-8B7EC4EEC117}"/>
            </c:ext>
          </c:extLst>
        </c:ser>
        <c:dLbls>
          <c:showLegendKey val="0"/>
          <c:showVal val="0"/>
          <c:showCatName val="0"/>
          <c:showSerName val="0"/>
          <c:showPercent val="0"/>
          <c:showBubbleSize val="0"/>
        </c:dLbls>
        <c:gapWidth val="80"/>
        <c:axId val="524604104"/>
        <c:axId val="524602792"/>
      </c:barChart>
      <c:lineChart>
        <c:grouping val="standard"/>
        <c:varyColors val="0"/>
        <c:ser>
          <c:idx val="0"/>
          <c:order val="0"/>
          <c:tx>
            <c:strRef>
              <c:f>Sheet1!$B$1</c:f>
              <c:strCache>
                <c:ptCount val="1"/>
                <c:pt idx="0">
                  <c:v>Bruto darba samaksa (2026. gada februāris pret 2025. gada februāri, izmaiņas procentos, labā ass)</c:v>
                </c:pt>
              </c:strCache>
            </c:strRef>
          </c:tx>
          <c:spPr>
            <a:ln w="28575" cap="rnd">
              <a:noFill/>
              <a:round/>
            </a:ln>
            <a:effectLst/>
          </c:spPr>
          <c:marker>
            <c:symbol val="diamond"/>
            <c:size val="10"/>
            <c:spPr>
              <a:solidFill>
                <a:schemeClr val="tx1">
                  <a:lumMod val="65000"/>
                  <a:lumOff val="35000"/>
                </a:schemeClr>
              </a:solidFill>
              <a:ln w="9525">
                <a:solidFill>
                  <a:schemeClr val="tx1">
                    <a:lumMod val="65000"/>
                    <a:lumOff val="35000"/>
                  </a:schemeClr>
                </a:solidFill>
              </a:ln>
              <a:effectLst/>
            </c:spPr>
          </c:marker>
          <c:cat>
            <c:strRef>
              <c:f>Sheet1!$A$2:$A$11</c:f>
              <c:strCache>
                <c:ptCount val="10"/>
                <c:pt idx="0">
                  <c:v>Vadītāji</c:v>
                </c:pt>
                <c:pt idx="1">
                  <c:v>Vecākie speciālisti</c:v>
                </c:pt>
                <c:pt idx="2">
                  <c:v>Speciālisti</c:v>
                </c:pt>
                <c:pt idx="3">
                  <c:v>Nacionālo bruņoto spēku profesijas</c:v>
                </c:pt>
                <c:pt idx="4">
                  <c:v>Kalpotāji</c:v>
                </c:pt>
                <c:pt idx="5">
                  <c:v>Kvalificēti strādnieki un amatnieki</c:v>
                </c:pt>
                <c:pt idx="6">
                  <c:v>Iekārtu un mašīnu operatori un izstrādājumu montieri</c:v>
                </c:pt>
                <c:pt idx="7">
                  <c:v>Kvalificēti lauksaimniecības, mežsaimniecības un zivsaimniecības darbinieki</c:v>
                </c:pt>
                <c:pt idx="8">
                  <c:v>Pakalpojumu un tirdzniecības darbinieki</c:v>
                </c:pt>
                <c:pt idx="9">
                  <c:v>Vienkāršās profesijas</c:v>
                </c:pt>
              </c:strCache>
            </c:strRef>
          </c:cat>
          <c:val>
            <c:numRef>
              <c:f>Sheet1!$B$2:$B$11</c:f>
              <c:numCache>
                <c:formatCode>0.0%</c:formatCode>
                <c:ptCount val="10"/>
                <c:pt idx="0">
                  <c:v>4.8478898123495144E-2</c:v>
                </c:pt>
                <c:pt idx="1">
                  <c:v>3.1229025850646769E-2</c:v>
                </c:pt>
                <c:pt idx="2">
                  <c:v>2.7635994758693706E-2</c:v>
                </c:pt>
                <c:pt idx="3">
                  <c:v>9.2515616757949792E-3</c:v>
                </c:pt>
                <c:pt idx="4">
                  <c:v>4.7731561096702277E-2</c:v>
                </c:pt>
                <c:pt idx="5">
                  <c:v>6.3970022336418186E-2</c:v>
                </c:pt>
                <c:pt idx="6">
                  <c:v>6.9910946462605511E-2</c:v>
                </c:pt>
                <c:pt idx="7">
                  <c:v>5.1655421106440398E-2</c:v>
                </c:pt>
                <c:pt idx="8">
                  <c:v>4.4734179782970021E-2</c:v>
                </c:pt>
                <c:pt idx="9">
                  <c:v>5.97197946465923E-2</c:v>
                </c:pt>
              </c:numCache>
            </c:numRef>
          </c:val>
          <c:smooth val="0"/>
          <c:extLst>
            <c:ext xmlns:c16="http://schemas.microsoft.com/office/drawing/2014/chart" uri="{C3380CC4-5D6E-409C-BE32-E72D297353CC}">
              <c16:uniqueId val="{00000007-1C36-4F17-98A1-8B7EC4EEC117}"/>
            </c:ext>
          </c:extLst>
        </c:ser>
        <c:dLbls>
          <c:showLegendKey val="0"/>
          <c:showVal val="0"/>
          <c:showCatName val="0"/>
          <c:showSerName val="0"/>
          <c:showPercent val="0"/>
          <c:showBubbleSize val="0"/>
        </c:dLbls>
        <c:marker val="1"/>
        <c:smooth val="0"/>
        <c:axId val="524610992"/>
        <c:axId val="524610008"/>
      </c:lineChart>
      <c:valAx>
        <c:axId val="524602792"/>
        <c:scaling>
          <c:orientation val="minMax"/>
        </c:scaling>
        <c:delete val="0"/>
        <c:axPos val="r"/>
        <c:numFmt formatCode="0" sourceLinked="1"/>
        <c:majorTickMark val="out"/>
        <c:minorTickMark val="none"/>
        <c:tickLblPos val="low"/>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524604104"/>
        <c:crosses val="max"/>
        <c:crossBetween val="between"/>
      </c:valAx>
      <c:catAx>
        <c:axId val="5246041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524602792"/>
        <c:crosses val="autoZero"/>
        <c:auto val="0"/>
        <c:lblAlgn val="ctr"/>
        <c:lblOffset val="100"/>
        <c:tickLblSkip val="1"/>
        <c:noMultiLvlLbl val="0"/>
      </c:catAx>
      <c:valAx>
        <c:axId val="524610008"/>
        <c:scaling>
          <c:orientation val="minMax"/>
          <c:max val="0.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524610992"/>
        <c:crosses val="max"/>
        <c:crossBetween val="between"/>
        <c:majorUnit val="2.0000000000000004E-2"/>
      </c:valAx>
      <c:catAx>
        <c:axId val="524610992"/>
        <c:scaling>
          <c:orientation val="minMax"/>
        </c:scaling>
        <c:delete val="1"/>
        <c:axPos val="b"/>
        <c:numFmt formatCode="General" sourceLinked="1"/>
        <c:majorTickMark val="out"/>
        <c:minorTickMark val="none"/>
        <c:tickLblPos val="nextTo"/>
        <c:crossAx val="524610008"/>
        <c:crosses val="autoZero"/>
        <c:auto val="1"/>
        <c:lblAlgn val="ctr"/>
        <c:lblOffset val="100"/>
        <c:noMultiLvlLbl val="0"/>
      </c:catAx>
      <c:spPr>
        <a:noFill/>
        <a:ln>
          <a:noFill/>
        </a:ln>
        <a:effectLst/>
      </c:spPr>
    </c:plotArea>
    <c:legend>
      <c:legendPos val="b"/>
      <c:layout>
        <c:manualLayout>
          <c:xMode val="edge"/>
          <c:yMode val="edge"/>
          <c:x val="0.17719955898566703"/>
          <c:y val="1.419322937428729E-2"/>
          <c:w val="0.75187335596280891"/>
          <c:h val="0.1171004621070804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lgn="just">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211328422656846E-2"/>
          <c:y val="3.9784827364179154E-2"/>
          <c:w val="0.83768487003640679"/>
          <c:h val="0.81951427758277207"/>
        </c:manualLayout>
      </c:layout>
      <c:barChart>
        <c:barDir val="col"/>
        <c:grouping val="clustered"/>
        <c:varyColors val="0"/>
        <c:ser>
          <c:idx val="1"/>
          <c:order val="2"/>
          <c:tx>
            <c:strRef>
              <c:f>Sheet1!$A$29</c:f>
              <c:strCache>
                <c:ptCount val="1"/>
                <c:pt idx="0">
                  <c:v>Latvija (ES-27 = 100, labā ass)</c:v>
                </c:pt>
              </c:strCache>
            </c:strRef>
          </c:tx>
          <c:spPr>
            <a:solidFill>
              <a:srgbClr val="BBD2DA"/>
            </a:solidFill>
            <a:ln w="25380" cap="rnd">
              <a:noFill/>
              <a:round/>
            </a:ln>
            <a:effectLst/>
          </c:spPr>
          <c:invertIfNegative val="0"/>
          <c:cat>
            <c:strRef>
              <c:f>Sheet1!$B$26:$Q$26</c:f>
              <c:strCache>
                <c:ptCount val="16"/>
                <c:pt idx="1">
                  <c:v>2011</c:v>
                </c:pt>
                <c:pt idx="3">
                  <c:v>2013</c:v>
                </c:pt>
                <c:pt idx="5">
                  <c:v>2015</c:v>
                </c:pt>
                <c:pt idx="7">
                  <c:v>2017</c:v>
                </c:pt>
                <c:pt idx="9">
                  <c:v>2019</c:v>
                </c:pt>
                <c:pt idx="11">
                  <c:v>2021</c:v>
                </c:pt>
                <c:pt idx="13">
                  <c:v>2023</c:v>
                </c:pt>
                <c:pt idx="15">
                  <c:v>2025</c:v>
                </c:pt>
              </c:strCache>
            </c:strRef>
          </c:cat>
          <c:val>
            <c:numRef>
              <c:f>Sheet1!$B$29:$Q$29</c:f>
              <c:numCache>
                <c:formatCode>0.0</c:formatCode>
                <c:ptCount val="16"/>
                <c:pt idx="0">
                  <c:v>37.273334776012149</c:v>
                </c:pt>
                <c:pt idx="1">
                  <c:v>38.379419076476943</c:v>
                </c:pt>
                <c:pt idx="2">
                  <c:v>41.440184175144587</c:v>
                </c:pt>
                <c:pt idx="3">
                  <c:v>41.524231437912135</c:v>
                </c:pt>
                <c:pt idx="4">
                  <c:v>43.072142876612688</c:v>
                </c:pt>
                <c:pt idx="5">
                  <c:v>43.067217916639422</c:v>
                </c:pt>
                <c:pt idx="6">
                  <c:v>43.970881234502585</c:v>
                </c:pt>
                <c:pt idx="7">
                  <c:v>45.549199092719505</c:v>
                </c:pt>
                <c:pt idx="8">
                  <c:v>47.361682295196815</c:v>
                </c:pt>
                <c:pt idx="9">
                  <c:v>47.65033573077541</c:v>
                </c:pt>
                <c:pt idx="10">
                  <c:v>48.647223613632633</c:v>
                </c:pt>
                <c:pt idx="11">
                  <c:v>50.770433794041217</c:v>
                </c:pt>
                <c:pt idx="12">
                  <c:v>52.955343907951544</c:v>
                </c:pt>
                <c:pt idx="13">
                  <c:v>54.1248707774606</c:v>
                </c:pt>
                <c:pt idx="14">
                  <c:v>54.466587588118188</c:v>
                </c:pt>
                <c:pt idx="15">
                  <c:v>55.819167430033232</c:v>
                </c:pt>
              </c:numCache>
            </c:numRef>
          </c:val>
          <c:extLst>
            <c:ext xmlns:c16="http://schemas.microsoft.com/office/drawing/2014/chart" uri="{C3380CC4-5D6E-409C-BE32-E72D297353CC}">
              <c16:uniqueId val="{00000000-F4F9-4B19-9946-3BCD44FC214E}"/>
            </c:ext>
          </c:extLst>
        </c:ser>
        <c:dLbls>
          <c:showLegendKey val="0"/>
          <c:showVal val="0"/>
          <c:showCatName val="0"/>
          <c:showSerName val="0"/>
          <c:showPercent val="0"/>
          <c:showBubbleSize val="0"/>
        </c:dLbls>
        <c:gapWidth val="25"/>
        <c:axId val="836729199"/>
        <c:axId val="836745839"/>
      </c:barChart>
      <c:lineChart>
        <c:grouping val="standard"/>
        <c:varyColors val="0"/>
        <c:ser>
          <c:idx val="2"/>
          <c:order val="0"/>
          <c:tx>
            <c:strRef>
              <c:f>Sheet1!$A$27</c:f>
              <c:strCache>
                <c:ptCount val="1"/>
                <c:pt idx="0">
                  <c:v>Latvija (2010 = 100, kreisā ass)</c:v>
                </c:pt>
              </c:strCache>
            </c:strRef>
          </c:tx>
          <c:spPr>
            <a:ln w="25400">
              <a:solidFill>
                <a:srgbClr val="F79646"/>
              </a:solidFill>
            </a:ln>
          </c:spPr>
          <c:marker>
            <c:symbol val="none"/>
          </c:marker>
          <c:cat>
            <c:strRef>
              <c:f>Sheet1!$B$26:$Q$26</c:f>
              <c:strCache>
                <c:ptCount val="16"/>
                <c:pt idx="1">
                  <c:v>2011</c:v>
                </c:pt>
                <c:pt idx="3">
                  <c:v>2013</c:v>
                </c:pt>
                <c:pt idx="5">
                  <c:v>2015</c:v>
                </c:pt>
                <c:pt idx="7">
                  <c:v>2017</c:v>
                </c:pt>
                <c:pt idx="9">
                  <c:v>2019</c:v>
                </c:pt>
                <c:pt idx="11">
                  <c:v>2021</c:v>
                </c:pt>
                <c:pt idx="13">
                  <c:v>2023</c:v>
                </c:pt>
                <c:pt idx="15">
                  <c:v>2025</c:v>
                </c:pt>
              </c:strCache>
            </c:strRef>
          </c:cat>
          <c:val>
            <c:numRef>
              <c:f>Sheet1!$B$27:$Q$27</c:f>
              <c:numCache>
                <c:formatCode>0.0</c:formatCode>
                <c:ptCount val="16"/>
                <c:pt idx="0">
                  <c:v>100</c:v>
                </c:pt>
                <c:pt idx="1">
                  <c:v>101.50687744849236</c:v>
                </c:pt>
                <c:pt idx="2">
                  <c:v>107.366149013602</c:v>
                </c:pt>
                <c:pt idx="3">
                  <c:v>107.14957419681595</c:v>
                </c:pt>
                <c:pt idx="4">
                  <c:v>110.89201971403708</c:v>
                </c:pt>
                <c:pt idx="5">
                  <c:v>113.48602950465956</c:v>
                </c:pt>
                <c:pt idx="6">
                  <c:v>116.73619176641199</c:v>
                </c:pt>
                <c:pt idx="7">
                  <c:v>120.74633516511375</c:v>
                </c:pt>
                <c:pt idx="8">
                  <c:v>123.4570821596481</c:v>
                </c:pt>
                <c:pt idx="9">
                  <c:v>121.82311464760201</c:v>
                </c:pt>
                <c:pt idx="10">
                  <c:v>118.40049747481257</c:v>
                </c:pt>
                <c:pt idx="11">
                  <c:v>128.24789367070258</c:v>
                </c:pt>
                <c:pt idx="12">
                  <c:v>130.44135107842069</c:v>
                </c:pt>
                <c:pt idx="13">
                  <c:v>126.95719382355723</c:v>
                </c:pt>
                <c:pt idx="14">
                  <c:v>128.78284547495574</c:v>
                </c:pt>
                <c:pt idx="15">
                  <c:v>132.25961227668304</c:v>
                </c:pt>
              </c:numCache>
            </c:numRef>
          </c:val>
          <c:smooth val="0"/>
          <c:extLst>
            <c:ext xmlns:c16="http://schemas.microsoft.com/office/drawing/2014/chart" uri="{C3380CC4-5D6E-409C-BE32-E72D297353CC}">
              <c16:uniqueId val="{00000001-F4F9-4B19-9946-3BCD44FC214E}"/>
            </c:ext>
          </c:extLst>
        </c:ser>
        <c:ser>
          <c:idx val="0"/>
          <c:order val="1"/>
          <c:tx>
            <c:strRef>
              <c:f>Sheet1!$A$28</c:f>
              <c:strCache>
                <c:ptCount val="1"/>
                <c:pt idx="0">
                  <c:v>ES-27 (2010 = 100, kreisā ass)</c:v>
                </c:pt>
              </c:strCache>
            </c:strRef>
          </c:tx>
          <c:spPr>
            <a:ln w="25380" cap="rnd">
              <a:solidFill>
                <a:srgbClr val="0E5A69"/>
              </a:solidFill>
              <a:round/>
            </a:ln>
            <a:effectLst/>
          </c:spPr>
          <c:marker>
            <c:symbol val="none"/>
          </c:marker>
          <c:cat>
            <c:strRef>
              <c:f>Sheet1!$B$26:$Q$26</c:f>
              <c:strCache>
                <c:ptCount val="16"/>
                <c:pt idx="1">
                  <c:v>2011</c:v>
                </c:pt>
                <c:pt idx="3">
                  <c:v>2013</c:v>
                </c:pt>
                <c:pt idx="5">
                  <c:v>2015</c:v>
                </c:pt>
                <c:pt idx="7">
                  <c:v>2017</c:v>
                </c:pt>
                <c:pt idx="9">
                  <c:v>2019</c:v>
                </c:pt>
                <c:pt idx="11">
                  <c:v>2021</c:v>
                </c:pt>
                <c:pt idx="13">
                  <c:v>2023</c:v>
                </c:pt>
                <c:pt idx="15">
                  <c:v>2025</c:v>
                </c:pt>
              </c:strCache>
            </c:strRef>
          </c:cat>
          <c:val>
            <c:numRef>
              <c:f>Sheet1!$B$28:$Q$28</c:f>
              <c:numCache>
                <c:formatCode>0.0</c:formatCode>
                <c:ptCount val="16"/>
                <c:pt idx="0">
                  <c:v>100</c:v>
                </c:pt>
                <c:pt idx="1">
                  <c:v>101.88095554927466</c:v>
                </c:pt>
                <c:pt idx="2">
                  <c:v>101.33687495081583</c:v>
                </c:pt>
                <c:pt idx="3">
                  <c:v>101.67016221630551</c:v>
                </c:pt>
                <c:pt idx="4">
                  <c:v>102.39568699346684</c:v>
                </c:pt>
                <c:pt idx="5">
                  <c:v>103.81755801545285</c:v>
                </c:pt>
                <c:pt idx="6">
                  <c:v>104.45133499019497</c:v>
                </c:pt>
                <c:pt idx="7">
                  <c:v>105.69356526527203</c:v>
                </c:pt>
                <c:pt idx="8">
                  <c:v>106.31604442742042</c:v>
                </c:pt>
                <c:pt idx="9">
                  <c:v>106.93732926536579</c:v>
                </c:pt>
                <c:pt idx="10">
                  <c:v>102.38533639312759</c:v>
                </c:pt>
                <c:pt idx="11">
                  <c:v>107.16186285601243</c:v>
                </c:pt>
                <c:pt idx="12">
                  <c:v>108.57941073275097</c:v>
                </c:pt>
                <c:pt idx="13">
                  <c:v>107.67688727779129</c:v>
                </c:pt>
                <c:pt idx="14">
                  <c:v>107.98865098440606</c:v>
                </c:pt>
                <c:pt idx="15">
                  <c:v>109.09504189742387</c:v>
                </c:pt>
              </c:numCache>
            </c:numRef>
          </c:val>
          <c:smooth val="0"/>
          <c:extLst>
            <c:ext xmlns:c16="http://schemas.microsoft.com/office/drawing/2014/chart" uri="{C3380CC4-5D6E-409C-BE32-E72D297353CC}">
              <c16:uniqueId val="{00000002-F4F9-4B19-9946-3BCD44FC214E}"/>
            </c:ext>
          </c:extLst>
        </c:ser>
        <c:dLbls>
          <c:showLegendKey val="0"/>
          <c:showVal val="0"/>
          <c:showCatName val="0"/>
          <c:showSerName val="0"/>
          <c:showPercent val="0"/>
          <c:showBubbleSize val="0"/>
        </c:dLbls>
        <c:marker val="1"/>
        <c:smooth val="0"/>
        <c:axId val="248745264"/>
        <c:axId val="1"/>
      </c:lineChart>
      <c:catAx>
        <c:axId val="248745264"/>
        <c:scaling>
          <c:orientation val="minMax"/>
        </c:scaling>
        <c:delete val="0"/>
        <c:axPos val="b"/>
        <c:numFmt formatCode="General" sourceLinked="1"/>
        <c:majorTickMark val="out"/>
        <c:minorTickMark val="none"/>
        <c:tickLblPos val="nextTo"/>
        <c:spPr>
          <a:noFill/>
          <a:ln w="3172" cap="flat" cmpd="sng" algn="ctr">
            <a:solidFill>
              <a:sysClr val="window" lastClr="FFFFFF">
                <a:lumMod val="50000"/>
              </a:sysClr>
            </a:solidFill>
            <a:round/>
          </a:ln>
          <a:effectLst/>
        </c:spPr>
        <c:txPr>
          <a:bodyPr rot="0" vert="horz"/>
          <a:lstStyle/>
          <a:p>
            <a:pPr>
              <a:defRPr/>
            </a:pPr>
            <a:endParaRPr lang="en-US"/>
          </a:p>
        </c:txPr>
        <c:crossAx val="1"/>
        <c:crosses val="autoZero"/>
        <c:auto val="1"/>
        <c:lblAlgn val="ctr"/>
        <c:lblOffset val="100"/>
        <c:tickLblSkip val="1"/>
        <c:noMultiLvlLbl val="0"/>
      </c:catAx>
      <c:valAx>
        <c:axId val="1"/>
        <c:scaling>
          <c:orientation val="minMax"/>
          <c:max val="140"/>
          <c:min val="100"/>
        </c:scaling>
        <c:delete val="0"/>
        <c:axPos val="l"/>
        <c:numFmt formatCode="0" sourceLinked="0"/>
        <c:majorTickMark val="out"/>
        <c:minorTickMark val="none"/>
        <c:tickLblPos val="nextTo"/>
        <c:spPr>
          <a:noFill/>
          <a:ln w="3172">
            <a:noFill/>
          </a:ln>
          <a:effectLst/>
        </c:spPr>
        <c:txPr>
          <a:bodyPr rot="-60000000" vert="horz"/>
          <a:lstStyle/>
          <a:p>
            <a:pPr>
              <a:defRPr/>
            </a:pPr>
            <a:endParaRPr lang="en-US"/>
          </a:p>
        </c:txPr>
        <c:crossAx val="248745264"/>
        <c:crosses val="autoZero"/>
        <c:crossBetween val="between"/>
        <c:majorUnit val="10"/>
      </c:valAx>
      <c:valAx>
        <c:axId val="836745839"/>
        <c:scaling>
          <c:orientation val="minMax"/>
          <c:max val="80"/>
        </c:scaling>
        <c:delete val="0"/>
        <c:axPos val="r"/>
        <c:numFmt formatCode="0" sourceLinked="0"/>
        <c:majorTickMark val="out"/>
        <c:minorTickMark val="none"/>
        <c:tickLblPos val="nextTo"/>
        <c:spPr>
          <a:ln>
            <a:noFill/>
          </a:ln>
        </c:spPr>
        <c:crossAx val="836729199"/>
        <c:crosses val="max"/>
        <c:crossBetween val="between"/>
        <c:majorUnit val="20"/>
      </c:valAx>
      <c:catAx>
        <c:axId val="836729199"/>
        <c:scaling>
          <c:orientation val="minMax"/>
        </c:scaling>
        <c:delete val="1"/>
        <c:axPos val="b"/>
        <c:numFmt formatCode="General" sourceLinked="1"/>
        <c:majorTickMark val="out"/>
        <c:minorTickMark val="none"/>
        <c:tickLblPos val="nextTo"/>
        <c:crossAx val="836745839"/>
        <c:crosses val="autoZero"/>
        <c:auto val="1"/>
        <c:lblAlgn val="ctr"/>
        <c:lblOffset val="100"/>
        <c:noMultiLvlLbl val="0"/>
      </c:catAx>
      <c:spPr>
        <a:noFill/>
        <a:ln w="25380">
          <a:noFill/>
        </a:ln>
      </c:spPr>
    </c:plotArea>
    <c:legend>
      <c:legendPos val="b"/>
      <c:legendEntry>
        <c:idx val="1"/>
        <c:txPr>
          <a:bodyPr rot="0" vert="horz"/>
          <a:lstStyle/>
          <a:p>
            <a:pPr>
              <a:defRPr/>
            </a:pPr>
            <a:endParaRPr lang="en-US"/>
          </a:p>
        </c:txPr>
      </c:legendEntry>
      <c:layout>
        <c:manualLayout>
          <c:xMode val="edge"/>
          <c:yMode val="edge"/>
          <c:x val="7.847554888053547E-2"/>
          <c:y val="2.4487471262505008E-2"/>
          <c:w val="0.60286312061047498"/>
          <c:h val="0.27102728007279009"/>
        </c:manualLayout>
      </c:layout>
      <c:overlay val="0"/>
      <c:spPr>
        <a:noFill/>
        <a:ln w="25380">
          <a:noFill/>
        </a:ln>
      </c:spPr>
      <c:txPr>
        <a:bodyPr rot="0" vert="horz"/>
        <a:lstStyle/>
        <a:p>
          <a:pPr>
            <a:defRPr/>
          </a:pPr>
          <a:endParaRPr lang="en-US"/>
        </a:p>
      </c:txPr>
    </c:legend>
    <c:plotVisOnly val="1"/>
    <c:dispBlanksAs val="gap"/>
    <c:showDLblsOverMax val="0"/>
  </c:chart>
  <c:spPr>
    <a:solidFill>
      <a:sysClr val="window" lastClr="FFFFFF"/>
    </a:solidFill>
    <a:ln>
      <a:noFill/>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94460004579964"/>
          <c:y val="6.6869300911854099E-2"/>
          <c:w val="0.8673106801247159"/>
          <c:h val="0.82782375607304404"/>
        </c:manualLayout>
      </c:layout>
      <c:barChart>
        <c:barDir val="col"/>
        <c:grouping val="clustered"/>
        <c:varyColors val="0"/>
        <c:ser>
          <c:idx val="0"/>
          <c:order val="0"/>
          <c:tx>
            <c:strRef>
              <c:f>Sheet1!$B$1</c:f>
              <c:strCache>
                <c:ptCount val="1"/>
                <c:pt idx="0">
                  <c:v>Uz vienu nodarbināto</c:v>
                </c:pt>
              </c:strCache>
            </c:strRef>
          </c:tx>
          <c:spPr>
            <a:solidFill>
              <a:srgbClr val="BBD2DA"/>
            </a:solidFill>
            <a:ln>
              <a:noFill/>
            </a:ln>
            <a:effectLst/>
          </c:spPr>
          <c:invertIfNegative val="0"/>
          <c:dLbls>
            <c:dLbl>
              <c:idx val="4"/>
              <c:layout>
                <c:manualLayout>
                  <c:x val="0"/>
                  <c:y val="2.43050330264142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96-4244-94CD-07512091CA05}"/>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1996-2003</c:v>
                </c:pt>
                <c:pt idx="1">
                  <c:v>2004-2007</c:v>
                </c:pt>
                <c:pt idx="2">
                  <c:v>2008-2011</c:v>
                </c:pt>
                <c:pt idx="3">
                  <c:v>2012-2019</c:v>
                </c:pt>
                <c:pt idx="4">
                  <c:v>2020-2021</c:v>
                </c:pt>
                <c:pt idx="5">
                  <c:v>2022-2024</c:v>
                </c:pt>
                <c:pt idx="6">
                  <c:v>2025</c:v>
                </c:pt>
              </c:strCache>
            </c:strRef>
          </c:cat>
          <c:val>
            <c:numRef>
              <c:f>Sheet1!$B$2:$B$8</c:f>
              <c:numCache>
                <c:formatCode>0.0</c:formatCode>
                <c:ptCount val="7"/>
                <c:pt idx="0">
                  <c:v>5.5781573076403959</c:v>
                </c:pt>
                <c:pt idx="1">
                  <c:v>8.0194851520137576</c:v>
                </c:pt>
                <c:pt idx="2">
                  <c:v>1.5867968492642603E-2</c:v>
                </c:pt>
                <c:pt idx="3">
                  <c:v>2.3067477086292456</c:v>
                </c:pt>
                <c:pt idx="4">
                  <c:v>2.60305004045955</c:v>
                </c:pt>
                <c:pt idx="5">
                  <c:v>0.13884821159561511</c:v>
                </c:pt>
                <c:pt idx="6">
                  <c:v>2.6997126743898718</c:v>
                </c:pt>
              </c:numCache>
            </c:numRef>
          </c:val>
          <c:extLst>
            <c:ext xmlns:c16="http://schemas.microsoft.com/office/drawing/2014/chart" uri="{C3380CC4-5D6E-409C-BE32-E72D297353CC}">
              <c16:uniqueId val="{00000001-A296-4244-94CD-07512091CA05}"/>
            </c:ext>
          </c:extLst>
        </c:ser>
        <c:dLbls>
          <c:showLegendKey val="0"/>
          <c:showVal val="0"/>
          <c:showCatName val="0"/>
          <c:showSerName val="0"/>
          <c:showPercent val="0"/>
          <c:showBubbleSize val="0"/>
        </c:dLbls>
        <c:gapWidth val="47"/>
        <c:overlap val="100"/>
        <c:axId val="279243727"/>
        <c:axId val="768361311"/>
      </c:barChart>
      <c:lineChart>
        <c:grouping val="stacked"/>
        <c:varyColors val="0"/>
        <c:ser>
          <c:idx val="1"/>
          <c:order val="1"/>
          <c:tx>
            <c:strRef>
              <c:f>Sheet1!$C$1</c:f>
              <c:strCache>
                <c:ptCount val="1"/>
                <c:pt idx="0">
                  <c:v>Uz vienu stundu</c:v>
                </c:pt>
              </c:strCache>
            </c:strRef>
          </c:tx>
          <c:spPr>
            <a:ln w="28575" cap="rnd">
              <a:noFill/>
              <a:round/>
            </a:ln>
            <a:effectLst/>
          </c:spPr>
          <c:marker>
            <c:symbol val="diamond"/>
            <c:size val="7"/>
            <c:spPr>
              <a:solidFill>
                <a:schemeClr val="accent2">
                  <a:lumMod val="50000"/>
                </a:schemeClr>
              </a:solidFill>
              <a:ln w="9525">
                <a:noFill/>
              </a:ln>
              <a:effectLst/>
            </c:spPr>
          </c:marker>
          <c:cat>
            <c:strRef>
              <c:f>Sheet1!$A$2:$A$8</c:f>
              <c:strCache>
                <c:ptCount val="7"/>
                <c:pt idx="0">
                  <c:v>1996-2003</c:v>
                </c:pt>
                <c:pt idx="1">
                  <c:v>2004-2007</c:v>
                </c:pt>
                <c:pt idx="2">
                  <c:v>2008-2011</c:v>
                </c:pt>
                <c:pt idx="3">
                  <c:v>2012-2019</c:v>
                </c:pt>
                <c:pt idx="4">
                  <c:v>2020-2021</c:v>
                </c:pt>
                <c:pt idx="5">
                  <c:v>2022-2024</c:v>
                </c:pt>
                <c:pt idx="6">
                  <c:v>2025</c:v>
                </c:pt>
              </c:strCache>
            </c:strRef>
          </c:cat>
          <c:val>
            <c:numRef>
              <c:f>Sheet1!$C$2:$C$8</c:f>
              <c:numCache>
                <c:formatCode>0.0</c:formatCode>
                <c:ptCount val="7"/>
                <c:pt idx="0">
                  <c:v>5.8139968149159671</c:v>
                </c:pt>
                <c:pt idx="1">
                  <c:v>8.6518188883671456</c:v>
                </c:pt>
                <c:pt idx="2">
                  <c:v>1.2607167833333079</c:v>
                </c:pt>
                <c:pt idx="3">
                  <c:v>2.6599085127722475</c:v>
                </c:pt>
                <c:pt idx="4">
                  <c:v>4.6121148799837215</c:v>
                </c:pt>
                <c:pt idx="5">
                  <c:v>-0.1428490508045428</c:v>
                </c:pt>
                <c:pt idx="6">
                  <c:v>4.177896165666283</c:v>
                </c:pt>
              </c:numCache>
            </c:numRef>
          </c:val>
          <c:smooth val="0"/>
          <c:extLst>
            <c:ext xmlns:c16="http://schemas.microsoft.com/office/drawing/2014/chart" uri="{C3380CC4-5D6E-409C-BE32-E72D297353CC}">
              <c16:uniqueId val="{00000002-A296-4244-94CD-07512091CA05}"/>
            </c:ext>
          </c:extLst>
        </c:ser>
        <c:dLbls>
          <c:showLegendKey val="0"/>
          <c:showVal val="0"/>
          <c:showCatName val="0"/>
          <c:showSerName val="0"/>
          <c:showPercent val="0"/>
          <c:showBubbleSize val="0"/>
        </c:dLbls>
        <c:marker val="1"/>
        <c:smooth val="0"/>
        <c:axId val="279243727"/>
        <c:axId val="768361311"/>
      </c:lineChart>
      <c:catAx>
        <c:axId val="279243727"/>
        <c:scaling>
          <c:orientation val="minMax"/>
        </c:scaling>
        <c:delete val="0"/>
        <c:axPos val="b"/>
        <c:numFmt formatCode="General" sourceLinked="1"/>
        <c:majorTickMark val="out"/>
        <c:minorTickMark val="none"/>
        <c:tickLblPos val="low"/>
        <c:spPr>
          <a:noFill/>
          <a:ln w="3175" cap="flat" cmpd="sng" algn="ctr">
            <a:solidFill>
              <a:schemeClr val="bg1">
                <a:lumMod val="50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68361311"/>
        <c:crosses val="autoZero"/>
        <c:auto val="1"/>
        <c:lblAlgn val="ctr"/>
        <c:lblOffset val="100"/>
        <c:tickLblSkip val="1"/>
        <c:noMultiLvlLbl val="0"/>
      </c:catAx>
      <c:valAx>
        <c:axId val="768361311"/>
        <c:scaling>
          <c:orientation val="minMax"/>
          <c:max val="10"/>
          <c:min val="-2"/>
        </c:scaling>
        <c:delete val="0"/>
        <c:axPos val="l"/>
        <c:numFmt formatCode="0" sourceLinked="0"/>
        <c:majorTickMark val="out"/>
        <c:minorTickMark val="none"/>
        <c:tickLblPos val="nextTo"/>
        <c:spPr>
          <a:noFill/>
          <a:ln w="3175">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279243727"/>
        <c:crosses val="autoZero"/>
        <c:crossBetween val="between"/>
      </c:valAx>
      <c:spPr>
        <a:noFill/>
        <a:ln>
          <a:noFill/>
        </a:ln>
        <a:effectLst/>
      </c:spPr>
    </c:plotArea>
    <c:legend>
      <c:legendPos val="b"/>
      <c:layout>
        <c:manualLayout>
          <c:xMode val="edge"/>
          <c:yMode val="edge"/>
          <c:x val="0.41776280721249426"/>
          <c:y val="6.4636385315111136E-2"/>
          <c:w val="0.39345840314613373"/>
          <c:h val="0.191353168475228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17250779154259"/>
          <c:y val="6.4686856806821527E-2"/>
          <c:w val="0.85031591558221709"/>
          <c:h val="0.75776647442739165"/>
        </c:manualLayout>
      </c:layout>
      <c:barChart>
        <c:barDir val="col"/>
        <c:grouping val="clustered"/>
        <c:varyColors val="0"/>
        <c:ser>
          <c:idx val="0"/>
          <c:order val="0"/>
          <c:tx>
            <c:strRef>
              <c:f>Sheet1!$B$1</c:f>
              <c:strCache>
                <c:ptCount val="1"/>
                <c:pt idx="0">
                  <c:v>Produktivitāte</c:v>
                </c:pt>
              </c:strCache>
            </c:strRef>
          </c:tx>
          <c:spPr>
            <a:solidFill>
              <a:srgbClr val="006666"/>
            </a:solidFill>
            <a:ln>
              <a:noFill/>
            </a:ln>
            <a:effectLst/>
          </c:spPr>
          <c:invertIfNegative val="0"/>
          <c:dLbls>
            <c:dLbl>
              <c:idx val="0"/>
              <c:layout>
                <c:manualLayout>
                  <c:x val="-1.9386106623586429E-2"/>
                  <c:y val="1.3114754098360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6F-4AB6-ACB2-17EA555605F1}"/>
                </c:ext>
              </c:extLst>
            </c:dLbl>
            <c:dLbl>
              <c:idx val="1"/>
              <c:layout>
                <c:manualLayout>
                  <c:x val="-1.9386106623586429E-2"/>
                  <c:y val="1.3114754098360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6F-4AB6-ACB2-17EA555605F1}"/>
                </c:ext>
              </c:extLst>
            </c:dLbl>
            <c:dLbl>
              <c:idx val="2"/>
              <c:layout>
                <c:manualLayout>
                  <c:x val="-1.9386106623586429E-2"/>
                  <c:y val="-6.01085952378648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6F-4AB6-ACB2-17EA555605F1}"/>
                </c:ext>
              </c:extLst>
            </c:dLbl>
            <c:dLbl>
              <c:idx val="3"/>
              <c:layout>
                <c:manualLayout>
                  <c:x val="-1.9386106623586429E-2"/>
                  <c:y val="6.5573770491802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6F-4AB6-ACB2-17EA555605F1}"/>
                </c:ext>
              </c:extLst>
            </c:dLbl>
            <c:dLbl>
              <c:idx val="4"/>
              <c:layout>
                <c:manualLayout>
                  <c:x val="-2.2617124394184285E-2"/>
                  <c:y val="6.55737704918020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6F-4AB6-ACB2-17EA555605F1}"/>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ES-27</c:v>
                </c:pt>
                <c:pt idx="1">
                  <c:v>Eiro zonas valstis</c:v>
                </c:pt>
                <c:pt idx="2">
                  <c:v>Igaunija</c:v>
                </c:pt>
                <c:pt idx="3">
                  <c:v>Latvija</c:v>
                </c:pt>
                <c:pt idx="4">
                  <c:v>Lietuva</c:v>
                </c:pt>
              </c:strCache>
            </c:strRef>
          </c:cat>
          <c:val>
            <c:numRef>
              <c:f>Sheet1!$B$2:$B$6</c:f>
              <c:numCache>
                <c:formatCode>General</c:formatCode>
                <c:ptCount val="5"/>
                <c:pt idx="0">
                  <c:v>0.5</c:v>
                </c:pt>
                <c:pt idx="1">
                  <c:v>-0.5</c:v>
                </c:pt>
                <c:pt idx="2">
                  <c:v>-5</c:v>
                </c:pt>
                <c:pt idx="3">
                  <c:v>1.4</c:v>
                </c:pt>
                <c:pt idx="4">
                  <c:v>4.5</c:v>
                </c:pt>
              </c:numCache>
            </c:numRef>
          </c:val>
          <c:extLst>
            <c:ext xmlns:c16="http://schemas.microsoft.com/office/drawing/2014/chart" uri="{C3380CC4-5D6E-409C-BE32-E72D297353CC}">
              <c16:uniqueId val="{00000005-226F-4AB6-ACB2-17EA555605F1}"/>
            </c:ext>
          </c:extLst>
        </c:ser>
        <c:ser>
          <c:idx val="1"/>
          <c:order val="1"/>
          <c:tx>
            <c:strRef>
              <c:f>Sheet1!$C$1</c:f>
              <c:strCache>
                <c:ptCount val="1"/>
                <c:pt idx="0">
                  <c:v>Darbaspēka izmaksas</c:v>
                </c:pt>
              </c:strCache>
            </c:strRef>
          </c:tx>
          <c:spPr>
            <a:solidFill>
              <a:srgbClr val="ABC7D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ES-27</c:v>
                </c:pt>
                <c:pt idx="1">
                  <c:v>Eiro zonas valstis</c:v>
                </c:pt>
                <c:pt idx="2">
                  <c:v>Igaunija</c:v>
                </c:pt>
                <c:pt idx="3">
                  <c:v>Latvija</c:v>
                </c:pt>
                <c:pt idx="4">
                  <c:v>Lietuva</c:v>
                </c:pt>
              </c:strCache>
            </c:strRef>
          </c:cat>
          <c:val>
            <c:numRef>
              <c:f>Sheet1!$C$2:$C$6</c:f>
              <c:numCache>
                <c:formatCode>0.0</c:formatCode>
                <c:ptCount val="5"/>
                <c:pt idx="0">
                  <c:v>16.360498449657769</c:v>
                </c:pt>
                <c:pt idx="1">
                  <c:v>14.177766619095451</c:v>
                </c:pt>
                <c:pt idx="2">
                  <c:v>21.425841447721368</c:v>
                </c:pt>
                <c:pt idx="3">
                  <c:v>26.675624926138127</c:v>
                </c:pt>
                <c:pt idx="4">
                  <c:v>32.131620559803082</c:v>
                </c:pt>
              </c:numCache>
            </c:numRef>
          </c:val>
          <c:extLst>
            <c:ext xmlns:c16="http://schemas.microsoft.com/office/drawing/2014/chart" uri="{C3380CC4-5D6E-409C-BE32-E72D297353CC}">
              <c16:uniqueId val="{00000006-226F-4AB6-ACB2-17EA555605F1}"/>
            </c:ext>
          </c:extLst>
        </c:ser>
        <c:dLbls>
          <c:showLegendKey val="0"/>
          <c:showVal val="0"/>
          <c:showCatName val="0"/>
          <c:showSerName val="0"/>
          <c:showPercent val="0"/>
          <c:showBubbleSize val="0"/>
        </c:dLbls>
        <c:gapWidth val="60"/>
        <c:overlap val="43"/>
        <c:axId val="742043640"/>
        <c:axId val="742044032"/>
      </c:barChart>
      <c:lineChart>
        <c:grouping val="stacked"/>
        <c:varyColors val="0"/>
        <c:ser>
          <c:idx val="2"/>
          <c:order val="2"/>
          <c:tx>
            <c:strRef>
              <c:f>Sheet1!$D$1</c:f>
              <c:strCache>
                <c:ptCount val="1"/>
                <c:pt idx="0">
                  <c:v>Nominālais ULC</c:v>
                </c:pt>
              </c:strCache>
            </c:strRef>
          </c:tx>
          <c:spPr>
            <a:ln w="28575" cap="rnd">
              <a:noFill/>
              <a:round/>
            </a:ln>
            <a:effectLst/>
          </c:spPr>
          <c:marker>
            <c:symbol val="diamond"/>
            <c:size val="12"/>
            <c:spPr>
              <a:solidFill>
                <a:srgbClr val="FFC000"/>
              </a:solidFill>
              <a:ln w="9525">
                <a:noFill/>
              </a:ln>
              <a:effectLst/>
            </c:spPr>
          </c:marker>
          <c:cat>
            <c:strRef>
              <c:f>Sheet1!$A$2:$A$6</c:f>
              <c:strCache>
                <c:ptCount val="5"/>
                <c:pt idx="0">
                  <c:v>ES-27</c:v>
                </c:pt>
                <c:pt idx="1">
                  <c:v>Eiro zonas valstis</c:v>
                </c:pt>
                <c:pt idx="2">
                  <c:v>Igaunija</c:v>
                </c:pt>
                <c:pt idx="3">
                  <c:v>Latvija</c:v>
                </c:pt>
                <c:pt idx="4">
                  <c:v>Lietuva</c:v>
                </c:pt>
              </c:strCache>
            </c:strRef>
          </c:cat>
          <c:val>
            <c:numRef>
              <c:f>Sheet1!$D$2:$D$6</c:f>
              <c:numCache>
                <c:formatCode>General</c:formatCode>
                <c:ptCount val="5"/>
                <c:pt idx="0">
                  <c:v>15.8</c:v>
                </c:pt>
                <c:pt idx="1">
                  <c:v>14.7</c:v>
                </c:pt>
                <c:pt idx="2">
                  <c:v>27.8</c:v>
                </c:pt>
                <c:pt idx="3">
                  <c:v>24.9</c:v>
                </c:pt>
                <c:pt idx="4">
                  <c:v>26.4</c:v>
                </c:pt>
              </c:numCache>
            </c:numRef>
          </c:val>
          <c:smooth val="0"/>
          <c:extLst>
            <c:ext xmlns:c16="http://schemas.microsoft.com/office/drawing/2014/chart" uri="{C3380CC4-5D6E-409C-BE32-E72D297353CC}">
              <c16:uniqueId val="{00000007-226F-4AB6-ACB2-17EA555605F1}"/>
            </c:ext>
          </c:extLst>
        </c:ser>
        <c:dLbls>
          <c:showLegendKey val="0"/>
          <c:showVal val="0"/>
          <c:showCatName val="0"/>
          <c:showSerName val="0"/>
          <c:showPercent val="0"/>
          <c:showBubbleSize val="0"/>
        </c:dLbls>
        <c:marker val="1"/>
        <c:smooth val="0"/>
        <c:axId val="742043640"/>
        <c:axId val="742044032"/>
      </c:lineChart>
      <c:catAx>
        <c:axId val="742043640"/>
        <c:scaling>
          <c:orientation val="minMax"/>
        </c:scaling>
        <c:delete val="0"/>
        <c:axPos val="b"/>
        <c:numFmt formatCode="General" sourceLinked="1"/>
        <c:majorTickMark val="out"/>
        <c:minorTickMark val="none"/>
        <c:tickLblPos val="low"/>
        <c:spPr>
          <a:noFill/>
          <a:ln w="6350" cap="flat" cmpd="sng" algn="ctr">
            <a:solidFill>
              <a:sysClr val="window" lastClr="FFFFFF">
                <a:lumMod val="50000"/>
              </a:sys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en-US"/>
          </a:p>
        </c:txPr>
        <c:crossAx val="742044032"/>
        <c:crosses val="autoZero"/>
        <c:auto val="1"/>
        <c:lblAlgn val="ctr"/>
        <c:lblOffset val="100"/>
        <c:noMultiLvlLbl val="0"/>
      </c:catAx>
      <c:valAx>
        <c:axId val="742044032"/>
        <c:scaling>
          <c:orientation val="minMax"/>
          <c:max val="40"/>
          <c:min val="-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en-US"/>
          </a:p>
        </c:txPr>
        <c:crossAx val="742043640"/>
        <c:crosses val="autoZero"/>
        <c:crossBetween val="between"/>
        <c:majorUnit val="10"/>
      </c:valAx>
      <c:spPr>
        <a:noFill/>
        <a:ln>
          <a:noFill/>
        </a:ln>
        <a:effectLst/>
      </c:spPr>
    </c:plotArea>
    <c:legend>
      <c:legendPos val="b"/>
      <c:layout>
        <c:manualLayout>
          <c:xMode val="edge"/>
          <c:yMode val="edge"/>
          <c:x val="7.9692596647014044E-2"/>
          <c:y val="2.6530409073755524E-2"/>
          <c:w val="0.4633956367361467"/>
          <c:h val="0.250152919359058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786793877887656E-2"/>
          <c:y val="0.11623306716181205"/>
          <c:w val="0.79444078861696876"/>
          <c:h val="0.79157820650248767"/>
        </c:manualLayout>
      </c:layout>
      <c:barChart>
        <c:barDir val="col"/>
        <c:grouping val="clustered"/>
        <c:varyColors val="0"/>
        <c:ser>
          <c:idx val="2"/>
          <c:order val="2"/>
          <c:tx>
            <c:strRef>
              <c:f>Sheet1!$A$4</c:f>
              <c:strCache>
                <c:ptCount val="1"/>
                <c:pt idx="0">
                  <c:v>ULC (izmaiņas procentos, kreisā ass)</c:v>
                </c:pt>
              </c:strCache>
            </c:strRef>
          </c:tx>
          <c:spPr>
            <a:solidFill>
              <a:schemeClr val="accent3"/>
            </a:solidFill>
            <a:ln>
              <a:noFill/>
            </a:ln>
            <a:effectLst/>
          </c:spPr>
          <c:invertIfNegative val="0"/>
          <c:cat>
            <c:strRef>
              <c:f>Sheet1!$B$1:$Q$1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Sheet1!$B$4:$Q$4</c:f>
              <c:numCache>
                <c:formatCode>0.0</c:formatCode>
                <c:ptCount val="11"/>
                <c:pt idx="0">
                  <c:v>5.2</c:v>
                </c:pt>
                <c:pt idx="1">
                  <c:v>3.9</c:v>
                </c:pt>
                <c:pt idx="2">
                  <c:v>3.9</c:v>
                </c:pt>
                <c:pt idx="3">
                  <c:v>5.2</c:v>
                </c:pt>
                <c:pt idx="4">
                  <c:v>6.6</c:v>
                </c:pt>
                <c:pt idx="5">
                  <c:v>5.7</c:v>
                </c:pt>
                <c:pt idx="6">
                  <c:v>-0.7</c:v>
                </c:pt>
                <c:pt idx="7">
                  <c:v>11.2</c:v>
                </c:pt>
                <c:pt idx="8">
                  <c:v>8.6999999999999993</c:v>
                </c:pt>
                <c:pt idx="9">
                  <c:v>8.9</c:v>
                </c:pt>
                <c:pt idx="10">
                  <c:v>5.5</c:v>
                </c:pt>
              </c:numCache>
            </c:numRef>
          </c:val>
          <c:extLst>
            <c:ext xmlns:c16="http://schemas.microsoft.com/office/drawing/2014/chart" uri="{C3380CC4-5D6E-409C-BE32-E72D297353CC}">
              <c16:uniqueId val="{00000000-56AF-43E0-B224-CD81A4B0FDFF}"/>
            </c:ext>
          </c:extLst>
        </c:ser>
        <c:dLbls>
          <c:showLegendKey val="0"/>
          <c:showVal val="0"/>
          <c:showCatName val="0"/>
          <c:showSerName val="0"/>
          <c:showPercent val="0"/>
          <c:showBubbleSize val="0"/>
        </c:dLbls>
        <c:gapWidth val="40"/>
        <c:axId val="742037368"/>
        <c:axId val="742038544"/>
      </c:barChart>
      <c:lineChart>
        <c:grouping val="standard"/>
        <c:varyColors val="0"/>
        <c:ser>
          <c:idx val="1"/>
          <c:order val="0"/>
          <c:tx>
            <c:strRef>
              <c:f>Sheet1!$A$3</c:f>
              <c:strCache>
                <c:ptCount val="1"/>
                <c:pt idx="0">
                  <c:v>Produktivitāte (2015=100, labā ass)</c:v>
                </c:pt>
              </c:strCache>
            </c:strRef>
          </c:tx>
          <c:spPr>
            <a:ln w="28575" cap="rnd">
              <a:solidFill>
                <a:schemeClr val="accent2"/>
              </a:solidFill>
              <a:round/>
            </a:ln>
            <a:effectLst/>
          </c:spPr>
          <c:marker>
            <c:symbol val="none"/>
          </c:marker>
          <c:cat>
            <c:strRef>
              <c:f>Sheet1!$B$1:$Q$1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Sheet1!$B$3:$Q$3</c:f>
              <c:numCache>
                <c:formatCode>0.0</c:formatCode>
                <c:ptCount val="11"/>
                <c:pt idx="0">
                  <c:v>100</c:v>
                </c:pt>
                <c:pt idx="1">
                  <c:v>102.864</c:v>
                </c:pt>
                <c:pt idx="2">
                  <c:v>106.398</c:v>
                </c:pt>
                <c:pt idx="3">
                  <c:v>108.786</c:v>
                </c:pt>
                <c:pt idx="4">
                  <c:v>107.346</c:v>
                </c:pt>
                <c:pt idx="5">
                  <c:v>104.331</c:v>
                </c:pt>
                <c:pt idx="6">
                  <c:v>113.00700000000001</c:v>
                </c:pt>
                <c:pt idx="7">
                  <c:v>114.941</c:v>
                </c:pt>
                <c:pt idx="8">
                  <c:v>111.87</c:v>
                </c:pt>
                <c:pt idx="9">
                  <c:v>113.479</c:v>
                </c:pt>
                <c:pt idx="10">
                  <c:v>116.542</c:v>
                </c:pt>
              </c:numCache>
            </c:numRef>
          </c:val>
          <c:smooth val="0"/>
          <c:extLst>
            <c:ext xmlns:c16="http://schemas.microsoft.com/office/drawing/2014/chart" uri="{C3380CC4-5D6E-409C-BE32-E72D297353CC}">
              <c16:uniqueId val="{00000001-56AF-43E0-B224-CD81A4B0FDFF}"/>
            </c:ext>
          </c:extLst>
        </c:ser>
        <c:ser>
          <c:idx val="0"/>
          <c:order val="1"/>
          <c:tx>
            <c:strRef>
              <c:f>Sheet1!$A$2</c:f>
              <c:strCache>
                <c:ptCount val="1"/>
                <c:pt idx="0">
                  <c:v>Darbaspēka izmaksas (2015=100, labā ass)</c:v>
                </c:pt>
              </c:strCache>
            </c:strRef>
          </c:tx>
          <c:spPr>
            <a:ln w="28575" cap="rnd">
              <a:solidFill>
                <a:srgbClr val="006666"/>
              </a:solidFill>
              <a:round/>
            </a:ln>
            <a:effectLst/>
          </c:spPr>
          <c:marker>
            <c:symbol val="none"/>
          </c:marker>
          <c:cat>
            <c:strRef>
              <c:f>Sheet1!$B$1:$Q$1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Sheet1!$B$2:$Q$2</c:f>
              <c:numCache>
                <c:formatCode>0.0</c:formatCode>
                <c:ptCount val="11"/>
                <c:pt idx="0">
                  <c:v>100</c:v>
                </c:pt>
                <c:pt idx="1">
                  <c:v>106.85416503743095</c:v>
                </c:pt>
                <c:pt idx="2">
                  <c:v>114.78540299589788</c:v>
                </c:pt>
                <c:pt idx="3">
                  <c:v>123.50436161212579</c:v>
                </c:pt>
                <c:pt idx="4">
                  <c:v>129.95613505001458</c:v>
                </c:pt>
                <c:pt idx="5">
                  <c:v>133.52149524737132</c:v>
                </c:pt>
                <c:pt idx="6">
                  <c:v>143.62109783234632</c:v>
                </c:pt>
                <c:pt idx="7">
                  <c:v>162.42615118833493</c:v>
                </c:pt>
                <c:pt idx="8">
                  <c:v>171.78850980029716</c:v>
                </c:pt>
                <c:pt idx="9">
                  <c:v>189.81792846529549</c:v>
                </c:pt>
                <c:pt idx="10">
                  <c:v>205.75434206129719</c:v>
                </c:pt>
              </c:numCache>
            </c:numRef>
          </c:val>
          <c:smooth val="0"/>
          <c:extLst>
            <c:ext xmlns:c16="http://schemas.microsoft.com/office/drawing/2014/chart" uri="{C3380CC4-5D6E-409C-BE32-E72D297353CC}">
              <c16:uniqueId val="{00000002-56AF-43E0-B224-CD81A4B0FDFF}"/>
            </c:ext>
          </c:extLst>
        </c:ser>
        <c:dLbls>
          <c:showLegendKey val="0"/>
          <c:showVal val="0"/>
          <c:showCatName val="0"/>
          <c:showSerName val="0"/>
          <c:showPercent val="0"/>
          <c:showBubbleSize val="0"/>
        </c:dLbls>
        <c:marker val="1"/>
        <c:smooth val="0"/>
        <c:axId val="742041288"/>
        <c:axId val="742040112"/>
      </c:lineChart>
      <c:catAx>
        <c:axId val="742037368"/>
        <c:scaling>
          <c:orientation val="minMax"/>
        </c:scaling>
        <c:delete val="0"/>
        <c:axPos val="b"/>
        <c:numFmt formatCode="General" sourceLinked="1"/>
        <c:majorTickMark val="out"/>
        <c:minorTickMark val="none"/>
        <c:tickLblPos val="low"/>
        <c:spPr>
          <a:noFill/>
          <a:ln w="9525" cap="flat" cmpd="sng" algn="ctr">
            <a:solidFill>
              <a:schemeClr val="tx1">
                <a:lumMod val="50000"/>
                <a:lumOff val="50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38544"/>
        <c:crosses val="autoZero"/>
        <c:auto val="1"/>
        <c:lblAlgn val="ctr"/>
        <c:lblOffset val="0"/>
        <c:noMultiLvlLbl val="0"/>
      </c:catAx>
      <c:valAx>
        <c:axId val="742038544"/>
        <c:scaling>
          <c:orientation val="minMax"/>
          <c:max val="15"/>
          <c:min val="-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37368"/>
        <c:crossesAt val="1"/>
        <c:crossBetween val="between"/>
        <c:majorUnit val="5"/>
      </c:valAx>
      <c:valAx>
        <c:axId val="742040112"/>
        <c:scaling>
          <c:orientation val="minMax"/>
          <c:max val="300"/>
          <c:min val="50"/>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41288"/>
        <c:crosses val="max"/>
        <c:crossBetween val="between"/>
        <c:majorUnit val="50"/>
      </c:valAx>
      <c:catAx>
        <c:axId val="742041288"/>
        <c:scaling>
          <c:orientation val="minMax"/>
        </c:scaling>
        <c:delete val="1"/>
        <c:axPos val="b"/>
        <c:numFmt formatCode="General" sourceLinked="1"/>
        <c:majorTickMark val="none"/>
        <c:minorTickMark val="none"/>
        <c:tickLblPos val="nextTo"/>
        <c:crossAx val="742040112"/>
        <c:crosses val="autoZero"/>
        <c:auto val="1"/>
        <c:lblAlgn val="ctr"/>
        <c:lblOffset val="100"/>
        <c:noMultiLvlLbl val="0"/>
      </c:catAx>
      <c:spPr>
        <a:noFill/>
        <a:ln>
          <a:noFill/>
        </a:ln>
        <a:effectLst/>
      </c:spPr>
    </c:plotArea>
    <c:legend>
      <c:legendPos val="b"/>
      <c:layout>
        <c:manualLayout>
          <c:xMode val="edge"/>
          <c:yMode val="edge"/>
          <c:x val="7.5531025129035909E-2"/>
          <c:y val="8.3089177806262491E-4"/>
          <c:w val="0.82172576703774092"/>
          <c:h val="0.248165171214063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142960929069752E-2"/>
          <c:y val="8.2267605405543065E-2"/>
          <c:w val="0.87927470735086222"/>
          <c:h val="0.82145594047142223"/>
        </c:manualLayout>
      </c:layout>
      <c:barChart>
        <c:barDir val="col"/>
        <c:grouping val="clustered"/>
        <c:varyColors val="0"/>
        <c:ser>
          <c:idx val="0"/>
          <c:order val="0"/>
          <c:tx>
            <c:strRef>
              <c:f>Sheet1!$D$1</c:f>
              <c:strCache>
                <c:ptCount val="1"/>
                <c:pt idx="0">
                  <c:v>Produktivitāte </c:v>
                </c:pt>
              </c:strCache>
            </c:strRef>
          </c:tx>
          <c:spPr>
            <a:solidFill>
              <a:srgbClr val="006666"/>
            </a:solidFill>
            <a:ln w="3173">
              <a:noFill/>
            </a:ln>
          </c:spPr>
          <c:invertIfNegative val="0"/>
          <c:dPt>
            <c:idx val="3"/>
            <c:invertIfNegative val="0"/>
            <c:bubble3D val="0"/>
            <c:extLst>
              <c:ext xmlns:c16="http://schemas.microsoft.com/office/drawing/2014/chart" uri="{C3380CC4-5D6E-409C-BE32-E72D297353CC}">
                <c16:uniqueId val="{00000000-69B1-48C3-BD37-51B50D6A99AC}"/>
              </c:ext>
            </c:extLst>
          </c:dPt>
          <c:dPt>
            <c:idx val="4"/>
            <c:invertIfNegative val="0"/>
            <c:bubble3D val="0"/>
            <c:extLst>
              <c:ext xmlns:c16="http://schemas.microsoft.com/office/drawing/2014/chart" uri="{C3380CC4-5D6E-409C-BE32-E72D297353CC}">
                <c16:uniqueId val="{00000001-69B1-48C3-BD37-51B50D6A99AC}"/>
              </c:ext>
            </c:extLst>
          </c:dPt>
          <c:dPt>
            <c:idx val="11"/>
            <c:invertIfNegative val="0"/>
            <c:bubble3D val="0"/>
            <c:extLst>
              <c:ext xmlns:c16="http://schemas.microsoft.com/office/drawing/2014/chart" uri="{C3380CC4-5D6E-409C-BE32-E72D297353CC}">
                <c16:uniqueId val="{00000002-69B1-48C3-BD37-51B50D6A99AC}"/>
              </c:ext>
            </c:extLst>
          </c:dPt>
          <c:cat>
            <c:numRef>
              <c:f>Sheet1!$A$2:$C$11</c:f>
              <c:numCache>
                <c:formatCode>General</c:formatCode>
                <c:ptCount val="5"/>
              </c:numCache>
            </c:numRef>
          </c:cat>
          <c:val>
            <c:numRef>
              <c:f>Sheet1!$D$2:$D$11</c:f>
              <c:numCache>
                <c:formatCode>General</c:formatCode>
                <c:ptCount val="5"/>
              </c:numCache>
            </c:numRef>
          </c:val>
          <c:extLst>
            <c:ext xmlns:c16="http://schemas.microsoft.com/office/drawing/2014/chart" uri="{C3380CC4-5D6E-409C-BE32-E72D297353CC}">
              <c16:uniqueId val="{00000003-69B1-48C3-BD37-51B50D6A99AC}"/>
            </c:ext>
          </c:extLst>
        </c:ser>
        <c:ser>
          <c:idx val="1"/>
          <c:order val="1"/>
          <c:tx>
            <c:strRef>
              <c:f>Sheet1!$E$1</c:f>
              <c:strCache>
                <c:ptCount val="1"/>
                <c:pt idx="0">
                  <c:v>Darbaspēka izmaksas </c:v>
                </c:pt>
              </c:strCache>
            </c:strRef>
          </c:tx>
          <c:spPr>
            <a:solidFill>
              <a:srgbClr val="92B7C4"/>
            </a:solidFill>
            <a:ln w="3173">
              <a:noFill/>
            </a:ln>
          </c:spPr>
          <c:invertIfNegative val="0"/>
          <c:dPt>
            <c:idx val="0"/>
            <c:invertIfNegative val="0"/>
            <c:bubble3D val="0"/>
            <c:extLst>
              <c:ext xmlns:c16="http://schemas.microsoft.com/office/drawing/2014/chart" uri="{C3380CC4-5D6E-409C-BE32-E72D297353CC}">
                <c16:uniqueId val="{00000004-69B1-48C3-BD37-51B50D6A99AC}"/>
              </c:ext>
            </c:extLst>
          </c:dPt>
          <c:dPt>
            <c:idx val="3"/>
            <c:invertIfNegative val="0"/>
            <c:bubble3D val="0"/>
            <c:extLst>
              <c:ext xmlns:c16="http://schemas.microsoft.com/office/drawing/2014/chart" uri="{C3380CC4-5D6E-409C-BE32-E72D297353CC}">
                <c16:uniqueId val="{00000005-69B1-48C3-BD37-51B50D6A99AC}"/>
              </c:ext>
            </c:extLst>
          </c:dPt>
          <c:cat>
            <c:numRef>
              <c:f>Sheet1!$A$2:$C$11</c:f>
              <c:numCache>
                <c:formatCode>General</c:formatCode>
                <c:ptCount val="5"/>
              </c:numCache>
            </c:numRef>
          </c:cat>
          <c:val>
            <c:numRef>
              <c:f>Sheet1!$E$2:$E$11</c:f>
              <c:numCache>
                <c:formatCode>General</c:formatCode>
                <c:ptCount val="5"/>
              </c:numCache>
            </c:numRef>
          </c:val>
          <c:extLst>
            <c:ext xmlns:c16="http://schemas.microsoft.com/office/drawing/2014/chart" uri="{C3380CC4-5D6E-409C-BE32-E72D297353CC}">
              <c16:uniqueId val="{00000006-69B1-48C3-BD37-51B50D6A99AC}"/>
            </c:ext>
          </c:extLst>
        </c:ser>
        <c:ser>
          <c:idx val="2"/>
          <c:order val="2"/>
          <c:tx>
            <c:strRef>
              <c:f>Sheet1!$F$1</c:f>
              <c:strCache>
                <c:ptCount val="1"/>
                <c:pt idx="0">
                  <c:v>ULC </c:v>
                </c:pt>
              </c:strCache>
            </c:strRef>
          </c:tx>
          <c:spPr>
            <a:solidFill>
              <a:srgbClr val="DCE7EB"/>
            </a:solidFill>
            <a:ln w="3173">
              <a:noFill/>
            </a:ln>
          </c:spPr>
          <c:invertIfNegative val="0"/>
          <c:dPt>
            <c:idx val="0"/>
            <c:invertIfNegative val="0"/>
            <c:bubble3D val="0"/>
            <c:extLst>
              <c:ext xmlns:c16="http://schemas.microsoft.com/office/drawing/2014/chart" uri="{C3380CC4-5D6E-409C-BE32-E72D297353CC}">
                <c16:uniqueId val="{00000007-69B1-48C3-BD37-51B50D6A99AC}"/>
              </c:ext>
            </c:extLst>
          </c:dPt>
          <c:dPt>
            <c:idx val="3"/>
            <c:invertIfNegative val="0"/>
            <c:bubble3D val="0"/>
            <c:extLst>
              <c:ext xmlns:c16="http://schemas.microsoft.com/office/drawing/2014/chart" uri="{C3380CC4-5D6E-409C-BE32-E72D297353CC}">
                <c16:uniqueId val="{00000008-69B1-48C3-BD37-51B50D6A99AC}"/>
              </c:ext>
            </c:extLst>
          </c:dPt>
          <c:cat>
            <c:numRef>
              <c:f>Sheet1!$A$2:$C$11</c:f>
              <c:numCache>
                <c:formatCode>General</c:formatCode>
                <c:ptCount val="5"/>
              </c:numCache>
            </c:numRef>
          </c:cat>
          <c:val>
            <c:numRef>
              <c:f>Sheet1!$F$2:$F$11</c:f>
              <c:numCache>
                <c:formatCode>General</c:formatCode>
                <c:ptCount val="5"/>
              </c:numCache>
            </c:numRef>
          </c:val>
          <c:extLst>
            <c:ext xmlns:c16="http://schemas.microsoft.com/office/drawing/2014/chart" uri="{C3380CC4-5D6E-409C-BE32-E72D297353CC}">
              <c16:uniqueId val="{00000009-69B1-48C3-BD37-51B50D6A99AC}"/>
            </c:ext>
          </c:extLst>
        </c:ser>
        <c:dLbls>
          <c:showLegendKey val="0"/>
          <c:showVal val="0"/>
          <c:showCatName val="0"/>
          <c:showSerName val="0"/>
          <c:showPercent val="0"/>
          <c:showBubbleSize val="0"/>
        </c:dLbls>
        <c:gapWidth val="40"/>
        <c:overlap val="40"/>
        <c:axId val="249730424"/>
        <c:axId val="1"/>
      </c:barChart>
      <c:catAx>
        <c:axId val="249730424"/>
        <c:scaling>
          <c:orientation val="minMax"/>
        </c:scaling>
        <c:delete val="0"/>
        <c:axPos val="b"/>
        <c:numFmt formatCode="General" sourceLinked="1"/>
        <c:majorTickMark val="out"/>
        <c:minorTickMark val="none"/>
        <c:tickLblPos val="low"/>
        <c:spPr>
          <a:noFill/>
          <a:ln w="3173">
            <a:noFill/>
          </a:ln>
        </c:spPr>
        <c:txPr>
          <a:bodyPr rot="0" vert="horz"/>
          <a:lstStyle/>
          <a:p>
            <a:pPr>
              <a:defRPr/>
            </a:pPr>
            <a:endParaRPr lang="en-US"/>
          </a:p>
        </c:txPr>
        <c:crossAx val="1"/>
        <c:crosses val="autoZero"/>
        <c:auto val="0"/>
        <c:lblAlgn val="ctr"/>
        <c:lblOffset val="0"/>
        <c:tickLblSkip val="1"/>
        <c:noMultiLvlLbl val="1"/>
      </c:catAx>
      <c:valAx>
        <c:axId val="1"/>
        <c:scaling>
          <c:orientation val="minMax"/>
          <c:max val="10"/>
          <c:min val="0"/>
        </c:scaling>
        <c:delete val="1"/>
        <c:axPos val="l"/>
        <c:numFmt formatCode="0" sourceLinked="0"/>
        <c:majorTickMark val="out"/>
        <c:minorTickMark val="none"/>
        <c:tickLblPos val="nextTo"/>
        <c:crossAx val="249730424"/>
        <c:crosses val="autoZero"/>
        <c:crossBetween val="between"/>
        <c:majorUnit val="2"/>
      </c:valAx>
      <c:spPr>
        <a:noFill/>
        <a:ln w="25382">
          <a:noFill/>
        </a:ln>
      </c:spPr>
    </c:plotArea>
    <c:legend>
      <c:legendPos val="r"/>
      <c:layout>
        <c:manualLayout>
          <c:xMode val="edge"/>
          <c:yMode val="edge"/>
          <c:x val="1.2769433556488258E-2"/>
          <c:y val="5.6118145591005746E-3"/>
          <c:w val="0.9551340663914808"/>
          <c:h val="0.97749249294440954"/>
        </c:manualLayout>
      </c:layout>
      <c:overlay val="0"/>
    </c:legend>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799676286604449"/>
          <c:y val="4.6983865329094966E-2"/>
          <c:w val="0.79134657131246333"/>
          <c:h val="0.85673968054787031"/>
        </c:manualLayout>
      </c:layout>
      <c:barChart>
        <c:barDir val="col"/>
        <c:grouping val="clustered"/>
        <c:varyColors val="0"/>
        <c:ser>
          <c:idx val="0"/>
          <c:order val="0"/>
          <c:tx>
            <c:strRef>
              <c:f>Sheet1!$D$1</c:f>
              <c:strCache>
                <c:ptCount val="1"/>
                <c:pt idx="0">
                  <c:v>Produktivitāte </c:v>
                </c:pt>
              </c:strCache>
            </c:strRef>
          </c:tx>
          <c:spPr>
            <a:solidFill>
              <a:srgbClr val="006666"/>
            </a:solidFill>
            <a:ln w="3173">
              <a:noFill/>
            </a:ln>
          </c:spPr>
          <c:invertIfNegative val="0"/>
          <c:dPt>
            <c:idx val="3"/>
            <c:invertIfNegative val="0"/>
            <c:bubble3D val="0"/>
            <c:extLst>
              <c:ext xmlns:c16="http://schemas.microsoft.com/office/drawing/2014/chart" uri="{C3380CC4-5D6E-409C-BE32-E72D297353CC}">
                <c16:uniqueId val="{00000000-E69C-4476-B1D1-9BC467FFECF7}"/>
              </c:ext>
            </c:extLst>
          </c:dPt>
          <c:dPt>
            <c:idx val="4"/>
            <c:invertIfNegative val="0"/>
            <c:bubble3D val="0"/>
            <c:extLst>
              <c:ext xmlns:c16="http://schemas.microsoft.com/office/drawing/2014/chart" uri="{C3380CC4-5D6E-409C-BE32-E72D297353CC}">
                <c16:uniqueId val="{00000001-E69C-4476-B1D1-9BC467FFECF7}"/>
              </c:ext>
            </c:extLst>
          </c:dPt>
          <c:dPt>
            <c:idx val="11"/>
            <c:invertIfNegative val="0"/>
            <c:bubble3D val="0"/>
            <c:extLst>
              <c:ext xmlns:c16="http://schemas.microsoft.com/office/drawing/2014/chart" uri="{C3380CC4-5D6E-409C-BE32-E72D297353CC}">
                <c16:uniqueId val="{00000002-E69C-4476-B1D1-9BC467FFECF7}"/>
              </c:ext>
            </c:extLst>
          </c:dPt>
          <c:cat>
            <c:strRef>
              <c:f>Sheet1!$A$2:$C$11</c:f>
              <c:strCache>
                <c:ptCount val="2"/>
                <c:pt idx="0">
                  <c:v>2016-2019</c:v>
                </c:pt>
                <c:pt idx="1">
                  <c:v>2022-2025</c:v>
                </c:pt>
              </c:strCache>
            </c:strRef>
          </c:cat>
          <c:val>
            <c:numRef>
              <c:f>Sheet1!$D$2:$D$11</c:f>
              <c:numCache>
                <c:formatCode>0.0</c:formatCode>
                <c:ptCount val="2"/>
                <c:pt idx="0">
                  <c:v>3.6</c:v>
                </c:pt>
                <c:pt idx="1">
                  <c:v>-2.1</c:v>
                </c:pt>
              </c:numCache>
            </c:numRef>
          </c:val>
          <c:extLst>
            <c:ext xmlns:c16="http://schemas.microsoft.com/office/drawing/2014/chart" uri="{C3380CC4-5D6E-409C-BE32-E72D297353CC}">
              <c16:uniqueId val="{00000003-E69C-4476-B1D1-9BC467FFECF7}"/>
            </c:ext>
          </c:extLst>
        </c:ser>
        <c:ser>
          <c:idx val="1"/>
          <c:order val="1"/>
          <c:tx>
            <c:strRef>
              <c:f>Sheet1!$E$1</c:f>
              <c:strCache>
                <c:ptCount val="1"/>
                <c:pt idx="0">
                  <c:v>Darbaspēka izmaksas </c:v>
                </c:pt>
              </c:strCache>
            </c:strRef>
          </c:tx>
          <c:spPr>
            <a:solidFill>
              <a:srgbClr val="92B7C4"/>
            </a:solidFill>
            <a:ln w="3173">
              <a:noFill/>
            </a:ln>
          </c:spPr>
          <c:invertIfNegative val="0"/>
          <c:dPt>
            <c:idx val="0"/>
            <c:invertIfNegative val="0"/>
            <c:bubble3D val="0"/>
            <c:extLst>
              <c:ext xmlns:c16="http://schemas.microsoft.com/office/drawing/2014/chart" uri="{C3380CC4-5D6E-409C-BE32-E72D297353CC}">
                <c16:uniqueId val="{00000004-E69C-4476-B1D1-9BC467FFECF7}"/>
              </c:ext>
            </c:extLst>
          </c:dPt>
          <c:dPt>
            <c:idx val="3"/>
            <c:invertIfNegative val="0"/>
            <c:bubble3D val="0"/>
            <c:extLst>
              <c:ext xmlns:c16="http://schemas.microsoft.com/office/drawing/2014/chart" uri="{C3380CC4-5D6E-409C-BE32-E72D297353CC}">
                <c16:uniqueId val="{00000005-E69C-4476-B1D1-9BC467FFECF7}"/>
              </c:ext>
            </c:extLst>
          </c:dPt>
          <c:cat>
            <c:strRef>
              <c:f>Sheet1!$A$2:$C$11</c:f>
              <c:strCache>
                <c:ptCount val="2"/>
                <c:pt idx="0">
                  <c:v>2016-2019</c:v>
                </c:pt>
                <c:pt idx="1">
                  <c:v>2022-2025</c:v>
                </c:pt>
              </c:strCache>
            </c:strRef>
          </c:cat>
          <c:val>
            <c:numRef>
              <c:f>Sheet1!$E$2:$E$11</c:f>
              <c:numCache>
                <c:formatCode>0.0</c:formatCode>
                <c:ptCount val="2"/>
                <c:pt idx="0">
                  <c:v>8.3000000000000007</c:v>
                </c:pt>
                <c:pt idx="1">
                  <c:v>7.6</c:v>
                </c:pt>
              </c:numCache>
            </c:numRef>
          </c:val>
          <c:extLst>
            <c:ext xmlns:c16="http://schemas.microsoft.com/office/drawing/2014/chart" uri="{C3380CC4-5D6E-409C-BE32-E72D297353CC}">
              <c16:uniqueId val="{00000006-E69C-4476-B1D1-9BC467FFECF7}"/>
            </c:ext>
          </c:extLst>
        </c:ser>
        <c:ser>
          <c:idx val="2"/>
          <c:order val="2"/>
          <c:tx>
            <c:strRef>
              <c:f>Sheet1!$F$1</c:f>
              <c:strCache>
                <c:ptCount val="1"/>
                <c:pt idx="0">
                  <c:v>ULC </c:v>
                </c:pt>
              </c:strCache>
            </c:strRef>
          </c:tx>
          <c:spPr>
            <a:solidFill>
              <a:srgbClr val="DCE7EB"/>
            </a:solidFill>
            <a:ln w="3173">
              <a:noFill/>
            </a:ln>
          </c:spPr>
          <c:invertIfNegative val="0"/>
          <c:dPt>
            <c:idx val="0"/>
            <c:invertIfNegative val="0"/>
            <c:bubble3D val="0"/>
            <c:extLst>
              <c:ext xmlns:c16="http://schemas.microsoft.com/office/drawing/2014/chart" uri="{C3380CC4-5D6E-409C-BE32-E72D297353CC}">
                <c16:uniqueId val="{00000007-E69C-4476-B1D1-9BC467FFECF7}"/>
              </c:ext>
            </c:extLst>
          </c:dPt>
          <c:dPt>
            <c:idx val="3"/>
            <c:invertIfNegative val="0"/>
            <c:bubble3D val="0"/>
            <c:extLst>
              <c:ext xmlns:c16="http://schemas.microsoft.com/office/drawing/2014/chart" uri="{C3380CC4-5D6E-409C-BE32-E72D297353CC}">
                <c16:uniqueId val="{00000008-E69C-4476-B1D1-9BC467FFECF7}"/>
              </c:ext>
            </c:extLst>
          </c:dPt>
          <c:cat>
            <c:strRef>
              <c:f>Sheet1!$A$2:$C$11</c:f>
              <c:strCache>
                <c:ptCount val="2"/>
                <c:pt idx="0">
                  <c:v>2016-2019</c:v>
                </c:pt>
                <c:pt idx="1">
                  <c:v>2022-2025</c:v>
                </c:pt>
              </c:strCache>
            </c:strRef>
          </c:cat>
          <c:val>
            <c:numRef>
              <c:f>Sheet1!$F$2:$F$11</c:f>
              <c:numCache>
                <c:formatCode>0.0</c:formatCode>
                <c:ptCount val="2"/>
                <c:pt idx="0">
                  <c:v>4.5</c:v>
                </c:pt>
                <c:pt idx="1">
                  <c:v>9.9</c:v>
                </c:pt>
              </c:numCache>
            </c:numRef>
          </c:val>
          <c:extLst>
            <c:ext xmlns:c16="http://schemas.microsoft.com/office/drawing/2014/chart" uri="{C3380CC4-5D6E-409C-BE32-E72D297353CC}">
              <c16:uniqueId val="{00000009-E69C-4476-B1D1-9BC467FFECF7}"/>
            </c:ext>
          </c:extLst>
        </c:ser>
        <c:dLbls>
          <c:showLegendKey val="0"/>
          <c:showVal val="0"/>
          <c:showCatName val="0"/>
          <c:showSerName val="0"/>
          <c:showPercent val="0"/>
          <c:showBubbleSize val="0"/>
        </c:dLbls>
        <c:gapWidth val="40"/>
        <c:overlap val="40"/>
        <c:axId val="249730424"/>
        <c:axId val="1"/>
      </c:barChart>
      <c:catAx>
        <c:axId val="249730424"/>
        <c:scaling>
          <c:orientation val="minMax"/>
        </c:scaling>
        <c:delete val="0"/>
        <c:axPos val="b"/>
        <c:numFmt formatCode="General" sourceLinked="1"/>
        <c:majorTickMark val="out"/>
        <c:minorTickMark val="none"/>
        <c:tickLblPos val="low"/>
        <c:spPr>
          <a:ln w="3173"/>
        </c:spPr>
        <c:txPr>
          <a:bodyPr rot="0" vert="horz"/>
          <a:lstStyle/>
          <a:p>
            <a:pPr>
              <a:defRPr/>
            </a:pPr>
            <a:endParaRPr lang="en-US"/>
          </a:p>
        </c:txPr>
        <c:crossAx val="1"/>
        <c:crosses val="autoZero"/>
        <c:auto val="0"/>
        <c:lblAlgn val="ctr"/>
        <c:lblOffset val="0"/>
        <c:tickLblSkip val="1"/>
        <c:noMultiLvlLbl val="1"/>
      </c:catAx>
      <c:valAx>
        <c:axId val="1"/>
        <c:scaling>
          <c:orientation val="minMax"/>
          <c:max val="10"/>
          <c:min val="-2.5"/>
        </c:scaling>
        <c:delete val="0"/>
        <c:axPos val="l"/>
        <c:numFmt formatCode="0" sourceLinked="0"/>
        <c:majorTickMark val="out"/>
        <c:minorTickMark val="none"/>
        <c:tickLblPos val="nextTo"/>
        <c:spPr>
          <a:ln w="3173">
            <a:noFill/>
          </a:ln>
        </c:spPr>
        <c:txPr>
          <a:bodyPr rot="0" vert="horz"/>
          <a:lstStyle/>
          <a:p>
            <a:pPr>
              <a:defRPr/>
            </a:pPr>
            <a:endParaRPr lang="en-US"/>
          </a:p>
        </c:txPr>
        <c:crossAx val="249730424"/>
        <c:crosses val="autoZero"/>
        <c:crossBetween val="between"/>
        <c:majorUnit val="2"/>
      </c:valAx>
      <c:spPr>
        <a:noFill/>
        <a:ln w="25382">
          <a:noFill/>
        </a:ln>
      </c:spPr>
    </c:plotArea>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2021</c:v>
                </c:pt>
              </c:strCache>
            </c:strRef>
          </c:tx>
          <c:spPr>
            <a:solidFill>
              <a:schemeClr val="accent5"/>
            </a:solidFill>
            <a:ln>
              <a:noFill/>
            </a:ln>
          </c:spPr>
          <c:invertIfNegative val="0"/>
          <c:dPt>
            <c:idx val="5"/>
            <c:invertIfNegative val="0"/>
            <c:bubble3D val="0"/>
            <c:extLst>
              <c:ext xmlns:c16="http://schemas.microsoft.com/office/drawing/2014/chart" uri="{C3380CC4-5D6E-409C-BE32-E72D297353CC}">
                <c16:uniqueId val="{00000000-3780-4AA4-B893-FE77F4125A62}"/>
              </c:ext>
            </c:extLst>
          </c:dPt>
          <c:dPt>
            <c:idx val="7"/>
            <c:invertIfNegative val="0"/>
            <c:bubble3D val="0"/>
            <c:extLst>
              <c:ext xmlns:c16="http://schemas.microsoft.com/office/drawing/2014/chart" uri="{C3380CC4-5D6E-409C-BE32-E72D297353CC}">
                <c16:uniqueId val="{00000001-3780-4AA4-B893-FE77F4125A62}"/>
              </c:ext>
            </c:extLst>
          </c:dPt>
          <c:dLbls>
            <c:dLbl>
              <c:idx val="1"/>
              <c:layout>
                <c:manualLayout>
                  <c:x val="-4.0434763007385952E-17"/>
                  <c:y val="2.84320317405631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80-4AA4-B893-FE77F4125A62}"/>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80-4AA4-B893-FE77F4125A62}"/>
                </c:ext>
              </c:extLst>
            </c:dLbl>
            <c:dLbl>
              <c:idx val="3"/>
              <c:layout>
                <c:manualLayout>
                  <c:x val="-8.0869526014771903E-17"/>
                  <c:y val="-8.62196389177534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80-4AA4-B893-FE77F4125A62}"/>
                </c:ext>
              </c:extLst>
            </c:dLbl>
            <c:dLbl>
              <c:idx val="4"/>
              <c:layout>
                <c:manualLayout>
                  <c:x val="0"/>
                  <c:y val="7.05716302046577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80-4AA4-B893-FE77F4125A62}"/>
                </c:ext>
              </c:extLst>
            </c:dLbl>
            <c:dLbl>
              <c:idx val="5"/>
              <c:layout>
                <c:manualLayout>
                  <c:x val="0"/>
                  <c:y val="1.47300218383076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80-4AA4-B893-FE77F4125A62}"/>
                </c:ext>
              </c:extLst>
            </c:dLbl>
            <c:spPr>
              <a:noFill/>
              <a:ln>
                <a:noFill/>
              </a:ln>
              <a:effectLst/>
            </c:spPr>
            <c:txPr>
              <a:bodyPr wrap="square" lIns="0" tIns="19050" rIns="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Sheet1!$A$2:$A$9</c:f>
              <c:numCache>
                <c:formatCode>General</c:formatCode>
                <c:ptCount val="6"/>
                <c:pt idx="0">
                  <c:v>2020</c:v>
                </c:pt>
                <c:pt idx="1">
                  <c:v>2021</c:v>
                </c:pt>
                <c:pt idx="2">
                  <c:v>2022</c:v>
                </c:pt>
                <c:pt idx="3">
                  <c:v>2023</c:v>
                </c:pt>
                <c:pt idx="4">
                  <c:v>2024</c:v>
                </c:pt>
                <c:pt idx="5">
                  <c:v>2025</c:v>
                </c:pt>
              </c:numCache>
            </c:numRef>
          </c:cat>
          <c:val>
            <c:numRef>
              <c:f>Sheet1!$B$2:$B$9</c:f>
              <c:numCache>
                <c:formatCode>0.0</c:formatCode>
                <c:ptCount val="6"/>
                <c:pt idx="0">
                  <c:v>-2.4371250384511001</c:v>
                </c:pt>
                <c:pt idx="1">
                  <c:v>6.7587959559315181</c:v>
                </c:pt>
                <c:pt idx="2">
                  <c:v>0.34554669528871784</c:v>
                </c:pt>
                <c:pt idx="3">
                  <c:v>4.9591925840406503</c:v>
                </c:pt>
                <c:pt idx="4">
                  <c:v>-7.0159708861027212</c:v>
                </c:pt>
                <c:pt idx="5">
                  <c:v>9.7825010285529146</c:v>
                </c:pt>
              </c:numCache>
            </c:numRef>
          </c:val>
          <c:extLst>
            <c:ext xmlns:c16="http://schemas.microsoft.com/office/drawing/2014/chart" uri="{C3380CC4-5D6E-409C-BE32-E72D297353CC}">
              <c16:uniqueId val="{00000006-3780-4AA4-B893-FE77F4125A62}"/>
            </c:ext>
          </c:extLst>
        </c:ser>
        <c:dLbls>
          <c:dLblPos val="outEnd"/>
          <c:showLegendKey val="0"/>
          <c:showVal val="1"/>
          <c:showCatName val="0"/>
          <c:showSerName val="0"/>
          <c:showPercent val="0"/>
          <c:showBubbleSize val="0"/>
        </c:dLbls>
        <c:gapWidth val="30"/>
        <c:axId val="742130272"/>
        <c:axId val="742133016"/>
      </c:barChart>
      <c:catAx>
        <c:axId val="742130272"/>
        <c:scaling>
          <c:orientation val="minMax"/>
        </c:scaling>
        <c:delete val="0"/>
        <c:axPos val="b"/>
        <c:numFmt formatCode="General" sourceLinked="1"/>
        <c:majorTickMark val="out"/>
        <c:minorTickMark val="none"/>
        <c:tickLblPos val="low"/>
        <c:spPr>
          <a:ln w="6350"/>
        </c:spPr>
        <c:txPr>
          <a:bodyPr rot="-5400000" vert="horz"/>
          <a:lstStyle/>
          <a:p>
            <a:pPr>
              <a:defRPr/>
            </a:pPr>
            <a:endParaRPr lang="en-US"/>
          </a:p>
        </c:txPr>
        <c:crossAx val="742133016"/>
        <c:crosses val="autoZero"/>
        <c:auto val="1"/>
        <c:lblAlgn val="ctr"/>
        <c:lblOffset val="0"/>
        <c:noMultiLvlLbl val="0"/>
      </c:catAx>
      <c:valAx>
        <c:axId val="742133016"/>
        <c:scaling>
          <c:orientation val="minMax"/>
          <c:min val="-10"/>
        </c:scaling>
        <c:delete val="1"/>
        <c:axPos val="l"/>
        <c:numFmt formatCode="0" sourceLinked="0"/>
        <c:majorTickMark val="out"/>
        <c:minorTickMark val="none"/>
        <c:tickLblPos val="nextTo"/>
        <c:crossAx val="742130272"/>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142960929069752E-2"/>
          <c:y val="4.6983865329094966E-2"/>
          <c:w val="0.87927470735086222"/>
          <c:h val="0.85673968054787031"/>
        </c:manualLayout>
      </c:layout>
      <c:barChart>
        <c:barDir val="col"/>
        <c:grouping val="clustered"/>
        <c:varyColors val="0"/>
        <c:ser>
          <c:idx val="0"/>
          <c:order val="0"/>
          <c:tx>
            <c:strRef>
              <c:f>Sheet1!$D$1</c:f>
              <c:strCache>
                <c:ptCount val="1"/>
                <c:pt idx="0">
                  <c:v>Produktivitāte </c:v>
                </c:pt>
              </c:strCache>
            </c:strRef>
          </c:tx>
          <c:spPr>
            <a:solidFill>
              <a:srgbClr val="006666"/>
            </a:solidFill>
            <a:ln w="3173">
              <a:noFill/>
            </a:ln>
          </c:spPr>
          <c:invertIfNegative val="0"/>
          <c:dPt>
            <c:idx val="3"/>
            <c:invertIfNegative val="0"/>
            <c:bubble3D val="0"/>
            <c:extLst>
              <c:ext xmlns:c16="http://schemas.microsoft.com/office/drawing/2014/chart" uri="{C3380CC4-5D6E-409C-BE32-E72D297353CC}">
                <c16:uniqueId val="{00000000-493E-4F3E-BA9D-CF65DD9CB1BC}"/>
              </c:ext>
            </c:extLst>
          </c:dPt>
          <c:dPt>
            <c:idx val="4"/>
            <c:invertIfNegative val="0"/>
            <c:bubble3D val="0"/>
            <c:extLst>
              <c:ext xmlns:c16="http://schemas.microsoft.com/office/drawing/2014/chart" uri="{C3380CC4-5D6E-409C-BE32-E72D297353CC}">
                <c16:uniqueId val="{00000001-493E-4F3E-BA9D-CF65DD9CB1BC}"/>
              </c:ext>
            </c:extLst>
          </c:dPt>
          <c:dPt>
            <c:idx val="11"/>
            <c:invertIfNegative val="0"/>
            <c:bubble3D val="0"/>
            <c:extLst>
              <c:ext xmlns:c16="http://schemas.microsoft.com/office/drawing/2014/chart" uri="{C3380CC4-5D6E-409C-BE32-E72D297353CC}">
                <c16:uniqueId val="{00000002-493E-4F3E-BA9D-CF65DD9CB1BC}"/>
              </c:ext>
            </c:extLst>
          </c:dPt>
          <c:cat>
            <c:strRef>
              <c:f>Sheet1!$A$2:$C$11</c:f>
              <c:strCache>
                <c:ptCount val="2"/>
                <c:pt idx="0">
                  <c:v>2016-2019</c:v>
                </c:pt>
                <c:pt idx="1">
                  <c:v>2022-2025</c:v>
                </c:pt>
              </c:strCache>
            </c:strRef>
          </c:cat>
          <c:val>
            <c:numRef>
              <c:f>Sheet1!$D$2:$D$11</c:f>
              <c:numCache>
                <c:formatCode>0.0</c:formatCode>
                <c:ptCount val="2"/>
                <c:pt idx="0">
                  <c:v>0.7</c:v>
                </c:pt>
                <c:pt idx="1">
                  <c:v>1.5</c:v>
                </c:pt>
              </c:numCache>
            </c:numRef>
          </c:val>
          <c:extLst>
            <c:ext xmlns:c16="http://schemas.microsoft.com/office/drawing/2014/chart" uri="{C3380CC4-5D6E-409C-BE32-E72D297353CC}">
              <c16:uniqueId val="{00000003-493E-4F3E-BA9D-CF65DD9CB1BC}"/>
            </c:ext>
          </c:extLst>
        </c:ser>
        <c:ser>
          <c:idx val="1"/>
          <c:order val="1"/>
          <c:tx>
            <c:strRef>
              <c:f>Sheet1!$E$1</c:f>
              <c:strCache>
                <c:ptCount val="1"/>
                <c:pt idx="0">
                  <c:v>Darbaspēka izmaksas </c:v>
                </c:pt>
              </c:strCache>
            </c:strRef>
          </c:tx>
          <c:spPr>
            <a:solidFill>
              <a:srgbClr val="92B7C4"/>
            </a:solidFill>
            <a:ln w="3173">
              <a:noFill/>
            </a:ln>
          </c:spPr>
          <c:invertIfNegative val="0"/>
          <c:dPt>
            <c:idx val="0"/>
            <c:invertIfNegative val="0"/>
            <c:bubble3D val="0"/>
            <c:extLst>
              <c:ext xmlns:c16="http://schemas.microsoft.com/office/drawing/2014/chart" uri="{C3380CC4-5D6E-409C-BE32-E72D297353CC}">
                <c16:uniqueId val="{00000004-493E-4F3E-BA9D-CF65DD9CB1BC}"/>
              </c:ext>
            </c:extLst>
          </c:dPt>
          <c:dPt>
            <c:idx val="3"/>
            <c:invertIfNegative val="0"/>
            <c:bubble3D val="0"/>
            <c:extLst>
              <c:ext xmlns:c16="http://schemas.microsoft.com/office/drawing/2014/chart" uri="{C3380CC4-5D6E-409C-BE32-E72D297353CC}">
                <c16:uniqueId val="{00000005-493E-4F3E-BA9D-CF65DD9CB1BC}"/>
              </c:ext>
            </c:extLst>
          </c:dPt>
          <c:cat>
            <c:strRef>
              <c:f>Sheet1!$A$2:$C$11</c:f>
              <c:strCache>
                <c:ptCount val="2"/>
                <c:pt idx="0">
                  <c:v>2016-2019</c:v>
                </c:pt>
                <c:pt idx="1">
                  <c:v>2022-2025</c:v>
                </c:pt>
              </c:strCache>
            </c:strRef>
          </c:cat>
          <c:val>
            <c:numRef>
              <c:f>Sheet1!$E$2:$E$11</c:f>
              <c:numCache>
                <c:formatCode>0</c:formatCode>
                <c:ptCount val="2"/>
                <c:pt idx="0" formatCode="0.0">
                  <c:v>6.2</c:v>
                </c:pt>
                <c:pt idx="1">
                  <c:v>10.5</c:v>
                </c:pt>
              </c:numCache>
            </c:numRef>
          </c:val>
          <c:extLst>
            <c:ext xmlns:c16="http://schemas.microsoft.com/office/drawing/2014/chart" uri="{C3380CC4-5D6E-409C-BE32-E72D297353CC}">
              <c16:uniqueId val="{00000006-493E-4F3E-BA9D-CF65DD9CB1BC}"/>
            </c:ext>
          </c:extLst>
        </c:ser>
        <c:ser>
          <c:idx val="2"/>
          <c:order val="2"/>
          <c:tx>
            <c:strRef>
              <c:f>Sheet1!$F$1</c:f>
              <c:strCache>
                <c:ptCount val="1"/>
                <c:pt idx="0">
                  <c:v>ULC </c:v>
                </c:pt>
              </c:strCache>
            </c:strRef>
          </c:tx>
          <c:spPr>
            <a:solidFill>
              <a:srgbClr val="DCE7EB"/>
            </a:solidFill>
            <a:ln w="3173">
              <a:noFill/>
            </a:ln>
          </c:spPr>
          <c:invertIfNegative val="0"/>
          <c:dPt>
            <c:idx val="0"/>
            <c:invertIfNegative val="0"/>
            <c:bubble3D val="0"/>
            <c:extLst>
              <c:ext xmlns:c16="http://schemas.microsoft.com/office/drawing/2014/chart" uri="{C3380CC4-5D6E-409C-BE32-E72D297353CC}">
                <c16:uniqueId val="{00000007-493E-4F3E-BA9D-CF65DD9CB1BC}"/>
              </c:ext>
            </c:extLst>
          </c:dPt>
          <c:dPt>
            <c:idx val="3"/>
            <c:invertIfNegative val="0"/>
            <c:bubble3D val="0"/>
            <c:extLst>
              <c:ext xmlns:c16="http://schemas.microsoft.com/office/drawing/2014/chart" uri="{C3380CC4-5D6E-409C-BE32-E72D297353CC}">
                <c16:uniqueId val="{00000008-493E-4F3E-BA9D-CF65DD9CB1BC}"/>
              </c:ext>
            </c:extLst>
          </c:dPt>
          <c:cat>
            <c:strRef>
              <c:f>Sheet1!$A$2:$C$11</c:f>
              <c:strCache>
                <c:ptCount val="2"/>
                <c:pt idx="0">
                  <c:v>2016-2019</c:v>
                </c:pt>
                <c:pt idx="1">
                  <c:v>2022-2025</c:v>
                </c:pt>
              </c:strCache>
            </c:strRef>
          </c:cat>
          <c:val>
            <c:numRef>
              <c:f>Sheet1!$F$2:$F$11</c:f>
              <c:numCache>
                <c:formatCode>0.0</c:formatCode>
                <c:ptCount val="2"/>
                <c:pt idx="0">
                  <c:v>5.5</c:v>
                </c:pt>
                <c:pt idx="1">
                  <c:v>8.8000000000000007</c:v>
                </c:pt>
              </c:numCache>
            </c:numRef>
          </c:val>
          <c:extLst>
            <c:ext xmlns:c16="http://schemas.microsoft.com/office/drawing/2014/chart" uri="{C3380CC4-5D6E-409C-BE32-E72D297353CC}">
              <c16:uniqueId val="{00000009-493E-4F3E-BA9D-CF65DD9CB1BC}"/>
            </c:ext>
          </c:extLst>
        </c:ser>
        <c:dLbls>
          <c:showLegendKey val="0"/>
          <c:showVal val="0"/>
          <c:showCatName val="0"/>
          <c:showSerName val="0"/>
          <c:showPercent val="0"/>
          <c:showBubbleSize val="0"/>
        </c:dLbls>
        <c:gapWidth val="40"/>
        <c:overlap val="40"/>
        <c:axId val="249730424"/>
        <c:axId val="1"/>
      </c:barChart>
      <c:catAx>
        <c:axId val="249730424"/>
        <c:scaling>
          <c:orientation val="minMax"/>
        </c:scaling>
        <c:delete val="0"/>
        <c:axPos val="b"/>
        <c:numFmt formatCode="General" sourceLinked="1"/>
        <c:majorTickMark val="out"/>
        <c:minorTickMark val="none"/>
        <c:tickLblPos val="nextTo"/>
        <c:spPr>
          <a:ln w="3173"/>
        </c:spPr>
        <c:txPr>
          <a:bodyPr rot="0" vert="horz"/>
          <a:lstStyle/>
          <a:p>
            <a:pPr>
              <a:defRPr/>
            </a:pPr>
            <a:endParaRPr lang="en-US"/>
          </a:p>
        </c:txPr>
        <c:crossAx val="1"/>
        <c:crosses val="autoZero"/>
        <c:auto val="0"/>
        <c:lblAlgn val="ctr"/>
        <c:lblOffset val="0"/>
        <c:tickLblSkip val="1"/>
        <c:noMultiLvlLbl val="1"/>
      </c:catAx>
      <c:valAx>
        <c:axId val="1"/>
        <c:scaling>
          <c:orientation val="minMax"/>
          <c:max val="10"/>
          <c:min val="-2.5"/>
        </c:scaling>
        <c:delete val="0"/>
        <c:axPos val="l"/>
        <c:numFmt formatCode="0" sourceLinked="0"/>
        <c:majorTickMark val="out"/>
        <c:minorTickMark val="none"/>
        <c:tickLblPos val="nextTo"/>
        <c:crossAx val="249730424"/>
        <c:crosses val="autoZero"/>
        <c:crossBetween val="between"/>
        <c:majorUnit val="2"/>
      </c:valAx>
      <c:spPr>
        <a:noFill/>
        <a:ln w="25382">
          <a:noFill/>
        </a:ln>
      </c:spPr>
    </c:plotArea>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1232844118184172E-2"/>
          <c:y val="0.27920042044141719"/>
          <c:w val="0.81133580463412303"/>
          <c:h val="0.62593679024464788"/>
        </c:manualLayout>
      </c:layout>
      <c:barChart>
        <c:barDir val="col"/>
        <c:grouping val="clustered"/>
        <c:varyColors val="0"/>
        <c:ser>
          <c:idx val="0"/>
          <c:order val="1"/>
          <c:tx>
            <c:strRef>
              <c:f>Sheet1!$A$2</c:f>
              <c:strCache>
                <c:ptCount val="1"/>
                <c:pt idx="0">
                  <c:v>Nominālais ULC (izmaiņas procentos, kreisā ass)</c:v>
                </c:pt>
              </c:strCache>
            </c:strRef>
          </c:tx>
          <c:spPr>
            <a:solidFill>
              <a:srgbClr val="DCE7EB"/>
            </a:solidFill>
            <a:ln w="25377">
              <a:noFill/>
            </a:ln>
          </c:spPr>
          <c:invertIfNegative val="0"/>
          <c:dLbls>
            <c:spPr>
              <a:noFill/>
              <a:ln w="2537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Sheet1!$B$1:$Q$1</c:f>
              <c:numCache>
                <c:formatCode>General</c:formatCode>
                <c:ptCount val="11"/>
                <c:pt idx="0">
                  <c:v>2015</c:v>
                </c:pt>
                <c:pt idx="2">
                  <c:v>2017</c:v>
                </c:pt>
                <c:pt idx="4">
                  <c:v>2019</c:v>
                </c:pt>
                <c:pt idx="6">
                  <c:v>2021</c:v>
                </c:pt>
                <c:pt idx="8">
                  <c:v>2023</c:v>
                </c:pt>
                <c:pt idx="10">
                  <c:v>2025</c:v>
                </c:pt>
              </c:numCache>
            </c:numRef>
          </c:cat>
          <c:val>
            <c:numRef>
              <c:f>Sheet1!$B$2:$Q$2</c:f>
              <c:numCache>
                <c:formatCode>0.0</c:formatCode>
                <c:ptCount val="11"/>
                <c:pt idx="0">
                  <c:v>2.7532652279945466</c:v>
                </c:pt>
                <c:pt idx="1">
                  <c:v>5.3790579877449858</c:v>
                </c:pt>
                <c:pt idx="2">
                  <c:v>1.5875098743360212</c:v>
                </c:pt>
                <c:pt idx="3">
                  <c:v>3.265890825312411</c:v>
                </c:pt>
                <c:pt idx="4">
                  <c:v>7.2788439805105298</c:v>
                </c:pt>
                <c:pt idx="5">
                  <c:v>-0.55239158128776467</c:v>
                </c:pt>
                <c:pt idx="6">
                  <c:v>0.92072730491099719</c:v>
                </c:pt>
                <c:pt idx="7">
                  <c:v>19.282011038974773</c:v>
                </c:pt>
                <c:pt idx="8">
                  <c:v>7.6014179782891205</c:v>
                </c:pt>
                <c:pt idx="9">
                  <c:v>7.8818015463435529</c:v>
                </c:pt>
                <c:pt idx="10">
                  <c:v>1.2560410082691931</c:v>
                </c:pt>
              </c:numCache>
            </c:numRef>
          </c:val>
          <c:extLst>
            <c:ext xmlns:c16="http://schemas.microsoft.com/office/drawing/2014/chart" uri="{C3380CC4-5D6E-409C-BE32-E72D297353CC}">
              <c16:uniqueId val="{00000000-A799-48E5-A6A1-01F9B4F85344}"/>
            </c:ext>
          </c:extLst>
        </c:ser>
        <c:dLbls>
          <c:showLegendKey val="0"/>
          <c:showVal val="0"/>
          <c:showCatName val="0"/>
          <c:showSerName val="0"/>
          <c:showPercent val="0"/>
          <c:showBubbleSize val="0"/>
        </c:dLbls>
        <c:gapWidth val="50"/>
        <c:axId val="250069832"/>
        <c:axId val="1"/>
      </c:barChart>
      <c:lineChart>
        <c:grouping val="standard"/>
        <c:varyColors val="0"/>
        <c:ser>
          <c:idx val="2"/>
          <c:order val="0"/>
          <c:spPr>
            <a:ln w="28549" cap="rnd" cmpd="sng" algn="ctr">
              <a:solidFill>
                <a:schemeClr val="accent3">
                  <a:shade val="95000"/>
                  <a:satMod val="105000"/>
                </a:schemeClr>
              </a:solidFill>
              <a:prstDash val="solid"/>
              <a:round/>
            </a:ln>
            <a:effectLst/>
          </c:spPr>
          <c:marker>
            <c:symbol val="none"/>
          </c:marker>
          <c:cat>
            <c:numRef>
              <c:f>Sheet1!$B$1:$Q$1</c:f>
              <c:numCache>
                <c:formatCode>General</c:formatCode>
                <c:ptCount val="11"/>
                <c:pt idx="0">
                  <c:v>2015</c:v>
                </c:pt>
                <c:pt idx="2">
                  <c:v>2017</c:v>
                </c:pt>
                <c:pt idx="4">
                  <c:v>2019</c:v>
                </c:pt>
                <c:pt idx="6">
                  <c:v>2021</c:v>
                </c:pt>
                <c:pt idx="8">
                  <c:v>2023</c:v>
                </c:pt>
                <c:pt idx="10">
                  <c:v>2025</c:v>
                </c:pt>
              </c:numCache>
            </c:numRef>
          </c:cat>
          <c:val>
            <c:numLit>
              <c:formatCode>General</c:formatCode>
              <c:ptCount val="1"/>
              <c:pt idx="0">
                <c:v>0</c:v>
              </c:pt>
            </c:numLit>
          </c:val>
          <c:smooth val="1"/>
          <c:extLst>
            <c:ext xmlns:c16="http://schemas.microsoft.com/office/drawing/2014/chart" uri="{C3380CC4-5D6E-409C-BE32-E72D297353CC}">
              <c16:uniqueId val="{00000001-A799-48E5-A6A1-01F9B4F85344}"/>
            </c:ext>
          </c:extLst>
        </c:ser>
        <c:dLbls>
          <c:showLegendKey val="0"/>
          <c:showVal val="0"/>
          <c:showCatName val="0"/>
          <c:showSerName val="0"/>
          <c:showPercent val="0"/>
          <c:showBubbleSize val="0"/>
        </c:dLbls>
        <c:marker val="1"/>
        <c:smooth val="0"/>
        <c:axId val="250069832"/>
        <c:axId val="1"/>
      </c:lineChart>
      <c:lineChart>
        <c:grouping val="standard"/>
        <c:varyColors val="0"/>
        <c:ser>
          <c:idx val="1"/>
          <c:order val="2"/>
          <c:tx>
            <c:strRef>
              <c:f>Sheet1!$A$3</c:f>
              <c:strCache>
                <c:ptCount val="1"/>
                <c:pt idx="0">
                  <c:v>Produktivitāte (2015. gads = 100, labā ass)</c:v>
                </c:pt>
              </c:strCache>
            </c:strRef>
          </c:tx>
          <c:spPr>
            <a:ln w="25377" cap="rnd" cmpd="sng" algn="ctr">
              <a:solidFill>
                <a:srgbClr val="006666"/>
              </a:solidFill>
              <a:prstDash val="solid"/>
              <a:round/>
            </a:ln>
            <a:effectLst/>
          </c:spPr>
          <c:marker>
            <c:symbol val="none"/>
          </c:marker>
          <c:cat>
            <c:numRef>
              <c:f>Sheet1!$B$1:$Q$1</c:f>
              <c:numCache>
                <c:formatCode>General</c:formatCode>
                <c:ptCount val="11"/>
                <c:pt idx="0">
                  <c:v>2015</c:v>
                </c:pt>
                <c:pt idx="2">
                  <c:v>2017</c:v>
                </c:pt>
                <c:pt idx="4">
                  <c:v>2019</c:v>
                </c:pt>
                <c:pt idx="6">
                  <c:v>2021</c:v>
                </c:pt>
                <c:pt idx="8">
                  <c:v>2023</c:v>
                </c:pt>
                <c:pt idx="10">
                  <c:v>2025</c:v>
                </c:pt>
              </c:numCache>
            </c:numRef>
          </c:cat>
          <c:val>
            <c:numRef>
              <c:f>Sheet1!$B$3:$Q$3</c:f>
              <c:numCache>
                <c:formatCode>General</c:formatCode>
                <c:ptCount val="11"/>
                <c:pt idx="0">
                  <c:v>100</c:v>
                </c:pt>
                <c:pt idx="1">
                  <c:v>101.17258830012008</c:v>
                </c:pt>
                <c:pt idx="2">
                  <c:v>108.26360141181495</c:v>
                </c:pt>
                <c:pt idx="3">
                  <c:v>115.20026473691441</c:v>
                </c:pt>
                <c:pt idx="4">
                  <c:v>120.02393150157849</c:v>
                </c:pt>
                <c:pt idx="5">
                  <c:v>121.70945961640724</c:v>
                </c:pt>
                <c:pt idx="6">
                  <c:v>132.32647261957717</c:v>
                </c:pt>
                <c:pt idx="7">
                  <c:v>126.93426565915591</c:v>
                </c:pt>
                <c:pt idx="8">
                  <c:v>124.05703715243</c:v>
                </c:pt>
                <c:pt idx="9">
                  <c:v>124.26285295068213</c:v>
                </c:pt>
                <c:pt idx="10">
                  <c:v>132.62343263722011</c:v>
                </c:pt>
              </c:numCache>
            </c:numRef>
          </c:val>
          <c:smooth val="0"/>
          <c:extLst>
            <c:ext xmlns:c16="http://schemas.microsoft.com/office/drawing/2014/chart" uri="{C3380CC4-5D6E-409C-BE32-E72D297353CC}">
              <c16:uniqueId val="{00000002-A799-48E5-A6A1-01F9B4F85344}"/>
            </c:ext>
          </c:extLst>
        </c:ser>
        <c:ser>
          <c:idx val="3"/>
          <c:order val="3"/>
          <c:tx>
            <c:strRef>
              <c:f>Sheet1!$A$4</c:f>
              <c:strCache>
                <c:ptCount val="1"/>
                <c:pt idx="0">
                  <c:v>Darbaspēka izmaksas (2015. gads = 100, labā ass)</c:v>
                </c:pt>
              </c:strCache>
            </c:strRef>
          </c:tx>
          <c:spPr>
            <a:ln w="25377">
              <a:solidFill>
                <a:srgbClr val="92B7C4"/>
              </a:solidFill>
            </a:ln>
            <a:effectLst/>
          </c:spPr>
          <c:marker>
            <c:symbol val="none"/>
          </c:marker>
          <c:cat>
            <c:numRef>
              <c:f>Sheet1!$B$1:$Q$1</c:f>
              <c:numCache>
                <c:formatCode>General</c:formatCode>
                <c:ptCount val="11"/>
                <c:pt idx="0">
                  <c:v>2015</c:v>
                </c:pt>
                <c:pt idx="2">
                  <c:v>2017</c:v>
                </c:pt>
                <c:pt idx="4">
                  <c:v>2019</c:v>
                </c:pt>
                <c:pt idx="6">
                  <c:v>2021</c:v>
                </c:pt>
                <c:pt idx="8">
                  <c:v>2023</c:v>
                </c:pt>
                <c:pt idx="10">
                  <c:v>2025</c:v>
                </c:pt>
              </c:numCache>
            </c:numRef>
          </c:cat>
          <c:val>
            <c:numRef>
              <c:f>Sheet1!$B$4:$Q$4</c:f>
              <c:numCache>
                <c:formatCode>General</c:formatCode>
                <c:ptCount val="11"/>
                <c:pt idx="0">
                  <c:v>100</c:v>
                </c:pt>
                <c:pt idx="1">
                  <c:v>106.61472049248604</c:v>
                </c:pt>
                <c:pt idx="2">
                  <c:v>115.89830829429555</c:v>
                </c:pt>
                <c:pt idx="3">
                  <c:v>127.35177425981885</c:v>
                </c:pt>
                <c:pt idx="4">
                  <c:v>142.3421286497198</c:v>
                </c:pt>
                <c:pt idx="5">
                  <c:v>143.54374920715031</c:v>
                </c:pt>
                <c:pt idx="6">
                  <c:v>157.50235748409011</c:v>
                </c:pt>
                <c:pt idx="7">
                  <c:v>180.21633370981377</c:v>
                </c:pt>
                <c:pt idx="8">
                  <c:v>189.51983718006736</c:v>
                </c:pt>
                <c:pt idx="9">
                  <c:v>204.79661801503312</c:v>
                </c:pt>
                <c:pt idx="10">
                  <c:v>221.32102224868282</c:v>
                </c:pt>
              </c:numCache>
            </c:numRef>
          </c:val>
          <c:smooth val="0"/>
          <c:extLst>
            <c:ext xmlns:c16="http://schemas.microsoft.com/office/drawing/2014/chart" uri="{C3380CC4-5D6E-409C-BE32-E72D297353CC}">
              <c16:uniqueId val="{00000003-A799-48E5-A6A1-01F9B4F85344}"/>
            </c:ext>
          </c:extLst>
        </c:ser>
        <c:dLbls>
          <c:showLegendKey val="0"/>
          <c:showVal val="0"/>
          <c:showCatName val="0"/>
          <c:showSerName val="0"/>
          <c:showPercent val="0"/>
          <c:showBubbleSize val="0"/>
        </c:dLbls>
        <c:marker val="1"/>
        <c:smooth val="0"/>
        <c:axId val="3"/>
        <c:axId val="4"/>
      </c:lineChart>
      <c:catAx>
        <c:axId val="250069832"/>
        <c:scaling>
          <c:orientation val="minMax"/>
        </c:scaling>
        <c:delete val="0"/>
        <c:axPos val="b"/>
        <c:numFmt formatCode="General" sourceLinked="1"/>
        <c:majorTickMark val="out"/>
        <c:minorTickMark val="none"/>
        <c:tickLblPos val="low"/>
        <c:spPr>
          <a:noFill/>
          <a:ln w="3172"/>
          <a:effectLst/>
        </c:spPr>
        <c:txPr>
          <a:bodyPr rot="0" vert="horz"/>
          <a:lstStyle/>
          <a:p>
            <a:pPr>
              <a:defRPr/>
            </a:pPr>
            <a:endParaRPr lang="en-US"/>
          </a:p>
        </c:txPr>
        <c:crossAx val="1"/>
        <c:crosses val="autoZero"/>
        <c:auto val="1"/>
        <c:lblAlgn val="ctr"/>
        <c:lblOffset val="0"/>
        <c:tickLblSkip val="1"/>
        <c:tickMarkSkip val="1"/>
        <c:noMultiLvlLbl val="1"/>
      </c:catAx>
      <c:valAx>
        <c:axId val="1"/>
        <c:scaling>
          <c:orientation val="minMax"/>
          <c:max val="20"/>
          <c:min val="-20"/>
        </c:scaling>
        <c:delete val="0"/>
        <c:axPos val="l"/>
        <c:numFmt formatCode="0" sourceLinked="0"/>
        <c:majorTickMark val="out"/>
        <c:minorTickMark val="none"/>
        <c:tickLblPos val="nextTo"/>
        <c:spPr>
          <a:noFill/>
          <a:ln w="3172" cap="flat" cmpd="sng" algn="ctr">
            <a:noFill/>
            <a:prstDash val="solid"/>
            <a:round/>
          </a:ln>
          <a:effectLst/>
        </c:spPr>
        <c:txPr>
          <a:bodyPr rot="0"/>
          <a:lstStyle/>
          <a:p>
            <a:pPr>
              <a:defRPr/>
            </a:pPr>
            <a:endParaRPr lang="en-US"/>
          </a:p>
        </c:txPr>
        <c:crossAx val="250069832"/>
        <c:crosses val="autoZero"/>
        <c:crossBetween val="between"/>
        <c:majorUnit val="1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80"/>
          <c:min val="80"/>
        </c:scaling>
        <c:delete val="0"/>
        <c:axPos val="r"/>
        <c:numFmt formatCode="0" sourceLinked="0"/>
        <c:majorTickMark val="out"/>
        <c:minorTickMark val="none"/>
        <c:tickLblPos val="nextTo"/>
        <c:spPr>
          <a:noFill/>
          <a:ln w="3172" cap="flat" cmpd="sng" algn="ctr">
            <a:noFill/>
            <a:prstDash val="solid"/>
            <a:round/>
          </a:ln>
          <a:effectLst/>
        </c:spPr>
        <c:txPr>
          <a:bodyPr rot="-60000000" vert="horz"/>
          <a:lstStyle/>
          <a:p>
            <a:pPr>
              <a:defRPr/>
            </a:pPr>
            <a:endParaRPr lang="en-US"/>
          </a:p>
        </c:txPr>
        <c:crossAx val="3"/>
        <c:crosses val="max"/>
        <c:crossBetween val="between"/>
        <c:majorUnit val="40"/>
      </c:valAx>
      <c:spPr>
        <a:noFill/>
        <a:ln w="25377">
          <a:noFill/>
        </a:ln>
      </c:spPr>
    </c:plotArea>
    <c:legend>
      <c:legendPos val="l"/>
      <c:legendEntry>
        <c:idx val="1"/>
        <c:delete val="1"/>
      </c:legendEntry>
      <c:layout>
        <c:manualLayout>
          <c:xMode val="edge"/>
          <c:yMode val="edge"/>
          <c:x val="2.097303580997012E-2"/>
          <c:y val="1.4838467772173639E-3"/>
          <c:w val="0.93646271831846095"/>
          <c:h val="0.21701861657178181"/>
        </c:manualLayout>
      </c:layout>
      <c:overlay val="0"/>
      <c:spPr>
        <a:noFill/>
        <a:ln w="25377">
          <a:noFill/>
        </a:ln>
      </c:spPr>
      <c:txPr>
        <a:bodyPr rot="0" vert="horz"/>
        <a:lstStyle/>
        <a:p>
          <a:pPr>
            <a:defRPr/>
          </a:pPr>
          <a:endParaRPr lang="en-US"/>
        </a:p>
      </c:txPr>
    </c:legend>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923429804095845E-2"/>
          <c:y val="2.9421666666666665E-2"/>
          <c:w val="0.88861368159795739"/>
          <c:h val="0.80938862354055197"/>
        </c:manualLayout>
      </c:layout>
      <c:barChart>
        <c:barDir val="col"/>
        <c:grouping val="clustered"/>
        <c:varyColors val="0"/>
        <c:ser>
          <c:idx val="1"/>
          <c:order val="0"/>
          <c:tx>
            <c:strRef>
              <c:f>Sheet1!$A$2</c:f>
              <c:strCache>
                <c:ptCount val="1"/>
                <c:pt idx="0">
                  <c:v>Tautsaimniecība kopā</c:v>
                </c:pt>
              </c:strCache>
            </c:strRef>
          </c:tx>
          <c:spPr>
            <a:solidFill>
              <a:srgbClr val="9BBB59"/>
            </a:solidFill>
            <a:ln w="25382">
              <a:noFill/>
            </a:ln>
          </c:spPr>
          <c:invertIfNegative val="0"/>
          <c:dPt>
            <c:idx val="0"/>
            <c:invertIfNegative val="0"/>
            <c:bubble3D val="0"/>
            <c:extLst>
              <c:ext xmlns:c16="http://schemas.microsoft.com/office/drawing/2014/chart" uri="{C3380CC4-5D6E-409C-BE32-E72D297353CC}">
                <c16:uniqueId val="{00000000-92FD-4A19-B7BD-25B104FF69C1}"/>
              </c:ext>
            </c:extLst>
          </c:dPt>
          <c:dPt>
            <c:idx val="23"/>
            <c:invertIfNegative val="0"/>
            <c:bubble3D val="0"/>
            <c:extLst>
              <c:ext xmlns:c16="http://schemas.microsoft.com/office/drawing/2014/chart" uri="{C3380CC4-5D6E-409C-BE32-E72D297353CC}">
                <c16:uniqueId val="{00000001-92FD-4A19-B7BD-25B104FF69C1}"/>
              </c:ext>
            </c:extLst>
          </c:dPt>
          <c:dPt>
            <c:idx val="25"/>
            <c:invertIfNegative val="0"/>
            <c:bubble3D val="0"/>
            <c:extLst>
              <c:ext xmlns:c16="http://schemas.microsoft.com/office/drawing/2014/chart" uri="{C3380CC4-5D6E-409C-BE32-E72D297353CC}">
                <c16:uniqueId val="{00000002-92FD-4A19-B7BD-25B104FF69C1}"/>
              </c:ext>
            </c:extLst>
          </c:dPt>
          <c:dLbls>
            <c:numFmt formatCode="#,##0" sourceLinked="0"/>
            <c:spPr>
              <a:noFill/>
              <a:ln w="25382">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General</c:formatCode>
                <c:ptCount val="11"/>
                <c:pt idx="0">
                  <c:v>2004</c:v>
                </c:pt>
                <c:pt idx="1">
                  <c:v>2007</c:v>
                </c:pt>
                <c:pt idx="2">
                  <c:v>2010</c:v>
                </c:pt>
                <c:pt idx="3">
                  <c:v>2015</c:v>
                </c:pt>
                <c:pt idx="4">
                  <c:v>2019</c:v>
                </c:pt>
                <c:pt idx="5">
                  <c:v>2020</c:v>
                </c:pt>
                <c:pt idx="6">
                  <c:v>2021</c:v>
                </c:pt>
                <c:pt idx="7">
                  <c:v>2022</c:v>
                </c:pt>
                <c:pt idx="8">
                  <c:v>2023</c:v>
                </c:pt>
                <c:pt idx="9">
                  <c:v>2024</c:v>
                </c:pt>
                <c:pt idx="10">
                  <c:v>2025</c:v>
                </c:pt>
              </c:numCache>
            </c:numRef>
          </c:cat>
          <c:val>
            <c:numRef>
              <c:f>Sheet1!$B$2:$W$2</c:f>
              <c:numCache>
                <c:formatCode>0.0</c:formatCode>
                <c:ptCount val="11"/>
                <c:pt idx="0">
                  <c:v>22.855457637690296</c:v>
                </c:pt>
                <c:pt idx="1">
                  <c:v>37.389945218248307</c:v>
                </c:pt>
                <c:pt idx="2">
                  <c:v>37.273334776012149</c:v>
                </c:pt>
                <c:pt idx="3">
                  <c:v>43.067217916639422</c:v>
                </c:pt>
                <c:pt idx="4">
                  <c:v>47.65033573077541</c:v>
                </c:pt>
                <c:pt idx="5">
                  <c:v>48.647223613632633</c:v>
                </c:pt>
                <c:pt idx="6">
                  <c:v>50.770433794041217</c:v>
                </c:pt>
                <c:pt idx="7">
                  <c:v>52.955343907951544</c:v>
                </c:pt>
                <c:pt idx="8">
                  <c:v>54.1248707774606</c:v>
                </c:pt>
                <c:pt idx="9">
                  <c:v>54.466587588118188</c:v>
                </c:pt>
                <c:pt idx="10">
                  <c:v>55.819167430033232</c:v>
                </c:pt>
              </c:numCache>
            </c:numRef>
          </c:val>
          <c:extLst>
            <c:ext xmlns:c16="http://schemas.microsoft.com/office/drawing/2014/chart" uri="{C3380CC4-5D6E-409C-BE32-E72D297353CC}">
              <c16:uniqueId val="{00000003-92FD-4A19-B7BD-25B104FF69C1}"/>
            </c:ext>
          </c:extLst>
        </c:ser>
        <c:ser>
          <c:idx val="0"/>
          <c:order val="1"/>
          <c:tx>
            <c:strRef>
              <c:f>Sheet1!$A$3</c:f>
              <c:strCache>
                <c:ptCount val="1"/>
                <c:pt idx="0">
                  <c:v>Apstrādes rūpniecība</c:v>
                </c:pt>
              </c:strCache>
            </c:strRef>
          </c:tx>
          <c:spPr>
            <a:solidFill>
              <a:srgbClr val="006666"/>
            </a:solidFill>
            <a:ln w="25382">
              <a:noFill/>
            </a:ln>
          </c:spPr>
          <c:invertIfNegative val="0"/>
          <c:dLbls>
            <c:numFmt formatCode="#,##0" sourceLinked="0"/>
            <c:spPr>
              <a:noFill/>
              <a:ln w="25382">
                <a:noFill/>
              </a:ln>
            </c:spPr>
            <c:txPr>
              <a:bodyPr rot="0" vert="horz"/>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General</c:formatCode>
                <c:ptCount val="11"/>
                <c:pt idx="0">
                  <c:v>2004</c:v>
                </c:pt>
                <c:pt idx="1">
                  <c:v>2007</c:v>
                </c:pt>
                <c:pt idx="2">
                  <c:v>2010</c:v>
                </c:pt>
                <c:pt idx="3">
                  <c:v>2015</c:v>
                </c:pt>
                <c:pt idx="4">
                  <c:v>2019</c:v>
                </c:pt>
                <c:pt idx="5">
                  <c:v>2020</c:v>
                </c:pt>
                <c:pt idx="6">
                  <c:v>2021</c:v>
                </c:pt>
                <c:pt idx="7">
                  <c:v>2022</c:v>
                </c:pt>
                <c:pt idx="8">
                  <c:v>2023</c:v>
                </c:pt>
                <c:pt idx="9">
                  <c:v>2024</c:v>
                </c:pt>
                <c:pt idx="10">
                  <c:v>2025</c:v>
                </c:pt>
              </c:numCache>
            </c:numRef>
          </c:cat>
          <c:val>
            <c:numRef>
              <c:f>Sheet1!$B$3:$W$3</c:f>
              <c:numCache>
                <c:formatCode>0.0</c:formatCode>
                <c:ptCount val="11"/>
                <c:pt idx="0">
                  <c:v>18.698384214277432</c:v>
                </c:pt>
                <c:pt idx="1">
                  <c:v>28.077563437152943</c:v>
                </c:pt>
                <c:pt idx="2">
                  <c:v>34.133294901781625</c:v>
                </c:pt>
                <c:pt idx="3">
                  <c:v>33.936859287662777</c:v>
                </c:pt>
                <c:pt idx="4">
                  <c:v>41.036755297635722</c:v>
                </c:pt>
                <c:pt idx="5">
                  <c:v>44.048914742272842</c:v>
                </c:pt>
                <c:pt idx="6">
                  <c:v>48.718623216566357</c:v>
                </c:pt>
                <c:pt idx="7">
                  <c:v>46.566205750539034</c:v>
                </c:pt>
                <c:pt idx="8">
                  <c:v>43.49287944803509</c:v>
                </c:pt>
                <c:pt idx="9">
                  <c:v>42.076779021353929</c:v>
                </c:pt>
                <c:pt idx="10">
                  <c:v>43.538116853072552</c:v>
                </c:pt>
              </c:numCache>
            </c:numRef>
          </c:val>
          <c:extLst>
            <c:ext xmlns:c16="http://schemas.microsoft.com/office/drawing/2014/chart" uri="{C3380CC4-5D6E-409C-BE32-E72D297353CC}">
              <c16:uniqueId val="{00000004-92FD-4A19-B7BD-25B104FF69C1}"/>
            </c:ext>
          </c:extLst>
        </c:ser>
        <c:dLbls>
          <c:showLegendKey val="0"/>
          <c:showVal val="0"/>
          <c:showCatName val="0"/>
          <c:showSerName val="0"/>
          <c:showPercent val="0"/>
          <c:showBubbleSize val="0"/>
        </c:dLbls>
        <c:gapWidth val="30"/>
        <c:overlap val="50"/>
        <c:axId val="248097856"/>
        <c:axId val="1"/>
      </c:barChart>
      <c:catAx>
        <c:axId val="248097856"/>
        <c:scaling>
          <c:orientation val="minMax"/>
        </c:scaling>
        <c:delete val="0"/>
        <c:axPos val="b"/>
        <c:numFmt formatCode="General" sourceLinked="1"/>
        <c:majorTickMark val="out"/>
        <c:minorTickMark val="none"/>
        <c:tickLblPos val="low"/>
        <c:spPr>
          <a:noFill/>
          <a:ln w="3173"/>
          <a:effectLst/>
        </c:spPr>
        <c:txPr>
          <a:bodyPr rot="-5400000" vert="horz"/>
          <a:lstStyle/>
          <a:p>
            <a:pPr>
              <a:defRPr/>
            </a:pPr>
            <a:endParaRPr lang="en-US"/>
          </a:p>
        </c:txPr>
        <c:crossAx val="1"/>
        <c:crosses val="autoZero"/>
        <c:auto val="0"/>
        <c:lblAlgn val="ctr"/>
        <c:lblOffset val="100"/>
        <c:tickLblSkip val="1"/>
        <c:tickMarkSkip val="1"/>
        <c:noMultiLvlLbl val="1"/>
      </c:catAx>
      <c:valAx>
        <c:axId val="1"/>
        <c:scaling>
          <c:orientation val="minMax"/>
          <c:max val="70"/>
          <c:min val="0"/>
        </c:scaling>
        <c:delete val="0"/>
        <c:axPos val="l"/>
        <c:numFmt formatCode="#,##0" sourceLinked="0"/>
        <c:majorTickMark val="out"/>
        <c:minorTickMark val="none"/>
        <c:tickLblPos val="nextTo"/>
        <c:spPr>
          <a:noFill/>
          <a:ln w="3173">
            <a:noFill/>
          </a:ln>
          <a:effectLst/>
        </c:spPr>
        <c:txPr>
          <a:bodyPr rot="0"/>
          <a:lstStyle/>
          <a:p>
            <a:pPr>
              <a:defRPr/>
            </a:pPr>
            <a:endParaRPr lang="en-US"/>
          </a:p>
        </c:txPr>
        <c:crossAx val="248097856"/>
        <c:crosses val="autoZero"/>
        <c:crossBetween val="between"/>
        <c:majorUnit val="15"/>
      </c:valAx>
      <c:spPr>
        <a:noFill/>
        <a:ln w="25382">
          <a:noFill/>
        </a:ln>
      </c:spPr>
    </c:plotArea>
    <c:legend>
      <c:legendPos val="r"/>
      <c:layout>
        <c:manualLayout>
          <c:xMode val="edge"/>
          <c:yMode val="edge"/>
          <c:x val="6.8088161165284808E-2"/>
          <c:y val="1.9612783696155628E-2"/>
          <c:w val="0.47221011280874658"/>
          <c:h val="0.1543483042273347"/>
        </c:manualLayout>
      </c:layout>
      <c:overlay val="0"/>
      <c:spPr>
        <a:noFill/>
        <a:ln w="25382">
          <a:noFill/>
        </a:ln>
      </c:spPr>
      <c:txPr>
        <a:bodyPr rot="0" vert="horz"/>
        <a:lstStyle/>
        <a:p>
          <a:pPr>
            <a:defRPr/>
          </a:pPr>
          <a:endParaRPr lang="en-US"/>
        </a:p>
      </c:txPr>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Garamond"/>
          <a:cs typeface="Segoe UI Light" panose="020B0502040204020203" pitchFamily="34" charset="0"/>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091840366701688E-2"/>
          <c:y val="3.5195299205652807E-2"/>
          <c:w val="0.90027589439963907"/>
          <c:h val="0.80048109981547821"/>
        </c:manualLayout>
      </c:layout>
      <c:barChart>
        <c:barDir val="col"/>
        <c:grouping val="clustered"/>
        <c:varyColors val="0"/>
        <c:ser>
          <c:idx val="1"/>
          <c:order val="0"/>
          <c:tx>
            <c:strRef>
              <c:f>Sheet1!$A$2</c:f>
              <c:strCache>
                <c:ptCount val="1"/>
                <c:pt idx="0">
                  <c:v>Tautsaimniecība kopā</c:v>
                </c:pt>
              </c:strCache>
            </c:strRef>
          </c:tx>
          <c:spPr>
            <a:solidFill>
              <a:srgbClr val="9BBB59"/>
            </a:solidFill>
            <a:ln w="25382">
              <a:noFill/>
            </a:ln>
          </c:spPr>
          <c:invertIfNegative val="0"/>
          <c:dPt>
            <c:idx val="0"/>
            <c:invertIfNegative val="0"/>
            <c:bubble3D val="0"/>
            <c:extLst>
              <c:ext xmlns:c16="http://schemas.microsoft.com/office/drawing/2014/chart" uri="{C3380CC4-5D6E-409C-BE32-E72D297353CC}">
                <c16:uniqueId val="{00000000-10C7-4A6F-A133-186FD062FAF5}"/>
              </c:ext>
            </c:extLst>
          </c:dPt>
          <c:dPt>
            <c:idx val="10"/>
            <c:invertIfNegative val="0"/>
            <c:bubble3D val="0"/>
            <c:extLst>
              <c:ext xmlns:c16="http://schemas.microsoft.com/office/drawing/2014/chart" uri="{C3380CC4-5D6E-409C-BE32-E72D297353CC}">
                <c16:uniqueId val="{00000001-10C7-4A6F-A133-186FD062FAF5}"/>
              </c:ext>
            </c:extLst>
          </c:dPt>
          <c:dPt>
            <c:idx val="25"/>
            <c:invertIfNegative val="0"/>
            <c:bubble3D val="0"/>
            <c:extLst>
              <c:ext xmlns:c16="http://schemas.microsoft.com/office/drawing/2014/chart" uri="{C3380CC4-5D6E-409C-BE32-E72D297353CC}">
                <c16:uniqueId val="{00000002-10C7-4A6F-A133-186FD062FAF5}"/>
              </c:ext>
            </c:extLst>
          </c:dPt>
          <c:dLbls>
            <c:numFmt formatCode="#,##0" sourceLinked="0"/>
            <c:spPr>
              <a:noFill/>
              <a:ln w="25382">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General</c:formatCode>
                <c:ptCount val="11"/>
                <c:pt idx="0">
                  <c:v>2004</c:v>
                </c:pt>
                <c:pt idx="1">
                  <c:v>2007</c:v>
                </c:pt>
                <c:pt idx="2">
                  <c:v>2010</c:v>
                </c:pt>
                <c:pt idx="3">
                  <c:v>2015</c:v>
                </c:pt>
                <c:pt idx="4">
                  <c:v>2019</c:v>
                </c:pt>
                <c:pt idx="5">
                  <c:v>2020</c:v>
                </c:pt>
                <c:pt idx="6">
                  <c:v>2021</c:v>
                </c:pt>
                <c:pt idx="7">
                  <c:v>2022</c:v>
                </c:pt>
                <c:pt idx="8">
                  <c:v>2023</c:v>
                </c:pt>
                <c:pt idx="9">
                  <c:v>2024</c:v>
                </c:pt>
                <c:pt idx="10">
                  <c:v>2025</c:v>
                </c:pt>
              </c:numCache>
            </c:numRef>
          </c:cat>
          <c:val>
            <c:numRef>
              <c:f>Sheet1!$B$2:$W$2</c:f>
              <c:numCache>
                <c:formatCode>0.0</c:formatCode>
                <c:ptCount val="11"/>
                <c:pt idx="0">
                  <c:v>18.625123097745554</c:v>
                </c:pt>
                <c:pt idx="1">
                  <c:v>35.862935415988225</c:v>
                </c:pt>
                <c:pt idx="2">
                  <c:v>32.556137056352526</c:v>
                </c:pt>
                <c:pt idx="3">
                  <c:v>40.82112862476793</c:v>
                </c:pt>
                <c:pt idx="4">
                  <c:v>48.742729189088884</c:v>
                </c:pt>
                <c:pt idx="5">
                  <c:v>50.131850427729837</c:v>
                </c:pt>
                <c:pt idx="6">
                  <c:v>51.610743648210629</c:v>
                </c:pt>
                <c:pt idx="7">
                  <c:v>55.691872090609039</c:v>
                </c:pt>
                <c:pt idx="8">
                  <c:v>55.597518282990308</c:v>
                </c:pt>
                <c:pt idx="9">
                  <c:v>58.357281177319564</c:v>
                </c:pt>
                <c:pt idx="10">
                  <c:v>60.629225153603485</c:v>
                </c:pt>
              </c:numCache>
            </c:numRef>
          </c:val>
          <c:extLst>
            <c:ext xmlns:c16="http://schemas.microsoft.com/office/drawing/2014/chart" uri="{C3380CC4-5D6E-409C-BE32-E72D297353CC}">
              <c16:uniqueId val="{00000003-10C7-4A6F-A133-186FD062FAF5}"/>
            </c:ext>
          </c:extLst>
        </c:ser>
        <c:ser>
          <c:idx val="0"/>
          <c:order val="1"/>
          <c:tx>
            <c:strRef>
              <c:f>Sheet1!$A$3</c:f>
              <c:strCache>
                <c:ptCount val="1"/>
                <c:pt idx="0">
                  <c:v>Apstrādes rūpniecība</c:v>
                </c:pt>
              </c:strCache>
            </c:strRef>
          </c:tx>
          <c:spPr>
            <a:solidFill>
              <a:srgbClr val="006666"/>
            </a:solidFill>
            <a:ln w="25382">
              <a:noFill/>
            </a:ln>
          </c:spPr>
          <c:invertIfNegative val="0"/>
          <c:dLbls>
            <c:numFmt formatCode="#,##0" sourceLinked="0"/>
            <c:spPr>
              <a:noFill/>
              <a:ln w="25382">
                <a:noFill/>
              </a:ln>
            </c:spPr>
            <c:txPr>
              <a:bodyPr rot="0" vert="horz"/>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General</c:formatCode>
                <c:ptCount val="11"/>
                <c:pt idx="0">
                  <c:v>2004</c:v>
                </c:pt>
                <c:pt idx="1">
                  <c:v>2007</c:v>
                </c:pt>
                <c:pt idx="2">
                  <c:v>2010</c:v>
                </c:pt>
                <c:pt idx="3">
                  <c:v>2015</c:v>
                </c:pt>
                <c:pt idx="4">
                  <c:v>2019</c:v>
                </c:pt>
                <c:pt idx="5">
                  <c:v>2020</c:v>
                </c:pt>
                <c:pt idx="6">
                  <c:v>2021</c:v>
                </c:pt>
                <c:pt idx="7">
                  <c:v>2022</c:v>
                </c:pt>
                <c:pt idx="8">
                  <c:v>2023</c:v>
                </c:pt>
                <c:pt idx="9">
                  <c:v>2024</c:v>
                </c:pt>
                <c:pt idx="10">
                  <c:v>2025</c:v>
                </c:pt>
              </c:numCache>
            </c:numRef>
          </c:cat>
          <c:val>
            <c:numRef>
              <c:f>Sheet1!$B$3:$W$3</c:f>
              <c:numCache>
                <c:formatCode>0.0</c:formatCode>
                <c:ptCount val="11"/>
                <c:pt idx="0">
                  <c:v>15.412826760153763</c:v>
                </c:pt>
                <c:pt idx="1">
                  <c:v>26.900247307414254</c:v>
                </c:pt>
                <c:pt idx="2">
                  <c:v>26.328369877629122</c:v>
                </c:pt>
                <c:pt idx="3">
                  <c:v>32.566360638422772</c:v>
                </c:pt>
                <c:pt idx="4">
                  <c:v>42.753448029558641</c:v>
                </c:pt>
                <c:pt idx="5">
                  <c:v>43.811823494445804</c:v>
                </c:pt>
                <c:pt idx="6">
                  <c:v>45.563281994431144</c:v>
                </c:pt>
                <c:pt idx="7">
                  <c:v>50.01842509679517</c:v>
                </c:pt>
                <c:pt idx="8">
                  <c:v>49.262180091339431</c:v>
                </c:pt>
                <c:pt idx="9">
                  <c:v>50.640849043577816</c:v>
                </c:pt>
                <c:pt idx="10">
                  <c:v>52.498784897965237</c:v>
                </c:pt>
              </c:numCache>
            </c:numRef>
          </c:val>
          <c:extLst>
            <c:ext xmlns:c16="http://schemas.microsoft.com/office/drawing/2014/chart" uri="{C3380CC4-5D6E-409C-BE32-E72D297353CC}">
              <c16:uniqueId val="{00000004-10C7-4A6F-A133-186FD062FAF5}"/>
            </c:ext>
          </c:extLst>
        </c:ser>
        <c:dLbls>
          <c:showLegendKey val="0"/>
          <c:showVal val="0"/>
          <c:showCatName val="0"/>
          <c:showSerName val="0"/>
          <c:showPercent val="0"/>
          <c:showBubbleSize val="0"/>
        </c:dLbls>
        <c:gapWidth val="30"/>
        <c:overlap val="50"/>
        <c:axId val="203775232"/>
        <c:axId val="1"/>
      </c:barChart>
      <c:catAx>
        <c:axId val="203775232"/>
        <c:scaling>
          <c:orientation val="minMax"/>
        </c:scaling>
        <c:delete val="0"/>
        <c:axPos val="b"/>
        <c:numFmt formatCode="General" sourceLinked="1"/>
        <c:majorTickMark val="out"/>
        <c:minorTickMark val="none"/>
        <c:tickLblPos val="low"/>
        <c:spPr>
          <a:noFill/>
          <a:ln w="3173"/>
          <a:effectLst/>
        </c:spPr>
        <c:txPr>
          <a:bodyPr rot="-5400000" vert="horz"/>
          <a:lstStyle/>
          <a:p>
            <a:pPr>
              <a:defRPr/>
            </a:pPr>
            <a:endParaRPr lang="en-US"/>
          </a:p>
        </c:txPr>
        <c:crossAx val="1"/>
        <c:crosses val="autoZero"/>
        <c:auto val="0"/>
        <c:lblAlgn val="ctr"/>
        <c:lblOffset val="100"/>
        <c:tickLblSkip val="1"/>
        <c:tickMarkSkip val="1"/>
        <c:noMultiLvlLbl val="1"/>
      </c:catAx>
      <c:valAx>
        <c:axId val="1"/>
        <c:scaling>
          <c:orientation val="minMax"/>
          <c:max val="70"/>
          <c:min val="0"/>
        </c:scaling>
        <c:delete val="0"/>
        <c:axPos val="l"/>
        <c:numFmt formatCode="#,##0" sourceLinked="0"/>
        <c:majorTickMark val="out"/>
        <c:minorTickMark val="none"/>
        <c:tickLblPos val="nextTo"/>
        <c:spPr>
          <a:noFill/>
          <a:ln w="3173">
            <a:noFill/>
          </a:ln>
          <a:effectLst/>
        </c:spPr>
        <c:txPr>
          <a:bodyPr rot="0"/>
          <a:lstStyle/>
          <a:p>
            <a:pPr>
              <a:defRPr/>
            </a:pPr>
            <a:endParaRPr lang="en-US"/>
          </a:p>
        </c:txPr>
        <c:crossAx val="203775232"/>
        <c:crosses val="autoZero"/>
        <c:crossBetween val="between"/>
        <c:majorUnit val="15"/>
      </c:valAx>
      <c:spPr>
        <a:noFill/>
        <a:ln w="25382">
          <a:noFill/>
        </a:ln>
      </c:spPr>
    </c:plotArea>
    <c:legend>
      <c:legendPos val="r"/>
      <c:layout>
        <c:manualLayout>
          <c:xMode val="edge"/>
          <c:yMode val="edge"/>
          <c:x val="9.4646363037219461E-2"/>
          <c:y val="2.5495599814729038E-2"/>
          <c:w val="0.41095424745915571"/>
          <c:h val="0.17199526771885065"/>
        </c:manualLayout>
      </c:layout>
      <c:overlay val="0"/>
      <c:spPr>
        <a:noFill/>
        <a:ln w="25382">
          <a:noFill/>
        </a:ln>
      </c:spPr>
      <c:txPr>
        <a:bodyPr rot="0" vert="horz"/>
        <a:lstStyle/>
        <a:p>
          <a:pPr>
            <a:defRPr/>
          </a:pPr>
          <a:endParaRPr lang="en-US"/>
        </a:p>
      </c:txPr>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Garamond"/>
          <a:cs typeface="Segoe UI Light" panose="020B0502040204020203" pitchFamily="34" charset="0"/>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8043904351235E-2"/>
          <c:y val="9.3276246256091669E-2"/>
          <c:w val="0.89677230173746891"/>
          <c:h val="0.80722164493023396"/>
        </c:manualLayout>
      </c:layout>
      <c:pieChart>
        <c:varyColors val="1"/>
        <c:ser>
          <c:idx val="0"/>
          <c:order val="0"/>
          <c:tx>
            <c:strRef>
              <c:f>Sheet1!$B$1</c:f>
              <c:strCache>
                <c:ptCount val="1"/>
                <c:pt idx="0">
                  <c:v>2023</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47FB-45F2-9B52-F9A3E32CA709}"/>
              </c:ext>
            </c:extLst>
          </c:dPt>
          <c:dPt>
            <c:idx val="1"/>
            <c:bubble3D val="0"/>
            <c:spPr>
              <a:solidFill>
                <a:schemeClr val="accent2"/>
              </a:solidFill>
              <a:ln w="19050">
                <a:noFill/>
              </a:ln>
              <a:effectLst/>
            </c:spPr>
            <c:extLst>
              <c:ext xmlns:c16="http://schemas.microsoft.com/office/drawing/2014/chart" uri="{C3380CC4-5D6E-409C-BE32-E72D297353CC}">
                <c16:uniqueId val="{00000003-47FB-45F2-9B52-F9A3E32CA709}"/>
              </c:ext>
            </c:extLst>
          </c:dPt>
          <c:dPt>
            <c:idx val="2"/>
            <c:bubble3D val="0"/>
            <c:spPr>
              <a:solidFill>
                <a:schemeClr val="accent3"/>
              </a:solidFill>
              <a:ln w="19050">
                <a:noFill/>
              </a:ln>
              <a:effectLst/>
            </c:spPr>
            <c:extLst>
              <c:ext xmlns:c16="http://schemas.microsoft.com/office/drawing/2014/chart" uri="{C3380CC4-5D6E-409C-BE32-E72D297353CC}">
                <c16:uniqueId val="{00000005-47FB-45F2-9B52-F9A3E32CA709}"/>
              </c:ext>
            </c:extLst>
          </c:dPt>
          <c:dPt>
            <c:idx val="3"/>
            <c:bubble3D val="0"/>
            <c:spPr>
              <a:solidFill>
                <a:schemeClr val="accent4"/>
              </a:solidFill>
              <a:ln w="19050">
                <a:noFill/>
              </a:ln>
              <a:effectLst/>
            </c:spPr>
            <c:extLst>
              <c:ext xmlns:c16="http://schemas.microsoft.com/office/drawing/2014/chart" uri="{C3380CC4-5D6E-409C-BE32-E72D297353CC}">
                <c16:uniqueId val="{00000007-47FB-45F2-9B52-F9A3E32CA709}"/>
              </c:ext>
            </c:extLst>
          </c:dPt>
          <c:dPt>
            <c:idx val="4"/>
            <c:bubble3D val="0"/>
            <c:spPr>
              <a:solidFill>
                <a:schemeClr val="accent5"/>
              </a:solidFill>
              <a:ln w="19050">
                <a:noFill/>
              </a:ln>
              <a:effectLst/>
            </c:spPr>
            <c:extLst>
              <c:ext xmlns:c16="http://schemas.microsoft.com/office/drawing/2014/chart" uri="{C3380CC4-5D6E-409C-BE32-E72D297353CC}">
                <c16:uniqueId val="{00000009-47FB-45F2-9B52-F9A3E32CA709}"/>
              </c:ext>
            </c:extLst>
          </c:dPt>
          <c:dPt>
            <c:idx val="5"/>
            <c:bubble3D val="0"/>
            <c:spPr>
              <a:solidFill>
                <a:schemeClr val="accent6"/>
              </a:solidFill>
              <a:ln w="19050">
                <a:noFill/>
              </a:ln>
              <a:effectLst/>
            </c:spPr>
            <c:extLst>
              <c:ext xmlns:c16="http://schemas.microsoft.com/office/drawing/2014/chart" uri="{C3380CC4-5D6E-409C-BE32-E72D297353CC}">
                <c16:uniqueId val="{0000000B-47FB-45F2-9B52-F9A3E32CA709}"/>
              </c:ext>
            </c:extLst>
          </c:dPt>
          <c:dPt>
            <c:idx val="6"/>
            <c:bubble3D val="0"/>
            <c:spPr>
              <a:solidFill>
                <a:schemeClr val="accent1">
                  <a:lumMod val="60000"/>
                  <a:lumOff val="40000"/>
                </a:schemeClr>
              </a:solidFill>
              <a:ln w="19050">
                <a:noFill/>
              </a:ln>
              <a:effectLst/>
            </c:spPr>
            <c:extLst>
              <c:ext xmlns:c16="http://schemas.microsoft.com/office/drawing/2014/chart" uri="{C3380CC4-5D6E-409C-BE32-E72D297353CC}">
                <c16:uniqueId val="{0000000D-47FB-45F2-9B52-F9A3E32CA709}"/>
              </c:ext>
            </c:extLst>
          </c:dPt>
          <c:dPt>
            <c:idx val="7"/>
            <c:bubble3D val="0"/>
            <c:spPr>
              <a:solidFill>
                <a:schemeClr val="accent6">
                  <a:lumMod val="60000"/>
                  <a:lumOff val="40000"/>
                </a:schemeClr>
              </a:solidFill>
              <a:ln w="19050">
                <a:noFill/>
              </a:ln>
              <a:effectLst/>
            </c:spPr>
            <c:extLst>
              <c:ext xmlns:c16="http://schemas.microsoft.com/office/drawing/2014/chart" uri="{C3380CC4-5D6E-409C-BE32-E72D297353CC}">
                <c16:uniqueId val="{0000000F-47FB-45F2-9B52-F9A3E32CA709}"/>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Lauksaimniecība, mežsaimniecība, zivsaimniecība</c:v>
                </c:pt>
                <c:pt idx="1">
                  <c:v>Apstrādes rūpniecība</c:v>
                </c:pt>
                <c:pt idx="2">
                  <c:v>Pārējā rūpniecība</c:v>
                </c:pt>
                <c:pt idx="3">
                  <c:v>Būvniecība</c:v>
                </c:pt>
                <c:pt idx="4">
                  <c:v>Tirdzniecība, izmitināšana</c:v>
                </c:pt>
                <c:pt idx="5">
                  <c:v>Transports un uzglabāšana</c:v>
                </c:pt>
                <c:pt idx="6">
                  <c:v>Citi komercpakalpojumi</c:v>
                </c:pt>
                <c:pt idx="7">
                  <c:v>Sabiedriskie pakalpojumi</c:v>
                </c:pt>
              </c:strCache>
            </c:strRef>
          </c:cat>
          <c:val>
            <c:numRef>
              <c:f>Sheet1!$B$2:$B$9</c:f>
              <c:numCache>
                <c:formatCode>0%</c:formatCode>
                <c:ptCount val="8"/>
                <c:pt idx="0">
                  <c:v>6.7066274598507114E-2</c:v>
                </c:pt>
                <c:pt idx="1">
                  <c:v>0.12632888486767699</c:v>
                </c:pt>
                <c:pt idx="2">
                  <c:v>2.3524089572494907E-2</c:v>
                </c:pt>
                <c:pt idx="3">
                  <c:v>7.9506898891653466E-2</c:v>
                </c:pt>
                <c:pt idx="4">
                  <c:v>0.1771092513006107</c:v>
                </c:pt>
                <c:pt idx="5">
                  <c:v>8.2786699841664785E-2</c:v>
                </c:pt>
                <c:pt idx="6">
                  <c:v>0.21273467541280255</c:v>
                </c:pt>
                <c:pt idx="7">
                  <c:v>0.23094322551458946</c:v>
                </c:pt>
              </c:numCache>
            </c:numRef>
          </c:val>
          <c:extLst>
            <c:ext xmlns:c16="http://schemas.microsoft.com/office/drawing/2014/chart" uri="{C3380CC4-5D6E-409C-BE32-E72D297353CC}">
              <c16:uniqueId val="{00000010-47FB-45F2-9B52-F9A3E32CA709}"/>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992125984251968E-2"/>
          <c:y val="0.35159817351598172"/>
          <c:w val="4.7244094488188976E-2"/>
          <c:h val="4.1095890410958902E-2"/>
        </c:manualLayout>
      </c:layout>
      <c:pieChart>
        <c:varyColors val="1"/>
        <c:ser>
          <c:idx val="0"/>
          <c:order val="0"/>
          <c:tx>
            <c:strRef>
              <c:f>Sheet1!$B$1</c:f>
              <c:strCache>
                <c:ptCount val="1"/>
                <c:pt idx="0">
                  <c:v>2021</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CA37-4DE4-87DE-5A5ABAC79FCC}"/>
              </c:ext>
            </c:extLst>
          </c:dPt>
          <c:dPt>
            <c:idx val="1"/>
            <c:bubble3D val="0"/>
            <c:spPr>
              <a:solidFill>
                <a:schemeClr val="accent2"/>
              </a:solidFill>
              <a:ln w="19050">
                <a:noFill/>
              </a:ln>
              <a:effectLst/>
            </c:spPr>
            <c:extLst>
              <c:ext xmlns:c16="http://schemas.microsoft.com/office/drawing/2014/chart" uri="{C3380CC4-5D6E-409C-BE32-E72D297353CC}">
                <c16:uniqueId val="{00000003-CA37-4DE4-87DE-5A5ABAC79FCC}"/>
              </c:ext>
            </c:extLst>
          </c:dPt>
          <c:dPt>
            <c:idx val="2"/>
            <c:bubble3D val="0"/>
            <c:spPr>
              <a:solidFill>
                <a:schemeClr val="accent3"/>
              </a:solidFill>
              <a:ln w="19050">
                <a:noFill/>
              </a:ln>
              <a:effectLst/>
            </c:spPr>
            <c:extLst>
              <c:ext xmlns:c16="http://schemas.microsoft.com/office/drawing/2014/chart" uri="{C3380CC4-5D6E-409C-BE32-E72D297353CC}">
                <c16:uniqueId val="{00000005-CA37-4DE4-87DE-5A5ABAC79FCC}"/>
              </c:ext>
            </c:extLst>
          </c:dPt>
          <c:dPt>
            <c:idx val="3"/>
            <c:bubble3D val="0"/>
            <c:spPr>
              <a:solidFill>
                <a:schemeClr val="accent4"/>
              </a:solidFill>
              <a:ln w="19050">
                <a:noFill/>
              </a:ln>
              <a:effectLst/>
            </c:spPr>
            <c:extLst>
              <c:ext xmlns:c16="http://schemas.microsoft.com/office/drawing/2014/chart" uri="{C3380CC4-5D6E-409C-BE32-E72D297353CC}">
                <c16:uniqueId val="{00000007-CA37-4DE4-87DE-5A5ABAC79FCC}"/>
              </c:ext>
            </c:extLst>
          </c:dPt>
          <c:dPt>
            <c:idx val="4"/>
            <c:bubble3D val="0"/>
            <c:spPr>
              <a:solidFill>
                <a:schemeClr val="accent5"/>
              </a:solidFill>
              <a:ln w="19050">
                <a:noFill/>
              </a:ln>
              <a:effectLst/>
            </c:spPr>
            <c:extLst>
              <c:ext xmlns:c16="http://schemas.microsoft.com/office/drawing/2014/chart" uri="{C3380CC4-5D6E-409C-BE32-E72D297353CC}">
                <c16:uniqueId val="{00000009-CA37-4DE4-87DE-5A5ABAC79FCC}"/>
              </c:ext>
            </c:extLst>
          </c:dPt>
          <c:dPt>
            <c:idx val="5"/>
            <c:bubble3D val="0"/>
            <c:spPr>
              <a:solidFill>
                <a:schemeClr val="accent6"/>
              </a:solidFill>
              <a:ln w="19050">
                <a:noFill/>
              </a:ln>
              <a:effectLst/>
            </c:spPr>
            <c:extLst>
              <c:ext xmlns:c16="http://schemas.microsoft.com/office/drawing/2014/chart" uri="{C3380CC4-5D6E-409C-BE32-E72D297353CC}">
                <c16:uniqueId val="{0000000B-CA37-4DE4-87DE-5A5ABAC79FCC}"/>
              </c:ext>
            </c:extLst>
          </c:dPt>
          <c:dPt>
            <c:idx val="6"/>
            <c:bubble3D val="0"/>
            <c:spPr>
              <a:solidFill>
                <a:schemeClr val="accent1">
                  <a:lumMod val="60000"/>
                  <a:lumOff val="40000"/>
                </a:schemeClr>
              </a:solidFill>
              <a:ln w="19050">
                <a:noFill/>
              </a:ln>
              <a:effectLst/>
            </c:spPr>
            <c:extLst>
              <c:ext xmlns:c16="http://schemas.microsoft.com/office/drawing/2014/chart" uri="{C3380CC4-5D6E-409C-BE32-E72D297353CC}">
                <c16:uniqueId val="{0000000D-CA37-4DE4-87DE-5A5ABAC79FCC}"/>
              </c:ext>
            </c:extLst>
          </c:dPt>
          <c:dPt>
            <c:idx val="7"/>
            <c:bubble3D val="0"/>
            <c:spPr>
              <a:solidFill>
                <a:schemeClr val="accent6">
                  <a:lumMod val="60000"/>
                  <a:lumOff val="40000"/>
                </a:schemeClr>
              </a:solidFill>
              <a:ln w="19050">
                <a:noFill/>
              </a:ln>
              <a:effectLst/>
            </c:spPr>
            <c:extLst>
              <c:ext xmlns:c16="http://schemas.microsoft.com/office/drawing/2014/chart" uri="{C3380CC4-5D6E-409C-BE32-E72D297353CC}">
                <c16:uniqueId val="{0000000F-CA37-4DE4-87DE-5A5ABAC79FCC}"/>
              </c:ext>
            </c:extLst>
          </c:dPt>
          <c:dLbls>
            <c:delete val="1"/>
          </c:dLbls>
          <c:cat>
            <c:strRef>
              <c:f>Sheet1!$A$2:$A$9</c:f>
              <c:strCache>
                <c:ptCount val="8"/>
                <c:pt idx="0">
                  <c:v>Lauksaimniecība, mežsaimniecība, zivsaimniecība</c:v>
                </c:pt>
                <c:pt idx="1">
                  <c:v>Apstrādes rūpniecība</c:v>
                </c:pt>
                <c:pt idx="2">
                  <c:v>Pārējā rūpniecība</c:v>
                </c:pt>
                <c:pt idx="3">
                  <c:v>Būvniecība</c:v>
                </c:pt>
                <c:pt idx="4">
                  <c:v>Tirdzniecība, izmitināšana</c:v>
                </c:pt>
                <c:pt idx="5">
                  <c:v>Transports un uzglabāšana</c:v>
                </c:pt>
                <c:pt idx="6">
                  <c:v>Citi komercpakalpojumi</c:v>
                </c:pt>
                <c:pt idx="7">
                  <c:v>Sabiedriskie pakalpojumi</c:v>
                </c:pt>
              </c:strCache>
            </c:strRef>
          </c:cat>
          <c:val>
            <c:numRef>
              <c:f>Sheet1!$B$2:$B$9</c:f>
              <c:numCache>
                <c:formatCode>0%</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10-CA37-4DE4-87DE-5A5ABAC79FCC}"/>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2.1063717746182202E-2"/>
          <c:y val="8.9186981479114644E-4"/>
          <c:w val="0.97157642024604762"/>
          <c:h val="0.9579211648317715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8043904351235E-2"/>
          <c:y val="9.3276246256091669E-2"/>
          <c:w val="0.89677230173746891"/>
          <c:h val="0.80722164493023396"/>
        </c:manualLayout>
      </c:layout>
      <c:pieChart>
        <c:varyColors val="1"/>
        <c:ser>
          <c:idx val="0"/>
          <c:order val="0"/>
          <c:tx>
            <c:strRef>
              <c:f>Sheet1!$B$1</c:f>
              <c:strCache>
                <c:ptCount val="1"/>
                <c:pt idx="0">
                  <c:v>2025</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00F4-4255-9E9B-F199B6A97C7C}"/>
              </c:ext>
            </c:extLst>
          </c:dPt>
          <c:dPt>
            <c:idx val="1"/>
            <c:bubble3D val="0"/>
            <c:spPr>
              <a:solidFill>
                <a:schemeClr val="accent2"/>
              </a:solidFill>
              <a:ln w="19050">
                <a:noFill/>
              </a:ln>
              <a:effectLst/>
            </c:spPr>
            <c:extLst>
              <c:ext xmlns:c16="http://schemas.microsoft.com/office/drawing/2014/chart" uri="{C3380CC4-5D6E-409C-BE32-E72D297353CC}">
                <c16:uniqueId val="{00000003-00F4-4255-9E9B-F199B6A97C7C}"/>
              </c:ext>
            </c:extLst>
          </c:dPt>
          <c:dPt>
            <c:idx val="2"/>
            <c:bubble3D val="0"/>
            <c:spPr>
              <a:solidFill>
                <a:schemeClr val="accent3"/>
              </a:solidFill>
              <a:ln w="19050">
                <a:noFill/>
              </a:ln>
              <a:effectLst/>
            </c:spPr>
            <c:extLst>
              <c:ext xmlns:c16="http://schemas.microsoft.com/office/drawing/2014/chart" uri="{C3380CC4-5D6E-409C-BE32-E72D297353CC}">
                <c16:uniqueId val="{00000005-00F4-4255-9E9B-F199B6A97C7C}"/>
              </c:ext>
            </c:extLst>
          </c:dPt>
          <c:dPt>
            <c:idx val="3"/>
            <c:bubble3D val="0"/>
            <c:spPr>
              <a:solidFill>
                <a:schemeClr val="accent4"/>
              </a:solidFill>
              <a:ln w="19050">
                <a:noFill/>
              </a:ln>
              <a:effectLst/>
            </c:spPr>
            <c:extLst>
              <c:ext xmlns:c16="http://schemas.microsoft.com/office/drawing/2014/chart" uri="{C3380CC4-5D6E-409C-BE32-E72D297353CC}">
                <c16:uniqueId val="{00000007-00F4-4255-9E9B-F199B6A97C7C}"/>
              </c:ext>
            </c:extLst>
          </c:dPt>
          <c:dPt>
            <c:idx val="4"/>
            <c:bubble3D val="0"/>
            <c:spPr>
              <a:solidFill>
                <a:schemeClr val="accent5"/>
              </a:solidFill>
              <a:ln w="19050">
                <a:noFill/>
              </a:ln>
              <a:effectLst/>
            </c:spPr>
            <c:extLst>
              <c:ext xmlns:c16="http://schemas.microsoft.com/office/drawing/2014/chart" uri="{C3380CC4-5D6E-409C-BE32-E72D297353CC}">
                <c16:uniqueId val="{00000009-00F4-4255-9E9B-F199B6A97C7C}"/>
              </c:ext>
            </c:extLst>
          </c:dPt>
          <c:dPt>
            <c:idx val="5"/>
            <c:bubble3D val="0"/>
            <c:spPr>
              <a:solidFill>
                <a:schemeClr val="accent6"/>
              </a:solidFill>
              <a:ln w="19050">
                <a:noFill/>
              </a:ln>
              <a:effectLst/>
            </c:spPr>
            <c:extLst>
              <c:ext xmlns:c16="http://schemas.microsoft.com/office/drawing/2014/chart" uri="{C3380CC4-5D6E-409C-BE32-E72D297353CC}">
                <c16:uniqueId val="{0000000B-00F4-4255-9E9B-F199B6A97C7C}"/>
              </c:ext>
            </c:extLst>
          </c:dPt>
          <c:dPt>
            <c:idx val="6"/>
            <c:bubble3D val="0"/>
            <c:spPr>
              <a:solidFill>
                <a:schemeClr val="accent1">
                  <a:lumMod val="60000"/>
                  <a:lumOff val="40000"/>
                </a:schemeClr>
              </a:solidFill>
              <a:ln w="19050">
                <a:noFill/>
              </a:ln>
              <a:effectLst/>
            </c:spPr>
            <c:extLst>
              <c:ext xmlns:c16="http://schemas.microsoft.com/office/drawing/2014/chart" uri="{C3380CC4-5D6E-409C-BE32-E72D297353CC}">
                <c16:uniqueId val="{0000000D-00F4-4255-9E9B-F199B6A97C7C}"/>
              </c:ext>
            </c:extLst>
          </c:dPt>
          <c:dPt>
            <c:idx val="7"/>
            <c:bubble3D val="0"/>
            <c:spPr>
              <a:solidFill>
                <a:schemeClr val="accent6">
                  <a:lumMod val="60000"/>
                  <a:lumOff val="40000"/>
                </a:schemeClr>
              </a:solidFill>
              <a:ln w="19050">
                <a:noFill/>
              </a:ln>
              <a:effectLst/>
            </c:spPr>
            <c:extLst>
              <c:ext xmlns:c16="http://schemas.microsoft.com/office/drawing/2014/chart" uri="{C3380CC4-5D6E-409C-BE32-E72D297353CC}">
                <c16:uniqueId val="{0000000F-00F4-4255-9E9B-F199B6A97C7C}"/>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Lauksaimniecība, mežsaimniecība, zivsaimniecība</c:v>
                </c:pt>
                <c:pt idx="1">
                  <c:v>Apstrādes rūpniecība</c:v>
                </c:pt>
                <c:pt idx="2">
                  <c:v>Pārējā rūpniecība</c:v>
                </c:pt>
                <c:pt idx="3">
                  <c:v>Būvniecība</c:v>
                </c:pt>
                <c:pt idx="4">
                  <c:v>Tirdzniecība, izmitināšana</c:v>
                </c:pt>
                <c:pt idx="5">
                  <c:v>Transports un uzglabāšana</c:v>
                </c:pt>
                <c:pt idx="6">
                  <c:v>Citi komercpakalpojumi</c:v>
                </c:pt>
                <c:pt idx="7">
                  <c:v>Sabiedriskie pakalpojumi</c:v>
                </c:pt>
              </c:strCache>
            </c:strRef>
          </c:cat>
          <c:val>
            <c:numRef>
              <c:f>Sheet1!$B$2:$B$9</c:f>
              <c:numCache>
                <c:formatCode>0%</c:formatCode>
                <c:ptCount val="8"/>
                <c:pt idx="0">
                  <c:v>6.8055712829804105E-2</c:v>
                </c:pt>
                <c:pt idx="1">
                  <c:v>0.12308911788019476</c:v>
                </c:pt>
                <c:pt idx="2">
                  <c:v>2.2647491790284208E-2</c:v>
                </c:pt>
                <c:pt idx="3">
                  <c:v>7.0320462008832518E-2</c:v>
                </c:pt>
                <c:pt idx="4">
                  <c:v>0.17687691088211979</c:v>
                </c:pt>
                <c:pt idx="5">
                  <c:v>7.1792548975200987E-2</c:v>
                </c:pt>
                <c:pt idx="6">
                  <c:v>0.22488959347752238</c:v>
                </c:pt>
                <c:pt idx="7">
                  <c:v>0.24232816215604122</c:v>
                </c:pt>
              </c:numCache>
            </c:numRef>
          </c:val>
          <c:extLst>
            <c:ext xmlns:c16="http://schemas.microsoft.com/office/drawing/2014/chart" uri="{C3380CC4-5D6E-409C-BE32-E72D297353CC}">
              <c16:uniqueId val="{00000010-00F4-4255-9E9B-F199B6A97C7C}"/>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267923534139999E-2"/>
          <c:y val="3.8806557589592686E-2"/>
          <c:w val="0.95293745502706684"/>
          <c:h val="0.69099685826540136"/>
        </c:manualLayout>
      </c:layout>
      <c:barChart>
        <c:barDir val="col"/>
        <c:grouping val="stacked"/>
        <c:varyColors val="0"/>
        <c:ser>
          <c:idx val="0"/>
          <c:order val="0"/>
          <c:tx>
            <c:strRef>
              <c:f>'Sheet 1'!$B$2</c:f>
              <c:strCache>
                <c:ptCount val="1"/>
                <c:pt idx="0">
                  <c:v>Zināšanu ietilpīgie pakalpojumi</c:v>
                </c:pt>
              </c:strCache>
            </c:strRef>
          </c:tx>
          <c:spPr>
            <a:solidFill>
              <a:srgbClr val="006666"/>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Segoe UI Light" panose="020B0502040204020203" pitchFamily="34" charset="0"/>
                    <a:ea typeface="+mn-ea"/>
                    <a:cs typeface="Segoe UI Light" panose="020B0502040204020203"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1'!$A$3:$A$29</c:f>
              <c:strCache>
                <c:ptCount val="27"/>
                <c:pt idx="0">
                  <c:v>Čehija</c:v>
                </c:pt>
                <c:pt idx="1">
                  <c:v>Ungārija</c:v>
                </c:pt>
                <c:pt idx="2">
                  <c:v>Slovēnija</c:v>
                </c:pt>
                <c:pt idx="3">
                  <c:v>Vācija</c:v>
                </c:pt>
                <c:pt idx="4">
                  <c:v>Slovākija</c:v>
                </c:pt>
                <c:pt idx="5">
                  <c:v>Īrija</c:v>
                </c:pt>
                <c:pt idx="6">
                  <c:v>Zviedrija</c:v>
                </c:pt>
                <c:pt idx="7">
                  <c:v>Igaunija</c:v>
                </c:pt>
                <c:pt idx="8">
                  <c:v>Somija</c:v>
                </c:pt>
                <c:pt idx="9">
                  <c:v>Austrja</c:v>
                </c:pt>
                <c:pt idx="10">
                  <c:v>Rumānija</c:v>
                </c:pt>
                <c:pt idx="11">
                  <c:v>Bulgārija</c:v>
                </c:pt>
                <c:pt idx="12">
                  <c:v>Polija</c:v>
                </c:pt>
                <c:pt idx="13">
                  <c:v>Dānija</c:v>
                </c:pt>
                <c:pt idx="14">
                  <c:v>Itālija</c:v>
                </c:pt>
                <c:pt idx="15">
                  <c:v>Latvija</c:v>
                </c:pt>
                <c:pt idx="16">
                  <c:v>Francija</c:v>
                </c:pt>
                <c:pt idx="17">
                  <c:v>Lietuva</c:v>
                </c:pt>
                <c:pt idx="18">
                  <c:v>Horvātija</c:v>
                </c:pt>
                <c:pt idx="19">
                  <c:v>Malta</c:v>
                </c:pt>
                <c:pt idx="20">
                  <c:v>Nīderlande</c:v>
                </c:pt>
                <c:pt idx="21">
                  <c:v>Beļģija</c:v>
                </c:pt>
                <c:pt idx="22">
                  <c:v>Spānija</c:v>
                </c:pt>
                <c:pt idx="23">
                  <c:v>Luksemburga</c:v>
                </c:pt>
                <c:pt idx="24">
                  <c:v>Portugāle</c:v>
                </c:pt>
                <c:pt idx="25">
                  <c:v>Kipra</c:v>
                </c:pt>
                <c:pt idx="26">
                  <c:v>Grieķija</c:v>
                </c:pt>
              </c:strCache>
            </c:strRef>
          </c:cat>
          <c:val>
            <c:numRef>
              <c:f>'Sheet 1'!$B$3:$B$29</c:f>
              <c:numCache>
                <c:formatCode>General</c:formatCode>
                <c:ptCount val="27"/>
                <c:pt idx="0">
                  <c:v>3.58</c:v>
                </c:pt>
                <c:pt idx="1">
                  <c:v>4.1399999999999997</c:v>
                </c:pt>
                <c:pt idx="2">
                  <c:v>3.87</c:v>
                </c:pt>
                <c:pt idx="3">
                  <c:v>3.52</c:v>
                </c:pt>
                <c:pt idx="4">
                  <c:v>3.33</c:v>
                </c:pt>
                <c:pt idx="5">
                  <c:v>6.56</c:v>
                </c:pt>
                <c:pt idx="6">
                  <c:v>4.8600000000000003</c:v>
                </c:pt>
                <c:pt idx="7">
                  <c:v>5.17</c:v>
                </c:pt>
                <c:pt idx="8">
                  <c:v>4.54</c:v>
                </c:pt>
                <c:pt idx="9">
                  <c:v>3.24</c:v>
                </c:pt>
                <c:pt idx="10">
                  <c:v>2.34</c:v>
                </c:pt>
                <c:pt idx="11">
                  <c:v>4.0599999999999996</c:v>
                </c:pt>
                <c:pt idx="12">
                  <c:v>2.94</c:v>
                </c:pt>
                <c:pt idx="13">
                  <c:v>3.73</c:v>
                </c:pt>
                <c:pt idx="14">
                  <c:v>2.96</c:v>
                </c:pt>
                <c:pt idx="15">
                  <c:v>4.45</c:v>
                </c:pt>
                <c:pt idx="16">
                  <c:v>4.7</c:v>
                </c:pt>
                <c:pt idx="17">
                  <c:v>4.2</c:v>
                </c:pt>
                <c:pt idx="18">
                  <c:v>3.03</c:v>
                </c:pt>
                <c:pt idx="19">
                  <c:v>4.41</c:v>
                </c:pt>
                <c:pt idx="20">
                  <c:v>3.85</c:v>
                </c:pt>
                <c:pt idx="21">
                  <c:v>2.89</c:v>
                </c:pt>
                <c:pt idx="22">
                  <c:v>3.14</c:v>
                </c:pt>
                <c:pt idx="23">
                  <c:v>4.0599999999999996</c:v>
                </c:pt>
                <c:pt idx="24">
                  <c:v>2.84</c:v>
                </c:pt>
                <c:pt idx="25">
                  <c:v>3.28</c:v>
                </c:pt>
                <c:pt idx="26">
                  <c:v>2.33</c:v>
                </c:pt>
              </c:numCache>
            </c:numRef>
          </c:val>
          <c:extLst>
            <c:ext xmlns:c16="http://schemas.microsoft.com/office/drawing/2014/chart" uri="{C3380CC4-5D6E-409C-BE32-E72D297353CC}">
              <c16:uniqueId val="{00000000-17F3-416C-979A-B5126EFE5CF2}"/>
            </c:ext>
          </c:extLst>
        </c:ser>
        <c:ser>
          <c:idx val="2"/>
          <c:order val="1"/>
          <c:tx>
            <c:strRef>
              <c:f>'Sheet 1'!$D$2</c:f>
              <c:strCache>
                <c:ptCount val="1"/>
                <c:pt idx="0">
                  <c:v>Augsto tehnoloģiju rūpniecība</c:v>
                </c:pt>
              </c:strCache>
            </c:strRef>
          </c:tx>
          <c:spPr>
            <a:solidFill>
              <a:srgbClr val="92B7C4"/>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1'!$A$3:$A$29</c:f>
              <c:strCache>
                <c:ptCount val="27"/>
                <c:pt idx="0">
                  <c:v>Čehija</c:v>
                </c:pt>
                <c:pt idx="1">
                  <c:v>Ungārija</c:v>
                </c:pt>
                <c:pt idx="2">
                  <c:v>Slovēnija</c:v>
                </c:pt>
                <c:pt idx="3">
                  <c:v>Vācija</c:v>
                </c:pt>
                <c:pt idx="4">
                  <c:v>Slovākija</c:v>
                </c:pt>
                <c:pt idx="5">
                  <c:v>Īrija</c:v>
                </c:pt>
                <c:pt idx="6">
                  <c:v>Zviedrija</c:v>
                </c:pt>
                <c:pt idx="7">
                  <c:v>Igaunija</c:v>
                </c:pt>
                <c:pt idx="8">
                  <c:v>Somija</c:v>
                </c:pt>
                <c:pt idx="9">
                  <c:v>Austrja</c:v>
                </c:pt>
                <c:pt idx="10">
                  <c:v>Rumānija</c:v>
                </c:pt>
                <c:pt idx="11">
                  <c:v>Bulgārija</c:v>
                </c:pt>
                <c:pt idx="12">
                  <c:v>Polija</c:v>
                </c:pt>
                <c:pt idx="13">
                  <c:v>Dānija</c:v>
                </c:pt>
                <c:pt idx="14">
                  <c:v>Itālija</c:v>
                </c:pt>
                <c:pt idx="15">
                  <c:v>Latvija</c:v>
                </c:pt>
                <c:pt idx="16">
                  <c:v>Francija</c:v>
                </c:pt>
                <c:pt idx="17">
                  <c:v>Lietuva</c:v>
                </c:pt>
                <c:pt idx="18">
                  <c:v>Horvātija</c:v>
                </c:pt>
                <c:pt idx="19">
                  <c:v>Malta</c:v>
                </c:pt>
                <c:pt idx="20">
                  <c:v>Nīderlande</c:v>
                </c:pt>
                <c:pt idx="21">
                  <c:v>Beļģija</c:v>
                </c:pt>
                <c:pt idx="22">
                  <c:v>Spānija</c:v>
                </c:pt>
                <c:pt idx="23">
                  <c:v>Luksemburga</c:v>
                </c:pt>
                <c:pt idx="24">
                  <c:v>Portugāle</c:v>
                </c:pt>
                <c:pt idx="25">
                  <c:v>Kipra</c:v>
                </c:pt>
                <c:pt idx="26">
                  <c:v>Grieķija</c:v>
                </c:pt>
              </c:strCache>
            </c:strRef>
          </c:cat>
          <c:val>
            <c:numRef>
              <c:f>'Sheet 1'!$D$3:$D$29</c:f>
              <c:numCache>
                <c:formatCode>General</c:formatCode>
                <c:ptCount val="27"/>
                <c:pt idx="0">
                  <c:v>10.48</c:v>
                </c:pt>
                <c:pt idx="1">
                  <c:v>7.67</c:v>
                </c:pt>
                <c:pt idx="2">
                  <c:v>7.62</c:v>
                </c:pt>
                <c:pt idx="3">
                  <c:v>7.75</c:v>
                </c:pt>
                <c:pt idx="4">
                  <c:v>7.76</c:v>
                </c:pt>
                <c:pt idx="5">
                  <c:v>4.1900000000000004</c:v>
                </c:pt>
                <c:pt idx="6">
                  <c:v>4.84</c:v>
                </c:pt>
                <c:pt idx="7">
                  <c:v>4.3</c:v>
                </c:pt>
                <c:pt idx="8">
                  <c:v>4.6900000000000004</c:v>
                </c:pt>
                <c:pt idx="9">
                  <c:v>5.51</c:v>
                </c:pt>
                <c:pt idx="10">
                  <c:v>5.78</c:v>
                </c:pt>
                <c:pt idx="11">
                  <c:v>4.05</c:v>
                </c:pt>
                <c:pt idx="12">
                  <c:v>5.14</c:v>
                </c:pt>
                <c:pt idx="13">
                  <c:v>4.01</c:v>
                </c:pt>
                <c:pt idx="14">
                  <c:v>4.7</c:v>
                </c:pt>
                <c:pt idx="15">
                  <c:v>2.5</c:v>
                </c:pt>
                <c:pt idx="16">
                  <c:v>2.2400000000000002</c:v>
                </c:pt>
                <c:pt idx="17">
                  <c:v>2.69</c:v>
                </c:pt>
                <c:pt idx="18">
                  <c:v>3.75</c:v>
                </c:pt>
                <c:pt idx="19">
                  <c:v>2.2400000000000002</c:v>
                </c:pt>
                <c:pt idx="20">
                  <c:v>2.52</c:v>
                </c:pt>
                <c:pt idx="21">
                  <c:v>3.27</c:v>
                </c:pt>
                <c:pt idx="22">
                  <c:v>2.74</c:v>
                </c:pt>
                <c:pt idx="23">
                  <c:v>1.56</c:v>
                </c:pt>
                <c:pt idx="24">
                  <c:v>2.62</c:v>
                </c:pt>
                <c:pt idx="25">
                  <c:v>0.92</c:v>
                </c:pt>
                <c:pt idx="26">
                  <c:v>1.21</c:v>
                </c:pt>
              </c:numCache>
            </c:numRef>
          </c:val>
          <c:extLst>
            <c:ext xmlns:c16="http://schemas.microsoft.com/office/drawing/2014/chart" uri="{C3380CC4-5D6E-409C-BE32-E72D297353CC}">
              <c16:uniqueId val="{00000001-17F3-416C-979A-B5126EFE5CF2}"/>
            </c:ext>
          </c:extLst>
        </c:ser>
        <c:dLbls>
          <c:showLegendKey val="0"/>
          <c:showVal val="0"/>
          <c:showCatName val="0"/>
          <c:showSerName val="0"/>
          <c:showPercent val="0"/>
          <c:showBubbleSize val="0"/>
        </c:dLbls>
        <c:gapWidth val="40"/>
        <c:overlap val="100"/>
        <c:axId val="742054224"/>
        <c:axId val="742051872"/>
      </c:barChart>
      <c:catAx>
        <c:axId val="742054224"/>
        <c:scaling>
          <c:orientation val="minMax"/>
        </c:scaling>
        <c:delete val="0"/>
        <c:axPos val="b"/>
        <c:numFmt formatCode="General" sourceLinked="1"/>
        <c:majorTickMark val="none"/>
        <c:minorTickMark val="none"/>
        <c:tickLblPos val="nextTo"/>
        <c:spPr>
          <a:noFill/>
          <a:ln w="6350" cap="flat" cmpd="sng" algn="ctr">
            <a:solidFill>
              <a:schemeClr val="bg1">
                <a:lumMod val="7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51872"/>
        <c:crosses val="autoZero"/>
        <c:auto val="1"/>
        <c:lblAlgn val="ctr"/>
        <c:lblOffset val="100"/>
        <c:noMultiLvlLbl val="0"/>
      </c:catAx>
      <c:valAx>
        <c:axId val="742051872"/>
        <c:scaling>
          <c:orientation val="minMax"/>
          <c:max val="15"/>
          <c:min val="0"/>
        </c:scaling>
        <c:delete val="0"/>
        <c:axPos val="l"/>
        <c:numFmt formatCode="General" sourceLinked="1"/>
        <c:majorTickMark val="none"/>
        <c:minorTickMark val="none"/>
        <c:tickLblPos val="nextTo"/>
        <c:spPr>
          <a:noFill/>
          <a:ln w="6350">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54224"/>
        <c:crosses val="autoZero"/>
        <c:crossBetween val="between"/>
        <c:majorUnit val="5"/>
      </c:valAx>
      <c:spPr>
        <a:noFill/>
        <a:ln w="25400">
          <a:noFill/>
        </a:ln>
        <a:effectLst/>
      </c:spPr>
    </c:plotArea>
    <c:legend>
      <c:legendPos val="b"/>
      <c:layout>
        <c:manualLayout>
          <c:xMode val="edge"/>
          <c:yMode val="edge"/>
          <c:x val="0.60927524059492566"/>
          <c:y val="0.23920234580052499"/>
          <c:w val="0.36800664916885389"/>
          <c:h val="0.1417523786089238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031703186392842E-3"/>
          <c:y val="2.7647633709547204E-2"/>
          <c:w val="0.98593759026491812"/>
          <c:h val="0.33665650137443903"/>
        </c:manualLayout>
      </c:layout>
      <c:barChart>
        <c:barDir val="col"/>
        <c:grouping val="clustered"/>
        <c:varyColors val="0"/>
        <c:ser>
          <c:idx val="0"/>
          <c:order val="0"/>
          <c:spPr>
            <a:solidFill>
              <a:schemeClr val="accent2">
                <a:lumMod val="75000"/>
              </a:schemeClr>
            </a:solidFill>
          </c:spPr>
          <c:invertIfNegative val="0"/>
          <c:dPt>
            <c:idx val="0"/>
            <c:invertIfNegative val="0"/>
            <c:bubble3D val="0"/>
            <c:spPr>
              <a:solidFill>
                <a:srgbClr val="C00000"/>
              </a:solidFill>
            </c:spPr>
            <c:extLst>
              <c:ext xmlns:c16="http://schemas.microsoft.com/office/drawing/2014/chart" uri="{C3380CC4-5D6E-409C-BE32-E72D297353CC}">
                <c16:uniqueId val="{00000001-B955-49AD-8181-EA0A03DF3C9B}"/>
              </c:ext>
            </c:extLst>
          </c:dPt>
          <c:dPt>
            <c:idx val="1"/>
            <c:invertIfNegative val="0"/>
            <c:bubble3D val="0"/>
            <c:spPr>
              <a:solidFill>
                <a:srgbClr val="C00000"/>
              </a:solidFill>
            </c:spPr>
            <c:extLst>
              <c:ext xmlns:c16="http://schemas.microsoft.com/office/drawing/2014/chart" uri="{C3380CC4-5D6E-409C-BE32-E72D297353CC}">
                <c16:uniqueId val="{00000003-B955-49AD-8181-EA0A03DF3C9B}"/>
              </c:ext>
            </c:extLst>
          </c:dPt>
          <c:dPt>
            <c:idx val="2"/>
            <c:invertIfNegative val="0"/>
            <c:bubble3D val="0"/>
            <c:spPr>
              <a:solidFill>
                <a:srgbClr val="C00000"/>
              </a:solidFill>
            </c:spPr>
            <c:extLst>
              <c:ext xmlns:c16="http://schemas.microsoft.com/office/drawing/2014/chart" uri="{C3380CC4-5D6E-409C-BE32-E72D297353CC}">
                <c16:uniqueId val="{00000005-B955-49AD-8181-EA0A03DF3C9B}"/>
              </c:ext>
            </c:extLst>
          </c:dPt>
          <c:dPt>
            <c:idx val="3"/>
            <c:invertIfNegative val="0"/>
            <c:bubble3D val="0"/>
            <c:spPr>
              <a:solidFill>
                <a:srgbClr val="C00000"/>
              </a:solidFill>
            </c:spPr>
            <c:extLst>
              <c:ext xmlns:c16="http://schemas.microsoft.com/office/drawing/2014/chart" uri="{C3380CC4-5D6E-409C-BE32-E72D297353CC}">
                <c16:uniqueId val="{00000007-B955-49AD-8181-EA0A03DF3C9B}"/>
              </c:ext>
            </c:extLst>
          </c:dPt>
          <c:dPt>
            <c:idx val="4"/>
            <c:invertIfNegative val="0"/>
            <c:bubble3D val="0"/>
            <c:spPr>
              <a:solidFill>
                <a:srgbClr val="C00000"/>
              </a:solidFill>
            </c:spPr>
            <c:extLst>
              <c:ext xmlns:c16="http://schemas.microsoft.com/office/drawing/2014/chart" uri="{C3380CC4-5D6E-409C-BE32-E72D297353CC}">
                <c16:uniqueId val="{00000009-B955-49AD-8181-EA0A03DF3C9B}"/>
              </c:ext>
            </c:extLst>
          </c:dPt>
          <c:dPt>
            <c:idx val="5"/>
            <c:invertIfNegative val="0"/>
            <c:bubble3D val="0"/>
            <c:spPr>
              <a:solidFill>
                <a:srgbClr val="C00000"/>
              </a:solidFill>
            </c:spPr>
            <c:extLst>
              <c:ext xmlns:c16="http://schemas.microsoft.com/office/drawing/2014/chart" uri="{C3380CC4-5D6E-409C-BE32-E72D297353CC}">
                <c16:uniqueId val="{0000000B-B955-49AD-8181-EA0A03DF3C9B}"/>
              </c:ext>
            </c:extLst>
          </c:dPt>
          <c:dPt>
            <c:idx val="6"/>
            <c:invertIfNegative val="0"/>
            <c:bubble3D val="0"/>
            <c:spPr>
              <a:solidFill>
                <a:srgbClr val="C00000"/>
              </a:solidFill>
            </c:spPr>
            <c:extLst>
              <c:ext xmlns:c16="http://schemas.microsoft.com/office/drawing/2014/chart" uri="{C3380CC4-5D6E-409C-BE32-E72D297353CC}">
                <c16:uniqueId val="{0000000D-B955-49AD-8181-EA0A03DF3C9B}"/>
              </c:ext>
            </c:extLst>
          </c:dPt>
          <c:dPt>
            <c:idx val="8"/>
            <c:invertIfNegative val="0"/>
            <c:bubble3D val="0"/>
            <c:extLst>
              <c:ext xmlns:c16="http://schemas.microsoft.com/office/drawing/2014/chart" uri="{C3380CC4-5D6E-409C-BE32-E72D297353CC}">
                <c16:uniqueId val="{0000000E-B955-49AD-8181-EA0A03DF3C9B}"/>
              </c:ext>
            </c:extLst>
          </c:dPt>
          <c:dPt>
            <c:idx val="10"/>
            <c:invertIfNegative val="0"/>
            <c:bubble3D val="0"/>
            <c:extLst>
              <c:ext xmlns:c16="http://schemas.microsoft.com/office/drawing/2014/chart" uri="{C3380CC4-5D6E-409C-BE32-E72D297353CC}">
                <c16:uniqueId val="{0000000F-B955-49AD-8181-EA0A03DF3C9B}"/>
              </c:ext>
            </c:extLst>
          </c:dPt>
          <c:dPt>
            <c:idx val="11"/>
            <c:invertIfNegative val="0"/>
            <c:bubble3D val="0"/>
            <c:extLst>
              <c:ext xmlns:c16="http://schemas.microsoft.com/office/drawing/2014/chart" uri="{C3380CC4-5D6E-409C-BE32-E72D297353CC}">
                <c16:uniqueId val="{00000010-B955-49AD-8181-EA0A03DF3C9B}"/>
              </c:ext>
            </c:extLst>
          </c:dPt>
          <c:dPt>
            <c:idx val="12"/>
            <c:invertIfNegative val="0"/>
            <c:bubble3D val="0"/>
            <c:extLst>
              <c:ext xmlns:c16="http://schemas.microsoft.com/office/drawing/2014/chart" uri="{C3380CC4-5D6E-409C-BE32-E72D297353CC}">
                <c16:uniqueId val="{00000011-B955-49AD-8181-EA0A03DF3C9B}"/>
              </c:ext>
            </c:extLst>
          </c:dPt>
          <c:dPt>
            <c:idx val="15"/>
            <c:invertIfNegative val="0"/>
            <c:bubble3D val="0"/>
            <c:extLst>
              <c:ext xmlns:c16="http://schemas.microsoft.com/office/drawing/2014/chart" uri="{C3380CC4-5D6E-409C-BE32-E72D297353CC}">
                <c16:uniqueId val="{00000012-B955-49AD-8181-EA0A03DF3C9B}"/>
              </c:ext>
            </c:extLst>
          </c:dPt>
          <c:dPt>
            <c:idx val="16"/>
            <c:invertIfNegative val="0"/>
            <c:bubble3D val="0"/>
            <c:extLst>
              <c:ext xmlns:c16="http://schemas.microsoft.com/office/drawing/2014/chart" uri="{C3380CC4-5D6E-409C-BE32-E72D297353CC}">
                <c16:uniqueId val="{00000013-B955-49AD-8181-EA0A03DF3C9B}"/>
              </c:ext>
            </c:extLst>
          </c:dPt>
          <c:dPt>
            <c:idx val="17"/>
            <c:invertIfNegative val="0"/>
            <c:bubble3D val="0"/>
            <c:extLst>
              <c:ext xmlns:c16="http://schemas.microsoft.com/office/drawing/2014/chart" uri="{C3380CC4-5D6E-409C-BE32-E72D297353CC}">
                <c16:uniqueId val="{00000014-B955-49AD-8181-EA0A03DF3C9B}"/>
              </c:ext>
            </c:extLst>
          </c:dPt>
          <c:dPt>
            <c:idx val="18"/>
            <c:invertIfNegative val="0"/>
            <c:bubble3D val="0"/>
            <c:spPr>
              <a:solidFill>
                <a:schemeClr val="accent6">
                  <a:lumMod val="60000"/>
                  <a:lumOff val="40000"/>
                </a:schemeClr>
              </a:solidFill>
            </c:spPr>
            <c:extLst>
              <c:ext xmlns:c16="http://schemas.microsoft.com/office/drawing/2014/chart" uri="{C3380CC4-5D6E-409C-BE32-E72D297353CC}">
                <c16:uniqueId val="{00000016-B955-49AD-8181-EA0A03DF3C9B}"/>
              </c:ext>
            </c:extLst>
          </c:dPt>
          <c:dPt>
            <c:idx val="19"/>
            <c:invertIfNegative val="0"/>
            <c:bubble3D val="0"/>
            <c:spPr>
              <a:solidFill>
                <a:schemeClr val="accent6">
                  <a:lumMod val="60000"/>
                  <a:lumOff val="40000"/>
                </a:schemeClr>
              </a:solidFill>
            </c:spPr>
            <c:extLst>
              <c:ext xmlns:c16="http://schemas.microsoft.com/office/drawing/2014/chart" uri="{C3380CC4-5D6E-409C-BE32-E72D297353CC}">
                <c16:uniqueId val="{00000018-B955-49AD-8181-EA0A03DF3C9B}"/>
              </c:ext>
            </c:extLst>
          </c:dPt>
          <c:dPt>
            <c:idx val="20"/>
            <c:invertIfNegative val="0"/>
            <c:bubble3D val="0"/>
            <c:spPr>
              <a:solidFill>
                <a:schemeClr val="accent6">
                  <a:lumMod val="60000"/>
                  <a:lumOff val="40000"/>
                </a:schemeClr>
              </a:solidFill>
            </c:spPr>
            <c:extLst>
              <c:ext xmlns:c16="http://schemas.microsoft.com/office/drawing/2014/chart" uri="{C3380CC4-5D6E-409C-BE32-E72D297353CC}">
                <c16:uniqueId val="{0000001A-B955-49AD-8181-EA0A03DF3C9B}"/>
              </c:ext>
            </c:extLst>
          </c:dPt>
          <c:dPt>
            <c:idx val="21"/>
            <c:invertIfNegative val="0"/>
            <c:bubble3D val="0"/>
            <c:spPr>
              <a:solidFill>
                <a:schemeClr val="accent6">
                  <a:lumMod val="60000"/>
                  <a:lumOff val="40000"/>
                </a:schemeClr>
              </a:solidFill>
            </c:spPr>
            <c:extLst>
              <c:ext xmlns:c16="http://schemas.microsoft.com/office/drawing/2014/chart" uri="{C3380CC4-5D6E-409C-BE32-E72D297353CC}">
                <c16:uniqueId val="{0000001C-B955-49AD-8181-EA0A03DF3C9B}"/>
              </c:ext>
            </c:extLst>
          </c:dPt>
          <c:dPt>
            <c:idx val="22"/>
            <c:invertIfNegative val="0"/>
            <c:bubble3D val="0"/>
            <c:spPr>
              <a:solidFill>
                <a:schemeClr val="accent6">
                  <a:lumMod val="60000"/>
                  <a:lumOff val="40000"/>
                </a:schemeClr>
              </a:solidFill>
            </c:spPr>
            <c:extLst>
              <c:ext xmlns:c16="http://schemas.microsoft.com/office/drawing/2014/chart" uri="{C3380CC4-5D6E-409C-BE32-E72D297353CC}">
                <c16:uniqueId val="{0000001E-B955-49AD-8181-EA0A03DF3C9B}"/>
              </c:ext>
            </c:extLst>
          </c:dPt>
          <c:dPt>
            <c:idx val="23"/>
            <c:invertIfNegative val="0"/>
            <c:bubble3D val="0"/>
            <c:spPr>
              <a:solidFill>
                <a:schemeClr val="accent6">
                  <a:lumMod val="60000"/>
                  <a:lumOff val="40000"/>
                </a:schemeClr>
              </a:solidFill>
            </c:spPr>
            <c:extLst>
              <c:ext xmlns:c16="http://schemas.microsoft.com/office/drawing/2014/chart" uri="{C3380CC4-5D6E-409C-BE32-E72D297353CC}">
                <c16:uniqueId val="{00000020-B955-49AD-8181-EA0A03DF3C9B}"/>
              </c:ext>
            </c:extLst>
          </c:dPt>
          <c:dPt>
            <c:idx val="24"/>
            <c:invertIfNegative val="0"/>
            <c:bubble3D val="0"/>
            <c:spPr>
              <a:solidFill>
                <a:schemeClr val="accent6">
                  <a:lumMod val="60000"/>
                  <a:lumOff val="40000"/>
                </a:schemeClr>
              </a:solidFill>
            </c:spPr>
            <c:extLst>
              <c:ext xmlns:c16="http://schemas.microsoft.com/office/drawing/2014/chart" uri="{C3380CC4-5D6E-409C-BE32-E72D297353CC}">
                <c16:uniqueId val="{00000022-B955-49AD-8181-EA0A03DF3C9B}"/>
              </c:ext>
            </c:extLst>
          </c:dPt>
          <c:dPt>
            <c:idx val="25"/>
            <c:invertIfNegative val="0"/>
            <c:bubble3D val="0"/>
            <c:spPr>
              <a:solidFill>
                <a:schemeClr val="accent6">
                  <a:lumMod val="60000"/>
                  <a:lumOff val="40000"/>
                </a:schemeClr>
              </a:solidFill>
            </c:spPr>
            <c:extLst>
              <c:ext xmlns:c16="http://schemas.microsoft.com/office/drawing/2014/chart" uri="{C3380CC4-5D6E-409C-BE32-E72D297353CC}">
                <c16:uniqueId val="{00000024-B955-49AD-8181-EA0A03DF3C9B}"/>
              </c:ext>
            </c:extLst>
          </c:dPt>
          <c:dPt>
            <c:idx val="26"/>
            <c:invertIfNegative val="0"/>
            <c:bubble3D val="0"/>
            <c:spPr>
              <a:solidFill>
                <a:schemeClr val="accent6">
                  <a:lumMod val="60000"/>
                  <a:lumOff val="40000"/>
                </a:schemeClr>
              </a:solidFill>
            </c:spPr>
            <c:extLst>
              <c:ext xmlns:c16="http://schemas.microsoft.com/office/drawing/2014/chart" uri="{C3380CC4-5D6E-409C-BE32-E72D297353CC}">
                <c16:uniqueId val="{00000026-B955-49AD-8181-EA0A03DF3C9B}"/>
              </c:ext>
            </c:extLst>
          </c:dPt>
          <c:dPt>
            <c:idx val="27"/>
            <c:invertIfNegative val="0"/>
            <c:bubble3D val="0"/>
            <c:spPr>
              <a:solidFill>
                <a:schemeClr val="accent6">
                  <a:lumMod val="60000"/>
                  <a:lumOff val="40000"/>
                </a:schemeClr>
              </a:solidFill>
            </c:spPr>
            <c:extLst>
              <c:ext xmlns:c16="http://schemas.microsoft.com/office/drawing/2014/chart" uri="{C3380CC4-5D6E-409C-BE32-E72D297353CC}">
                <c16:uniqueId val="{00000028-B955-49AD-8181-EA0A03DF3C9B}"/>
              </c:ext>
            </c:extLst>
          </c:dPt>
          <c:dPt>
            <c:idx val="28"/>
            <c:invertIfNegative val="0"/>
            <c:bubble3D val="0"/>
            <c:spPr>
              <a:solidFill>
                <a:schemeClr val="accent6">
                  <a:lumMod val="60000"/>
                  <a:lumOff val="40000"/>
                </a:schemeClr>
              </a:solidFill>
            </c:spPr>
            <c:extLst>
              <c:ext xmlns:c16="http://schemas.microsoft.com/office/drawing/2014/chart" uri="{C3380CC4-5D6E-409C-BE32-E72D297353CC}">
                <c16:uniqueId val="{0000002A-B955-49AD-8181-EA0A03DF3C9B}"/>
              </c:ext>
            </c:extLst>
          </c:dPt>
          <c:dPt>
            <c:idx val="29"/>
            <c:invertIfNegative val="0"/>
            <c:bubble3D val="0"/>
            <c:spPr>
              <a:solidFill>
                <a:schemeClr val="accent6">
                  <a:lumMod val="60000"/>
                  <a:lumOff val="40000"/>
                </a:schemeClr>
              </a:solidFill>
            </c:spPr>
            <c:extLst>
              <c:ext xmlns:c16="http://schemas.microsoft.com/office/drawing/2014/chart" uri="{C3380CC4-5D6E-409C-BE32-E72D297353CC}">
                <c16:uniqueId val="{0000002C-B955-49AD-8181-EA0A03DF3C9B}"/>
              </c:ext>
            </c:extLst>
          </c:dPt>
          <c:dPt>
            <c:idx val="30"/>
            <c:invertIfNegative val="0"/>
            <c:bubble3D val="0"/>
            <c:spPr>
              <a:solidFill>
                <a:schemeClr val="accent6">
                  <a:lumMod val="60000"/>
                  <a:lumOff val="40000"/>
                </a:schemeClr>
              </a:solidFill>
            </c:spPr>
            <c:extLst>
              <c:ext xmlns:c16="http://schemas.microsoft.com/office/drawing/2014/chart" uri="{C3380CC4-5D6E-409C-BE32-E72D297353CC}">
                <c16:uniqueId val="{0000002E-B955-49AD-8181-EA0A03DF3C9B}"/>
              </c:ext>
            </c:extLst>
          </c:dPt>
          <c:dPt>
            <c:idx val="31"/>
            <c:invertIfNegative val="0"/>
            <c:bubble3D val="0"/>
            <c:spPr>
              <a:solidFill>
                <a:schemeClr val="accent6">
                  <a:lumMod val="60000"/>
                  <a:lumOff val="40000"/>
                </a:schemeClr>
              </a:solidFill>
            </c:spPr>
            <c:extLst>
              <c:ext xmlns:c16="http://schemas.microsoft.com/office/drawing/2014/chart" uri="{C3380CC4-5D6E-409C-BE32-E72D297353CC}">
                <c16:uniqueId val="{00000030-B955-49AD-8181-EA0A03DF3C9B}"/>
              </c:ext>
            </c:extLst>
          </c:dPt>
          <c:dPt>
            <c:idx val="32"/>
            <c:invertIfNegative val="0"/>
            <c:bubble3D val="0"/>
            <c:spPr>
              <a:solidFill>
                <a:schemeClr val="accent6">
                  <a:lumMod val="60000"/>
                  <a:lumOff val="40000"/>
                </a:schemeClr>
              </a:solidFill>
            </c:spPr>
            <c:extLst>
              <c:ext xmlns:c16="http://schemas.microsoft.com/office/drawing/2014/chart" uri="{C3380CC4-5D6E-409C-BE32-E72D297353CC}">
                <c16:uniqueId val="{00000032-B955-49AD-8181-EA0A03DF3C9B}"/>
              </c:ext>
            </c:extLst>
          </c:dPt>
          <c:dPt>
            <c:idx val="33"/>
            <c:invertIfNegative val="0"/>
            <c:bubble3D val="0"/>
            <c:spPr>
              <a:solidFill>
                <a:schemeClr val="accent6">
                  <a:lumMod val="60000"/>
                  <a:lumOff val="40000"/>
                </a:schemeClr>
              </a:solidFill>
            </c:spPr>
            <c:extLst>
              <c:ext xmlns:c16="http://schemas.microsoft.com/office/drawing/2014/chart" uri="{C3380CC4-5D6E-409C-BE32-E72D297353CC}">
                <c16:uniqueId val="{00000034-B955-49AD-8181-EA0A03DF3C9B}"/>
              </c:ext>
            </c:extLst>
          </c:dPt>
          <c:dPt>
            <c:idx val="34"/>
            <c:invertIfNegative val="0"/>
            <c:bubble3D val="0"/>
            <c:spPr>
              <a:solidFill>
                <a:schemeClr val="accent6">
                  <a:lumMod val="75000"/>
                </a:schemeClr>
              </a:solidFill>
            </c:spPr>
            <c:extLst>
              <c:ext xmlns:c16="http://schemas.microsoft.com/office/drawing/2014/chart" uri="{C3380CC4-5D6E-409C-BE32-E72D297353CC}">
                <c16:uniqueId val="{00000036-B955-49AD-8181-EA0A03DF3C9B}"/>
              </c:ext>
            </c:extLst>
          </c:dPt>
          <c:dPt>
            <c:idx val="35"/>
            <c:invertIfNegative val="0"/>
            <c:bubble3D val="0"/>
            <c:spPr>
              <a:solidFill>
                <a:schemeClr val="accent6">
                  <a:lumMod val="75000"/>
                </a:schemeClr>
              </a:solidFill>
            </c:spPr>
            <c:extLst>
              <c:ext xmlns:c16="http://schemas.microsoft.com/office/drawing/2014/chart" uri="{C3380CC4-5D6E-409C-BE32-E72D297353CC}">
                <c16:uniqueId val="{00000038-B955-49AD-8181-EA0A03DF3C9B}"/>
              </c:ext>
            </c:extLst>
          </c:dPt>
          <c:dPt>
            <c:idx val="36"/>
            <c:invertIfNegative val="0"/>
            <c:bubble3D val="0"/>
            <c:spPr>
              <a:solidFill>
                <a:schemeClr val="accent6">
                  <a:lumMod val="75000"/>
                </a:schemeClr>
              </a:solidFill>
            </c:spPr>
            <c:extLst>
              <c:ext xmlns:c16="http://schemas.microsoft.com/office/drawing/2014/chart" uri="{C3380CC4-5D6E-409C-BE32-E72D297353CC}">
                <c16:uniqueId val="{0000003A-B955-49AD-8181-EA0A03DF3C9B}"/>
              </c:ext>
            </c:extLst>
          </c:dPt>
          <c:dPt>
            <c:idx val="37"/>
            <c:invertIfNegative val="0"/>
            <c:bubble3D val="0"/>
            <c:spPr>
              <a:solidFill>
                <a:schemeClr val="accent6">
                  <a:lumMod val="75000"/>
                </a:schemeClr>
              </a:solidFill>
            </c:spPr>
            <c:extLst>
              <c:ext xmlns:c16="http://schemas.microsoft.com/office/drawing/2014/chart" uri="{C3380CC4-5D6E-409C-BE32-E72D297353CC}">
                <c16:uniqueId val="{0000003C-B955-49AD-8181-EA0A03DF3C9B}"/>
              </c:ext>
            </c:extLst>
          </c:dPt>
          <c:dPt>
            <c:idx val="38"/>
            <c:invertIfNegative val="0"/>
            <c:bubble3D val="0"/>
            <c:spPr>
              <a:solidFill>
                <a:srgbClr val="F79646">
                  <a:lumMod val="75000"/>
                </a:srgbClr>
              </a:solidFill>
            </c:spPr>
            <c:extLst>
              <c:ext xmlns:c16="http://schemas.microsoft.com/office/drawing/2014/chart" uri="{C3380CC4-5D6E-409C-BE32-E72D297353CC}">
                <c16:uniqueId val="{0000003E-B955-49AD-8181-EA0A03DF3C9B}"/>
              </c:ext>
            </c:extLst>
          </c:dPt>
          <c:dLbls>
            <c:dLbl>
              <c:idx val="0"/>
              <c:layout>
                <c:manualLayout>
                  <c:x val="0"/>
                  <c:y val="5.2921719955898609E-2"/>
                </c:manualLayout>
              </c:layout>
              <c:numFmt formatCode="#,##0.0" sourceLinked="0"/>
              <c:spPr>
                <a:noFill/>
                <a:ln>
                  <a:noFill/>
                </a:ln>
                <a:effectLst/>
              </c:spPr>
              <c:txPr>
                <a:bodyPr rot="0" vert="horz"/>
                <a:lstStyle/>
                <a:p>
                  <a:pPr>
                    <a:defRPr>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55-49AD-8181-EA0A03DF3C9B}"/>
                </c:ext>
              </c:extLst>
            </c:dLbl>
            <c:dLbl>
              <c:idx val="1"/>
              <c:layout>
                <c:manualLayout>
                  <c:x val="0"/>
                  <c:y val="5.7331863285556818E-2"/>
                </c:manualLayout>
              </c:layout>
              <c:numFmt formatCode="#,##0.0" sourceLinked="0"/>
              <c:spPr>
                <a:noFill/>
                <a:ln>
                  <a:noFill/>
                </a:ln>
                <a:effectLst/>
              </c:spPr>
              <c:txPr>
                <a:bodyPr rot="0" vert="horz"/>
                <a:lstStyle/>
                <a:p>
                  <a:pPr>
                    <a:defRPr>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55-49AD-8181-EA0A03DF3C9B}"/>
                </c:ext>
              </c:extLst>
            </c:dLbl>
            <c:dLbl>
              <c:idx val="8"/>
              <c:numFmt formatCode="#,##0.0" sourceLinked="0"/>
              <c:spPr>
                <a:noFill/>
                <a:ln>
                  <a:noFill/>
                </a:ln>
                <a:effectLst/>
              </c:spPr>
              <c:txPr>
                <a:bodyPr rot="0" vert="horz"/>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E-B955-49AD-8181-EA0A03DF3C9B}"/>
                </c:ext>
              </c:extLst>
            </c:dLbl>
            <c:dLbl>
              <c:idx val="24"/>
              <c:numFmt formatCode="#,##0.0" sourceLinked="0"/>
              <c:spPr>
                <a:noFill/>
                <a:ln>
                  <a:noFill/>
                </a:ln>
                <a:effectLst/>
              </c:spPr>
              <c:txPr>
                <a:bodyPr rot="0" vert="horz"/>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2-B955-49AD-8181-EA0A03DF3C9B}"/>
                </c:ext>
              </c:extLst>
            </c:dLbl>
            <c:numFmt formatCode="#,##0.0" sourceLinked="0"/>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Sheet1!$A$2:$A$85</c:f>
              <c:strCache>
                <c:ptCount val="39"/>
                <c:pt idx="0">
                  <c:v>G47 Mazumtirdzniecība, izņemot automobiļus un motociklus</c:v>
                </c:pt>
                <c:pt idx="1">
                  <c:v>H52 Uzglabāšanas un transporta palīgdarbības</c:v>
                </c:pt>
                <c:pt idx="2">
                  <c:v>L68 Operācijas ar nekustamo īpašumu</c:v>
                </c:pt>
                <c:pt idx="3">
                  <c:v>G46 Vairumtirdzniecība, izņemot automobiļus un motociklus</c:v>
                </c:pt>
                <c:pt idx="4">
                  <c:v>C25 Gatavo metālizstrādājumu ražošana, izņemot mašīnas un iekārtas</c:v>
                </c:pt>
                <c:pt idx="5">
                  <c:v>M74 Citi profesionālie, zinātniskie un tehniskie pakalpojumi</c:v>
                </c:pt>
                <c:pt idx="6">
                  <c:v>F43 Specializētie būvdarbi</c:v>
                </c:pt>
                <c:pt idx="7">
                  <c:v>C14 Apģērbu ražošana</c:v>
                </c:pt>
                <c:pt idx="8">
                  <c:v>N80 Apsardzes pakalpojumi un izmeklēšana</c:v>
                </c:pt>
                <c:pt idx="9">
                  <c:v>E36 Ūdens ieguve, attīrīšana un apgāde</c:v>
                </c:pt>
                <c:pt idx="10">
                  <c:v>C33 Iekārtu un ierīču remonts un uzstādīšana</c:v>
                </c:pt>
                <c:pt idx="11">
                  <c:v>C16 Koksnes, koka un korķa izstrādājumu ražošana, izņemot mēbeles, salmu un pīto izstrādājumu ražošana</c:v>
                </c:pt>
                <c:pt idx="12">
                  <c:v>J63 Informācijas pakalpojumi</c:v>
                </c:pt>
                <c:pt idx="13">
                  <c:v>H53 Pasta un kurjeru darbība</c:v>
                </c:pt>
                <c:pt idx="14">
                  <c:v>C23 Nemetālisko minerālu izstrādājumu ražošana</c:v>
                </c:pt>
                <c:pt idx="15">
                  <c:v>C31 Mēbeļu ražošana</c:v>
                </c:pt>
                <c:pt idx="16">
                  <c:v>C13 Tekstilizstrādājumu ražošana</c:v>
                </c:pt>
                <c:pt idx="18">
                  <c:v>C20 Ķīmisko vielu un ķīmisko produktu ražošana</c:v>
                </c:pt>
                <c:pt idx="19">
                  <c:v>M69 Juridiskie un grāmatvedības pakalpojumi</c:v>
                </c:pt>
                <c:pt idx="20">
                  <c:v>P85 Izglītība</c:v>
                </c:pt>
                <c:pt idx="21">
                  <c:v>I55 Izmitināšana</c:v>
                </c:pt>
                <c:pt idx="22">
                  <c:v>N81 Būvniecības un ainavu arhitektu pakalpojumi</c:v>
                </c:pt>
                <c:pt idx="23">
                  <c:v>C28 Citur neklasificētu iekārtu, mehānismu un darba mašīnu ražošana</c:v>
                </c:pt>
                <c:pt idx="24">
                  <c:v>E37 Notekūdeņu savākšana un attīrīšana</c:v>
                </c:pt>
                <c:pt idx="25">
                  <c:v>F42 Inženierbūvniecība</c:v>
                </c:pt>
                <c:pt idx="26">
                  <c:v>E38 Atkritumu savākšana, apstrāde un izvietošana, materiālu pārstrāde</c:v>
                </c:pt>
                <c:pt idx="27">
                  <c:v>S94 Sabiedrisko, politisko un citu organizāciju darbība</c:v>
                </c:pt>
                <c:pt idx="28">
                  <c:v>K66 Finanšu pakalpojumu un apdrošināšanas darbības papildinošas darbības</c:v>
                </c:pt>
                <c:pt idx="29">
                  <c:v>M71 Arhitektūras un inženiertehniskie pakalpojumi, tehniskā pārbaude un analīze</c:v>
                </c:pt>
                <c:pt idx="30">
                  <c:v>J62 Datorprogrammēšana, konsultēšana un saistītas darbības</c:v>
                </c:pt>
                <c:pt idx="31">
                  <c:v>J61 Telekomunikācija</c:v>
                </c:pt>
                <c:pt idx="32">
                  <c:v>N78 Darbaspēka meklēšana un nodrošināšana ar personālu</c:v>
                </c:pt>
                <c:pt idx="33">
                  <c:v>F41 Ēku būvniecība</c:v>
                </c:pt>
                <c:pt idx="34">
                  <c:v>O84 Valsts pārvalde un aizsardzība, obligātā sociālā apdrošināšana</c:v>
                </c:pt>
                <c:pt idx="35">
                  <c:v>Q87 Sociālā aprūpe ar izmitināšanu</c:v>
                </c:pt>
                <c:pt idx="36">
                  <c:v>Q86 Veselības aizsardzība</c:v>
                </c:pt>
                <c:pt idx="37">
                  <c:v>Q88 Sociālā aprūpe bez izmitināšanas</c:v>
                </c:pt>
                <c:pt idx="38">
                  <c:v>I56 Ēdināšanas pakalpojumi</c:v>
                </c:pt>
              </c:strCache>
            </c:strRef>
          </c:cat>
          <c:val>
            <c:numRef>
              <c:f>Sheet1!$B$2:$B$85</c:f>
              <c:numCache>
                <c:formatCode>General</c:formatCode>
                <c:ptCount val="39"/>
                <c:pt idx="0">
                  <c:v>-3.3650000000000002</c:v>
                </c:pt>
                <c:pt idx="1">
                  <c:v>-3.2770000000000001</c:v>
                </c:pt>
                <c:pt idx="2">
                  <c:v>-1.248</c:v>
                </c:pt>
                <c:pt idx="3">
                  <c:v>-1.1439999999999999</c:v>
                </c:pt>
                <c:pt idx="4">
                  <c:v>-1.002</c:v>
                </c:pt>
                <c:pt idx="5">
                  <c:v>-0.90500000000000003</c:v>
                </c:pt>
                <c:pt idx="6">
                  <c:v>-0.89400000000000002</c:v>
                </c:pt>
                <c:pt idx="7">
                  <c:v>-0.81899999999999995</c:v>
                </c:pt>
                <c:pt idx="8">
                  <c:v>-0.80400000000000005</c:v>
                </c:pt>
                <c:pt idx="9">
                  <c:v>-0.79400000000000004</c:v>
                </c:pt>
                <c:pt idx="10">
                  <c:v>-0.58899999999999997</c:v>
                </c:pt>
                <c:pt idx="11">
                  <c:v>-0.57399999999999995</c:v>
                </c:pt>
                <c:pt idx="12">
                  <c:v>-0.44500000000000001</c:v>
                </c:pt>
                <c:pt idx="13">
                  <c:v>-0.43</c:v>
                </c:pt>
                <c:pt idx="14">
                  <c:v>-0.41399999999999998</c:v>
                </c:pt>
                <c:pt idx="15">
                  <c:v>-0.38300000000000001</c:v>
                </c:pt>
                <c:pt idx="16">
                  <c:v>-0.28899999999999998</c:v>
                </c:pt>
              </c:numCache>
            </c:numRef>
          </c:val>
          <c:extLst>
            <c:ext xmlns:c16="http://schemas.microsoft.com/office/drawing/2014/chart" uri="{C3380CC4-5D6E-409C-BE32-E72D297353CC}">
              <c16:uniqueId val="{0000003F-B955-49AD-8181-EA0A03DF3C9B}"/>
            </c:ext>
          </c:extLst>
        </c:ser>
        <c:ser>
          <c:idx val="1"/>
          <c:order val="1"/>
          <c:tx>
            <c:strRef>
              <c:f>Sheet1!$C$1</c:f>
              <c:strCache>
                <c:ptCount val="1"/>
              </c:strCache>
            </c:strRef>
          </c:tx>
          <c:spPr>
            <a:solidFill>
              <a:srgbClr val="9BBB59"/>
            </a:solidFill>
          </c:spPr>
          <c:invertIfNegative val="0"/>
          <c:dLbls>
            <c:dLbl>
              <c:idx val="38"/>
              <c:layout>
                <c:manualLayout>
                  <c:x val="2.2760896779331435E-3"/>
                  <c:y val="6.874267508182204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B955-49AD-8181-EA0A03DF3C9B}"/>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Sheet1!$C$2:$C$85</c:f>
              <c:numCache>
                <c:formatCode>General</c:formatCode>
                <c:ptCount val="39"/>
                <c:pt idx="18">
                  <c:v>0.27600000000000002</c:v>
                </c:pt>
                <c:pt idx="19">
                  <c:v>0.32700000000000001</c:v>
                </c:pt>
                <c:pt idx="20">
                  <c:v>0.33700000000000002</c:v>
                </c:pt>
                <c:pt idx="21">
                  <c:v>0.45100000000000001</c:v>
                </c:pt>
                <c:pt idx="22">
                  <c:v>0.46200000000000002</c:v>
                </c:pt>
                <c:pt idx="23">
                  <c:v>0.47199999999999998</c:v>
                </c:pt>
                <c:pt idx="24">
                  <c:v>0.48</c:v>
                </c:pt>
                <c:pt idx="25">
                  <c:v>0.48099999999999998</c:v>
                </c:pt>
                <c:pt idx="26">
                  <c:v>0.51600000000000001</c:v>
                </c:pt>
                <c:pt idx="27">
                  <c:v>0.55100000000000005</c:v>
                </c:pt>
                <c:pt idx="28">
                  <c:v>0.56799999999999995</c:v>
                </c:pt>
                <c:pt idx="29">
                  <c:v>0.65200000000000002</c:v>
                </c:pt>
                <c:pt idx="30">
                  <c:v>0.71199999999999997</c:v>
                </c:pt>
                <c:pt idx="31">
                  <c:v>0.72299999999999998</c:v>
                </c:pt>
                <c:pt idx="32">
                  <c:v>0.72899999999999998</c:v>
                </c:pt>
                <c:pt idx="33">
                  <c:v>1.2529999999999999</c:v>
                </c:pt>
                <c:pt idx="34">
                  <c:v>1.7709999999999999</c:v>
                </c:pt>
                <c:pt idx="35">
                  <c:v>2.173</c:v>
                </c:pt>
                <c:pt idx="36">
                  <c:v>2.3090000000000002</c:v>
                </c:pt>
                <c:pt idx="37">
                  <c:v>2.3650000000000002</c:v>
                </c:pt>
                <c:pt idx="38">
                  <c:v>2.6030000000000002</c:v>
                </c:pt>
              </c:numCache>
            </c:numRef>
          </c:val>
          <c:extLst>
            <c:ext xmlns:c16="http://schemas.microsoft.com/office/drawing/2014/chart" uri="{C3380CC4-5D6E-409C-BE32-E72D297353CC}">
              <c16:uniqueId val="{00000041-B955-49AD-8181-EA0A03DF3C9B}"/>
            </c:ext>
          </c:extLst>
        </c:ser>
        <c:dLbls>
          <c:showLegendKey val="0"/>
          <c:showVal val="0"/>
          <c:showCatName val="0"/>
          <c:showSerName val="0"/>
          <c:showPercent val="0"/>
          <c:showBubbleSize val="0"/>
        </c:dLbls>
        <c:gapWidth val="20"/>
        <c:overlap val="100"/>
        <c:axId val="265297168"/>
        <c:axId val="265297952"/>
      </c:barChart>
      <c:catAx>
        <c:axId val="265297168"/>
        <c:scaling>
          <c:orientation val="minMax"/>
        </c:scaling>
        <c:delete val="0"/>
        <c:axPos val="b"/>
        <c:numFmt formatCode="General" sourceLinked="1"/>
        <c:majorTickMark val="none"/>
        <c:minorTickMark val="none"/>
        <c:tickLblPos val="low"/>
        <c:spPr>
          <a:noFill/>
          <a:ln w="3175"/>
        </c:spPr>
        <c:txPr>
          <a:bodyPr rot="-5400000" vert="horz"/>
          <a:lstStyle/>
          <a:p>
            <a:pPr>
              <a:defRPr/>
            </a:pPr>
            <a:endParaRPr lang="en-US"/>
          </a:p>
        </c:txPr>
        <c:crossAx val="265297952"/>
        <c:crosses val="autoZero"/>
        <c:auto val="1"/>
        <c:lblAlgn val="ctr"/>
        <c:lblOffset val="200"/>
        <c:tickLblSkip val="1"/>
        <c:noMultiLvlLbl val="1"/>
      </c:catAx>
      <c:valAx>
        <c:axId val="265297952"/>
        <c:scaling>
          <c:orientation val="minMax"/>
          <c:max val="8"/>
        </c:scaling>
        <c:delete val="1"/>
        <c:axPos val="l"/>
        <c:numFmt formatCode="0" sourceLinked="0"/>
        <c:majorTickMark val="out"/>
        <c:minorTickMark val="none"/>
        <c:tickLblPos val="nextTo"/>
        <c:crossAx val="265297168"/>
        <c:crosses val="autoZero"/>
        <c:crossBetween val="between"/>
        <c:majorUnit val="1"/>
      </c:valAx>
      <c:spPr>
        <a:noFill/>
        <a:ln w="24758">
          <a:noFill/>
        </a:ln>
      </c:spPr>
    </c:plotArea>
    <c:plotVisOnly val="1"/>
    <c:dispBlanksAs val="gap"/>
    <c:showDLblsOverMax val="0"/>
  </c:chart>
  <c:spPr>
    <a:noFill/>
    <a:ln>
      <a:noFill/>
    </a:ln>
  </c:spPr>
  <c:txPr>
    <a:bodyPr/>
    <a:lstStyle/>
    <a:p>
      <a:pPr>
        <a:defRPr sz="600" b="0" i="0" u="none" strike="noStrike" baseline="0">
          <a:solidFill>
            <a:sysClr val="windowText" lastClr="000000"/>
          </a:solidFill>
          <a:latin typeface="Segoe UI Light" panose="020B0502040204020203" pitchFamily="34" charset="0"/>
          <a:ea typeface="Arial"/>
          <a:cs typeface="Segoe UI Light" panose="020B0502040204020203" pitchFamily="34" charset="0"/>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3.2162736781375878E-2"/>
          <c:y val="7.7628793225123505E-2"/>
          <c:w val="0.92901120738469423"/>
          <c:h val="0.73340260837190696"/>
        </c:manualLayout>
      </c:layout>
      <c:barChart>
        <c:barDir val="col"/>
        <c:grouping val="clustered"/>
        <c:varyColors val="0"/>
        <c:ser>
          <c:idx val="0"/>
          <c:order val="0"/>
          <c:tx>
            <c:strRef>
              <c:f>Sheet1!$B$1</c:f>
              <c:strCache>
                <c:ptCount val="1"/>
                <c:pt idx="0">
                  <c:v>Series 1</c:v>
                </c:pt>
              </c:strCache>
            </c:strRef>
          </c:tx>
          <c:spPr>
            <a:solidFill>
              <a:srgbClr val="92B7C4"/>
            </a:solidFill>
            <a:ln>
              <a:noFill/>
            </a:ln>
            <a:effectLst/>
          </c:spPr>
          <c:invertIfNegative val="0"/>
          <c:dPt>
            <c:idx val="0"/>
            <c:invertIfNegative val="0"/>
            <c:bubble3D val="0"/>
            <c:spPr>
              <a:solidFill>
                <a:srgbClr val="92B7C4"/>
              </a:solidFill>
              <a:ln>
                <a:noFill/>
              </a:ln>
              <a:effectLst/>
            </c:spPr>
            <c:extLst>
              <c:ext xmlns:c16="http://schemas.microsoft.com/office/drawing/2014/chart" uri="{C3380CC4-5D6E-409C-BE32-E72D297353CC}">
                <c16:uniqueId val="{00000001-E101-4AC9-8299-226FA572006E}"/>
              </c:ext>
            </c:extLst>
          </c:dPt>
          <c:dPt>
            <c:idx val="1"/>
            <c:invertIfNegative val="0"/>
            <c:bubble3D val="0"/>
            <c:spPr>
              <a:solidFill>
                <a:srgbClr val="92B7C4"/>
              </a:solidFill>
              <a:ln>
                <a:noFill/>
              </a:ln>
              <a:effectLst/>
            </c:spPr>
            <c:extLst>
              <c:ext xmlns:c16="http://schemas.microsoft.com/office/drawing/2014/chart" uri="{C3380CC4-5D6E-409C-BE32-E72D297353CC}">
                <c16:uniqueId val="{00000003-E101-4AC9-8299-226FA572006E}"/>
              </c:ext>
            </c:extLst>
          </c:dPt>
          <c:dPt>
            <c:idx val="2"/>
            <c:invertIfNegative val="0"/>
            <c:bubble3D val="0"/>
            <c:spPr>
              <a:solidFill>
                <a:srgbClr val="92B7C4"/>
              </a:solidFill>
              <a:ln>
                <a:noFill/>
              </a:ln>
              <a:effectLst/>
            </c:spPr>
            <c:extLst>
              <c:ext xmlns:c16="http://schemas.microsoft.com/office/drawing/2014/chart" uri="{C3380CC4-5D6E-409C-BE32-E72D297353CC}">
                <c16:uniqueId val="{00000005-E101-4AC9-8299-226FA572006E}"/>
              </c:ext>
            </c:extLst>
          </c:dPt>
          <c:dPt>
            <c:idx val="3"/>
            <c:invertIfNegative val="0"/>
            <c:bubble3D val="0"/>
            <c:spPr>
              <a:solidFill>
                <a:srgbClr val="92B7C4"/>
              </a:solidFill>
              <a:ln>
                <a:noFill/>
              </a:ln>
              <a:effectLst/>
            </c:spPr>
            <c:extLst>
              <c:ext xmlns:c16="http://schemas.microsoft.com/office/drawing/2014/chart" uri="{C3380CC4-5D6E-409C-BE32-E72D297353CC}">
                <c16:uniqueId val="{00000007-E101-4AC9-8299-226FA572006E}"/>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Augstākās kvalifikācijas profesijas</c:v>
                </c:pt>
                <c:pt idx="1">
                  <c:v>Vidējās kvalifikācijas profesijas</c:v>
                </c:pt>
                <c:pt idx="2">
                  <c:v>Vienkāršās profesijas</c:v>
                </c:pt>
              </c:strCache>
            </c:strRef>
          </c:cat>
          <c:val>
            <c:numRef>
              <c:f>Sheet1!$B$2:$B$4</c:f>
              <c:numCache>
                <c:formatCode>0.0</c:formatCode>
                <c:ptCount val="3"/>
                <c:pt idx="0">
                  <c:v>8.4</c:v>
                </c:pt>
                <c:pt idx="1">
                  <c:v>-6.2</c:v>
                </c:pt>
                <c:pt idx="2">
                  <c:v>-3.3</c:v>
                </c:pt>
              </c:numCache>
            </c:numRef>
          </c:val>
          <c:extLst>
            <c:ext xmlns:c16="http://schemas.microsoft.com/office/drawing/2014/chart" uri="{C3380CC4-5D6E-409C-BE32-E72D297353CC}">
              <c16:uniqueId val="{00000008-E101-4AC9-8299-226FA572006E}"/>
            </c:ext>
          </c:extLst>
        </c:ser>
        <c:dLbls>
          <c:showLegendKey val="0"/>
          <c:showVal val="0"/>
          <c:showCatName val="0"/>
          <c:showSerName val="0"/>
          <c:showPercent val="0"/>
          <c:showBubbleSize val="0"/>
        </c:dLbls>
        <c:gapWidth val="60"/>
        <c:overlap val="-27"/>
        <c:axId val="376322032"/>
        <c:axId val="376322688"/>
      </c:barChart>
      <c:catAx>
        <c:axId val="376322032"/>
        <c:scaling>
          <c:orientation val="minMax"/>
        </c:scaling>
        <c:delete val="0"/>
        <c:axPos val="b"/>
        <c:numFmt formatCode="General" sourceLinked="1"/>
        <c:majorTickMark val="none"/>
        <c:minorTickMark val="none"/>
        <c:tickLblPos val="low"/>
        <c:spPr>
          <a:noFill/>
          <a:ln w="6350" cap="flat" cmpd="sng" algn="ctr">
            <a:solidFill>
              <a:schemeClr val="bg1">
                <a:lumMod val="75000"/>
              </a:schemeClr>
            </a:solidFill>
            <a:round/>
          </a:ln>
          <a:effectLst/>
        </c:spPr>
        <c:txPr>
          <a:bodyPr rot="0" spcFirstLastPara="1" vertOverflow="ellipsis"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376322688"/>
        <c:crosses val="autoZero"/>
        <c:auto val="1"/>
        <c:lblAlgn val="ctr"/>
        <c:lblOffset val="100"/>
        <c:noMultiLvlLbl val="0"/>
      </c:catAx>
      <c:valAx>
        <c:axId val="376322688"/>
        <c:scaling>
          <c:orientation val="minMax"/>
        </c:scaling>
        <c:delete val="1"/>
        <c:axPos val="l"/>
        <c:numFmt formatCode="0.0" sourceLinked="1"/>
        <c:majorTickMark val="none"/>
        <c:minorTickMark val="none"/>
        <c:tickLblPos val="nextTo"/>
        <c:crossAx val="3763220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2019</c:v>
                </c:pt>
              </c:strCache>
            </c:strRef>
          </c:tx>
          <c:spPr>
            <a:solidFill>
              <a:schemeClr val="accent5">
                <a:lumMod val="60000"/>
                <a:lumOff val="40000"/>
              </a:schemeClr>
            </a:solidFill>
            <a:ln>
              <a:noFill/>
            </a:ln>
          </c:spPr>
          <c:invertIfNegative val="0"/>
          <c:dPt>
            <c:idx val="5"/>
            <c:invertIfNegative val="0"/>
            <c:bubble3D val="0"/>
            <c:extLst>
              <c:ext xmlns:c16="http://schemas.microsoft.com/office/drawing/2014/chart" uri="{C3380CC4-5D6E-409C-BE32-E72D297353CC}">
                <c16:uniqueId val="{00000000-C3A3-48D7-81DA-0F1771E33610}"/>
              </c:ext>
            </c:extLst>
          </c:dPt>
          <c:dPt>
            <c:idx val="7"/>
            <c:invertIfNegative val="0"/>
            <c:bubble3D val="0"/>
            <c:extLst>
              <c:ext xmlns:c16="http://schemas.microsoft.com/office/drawing/2014/chart" uri="{C3380CC4-5D6E-409C-BE32-E72D297353CC}">
                <c16:uniqueId val="{00000001-C3A3-48D7-81DA-0F1771E33610}"/>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A3-48D7-81DA-0F1771E33610}"/>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A3-48D7-81DA-0F1771E33610}"/>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A3-48D7-81DA-0F1771E33610}"/>
                </c:ext>
              </c:extLst>
            </c:dLbl>
            <c:dLbl>
              <c:idx val="5"/>
              <c:layout>
                <c:manualLayout>
                  <c:x val="-8.0869526014771903E-17"/>
                  <c:y val="2.50868253324368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A3-48D7-81DA-0F1771E33610}"/>
                </c:ext>
              </c:extLst>
            </c:dLbl>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6"/>
                <c:pt idx="0">
                  <c:v>2020</c:v>
                </c:pt>
                <c:pt idx="1">
                  <c:v>2021</c:v>
                </c:pt>
                <c:pt idx="2">
                  <c:v>2022</c:v>
                </c:pt>
                <c:pt idx="3">
                  <c:v>2023</c:v>
                </c:pt>
                <c:pt idx="4">
                  <c:v>2024</c:v>
                </c:pt>
                <c:pt idx="5">
                  <c:v>2025</c:v>
                </c:pt>
              </c:numCache>
            </c:numRef>
          </c:cat>
          <c:val>
            <c:numRef>
              <c:f>Sheet1!$B$2:$B$9</c:f>
              <c:numCache>
                <c:formatCode>0.0</c:formatCode>
                <c:ptCount val="6"/>
                <c:pt idx="0">
                  <c:v>-4.7800809985384376</c:v>
                </c:pt>
                <c:pt idx="1">
                  <c:v>8.0518649257791566</c:v>
                </c:pt>
                <c:pt idx="2">
                  <c:v>5.0656287339361228</c:v>
                </c:pt>
                <c:pt idx="3">
                  <c:v>-0.90578261271664928</c:v>
                </c:pt>
                <c:pt idx="4">
                  <c:v>9.1100595489763236E-2</c:v>
                </c:pt>
                <c:pt idx="5">
                  <c:v>0.75146045439768727</c:v>
                </c:pt>
              </c:numCache>
            </c:numRef>
          </c:val>
          <c:extLst>
            <c:ext xmlns:c16="http://schemas.microsoft.com/office/drawing/2014/chart" uri="{C3380CC4-5D6E-409C-BE32-E72D297353CC}">
              <c16:uniqueId val="{00000005-C3A3-48D7-81DA-0F1771E33610}"/>
            </c:ext>
          </c:extLst>
        </c:ser>
        <c:dLbls>
          <c:dLblPos val="outEnd"/>
          <c:showLegendKey val="0"/>
          <c:showVal val="1"/>
          <c:showCatName val="0"/>
          <c:showSerName val="0"/>
          <c:showPercent val="0"/>
          <c:showBubbleSize val="0"/>
        </c:dLbls>
        <c:gapWidth val="30"/>
        <c:axId val="742135368"/>
        <c:axId val="742124392"/>
      </c:barChart>
      <c:catAx>
        <c:axId val="742135368"/>
        <c:scaling>
          <c:orientation val="minMax"/>
        </c:scaling>
        <c:delete val="0"/>
        <c:axPos val="b"/>
        <c:numFmt formatCode="General" sourceLinked="1"/>
        <c:majorTickMark val="out"/>
        <c:minorTickMark val="none"/>
        <c:tickLblPos val="low"/>
        <c:spPr>
          <a:ln w="6350"/>
        </c:spPr>
        <c:txPr>
          <a:bodyPr rot="-5400000" vert="horz"/>
          <a:lstStyle/>
          <a:p>
            <a:pPr>
              <a:defRPr/>
            </a:pPr>
            <a:endParaRPr lang="en-US"/>
          </a:p>
        </c:txPr>
        <c:crossAx val="742124392"/>
        <c:crosses val="autoZero"/>
        <c:auto val="1"/>
        <c:lblAlgn val="ctr"/>
        <c:lblOffset val="0"/>
        <c:noMultiLvlLbl val="0"/>
      </c:catAx>
      <c:valAx>
        <c:axId val="742124392"/>
        <c:scaling>
          <c:orientation val="minMax"/>
          <c:min val="-8"/>
        </c:scaling>
        <c:delete val="1"/>
        <c:axPos val="l"/>
        <c:numFmt formatCode="0" sourceLinked="0"/>
        <c:majorTickMark val="out"/>
        <c:minorTickMark val="none"/>
        <c:tickLblPos val="nextTo"/>
        <c:crossAx val="742135368"/>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5.8186808657448248E-2"/>
          <c:y val="1.8693839740620648E-2"/>
          <c:w val="0.90783571689946174"/>
          <c:h val="0.76330399876486021"/>
        </c:manualLayout>
      </c:layout>
      <c:barChart>
        <c:barDir val="col"/>
        <c:grouping val="clustered"/>
        <c:varyColors val="0"/>
        <c:ser>
          <c:idx val="0"/>
          <c:order val="0"/>
          <c:tx>
            <c:strRef>
              <c:f>Sheet1!$B$1</c:f>
              <c:strCache>
                <c:ptCount val="1"/>
                <c:pt idx="0">
                  <c:v>Series 1</c:v>
                </c:pt>
              </c:strCache>
            </c:strRef>
          </c:tx>
          <c:spPr>
            <a:solidFill>
              <a:srgbClr val="ABC7D1"/>
            </a:solidFill>
            <a:ln>
              <a:noFill/>
            </a:ln>
            <a:effectLst/>
          </c:spPr>
          <c:invertIfNegative val="0"/>
          <c:dPt>
            <c:idx val="0"/>
            <c:invertIfNegative val="0"/>
            <c:bubble3D val="0"/>
            <c:spPr>
              <a:solidFill>
                <a:srgbClr val="ABC7D1"/>
              </a:solidFill>
              <a:ln>
                <a:noFill/>
              </a:ln>
              <a:effectLst/>
            </c:spPr>
            <c:extLst>
              <c:ext xmlns:c16="http://schemas.microsoft.com/office/drawing/2014/chart" uri="{C3380CC4-5D6E-409C-BE32-E72D297353CC}">
                <c16:uniqueId val="{00000001-1CD5-4053-9B62-5BB7E4A2BE25}"/>
              </c:ext>
            </c:extLst>
          </c:dPt>
          <c:dPt>
            <c:idx val="1"/>
            <c:invertIfNegative val="0"/>
            <c:bubble3D val="0"/>
            <c:spPr>
              <a:solidFill>
                <a:srgbClr val="ABC7D1"/>
              </a:solidFill>
              <a:ln>
                <a:noFill/>
              </a:ln>
              <a:effectLst/>
            </c:spPr>
            <c:extLst>
              <c:ext xmlns:c16="http://schemas.microsoft.com/office/drawing/2014/chart" uri="{C3380CC4-5D6E-409C-BE32-E72D297353CC}">
                <c16:uniqueId val="{00000003-1CD5-4053-9B62-5BB7E4A2BE25}"/>
              </c:ext>
            </c:extLst>
          </c:dPt>
          <c:dPt>
            <c:idx val="2"/>
            <c:invertIfNegative val="0"/>
            <c:bubble3D val="0"/>
            <c:spPr>
              <a:solidFill>
                <a:srgbClr val="ABC7D1"/>
              </a:solidFill>
              <a:ln>
                <a:noFill/>
              </a:ln>
              <a:effectLst/>
            </c:spPr>
            <c:extLst>
              <c:ext xmlns:c16="http://schemas.microsoft.com/office/drawing/2014/chart" uri="{C3380CC4-5D6E-409C-BE32-E72D297353CC}">
                <c16:uniqueId val="{00000005-1CD5-4053-9B62-5BB7E4A2BE25}"/>
              </c:ext>
            </c:extLst>
          </c:dPt>
          <c:dPt>
            <c:idx val="3"/>
            <c:invertIfNegative val="0"/>
            <c:bubble3D val="0"/>
            <c:spPr>
              <a:solidFill>
                <a:srgbClr val="ABC7D1"/>
              </a:solidFill>
              <a:ln>
                <a:noFill/>
              </a:ln>
              <a:effectLst/>
            </c:spPr>
            <c:extLst>
              <c:ext xmlns:c16="http://schemas.microsoft.com/office/drawing/2014/chart" uri="{C3380CC4-5D6E-409C-BE32-E72D297353CC}">
                <c16:uniqueId val="{00000007-1CD5-4053-9B62-5BB7E4A2BE25}"/>
              </c:ext>
            </c:extLst>
          </c:dPt>
          <c:dLbls>
            <c:numFmt formatCode="#,##0.0" sourceLinked="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Augstākā izglītība (ISCED 5.-8. līmenis)</c:v>
                </c:pt>
                <c:pt idx="1">
                  <c:v>Arodizglītība vai profesionālā vidējā izglītība (ISCED 3. un 4. līmenis)</c:v>
                </c:pt>
                <c:pt idx="2">
                  <c:v>Vispārējā vidējā izglītība (ISCED 3. līmenis)</c:v>
                </c:pt>
                <c:pt idx="3">
                  <c:v>Pamatizglītība un zemāks izglītības līmenis (ISCED 0.-2. līmenis)</c:v>
                </c:pt>
              </c:strCache>
            </c:strRef>
          </c:cat>
          <c:val>
            <c:numRef>
              <c:f>Sheet1!$B$2:$B$5</c:f>
              <c:numCache>
                <c:formatCode>#\ ##0.0</c:formatCode>
                <c:ptCount val="4"/>
                <c:pt idx="0">
                  <c:v>12</c:v>
                </c:pt>
                <c:pt idx="1">
                  <c:v>-3.3999999999999773</c:v>
                </c:pt>
                <c:pt idx="2">
                  <c:v>-7</c:v>
                </c:pt>
                <c:pt idx="3">
                  <c:v>-2.3999999999999986</c:v>
                </c:pt>
              </c:numCache>
            </c:numRef>
          </c:val>
          <c:extLst>
            <c:ext xmlns:c16="http://schemas.microsoft.com/office/drawing/2014/chart" uri="{C3380CC4-5D6E-409C-BE32-E72D297353CC}">
              <c16:uniqueId val="{00000008-1CD5-4053-9B62-5BB7E4A2BE25}"/>
            </c:ext>
          </c:extLst>
        </c:ser>
        <c:dLbls>
          <c:showLegendKey val="0"/>
          <c:showVal val="0"/>
          <c:showCatName val="0"/>
          <c:showSerName val="0"/>
          <c:showPercent val="0"/>
          <c:showBubbleSize val="0"/>
        </c:dLbls>
        <c:gapWidth val="93"/>
        <c:overlap val="-27"/>
        <c:axId val="663213088"/>
        <c:axId val="663210792"/>
      </c:barChart>
      <c:catAx>
        <c:axId val="663213088"/>
        <c:scaling>
          <c:orientation val="minMax"/>
        </c:scaling>
        <c:delete val="0"/>
        <c:axPos val="b"/>
        <c:numFmt formatCode="General" sourceLinked="1"/>
        <c:majorTickMark val="none"/>
        <c:minorTickMark val="none"/>
        <c:tickLblPos val="low"/>
        <c:spPr>
          <a:noFill/>
          <a:ln w="6350" cap="flat" cmpd="sng" algn="ctr">
            <a:solidFill>
              <a:schemeClr val="bg1">
                <a:lumMod val="7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663210792"/>
        <c:crosses val="autoZero"/>
        <c:auto val="1"/>
        <c:lblAlgn val="ctr"/>
        <c:lblOffset val="100"/>
        <c:noMultiLvlLbl val="0"/>
      </c:catAx>
      <c:valAx>
        <c:axId val="663210792"/>
        <c:scaling>
          <c:orientation val="minMax"/>
        </c:scaling>
        <c:delete val="1"/>
        <c:axPos val="l"/>
        <c:numFmt formatCode="#\ ##0.0" sourceLinked="1"/>
        <c:majorTickMark val="out"/>
        <c:minorTickMark val="none"/>
        <c:tickLblPos val="nextTo"/>
        <c:crossAx val="663213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803073437943856E-2"/>
          <c:y val="4.3650793650793648E-2"/>
          <c:w val="0.93473393497373092"/>
          <c:h val="0.79220378702662164"/>
        </c:manualLayout>
      </c:layout>
      <c:barChart>
        <c:barDir val="col"/>
        <c:grouping val="stacked"/>
        <c:varyColors val="0"/>
        <c:ser>
          <c:idx val="2"/>
          <c:order val="0"/>
          <c:tx>
            <c:strRef>
              <c:f>Sheet1!$D$1</c:f>
              <c:strCache>
                <c:ptCount val="1"/>
                <c:pt idx="0">
                  <c:v>Vienkāršās profesijas</c:v>
                </c:pt>
              </c:strCache>
            </c:strRef>
          </c:tx>
          <c:spPr>
            <a:solidFill>
              <a:srgbClr val="BBD2DA"/>
            </a:solidFill>
            <a:ln>
              <a:noFill/>
            </a:ln>
            <a:effectLst/>
          </c:spPr>
          <c:invertIfNegative val="0"/>
          <c:cat>
            <c:strRef>
              <c:f>Sheet1!$A$2:$A$29</c:f>
              <c:strCache>
                <c:ptCount val="28"/>
                <c:pt idx="0">
                  <c:v>Bulgārija</c:v>
                </c:pt>
                <c:pt idx="1">
                  <c:v>Ungārija</c:v>
                </c:pt>
                <c:pt idx="2">
                  <c:v>Beļģija</c:v>
                </c:pt>
                <c:pt idx="3">
                  <c:v>Horvātija</c:v>
                </c:pt>
                <c:pt idx="4">
                  <c:v>Slovākija</c:v>
                </c:pt>
                <c:pt idx="5">
                  <c:v>Lietuva</c:v>
                </c:pt>
                <c:pt idx="6">
                  <c:v>Portugāle</c:v>
                </c:pt>
                <c:pt idx="7">
                  <c:v>Nīderlande</c:v>
                </c:pt>
                <c:pt idx="8">
                  <c:v>Īrija</c:v>
                </c:pt>
                <c:pt idx="9">
                  <c:v>Čehija</c:v>
                </c:pt>
                <c:pt idx="10">
                  <c:v>Kipra</c:v>
                </c:pt>
                <c:pt idx="11">
                  <c:v>Malta</c:v>
                </c:pt>
                <c:pt idx="12">
                  <c:v>Vācija</c:v>
                </c:pt>
                <c:pt idx="13">
                  <c:v>ES27</c:v>
                </c:pt>
                <c:pt idx="14">
                  <c:v>Francija</c:v>
                </c:pt>
                <c:pt idx="15">
                  <c:v>Luksemburga</c:v>
                </c:pt>
                <c:pt idx="16">
                  <c:v>Polija</c:v>
                </c:pt>
                <c:pt idx="17">
                  <c:v>Rumānija</c:v>
                </c:pt>
                <c:pt idx="18">
                  <c:v>Spānija</c:v>
                </c:pt>
                <c:pt idx="19">
                  <c:v>Austrija</c:v>
                </c:pt>
                <c:pt idx="20">
                  <c:v>Latvija</c:v>
                </c:pt>
                <c:pt idx="21">
                  <c:v>Slovēnija</c:v>
                </c:pt>
                <c:pt idx="22">
                  <c:v>Itālija</c:v>
                </c:pt>
                <c:pt idx="23">
                  <c:v>Grieķija</c:v>
                </c:pt>
                <c:pt idx="24">
                  <c:v>Zviedrija</c:v>
                </c:pt>
                <c:pt idx="25">
                  <c:v>Somija</c:v>
                </c:pt>
                <c:pt idx="26">
                  <c:v>Dānija</c:v>
                </c:pt>
                <c:pt idx="27">
                  <c:v>Igaunija</c:v>
                </c:pt>
              </c:strCache>
            </c:strRef>
          </c:cat>
          <c:val>
            <c:numRef>
              <c:f>Sheet1!$D$2:$D$29</c:f>
              <c:numCache>
                <c:formatCode>0.0</c:formatCode>
                <c:ptCount val="28"/>
                <c:pt idx="0">
                  <c:v>-2.6348722659946553</c:v>
                </c:pt>
                <c:pt idx="1">
                  <c:v>-0.81828679946788085</c:v>
                </c:pt>
                <c:pt idx="2">
                  <c:v>-0.40662197194145122</c:v>
                </c:pt>
                <c:pt idx="3">
                  <c:v>-1.3395094088337611</c:v>
                </c:pt>
                <c:pt idx="4">
                  <c:v>-8.3999255950208074E-2</c:v>
                </c:pt>
                <c:pt idx="5">
                  <c:v>0.33610763684212941</c:v>
                </c:pt>
                <c:pt idx="6">
                  <c:v>-0.28432325744512532</c:v>
                </c:pt>
                <c:pt idx="7">
                  <c:v>-0.44651145808209236</c:v>
                </c:pt>
                <c:pt idx="8">
                  <c:v>-0.35276275012508229</c:v>
                </c:pt>
                <c:pt idx="9">
                  <c:v>2.2812373992545432E-2</c:v>
                </c:pt>
                <c:pt idx="10">
                  <c:v>-0.19838765488526278</c:v>
                </c:pt>
                <c:pt idx="11">
                  <c:v>-0.33807999813045164</c:v>
                </c:pt>
                <c:pt idx="12">
                  <c:v>-7.6337364939833563E-2</c:v>
                </c:pt>
                <c:pt idx="13">
                  <c:v>-0.16804903160010021</c:v>
                </c:pt>
                <c:pt idx="14">
                  <c:v>-0.25068072617689019</c:v>
                </c:pt>
                <c:pt idx="15">
                  <c:v>-1.4535625390772644</c:v>
                </c:pt>
                <c:pt idx="16">
                  <c:v>9.3919440650362063E-2</c:v>
                </c:pt>
                <c:pt idx="17">
                  <c:v>-0.71645497262914581</c:v>
                </c:pt>
                <c:pt idx="18">
                  <c:v>-0.1520952485101823</c:v>
                </c:pt>
                <c:pt idx="19">
                  <c:v>-0.29368192697568318</c:v>
                </c:pt>
                <c:pt idx="20">
                  <c:v>-0.61868992840528847</c:v>
                </c:pt>
                <c:pt idx="21">
                  <c:v>-0.46351162549797742</c:v>
                </c:pt>
                <c:pt idx="22">
                  <c:v>2.1688303426476097E-2</c:v>
                </c:pt>
                <c:pt idx="23">
                  <c:v>0.30455447311479933</c:v>
                </c:pt>
                <c:pt idx="24">
                  <c:v>0.2221049497085188</c:v>
                </c:pt>
                <c:pt idx="25">
                  <c:v>0.49087161054036343</c:v>
                </c:pt>
                <c:pt idx="26">
                  <c:v>-0.52075407326604228</c:v>
                </c:pt>
                <c:pt idx="27">
                  <c:v>1.0277149657042699</c:v>
                </c:pt>
              </c:numCache>
            </c:numRef>
          </c:val>
          <c:extLst>
            <c:ext xmlns:c16="http://schemas.microsoft.com/office/drawing/2014/chart" uri="{C3380CC4-5D6E-409C-BE32-E72D297353CC}">
              <c16:uniqueId val="{00000000-4695-4771-B769-F4E037F29F96}"/>
            </c:ext>
          </c:extLst>
        </c:ser>
        <c:ser>
          <c:idx val="1"/>
          <c:order val="1"/>
          <c:tx>
            <c:strRef>
              <c:f>Sheet1!$C$1</c:f>
              <c:strCache>
                <c:ptCount val="1"/>
                <c:pt idx="0">
                  <c:v>Vidējās kvalifikācijas profesijas</c:v>
                </c:pt>
              </c:strCache>
            </c:strRef>
          </c:tx>
          <c:spPr>
            <a:solidFill>
              <a:srgbClr val="92B7C4"/>
            </a:solidFill>
            <a:ln>
              <a:noFill/>
            </a:ln>
            <a:effectLst/>
          </c:spPr>
          <c:invertIfNegative val="0"/>
          <c:cat>
            <c:strRef>
              <c:f>Sheet1!$A$2:$A$29</c:f>
              <c:strCache>
                <c:ptCount val="28"/>
                <c:pt idx="0">
                  <c:v>Bulgārija</c:v>
                </c:pt>
                <c:pt idx="1">
                  <c:v>Ungārija</c:v>
                </c:pt>
                <c:pt idx="2">
                  <c:v>Beļģija</c:v>
                </c:pt>
                <c:pt idx="3">
                  <c:v>Horvātija</c:v>
                </c:pt>
                <c:pt idx="4">
                  <c:v>Slovākija</c:v>
                </c:pt>
                <c:pt idx="5">
                  <c:v>Lietuva</c:v>
                </c:pt>
                <c:pt idx="6">
                  <c:v>Portugāle</c:v>
                </c:pt>
                <c:pt idx="7">
                  <c:v>Nīderlande</c:v>
                </c:pt>
                <c:pt idx="8">
                  <c:v>Īrija</c:v>
                </c:pt>
                <c:pt idx="9">
                  <c:v>Čehija</c:v>
                </c:pt>
                <c:pt idx="10">
                  <c:v>Kipra</c:v>
                </c:pt>
                <c:pt idx="11">
                  <c:v>Malta</c:v>
                </c:pt>
                <c:pt idx="12">
                  <c:v>Vācija</c:v>
                </c:pt>
                <c:pt idx="13">
                  <c:v>ES27</c:v>
                </c:pt>
                <c:pt idx="14">
                  <c:v>Francija</c:v>
                </c:pt>
                <c:pt idx="15">
                  <c:v>Luksemburga</c:v>
                </c:pt>
                <c:pt idx="16">
                  <c:v>Polija</c:v>
                </c:pt>
                <c:pt idx="17">
                  <c:v>Rumānija</c:v>
                </c:pt>
                <c:pt idx="18">
                  <c:v>Spānija</c:v>
                </c:pt>
                <c:pt idx="19">
                  <c:v>Austrija</c:v>
                </c:pt>
                <c:pt idx="20">
                  <c:v>Latvija</c:v>
                </c:pt>
                <c:pt idx="21">
                  <c:v>Slovēnija</c:v>
                </c:pt>
                <c:pt idx="22">
                  <c:v>Itālija</c:v>
                </c:pt>
                <c:pt idx="23">
                  <c:v>Grieķija</c:v>
                </c:pt>
                <c:pt idx="24">
                  <c:v>Zviedrija</c:v>
                </c:pt>
                <c:pt idx="25">
                  <c:v>Somija</c:v>
                </c:pt>
                <c:pt idx="26">
                  <c:v>Dānija</c:v>
                </c:pt>
                <c:pt idx="27">
                  <c:v>Igaunija</c:v>
                </c:pt>
              </c:strCache>
            </c:strRef>
          </c:cat>
          <c:val>
            <c:numRef>
              <c:f>Sheet1!$C$2:$C$29</c:f>
              <c:numCache>
                <c:formatCode>0.0</c:formatCode>
                <c:ptCount val="28"/>
                <c:pt idx="0">
                  <c:v>-3.91401438779247</c:v>
                </c:pt>
                <c:pt idx="1">
                  <c:v>-2.761711028695629</c:v>
                </c:pt>
                <c:pt idx="2">
                  <c:v>-2.9961699903474468</c:v>
                </c:pt>
                <c:pt idx="3">
                  <c:v>-1.5218156054268732</c:v>
                </c:pt>
                <c:pt idx="4">
                  <c:v>-2.5907585914266917</c:v>
                </c:pt>
                <c:pt idx="5">
                  <c:v>-2.9700258369046963</c:v>
                </c:pt>
                <c:pt idx="6">
                  <c:v>-2.1262351016726484</c:v>
                </c:pt>
                <c:pt idx="7">
                  <c:v>-1.8870544629661694</c:v>
                </c:pt>
                <c:pt idx="8">
                  <c:v>-2.0344763379032003</c:v>
                </c:pt>
                <c:pt idx="9">
                  <c:v>-2.0522810488421541</c:v>
                </c:pt>
                <c:pt idx="10">
                  <c:v>-1.5718005296540625</c:v>
                </c:pt>
                <c:pt idx="11">
                  <c:v>-1.3637931360986855</c:v>
                </c:pt>
                <c:pt idx="12">
                  <c:v>-1.4428085884315465</c:v>
                </c:pt>
                <c:pt idx="13">
                  <c:v>-1.2560664620119582</c:v>
                </c:pt>
                <c:pt idx="14">
                  <c:v>-1.1470103175384949</c:v>
                </c:pt>
                <c:pt idx="15">
                  <c:v>-1.2243599649106933</c:v>
                </c:pt>
                <c:pt idx="16">
                  <c:v>-1.3351237673670511</c:v>
                </c:pt>
                <c:pt idx="17">
                  <c:v>-0.39715748906721871</c:v>
                </c:pt>
                <c:pt idx="18">
                  <c:v>-0.94665760710410041</c:v>
                </c:pt>
                <c:pt idx="19">
                  <c:v>-0.70640293658988185</c:v>
                </c:pt>
                <c:pt idx="20">
                  <c:v>-0.33160184951271532</c:v>
                </c:pt>
                <c:pt idx="21">
                  <c:v>-0.32546926674186949</c:v>
                </c:pt>
                <c:pt idx="22">
                  <c:v>-0.63089499604636501</c:v>
                </c:pt>
                <c:pt idx="23">
                  <c:v>-0.72801511315904577</c:v>
                </c:pt>
                <c:pt idx="24">
                  <c:v>-0.19055663413892887</c:v>
                </c:pt>
                <c:pt idx="25">
                  <c:v>-0.36191196182216601</c:v>
                </c:pt>
                <c:pt idx="26">
                  <c:v>0.78524202066121518</c:v>
                </c:pt>
                <c:pt idx="27">
                  <c:v>0.8171431754820162</c:v>
                </c:pt>
              </c:numCache>
            </c:numRef>
          </c:val>
          <c:extLst>
            <c:ext xmlns:c16="http://schemas.microsoft.com/office/drawing/2014/chart" uri="{C3380CC4-5D6E-409C-BE32-E72D297353CC}">
              <c16:uniqueId val="{00000001-4695-4771-B769-F4E037F29F96}"/>
            </c:ext>
          </c:extLst>
        </c:ser>
        <c:ser>
          <c:idx val="0"/>
          <c:order val="2"/>
          <c:tx>
            <c:strRef>
              <c:f>Sheet1!$B$1</c:f>
              <c:strCache>
                <c:ptCount val="1"/>
                <c:pt idx="0">
                  <c:v>Augstākās kvalifikācijas profesijas</c:v>
                </c:pt>
              </c:strCache>
            </c:strRef>
          </c:tx>
          <c:spPr>
            <a:solidFill>
              <a:srgbClr val="006666"/>
            </a:solidFill>
            <a:ln>
              <a:noFill/>
            </a:ln>
            <a:effectLst/>
          </c:spPr>
          <c:invertIfNegative val="0"/>
          <c:cat>
            <c:strRef>
              <c:f>Sheet1!$A$2:$A$29</c:f>
              <c:strCache>
                <c:ptCount val="28"/>
                <c:pt idx="0">
                  <c:v>Bulgārija</c:v>
                </c:pt>
                <c:pt idx="1">
                  <c:v>Ungārija</c:v>
                </c:pt>
                <c:pt idx="2">
                  <c:v>Beļģija</c:v>
                </c:pt>
                <c:pt idx="3">
                  <c:v>Horvātija</c:v>
                </c:pt>
                <c:pt idx="4">
                  <c:v>Slovākija</c:v>
                </c:pt>
                <c:pt idx="5">
                  <c:v>Lietuva</c:v>
                </c:pt>
                <c:pt idx="6">
                  <c:v>Portugāle</c:v>
                </c:pt>
                <c:pt idx="7">
                  <c:v>Nīderlande</c:v>
                </c:pt>
                <c:pt idx="8">
                  <c:v>Īrija</c:v>
                </c:pt>
                <c:pt idx="9">
                  <c:v>Čehija</c:v>
                </c:pt>
                <c:pt idx="10">
                  <c:v>Kipra</c:v>
                </c:pt>
                <c:pt idx="11">
                  <c:v>Malta</c:v>
                </c:pt>
                <c:pt idx="12">
                  <c:v>Vācija</c:v>
                </c:pt>
                <c:pt idx="13">
                  <c:v>ES27</c:v>
                </c:pt>
                <c:pt idx="14">
                  <c:v>Francija</c:v>
                </c:pt>
                <c:pt idx="15">
                  <c:v>Luksemburga</c:v>
                </c:pt>
                <c:pt idx="16">
                  <c:v>Polija</c:v>
                </c:pt>
                <c:pt idx="17">
                  <c:v>Rumānija</c:v>
                </c:pt>
                <c:pt idx="18">
                  <c:v>Spānija</c:v>
                </c:pt>
                <c:pt idx="19">
                  <c:v>Austrija</c:v>
                </c:pt>
                <c:pt idx="20">
                  <c:v>Latvija</c:v>
                </c:pt>
                <c:pt idx="21">
                  <c:v>Slovēnija</c:v>
                </c:pt>
                <c:pt idx="22">
                  <c:v>Itālija</c:v>
                </c:pt>
                <c:pt idx="23">
                  <c:v>Grieķija</c:v>
                </c:pt>
                <c:pt idx="24">
                  <c:v>Zviedrija</c:v>
                </c:pt>
                <c:pt idx="25">
                  <c:v>Somija</c:v>
                </c:pt>
                <c:pt idx="26">
                  <c:v>Dānija</c:v>
                </c:pt>
                <c:pt idx="27">
                  <c:v>Igaunija</c:v>
                </c:pt>
              </c:strCache>
            </c:strRef>
          </c:cat>
          <c:val>
            <c:numRef>
              <c:f>Sheet1!$B$2:$B$29</c:f>
              <c:numCache>
                <c:formatCode>0.0</c:formatCode>
                <c:ptCount val="28"/>
                <c:pt idx="0">
                  <c:v>6.5557333896058267</c:v>
                </c:pt>
                <c:pt idx="1">
                  <c:v>3.5861601805337315</c:v>
                </c:pt>
                <c:pt idx="2">
                  <c:v>3.4066843759746277</c:v>
                </c:pt>
                <c:pt idx="3">
                  <c:v>2.8495582318872721</c:v>
                </c:pt>
                <c:pt idx="4">
                  <c:v>2.7359874538052367</c:v>
                </c:pt>
                <c:pt idx="5">
                  <c:v>2.586672919156527</c:v>
                </c:pt>
                <c:pt idx="6">
                  <c:v>2.4105583591177719</c:v>
                </c:pt>
                <c:pt idx="7">
                  <c:v>2.3325489270790598</c:v>
                </c:pt>
                <c:pt idx="8">
                  <c:v>2.2495354561905216</c:v>
                </c:pt>
                <c:pt idx="9">
                  <c:v>1.9739244955302766</c:v>
                </c:pt>
                <c:pt idx="10">
                  <c:v>1.8110540553159709</c:v>
                </c:pt>
                <c:pt idx="11">
                  <c:v>1.8037413528357362</c:v>
                </c:pt>
                <c:pt idx="12">
                  <c:v>1.5529762413534129</c:v>
                </c:pt>
                <c:pt idx="13">
                  <c:v>1.4259067615257095</c:v>
                </c:pt>
                <c:pt idx="14">
                  <c:v>1.3998993296263862</c:v>
                </c:pt>
                <c:pt idx="15">
                  <c:v>1.3685969746173328</c:v>
                </c:pt>
                <c:pt idx="16">
                  <c:v>1.2428261191778418</c:v>
                </c:pt>
                <c:pt idx="17">
                  <c:v>1.1149129701951921</c:v>
                </c:pt>
                <c:pt idx="18">
                  <c:v>1.0996978833508564</c:v>
                </c:pt>
                <c:pt idx="19">
                  <c:v>1.0538934382869769</c:v>
                </c:pt>
                <c:pt idx="20">
                  <c:v>1.0406704333767394</c:v>
                </c:pt>
                <c:pt idx="21">
                  <c:v>1.014676142369467</c:v>
                </c:pt>
                <c:pt idx="22">
                  <c:v>0.60921644676292175</c:v>
                </c:pt>
                <c:pt idx="23">
                  <c:v>0.44503560086435101</c:v>
                </c:pt>
                <c:pt idx="24">
                  <c:v>-3.3448372571307061E-2</c:v>
                </c:pt>
                <c:pt idx="25">
                  <c:v>-0.13695654153545433</c:v>
                </c:pt>
                <c:pt idx="26">
                  <c:v>-0.25790170722096661</c:v>
                </c:pt>
                <c:pt idx="27">
                  <c:v>-2.0183360618175072</c:v>
                </c:pt>
              </c:numCache>
            </c:numRef>
          </c:val>
          <c:extLst>
            <c:ext xmlns:c16="http://schemas.microsoft.com/office/drawing/2014/chart" uri="{C3380CC4-5D6E-409C-BE32-E72D297353CC}">
              <c16:uniqueId val="{00000002-4695-4771-B769-F4E037F29F96}"/>
            </c:ext>
          </c:extLst>
        </c:ser>
        <c:dLbls>
          <c:showLegendKey val="0"/>
          <c:showVal val="0"/>
          <c:showCatName val="0"/>
          <c:showSerName val="0"/>
          <c:showPercent val="0"/>
          <c:showBubbleSize val="0"/>
        </c:dLbls>
        <c:gapWidth val="60"/>
        <c:overlap val="100"/>
        <c:axId val="458555264"/>
        <c:axId val="458559528"/>
      </c:barChart>
      <c:catAx>
        <c:axId val="458555264"/>
        <c:scaling>
          <c:orientation val="minMax"/>
        </c:scaling>
        <c:delete val="0"/>
        <c:axPos val="b"/>
        <c:numFmt formatCode="General" sourceLinked="1"/>
        <c:majorTickMark val="none"/>
        <c:minorTickMark val="none"/>
        <c:tickLblPos val="low"/>
        <c:spPr>
          <a:noFill/>
          <a:ln w="6350" cap="flat" cmpd="sng" algn="ctr">
            <a:solidFill>
              <a:schemeClr val="bg1">
                <a:lumMod val="75000"/>
              </a:schemeClr>
            </a:solidFill>
            <a:round/>
          </a:ln>
          <a:effectLst/>
        </c:spPr>
        <c:txPr>
          <a:bodyPr rot="-5400000" spcFirstLastPara="1" vertOverflow="ellipsis" wrap="square" anchor="ctr" anchorCtr="1"/>
          <a:lstStyle/>
          <a:p>
            <a:pPr>
              <a:defRPr sz="7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en-US"/>
          </a:p>
        </c:txPr>
        <c:crossAx val="458559528"/>
        <c:crosses val="autoZero"/>
        <c:auto val="1"/>
        <c:lblAlgn val="ctr"/>
        <c:lblOffset val="100"/>
        <c:noMultiLvlLbl val="0"/>
      </c:catAx>
      <c:valAx>
        <c:axId val="458559528"/>
        <c:scaling>
          <c:orientation val="minMax"/>
        </c:scaling>
        <c:delete val="0"/>
        <c:axPos val="l"/>
        <c:numFmt formatCode="0" sourceLinked="0"/>
        <c:majorTickMark val="none"/>
        <c:minorTickMark val="none"/>
        <c:tickLblPos val="nextTo"/>
        <c:spPr>
          <a:noFill/>
          <a:ln w="6350">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458555264"/>
        <c:crosses val="autoZero"/>
        <c:crossBetween val="between"/>
      </c:valAx>
      <c:spPr>
        <a:noFill/>
        <a:ln>
          <a:noFill/>
        </a:ln>
        <a:effectLst/>
      </c:spPr>
    </c:plotArea>
    <c:legend>
      <c:legendPos val="b"/>
      <c:layout>
        <c:manualLayout>
          <c:xMode val="edge"/>
          <c:yMode val="edge"/>
          <c:x val="0.14704359871682707"/>
          <c:y val="0.10289639699755808"/>
          <c:w val="0.75456405265832038"/>
          <c:h val="6.9706500842227515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legend>
    <c:plotVisOnly val="1"/>
    <c:dispBlanksAs val="gap"/>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744631851380693E-2"/>
          <c:y val="4.7032021614763608E-2"/>
          <c:w val="0.89189568574123224"/>
          <c:h val="0.77703639735418251"/>
        </c:manualLayout>
      </c:layout>
      <c:barChart>
        <c:barDir val="col"/>
        <c:grouping val="clustered"/>
        <c:varyColors val="0"/>
        <c:ser>
          <c:idx val="2"/>
          <c:order val="0"/>
          <c:tx>
            <c:strRef>
              <c:f>Sheet1!$A$2</c:f>
              <c:strCache>
                <c:ptCount val="1"/>
                <c:pt idx="0">
                  <c:v>2023.gads</c:v>
                </c:pt>
              </c:strCache>
            </c:strRef>
          </c:tx>
          <c:spPr>
            <a:solidFill>
              <a:srgbClr val="92B7C4"/>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Sheet1!$B$1:$C$1</c:f>
              <c:strCache>
                <c:ptCount val="2"/>
                <c:pt idx="0">
                  <c:v>Privātais sektors</c:v>
                </c:pt>
                <c:pt idx="1">
                  <c:v>Sabiedriskais sektors</c:v>
                </c:pt>
              </c:strCache>
            </c:strRef>
          </c:cat>
          <c:val>
            <c:numRef>
              <c:f>Sheet1!$B$2:$C$2</c:f>
              <c:numCache>
                <c:formatCode>0</c:formatCode>
                <c:ptCount val="2"/>
                <c:pt idx="0">
                  <c:v>599.53099999999995</c:v>
                </c:pt>
                <c:pt idx="1">
                  <c:v>286.92200000000003</c:v>
                </c:pt>
              </c:numCache>
            </c:numRef>
          </c:val>
          <c:extLst>
            <c:ext xmlns:c16="http://schemas.microsoft.com/office/drawing/2014/chart" uri="{C3380CC4-5D6E-409C-BE32-E72D297353CC}">
              <c16:uniqueId val="{00000000-5650-408C-A568-06EB565DF685}"/>
            </c:ext>
          </c:extLst>
        </c:ser>
        <c:ser>
          <c:idx val="3"/>
          <c:order val="1"/>
          <c:tx>
            <c:strRef>
              <c:f>Sheet1!$A$3</c:f>
              <c:strCache>
                <c:ptCount val="1"/>
                <c:pt idx="0">
                  <c:v>2025.gads</c:v>
                </c:pt>
              </c:strCache>
            </c:strRef>
          </c:tx>
          <c:spPr>
            <a:solidFill>
              <a:srgbClr val="006666"/>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Sheet1!$B$1:$C$1</c:f>
              <c:strCache>
                <c:ptCount val="2"/>
                <c:pt idx="0">
                  <c:v>Privātais sektors</c:v>
                </c:pt>
                <c:pt idx="1">
                  <c:v>Sabiedriskais sektors</c:v>
                </c:pt>
              </c:strCache>
            </c:strRef>
          </c:cat>
          <c:val>
            <c:numRef>
              <c:f>Sheet1!$B$3:$C$3</c:f>
              <c:numCache>
                <c:formatCode>0</c:formatCode>
                <c:ptCount val="2"/>
                <c:pt idx="0">
                  <c:v>595.57399999999996</c:v>
                </c:pt>
                <c:pt idx="1">
                  <c:v>288.02300000000002</c:v>
                </c:pt>
              </c:numCache>
            </c:numRef>
          </c:val>
          <c:extLst>
            <c:ext xmlns:c16="http://schemas.microsoft.com/office/drawing/2014/chart" uri="{C3380CC4-5D6E-409C-BE32-E72D297353CC}">
              <c16:uniqueId val="{00000001-5650-408C-A568-06EB565DF685}"/>
            </c:ext>
          </c:extLst>
        </c:ser>
        <c:dLbls>
          <c:showLegendKey val="0"/>
          <c:showVal val="0"/>
          <c:showCatName val="0"/>
          <c:showSerName val="0"/>
          <c:showPercent val="0"/>
          <c:showBubbleSize val="0"/>
        </c:dLbls>
        <c:gapWidth val="60"/>
        <c:axId val="742049912"/>
        <c:axId val="742055008"/>
      </c:barChart>
      <c:catAx>
        <c:axId val="742049912"/>
        <c:scaling>
          <c:orientation val="minMax"/>
        </c:scaling>
        <c:delete val="0"/>
        <c:axPos val="b"/>
        <c:numFmt formatCode="General" sourceLinked="1"/>
        <c:majorTickMark val="out"/>
        <c:minorTickMark val="none"/>
        <c:tickLblPos val="low"/>
        <c:spPr>
          <a:ln w="6350"/>
        </c:spPr>
        <c:txPr>
          <a:bodyPr rot="0" vert="horz"/>
          <a:lstStyle/>
          <a:p>
            <a:pPr>
              <a:defRPr/>
            </a:pPr>
            <a:endParaRPr lang="en-US"/>
          </a:p>
        </c:txPr>
        <c:crossAx val="742055008"/>
        <c:crosses val="autoZero"/>
        <c:auto val="0"/>
        <c:lblAlgn val="ctr"/>
        <c:lblOffset val="0"/>
        <c:noMultiLvlLbl val="1"/>
      </c:catAx>
      <c:valAx>
        <c:axId val="742055008"/>
        <c:scaling>
          <c:orientation val="minMax"/>
          <c:max val="800"/>
          <c:min val="0"/>
        </c:scaling>
        <c:delete val="1"/>
        <c:axPos val="l"/>
        <c:numFmt formatCode="0" sourceLinked="0"/>
        <c:majorTickMark val="out"/>
        <c:minorTickMark val="none"/>
        <c:tickLblPos val="nextTo"/>
        <c:crossAx val="742049912"/>
        <c:crosses val="autoZero"/>
        <c:crossBetween val="between"/>
        <c:majorUnit val="100"/>
      </c:valAx>
      <c:spPr>
        <a:noFill/>
        <a:ln w="24631">
          <a:noFill/>
        </a:ln>
      </c:spPr>
    </c:plotArea>
    <c:legend>
      <c:legendPos val="l"/>
      <c:layout>
        <c:manualLayout>
          <c:xMode val="edge"/>
          <c:yMode val="edge"/>
          <c:x val="3.2347720981282281E-2"/>
          <c:y val="7.1083771100209067E-2"/>
          <c:w val="0.9300473413474396"/>
          <c:h val="0.10978197704704729"/>
        </c:manualLayout>
      </c:layout>
      <c:overlay val="1"/>
    </c:legend>
    <c:plotVisOnly val="1"/>
    <c:dispBlanksAs val="gap"/>
    <c:showDLblsOverMax val="0"/>
  </c:chart>
  <c:spPr>
    <a:noFill/>
    <a:ln>
      <a:noFill/>
    </a:ln>
  </c:spPr>
  <c:txPr>
    <a:bodyPr/>
    <a:lstStyle/>
    <a:p>
      <a:pPr>
        <a:defRPr sz="800" b="0" i="0" u="none" strike="noStrike" baseline="0">
          <a:solidFill>
            <a:sysClr val="windowText" lastClr="000000"/>
          </a:solidFill>
          <a:latin typeface="Segoe UI Light" panose="020B0502040204020203" pitchFamily="34" charset="0"/>
          <a:ea typeface="Arial"/>
          <a:cs typeface="Arial"/>
        </a:defRPr>
      </a:pPr>
      <a:endParaRPr lang="en-US"/>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226274862278106E-2"/>
          <c:y val="6.7257719351880157E-2"/>
          <c:w val="0.46728666486878767"/>
          <c:h val="0.78546087425406275"/>
        </c:manualLayout>
      </c:layout>
      <c:lineChart>
        <c:grouping val="standard"/>
        <c:varyColors val="0"/>
        <c:ser>
          <c:idx val="0"/>
          <c:order val="0"/>
          <c:tx>
            <c:strRef>
              <c:f>Sheet1!$A$2</c:f>
              <c:strCache>
                <c:ptCount val="1"/>
                <c:pt idx="0">
                  <c:v>Sabiedriskie pakalpojumi</c:v>
                </c:pt>
              </c:strCache>
            </c:strRef>
          </c:tx>
          <c:spPr>
            <a:ln w="28575" cap="rnd">
              <a:solidFill>
                <a:schemeClr val="accent1"/>
              </a:solidFill>
              <a:round/>
            </a:ln>
            <a:effectLst/>
          </c:spPr>
          <c:marker>
            <c:symbol val="none"/>
          </c:marker>
          <c:cat>
            <c:strRef>
              <c:f>Sheet1!$B$1:$Q$1</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Sheet1!$B$2:$Q$2</c:f>
              <c:numCache>
                <c:formatCode>General</c:formatCode>
                <c:ptCount val="16"/>
                <c:pt idx="0">
                  <c:v>214.17</c:v>
                </c:pt>
                <c:pt idx="1">
                  <c:v>215.04599999999999</c:v>
                </c:pt>
                <c:pt idx="2">
                  <c:v>212.82499999999999</c:v>
                </c:pt>
                <c:pt idx="3">
                  <c:v>216.47399999999999</c:v>
                </c:pt>
                <c:pt idx="4">
                  <c:v>222.13499999999999</c:v>
                </c:pt>
                <c:pt idx="5">
                  <c:v>224.346</c:v>
                </c:pt>
                <c:pt idx="6">
                  <c:v>225.41499999999999</c:v>
                </c:pt>
                <c:pt idx="7">
                  <c:v>228.26599999999999</c:v>
                </c:pt>
                <c:pt idx="8">
                  <c:v>230.24</c:v>
                </c:pt>
                <c:pt idx="9">
                  <c:v>231.69399999999999</c:v>
                </c:pt>
                <c:pt idx="10">
                  <c:v>234.916</c:v>
                </c:pt>
                <c:pt idx="11">
                  <c:v>238.57400000000001</c:v>
                </c:pt>
                <c:pt idx="12">
                  <c:v>238.142</c:v>
                </c:pt>
                <c:pt idx="13">
                  <c:v>241.21799999999999</c:v>
                </c:pt>
                <c:pt idx="14">
                  <c:v>244.416</c:v>
                </c:pt>
                <c:pt idx="15">
                  <c:v>248.471</c:v>
                </c:pt>
              </c:numCache>
            </c:numRef>
          </c:val>
          <c:smooth val="0"/>
          <c:extLst>
            <c:ext xmlns:c16="http://schemas.microsoft.com/office/drawing/2014/chart" uri="{C3380CC4-5D6E-409C-BE32-E72D297353CC}">
              <c16:uniqueId val="{00000000-8ABB-4C5F-A27D-F6111F05520A}"/>
            </c:ext>
          </c:extLst>
        </c:ser>
        <c:ser>
          <c:idx val="1"/>
          <c:order val="1"/>
          <c:tx>
            <c:strRef>
              <c:f>Sheet1!$A$3</c:f>
              <c:strCache>
                <c:ptCount val="1"/>
                <c:pt idx="0">
                  <c:v>Citi komercpakalpojumi</c:v>
                </c:pt>
              </c:strCache>
            </c:strRef>
          </c:tx>
          <c:spPr>
            <a:ln w="28575" cap="rnd">
              <a:solidFill>
                <a:schemeClr val="accent2"/>
              </a:solidFill>
              <a:round/>
            </a:ln>
            <a:effectLst/>
          </c:spPr>
          <c:marker>
            <c:symbol val="none"/>
          </c:marker>
          <c:cat>
            <c:strRef>
              <c:f>Sheet1!$B$1:$Q$1</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Sheet1!$B$3:$Q$3</c:f>
              <c:numCache>
                <c:formatCode>General</c:formatCode>
                <c:ptCount val="16"/>
                <c:pt idx="0">
                  <c:v>148.386</c:v>
                </c:pt>
                <c:pt idx="1">
                  <c:v>157.02600000000001</c:v>
                </c:pt>
                <c:pt idx="2">
                  <c:v>168.464</c:v>
                </c:pt>
                <c:pt idx="3">
                  <c:v>176.16</c:v>
                </c:pt>
                <c:pt idx="4">
                  <c:v>180.24100000000001</c:v>
                </c:pt>
                <c:pt idx="5">
                  <c:v>188.27799999999999</c:v>
                </c:pt>
                <c:pt idx="6">
                  <c:v>194.68100000000001</c:v>
                </c:pt>
                <c:pt idx="7">
                  <c:v>196.256</c:v>
                </c:pt>
                <c:pt idx="8">
                  <c:v>200.04</c:v>
                </c:pt>
                <c:pt idx="9">
                  <c:v>202.41399999999999</c:v>
                </c:pt>
                <c:pt idx="10">
                  <c:v>196.274</c:v>
                </c:pt>
                <c:pt idx="11">
                  <c:v>195.42599999999999</c:v>
                </c:pt>
                <c:pt idx="12">
                  <c:v>194.76900000000001</c:v>
                </c:pt>
                <c:pt idx="13">
                  <c:v>195.70599999999999</c:v>
                </c:pt>
                <c:pt idx="14">
                  <c:v>196.32499999999999</c:v>
                </c:pt>
                <c:pt idx="15">
                  <c:v>197.18199999999999</c:v>
                </c:pt>
              </c:numCache>
            </c:numRef>
          </c:val>
          <c:smooth val="0"/>
          <c:extLst>
            <c:ext xmlns:c16="http://schemas.microsoft.com/office/drawing/2014/chart" uri="{C3380CC4-5D6E-409C-BE32-E72D297353CC}">
              <c16:uniqueId val="{00000001-8ABB-4C5F-A27D-F6111F05520A}"/>
            </c:ext>
          </c:extLst>
        </c:ser>
        <c:ser>
          <c:idx val="2"/>
          <c:order val="2"/>
          <c:tx>
            <c:strRef>
              <c:f>Sheet1!$A$4</c:f>
              <c:strCache>
                <c:ptCount val="1"/>
                <c:pt idx="0">
                  <c:v>Tirdzniecība, izmitināšana</c:v>
                </c:pt>
              </c:strCache>
            </c:strRef>
          </c:tx>
          <c:spPr>
            <a:ln w="28575" cap="rnd">
              <a:solidFill>
                <a:schemeClr val="accent3"/>
              </a:solidFill>
              <a:round/>
            </a:ln>
            <a:effectLst/>
          </c:spPr>
          <c:marker>
            <c:symbol val="none"/>
          </c:marker>
          <c:cat>
            <c:strRef>
              <c:f>Sheet1!$B$1:$Q$1</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Sheet1!$B$4:$Q$4</c:f>
              <c:numCache>
                <c:formatCode>General</c:formatCode>
                <c:ptCount val="16"/>
                <c:pt idx="0">
                  <c:v>159.72</c:v>
                </c:pt>
                <c:pt idx="1">
                  <c:v>162.77099999999999</c:v>
                </c:pt>
                <c:pt idx="2">
                  <c:v>170.672</c:v>
                </c:pt>
                <c:pt idx="3">
                  <c:v>173.935</c:v>
                </c:pt>
                <c:pt idx="4">
                  <c:v>176.03</c:v>
                </c:pt>
                <c:pt idx="5">
                  <c:v>179.00800000000001</c:v>
                </c:pt>
                <c:pt idx="6">
                  <c:v>179.25700000000001</c:v>
                </c:pt>
                <c:pt idx="7">
                  <c:v>178.15100000000001</c:v>
                </c:pt>
                <c:pt idx="8">
                  <c:v>178.577</c:v>
                </c:pt>
                <c:pt idx="9">
                  <c:v>181.71299999999999</c:v>
                </c:pt>
                <c:pt idx="10">
                  <c:v>168.76</c:v>
                </c:pt>
                <c:pt idx="11">
                  <c:v>167.81899999999999</c:v>
                </c:pt>
                <c:pt idx="12">
                  <c:v>169.82300000000001</c:v>
                </c:pt>
                <c:pt idx="13">
                  <c:v>169.56299999999999</c:v>
                </c:pt>
                <c:pt idx="14">
                  <c:v>168.03299999999999</c:v>
                </c:pt>
                <c:pt idx="15">
                  <c:v>167.50700000000001</c:v>
                </c:pt>
              </c:numCache>
            </c:numRef>
          </c:val>
          <c:smooth val="0"/>
          <c:extLst>
            <c:ext xmlns:c16="http://schemas.microsoft.com/office/drawing/2014/chart" uri="{C3380CC4-5D6E-409C-BE32-E72D297353CC}">
              <c16:uniqueId val="{00000002-8ABB-4C5F-A27D-F6111F05520A}"/>
            </c:ext>
          </c:extLst>
        </c:ser>
        <c:ser>
          <c:idx val="3"/>
          <c:order val="3"/>
          <c:tx>
            <c:strRef>
              <c:f>Sheet1!$A$5</c:f>
              <c:strCache>
                <c:ptCount val="1"/>
                <c:pt idx="0">
                  <c:v>Rūpniecība</c:v>
                </c:pt>
              </c:strCache>
            </c:strRef>
          </c:tx>
          <c:spPr>
            <a:ln w="28575" cap="rnd">
              <a:solidFill>
                <a:schemeClr val="accent4"/>
              </a:solidFill>
              <a:round/>
            </a:ln>
            <a:effectLst/>
          </c:spPr>
          <c:marker>
            <c:symbol val="none"/>
          </c:marker>
          <c:cat>
            <c:strRef>
              <c:f>Sheet1!$B$1:$Q$1</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Sheet1!$B$5:$Q$5</c:f>
              <c:numCache>
                <c:formatCode>General</c:formatCode>
                <c:ptCount val="16"/>
                <c:pt idx="0">
                  <c:v>104.381</c:v>
                </c:pt>
                <c:pt idx="1">
                  <c:v>111.895</c:v>
                </c:pt>
                <c:pt idx="2">
                  <c:v>117.52300000000001</c:v>
                </c:pt>
                <c:pt idx="3">
                  <c:v>120.267</c:v>
                </c:pt>
                <c:pt idx="4">
                  <c:v>117.411</c:v>
                </c:pt>
                <c:pt idx="5">
                  <c:v>114.31099999999999</c:v>
                </c:pt>
                <c:pt idx="6">
                  <c:v>114.46300000000001</c:v>
                </c:pt>
                <c:pt idx="7">
                  <c:v>114.991</c:v>
                </c:pt>
                <c:pt idx="8">
                  <c:v>116.036</c:v>
                </c:pt>
                <c:pt idx="9">
                  <c:v>116.014</c:v>
                </c:pt>
                <c:pt idx="10">
                  <c:v>114.38800000000001</c:v>
                </c:pt>
                <c:pt idx="11">
                  <c:v>138.10599999999999</c:v>
                </c:pt>
                <c:pt idx="12">
                  <c:v>136.22499999999999</c:v>
                </c:pt>
                <c:pt idx="13">
                  <c:v>132.714</c:v>
                </c:pt>
                <c:pt idx="14">
                  <c:v>128.928</c:v>
                </c:pt>
                <c:pt idx="15">
                  <c:v>127.86199999999999</c:v>
                </c:pt>
              </c:numCache>
            </c:numRef>
          </c:val>
          <c:smooth val="0"/>
          <c:extLst>
            <c:ext xmlns:c16="http://schemas.microsoft.com/office/drawing/2014/chart" uri="{C3380CC4-5D6E-409C-BE32-E72D297353CC}">
              <c16:uniqueId val="{00000003-8ABB-4C5F-A27D-F6111F05520A}"/>
            </c:ext>
          </c:extLst>
        </c:ser>
        <c:ser>
          <c:idx val="4"/>
          <c:order val="4"/>
          <c:tx>
            <c:strRef>
              <c:f>Sheet1!$A$6</c:f>
              <c:strCache>
                <c:ptCount val="1"/>
                <c:pt idx="0">
                  <c:v>Transports un uzglabāšana</c:v>
                </c:pt>
              </c:strCache>
            </c:strRef>
          </c:tx>
          <c:spPr>
            <a:ln w="28575" cap="rnd">
              <a:solidFill>
                <a:schemeClr val="accent5"/>
              </a:solidFill>
              <a:round/>
            </a:ln>
            <a:effectLst/>
          </c:spPr>
          <c:marker>
            <c:symbol val="none"/>
          </c:marker>
          <c:cat>
            <c:strRef>
              <c:f>Sheet1!$B$1:$Q$1</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Sheet1!$B$6:$Q$6</c:f>
              <c:numCache>
                <c:formatCode>General</c:formatCode>
                <c:ptCount val="16"/>
                <c:pt idx="0">
                  <c:v>66.751999999999995</c:v>
                </c:pt>
                <c:pt idx="1">
                  <c:v>68.801000000000002</c:v>
                </c:pt>
                <c:pt idx="2">
                  <c:v>72.665999999999997</c:v>
                </c:pt>
                <c:pt idx="3">
                  <c:v>75.248000000000005</c:v>
                </c:pt>
                <c:pt idx="4">
                  <c:v>75.864000000000004</c:v>
                </c:pt>
                <c:pt idx="5">
                  <c:v>76.698999999999998</c:v>
                </c:pt>
                <c:pt idx="6">
                  <c:v>76.781999999999996</c:v>
                </c:pt>
                <c:pt idx="7">
                  <c:v>77.009</c:v>
                </c:pt>
                <c:pt idx="8">
                  <c:v>76.078000000000003</c:v>
                </c:pt>
                <c:pt idx="9">
                  <c:v>76.418000000000006</c:v>
                </c:pt>
                <c:pt idx="10">
                  <c:v>71.004999999999995</c:v>
                </c:pt>
                <c:pt idx="11">
                  <c:v>69.138999999999996</c:v>
                </c:pt>
                <c:pt idx="12">
                  <c:v>67.366</c:v>
                </c:pt>
                <c:pt idx="13">
                  <c:v>66.792000000000002</c:v>
                </c:pt>
                <c:pt idx="14">
                  <c:v>65.212000000000003</c:v>
                </c:pt>
                <c:pt idx="15">
                  <c:v>62.747</c:v>
                </c:pt>
              </c:numCache>
            </c:numRef>
          </c:val>
          <c:smooth val="0"/>
          <c:extLst>
            <c:ext xmlns:c16="http://schemas.microsoft.com/office/drawing/2014/chart" uri="{C3380CC4-5D6E-409C-BE32-E72D297353CC}">
              <c16:uniqueId val="{00000004-8ABB-4C5F-A27D-F6111F05520A}"/>
            </c:ext>
          </c:extLst>
        </c:ser>
        <c:ser>
          <c:idx val="5"/>
          <c:order val="5"/>
          <c:tx>
            <c:strRef>
              <c:f>Sheet1!$A$7</c:f>
              <c:strCache>
                <c:ptCount val="1"/>
                <c:pt idx="0">
                  <c:v>Būvniecība</c:v>
                </c:pt>
              </c:strCache>
            </c:strRef>
          </c:tx>
          <c:spPr>
            <a:ln w="28575" cap="rnd">
              <a:solidFill>
                <a:schemeClr val="accent6"/>
              </a:solidFill>
              <a:round/>
            </a:ln>
            <a:effectLst/>
          </c:spPr>
          <c:marker>
            <c:symbol val="none"/>
          </c:marker>
          <c:cat>
            <c:strRef>
              <c:f>Sheet1!$B$1:$Q$1</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Sheet1!$B$7:$Q$7</c:f>
              <c:numCache>
                <c:formatCode>General</c:formatCode>
                <c:ptCount val="16"/>
                <c:pt idx="0">
                  <c:v>46.008000000000003</c:v>
                </c:pt>
                <c:pt idx="1">
                  <c:v>50.908000000000001</c:v>
                </c:pt>
                <c:pt idx="2">
                  <c:v>55.691000000000003</c:v>
                </c:pt>
                <c:pt idx="3">
                  <c:v>60.62</c:v>
                </c:pt>
                <c:pt idx="4">
                  <c:v>60.307000000000002</c:v>
                </c:pt>
                <c:pt idx="5">
                  <c:v>58.731000000000002</c:v>
                </c:pt>
                <c:pt idx="6">
                  <c:v>54.161999999999999</c:v>
                </c:pt>
                <c:pt idx="7">
                  <c:v>58.122999999999998</c:v>
                </c:pt>
                <c:pt idx="8">
                  <c:v>62.417999999999999</c:v>
                </c:pt>
                <c:pt idx="9">
                  <c:v>63.94</c:v>
                </c:pt>
                <c:pt idx="10">
                  <c:v>62.543999999999997</c:v>
                </c:pt>
                <c:pt idx="11">
                  <c:v>62.139000000000003</c:v>
                </c:pt>
                <c:pt idx="12">
                  <c:v>59.804000000000002</c:v>
                </c:pt>
                <c:pt idx="13">
                  <c:v>58.335999999999999</c:v>
                </c:pt>
                <c:pt idx="14">
                  <c:v>56.482999999999997</c:v>
                </c:pt>
                <c:pt idx="15">
                  <c:v>58.198</c:v>
                </c:pt>
              </c:numCache>
            </c:numRef>
          </c:val>
          <c:smooth val="0"/>
          <c:extLst>
            <c:ext xmlns:c16="http://schemas.microsoft.com/office/drawing/2014/chart" uri="{C3380CC4-5D6E-409C-BE32-E72D297353CC}">
              <c16:uniqueId val="{00000005-8ABB-4C5F-A27D-F6111F05520A}"/>
            </c:ext>
          </c:extLst>
        </c:ser>
        <c:ser>
          <c:idx val="6"/>
          <c:order val="6"/>
          <c:tx>
            <c:strRef>
              <c:f>Sheet1!$A$8</c:f>
              <c:strCache>
                <c:ptCount val="1"/>
                <c:pt idx="0">
                  <c:v>Lauksaimniecība, mežsaimniecība, zivsaimniecība</c:v>
                </c:pt>
              </c:strCache>
            </c:strRef>
          </c:tx>
          <c:spPr>
            <a:ln w="28575" cap="rnd">
              <a:solidFill>
                <a:schemeClr val="accent1">
                  <a:lumMod val="60000"/>
                </a:schemeClr>
              </a:solidFill>
              <a:round/>
            </a:ln>
            <a:effectLst/>
          </c:spPr>
          <c:marker>
            <c:symbol val="none"/>
          </c:marker>
          <c:cat>
            <c:strRef>
              <c:f>Sheet1!$B$1:$Q$1</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Sheet1!$B$8:$Q$8</c:f>
              <c:numCache>
                <c:formatCode>General</c:formatCode>
                <c:ptCount val="16"/>
                <c:pt idx="0">
                  <c:v>17.47</c:v>
                </c:pt>
                <c:pt idx="1">
                  <c:v>18.952999999999999</c:v>
                </c:pt>
                <c:pt idx="2">
                  <c:v>20.567</c:v>
                </c:pt>
                <c:pt idx="3">
                  <c:v>21.169</c:v>
                </c:pt>
                <c:pt idx="4">
                  <c:v>21.498000000000001</c:v>
                </c:pt>
                <c:pt idx="5">
                  <c:v>21.626000000000001</c:v>
                </c:pt>
                <c:pt idx="6">
                  <c:v>21.379000000000001</c:v>
                </c:pt>
                <c:pt idx="7">
                  <c:v>21.745999999999999</c:v>
                </c:pt>
                <c:pt idx="8">
                  <c:v>21.759</c:v>
                </c:pt>
                <c:pt idx="9">
                  <c:v>22.189</c:v>
                </c:pt>
                <c:pt idx="10">
                  <c:v>21.98</c:v>
                </c:pt>
                <c:pt idx="11">
                  <c:v>21.434000000000001</c:v>
                </c:pt>
                <c:pt idx="12">
                  <c:v>21.587</c:v>
                </c:pt>
                <c:pt idx="13">
                  <c:v>22.125</c:v>
                </c:pt>
                <c:pt idx="14">
                  <c:v>21.971</c:v>
                </c:pt>
                <c:pt idx="15">
                  <c:v>21.631</c:v>
                </c:pt>
              </c:numCache>
            </c:numRef>
          </c:val>
          <c:smooth val="0"/>
          <c:extLst>
            <c:ext xmlns:c16="http://schemas.microsoft.com/office/drawing/2014/chart" uri="{C3380CC4-5D6E-409C-BE32-E72D297353CC}">
              <c16:uniqueId val="{00000006-8ABB-4C5F-A27D-F6111F05520A}"/>
            </c:ext>
          </c:extLst>
        </c:ser>
        <c:dLbls>
          <c:showLegendKey val="0"/>
          <c:showVal val="0"/>
          <c:showCatName val="0"/>
          <c:showSerName val="0"/>
          <c:showPercent val="0"/>
          <c:showBubbleSize val="0"/>
        </c:dLbls>
        <c:smooth val="0"/>
        <c:axId val="637074768"/>
        <c:axId val="637069848"/>
      </c:lineChart>
      <c:catAx>
        <c:axId val="637074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637069848"/>
        <c:crosses val="autoZero"/>
        <c:auto val="1"/>
        <c:lblAlgn val="ctr"/>
        <c:lblOffset val="100"/>
        <c:tickLblSkip val="3"/>
        <c:noMultiLvlLbl val="0"/>
      </c:catAx>
      <c:valAx>
        <c:axId val="637069848"/>
        <c:scaling>
          <c:orientation val="minMax"/>
          <c:max val="250"/>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637074768"/>
        <c:crosses val="autoZero"/>
        <c:crossBetween val="between"/>
      </c:valAx>
      <c:spPr>
        <a:noFill/>
        <a:ln>
          <a:noFill/>
        </a:ln>
        <a:effectLst/>
      </c:spPr>
    </c:plotArea>
    <c:legend>
      <c:legendPos val="r"/>
      <c:layout>
        <c:manualLayout>
          <c:xMode val="edge"/>
          <c:yMode val="edge"/>
          <c:x val="0.55256328357499607"/>
          <c:y val="5.5759422309788469E-2"/>
          <c:w val="0.4261336807424192"/>
          <c:h val="0.8233270899943739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955195374558334"/>
          <c:y val="4.7032080353913347E-2"/>
          <c:w val="0.48400923699311565"/>
          <c:h val="0.89025346553523477"/>
        </c:manualLayout>
      </c:layout>
      <c:barChart>
        <c:barDir val="bar"/>
        <c:grouping val="clustered"/>
        <c:varyColors val="0"/>
        <c:ser>
          <c:idx val="2"/>
          <c:order val="0"/>
          <c:tx>
            <c:strRef>
              <c:f>Sheet1!$B$1</c:f>
              <c:strCache>
                <c:ptCount val="1"/>
                <c:pt idx="0">
                  <c:v>2023 pret 2021</c:v>
                </c:pt>
              </c:strCache>
            </c:strRef>
          </c:tx>
          <c:spPr>
            <a:solidFill>
              <a:srgbClr val="92B7C4"/>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Sheet1!$A$2:$A$20</c:f>
              <c:strCache>
                <c:ptCount val="19"/>
                <c:pt idx="0">
                  <c:v>Apstrādes rūpniecība</c:v>
                </c:pt>
                <c:pt idx="1">
                  <c:v>Tirdzniecība</c:v>
                </c:pt>
                <c:pt idx="2">
                  <c:v>Transports un uzglabāšana</c:v>
                </c:pt>
                <c:pt idx="3">
                  <c:v>Operācijas ar nekustamo īpašumu</c:v>
                </c:pt>
                <c:pt idx="4">
                  <c:v>Lauksaimniecība, mežsaimniecība un zivsaimniecība</c:v>
                </c:pt>
                <c:pt idx="5">
                  <c:v>Būvniecība</c:v>
                </c:pt>
                <c:pt idx="6">
                  <c:v>Ieguves rūpniecība un karjeru izstrāde</c:v>
                </c:pt>
                <c:pt idx="7">
                  <c:v>Profesionālie, zinātniskie un tehniskie pakalpojumi</c:v>
                </c:pt>
                <c:pt idx="8">
                  <c:v>Māksla, izklaide un atpūta</c:v>
                </c:pt>
                <c:pt idx="9">
                  <c:v>Elektroenerģija, gāzes apgāde, siltumapgāde un gaisa kondicionēšana</c:v>
                </c:pt>
                <c:pt idx="10">
                  <c:v>Izglītība</c:v>
                </c:pt>
                <c:pt idx="11">
                  <c:v>Ūdens apgāde, notekūdeņu, atkritumu apsaimniekošana un sanācija</c:v>
                </c:pt>
                <c:pt idx="12">
                  <c:v>Citi pakalpojumi</c:v>
                </c:pt>
                <c:pt idx="13">
                  <c:v>Administratīvo un apkalpojošo dienestu darbība</c:v>
                </c:pt>
                <c:pt idx="14">
                  <c:v>Finanšu un apdrošināšanas darbības</c:v>
                </c:pt>
                <c:pt idx="15">
                  <c:v>Informācijas un komunikācijas pakalpojumi</c:v>
                </c:pt>
                <c:pt idx="16">
                  <c:v>Valsts pārvalde un aizsardzība, obligātā sociālā apdrošināšana</c:v>
                </c:pt>
                <c:pt idx="17">
                  <c:v>Izmitināšana un ēdināšanas pakalpojumi</c:v>
                </c:pt>
                <c:pt idx="18">
                  <c:v>Veselība un sociālā aprūpe</c:v>
                </c:pt>
              </c:strCache>
            </c:strRef>
          </c:cat>
          <c:val>
            <c:numRef>
              <c:f>Sheet1!$B$2:$B$20</c:f>
              <c:numCache>
                <c:formatCode>0.0</c:formatCode>
                <c:ptCount val="19"/>
                <c:pt idx="0">
                  <c:v>-5.0970000000000004</c:v>
                </c:pt>
                <c:pt idx="1">
                  <c:v>-4.5949999999999998</c:v>
                </c:pt>
                <c:pt idx="2">
                  <c:v>-4.0449999999999999</c:v>
                </c:pt>
                <c:pt idx="3">
                  <c:v>-0.94699999999999995</c:v>
                </c:pt>
                <c:pt idx="4">
                  <c:v>-0.49399999999999999</c:v>
                </c:pt>
                <c:pt idx="5">
                  <c:v>-0.13800000000000001</c:v>
                </c:pt>
                <c:pt idx="6">
                  <c:v>-0.121</c:v>
                </c:pt>
                <c:pt idx="7">
                  <c:v>2.4E-2</c:v>
                </c:pt>
                <c:pt idx="8">
                  <c:v>8.1000000000000003E-2</c:v>
                </c:pt>
                <c:pt idx="9">
                  <c:v>0.11799999999999999</c:v>
                </c:pt>
                <c:pt idx="10">
                  <c:v>0.13900000000000001</c:v>
                </c:pt>
                <c:pt idx="11">
                  <c:v>0.248</c:v>
                </c:pt>
                <c:pt idx="12">
                  <c:v>0.26300000000000001</c:v>
                </c:pt>
                <c:pt idx="13">
                  <c:v>0.433</c:v>
                </c:pt>
                <c:pt idx="14">
                  <c:v>0.65100000000000002</c:v>
                </c:pt>
                <c:pt idx="15">
                  <c:v>0.97099999999999997</c:v>
                </c:pt>
                <c:pt idx="16">
                  <c:v>1.41</c:v>
                </c:pt>
                <c:pt idx="17">
                  <c:v>2.5390000000000001</c:v>
                </c:pt>
                <c:pt idx="18">
                  <c:v>5.7039999999999997</c:v>
                </c:pt>
              </c:numCache>
            </c:numRef>
          </c:val>
          <c:extLst>
            <c:ext xmlns:c16="http://schemas.microsoft.com/office/drawing/2014/chart" uri="{C3380CC4-5D6E-409C-BE32-E72D297353CC}">
              <c16:uniqueId val="{00000000-7D22-4F52-B9E9-0F9B60C3D7B7}"/>
            </c:ext>
          </c:extLst>
        </c:ser>
        <c:dLbls>
          <c:showLegendKey val="0"/>
          <c:showVal val="0"/>
          <c:showCatName val="0"/>
          <c:showSerName val="0"/>
          <c:showPercent val="0"/>
          <c:showBubbleSize val="0"/>
        </c:dLbls>
        <c:gapWidth val="40"/>
        <c:axId val="742055792"/>
        <c:axId val="742057360"/>
      </c:barChart>
      <c:catAx>
        <c:axId val="742055792"/>
        <c:scaling>
          <c:orientation val="minMax"/>
        </c:scaling>
        <c:delete val="0"/>
        <c:axPos val="l"/>
        <c:numFmt formatCode="General" sourceLinked="1"/>
        <c:majorTickMark val="out"/>
        <c:minorTickMark val="none"/>
        <c:tickLblPos val="low"/>
        <c:txPr>
          <a:bodyPr rot="0" vert="horz"/>
          <a:lstStyle/>
          <a:p>
            <a:pPr>
              <a:defRPr/>
            </a:pPr>
            <a:endParaRPr lang="en-US"/>
          </a:p>
        </c:txPr>
        <c:crossAx val="742057360"/>
        <c:crosses val="autoZero"/>
        <c:auto val="0"/>
        <c:lblAlgn val="ctr"/>
        <c:lblOffset val="0"/>
        <c:noMultiLvlLbl val="1"/>
      </c:catAx>
      <c:valAx>
        <c:axId val="742057360"/>
        <c:scaling>
          <c:orientation val="minMax"/>
          <c:max val="8"/>
          <c:min val="-6"/>
        </c:scaling>
        <c:delete val="0"/>
        <c:axPos val="b"/>
        <c:numFmt formatCode="0" sourceLinked="0"/>
        <c:majorTickMark val="out"/>
        <c:minorTickMark val="none"/>
        <c:tickLblPos val="nextTo"/>
        <c:spPr>
          <a:ln w="3175">
            <a:noFill/>
          </a:ln>
        </c:spPr>
        <c:txPr>
          <a:bodyPr rot="0" vert="horz"/>
          <a:lstStyle/>
          <a:p>
            <a:pPr>
              <a:defRPr/>
            </a:pPr>
            <a:endParaRPr lang="en-US"/>
          </a:p>
        </c:txPr>
        <c:crossAx val="742055792"/>
        <c:crosses val="autoZero"/>
        <c:crossBetween val="between"/>
        <c:majorUnit val="2"/>
      </c:valAx>
      <c:spPr>
        <a:noFill/>
        <a:ln w="24631">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en-US"/>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55895730425001"/>
          <c:y val="0.11507279720346572"/>
          <c:w val="0.52435746191959631"/>
          <c:h val="0.82234953605709682"/>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79-4E2E-B047-7CCFEE8F668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79-4E2E-B047-7CCFEE8F668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E79-4E2E-B047-7CCFEE8F668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E79-4E2E-B047-7CCFEE8F668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E79-4E2E-B047-7CCFEE8F6684}"/>
              </c:ext>
            </c:extLst>
          </c:dPt>
          <c:val>
            <c:numRef>
              <c:f>Sheet1!$F$4:$F$8</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A-9E79-4E2E-B047-7CCFEE8F6684}"/>
            </c:ext>
          </c:extLst>
        </c:ser>
        <c:ser>
          <c:idx val="1"/>
          <c:order val="1"/>
          <c:spPr>
            <a:ln>
              <a:noFill/>
            </a:ln>
            <a:effectLst>
              <a:outerShdw blurRad="50800" dist="38100" dir="2700000" algn="tl" rotWithShape="0">
                <a:prstClr val="black">
                  <a:alpha val="40000"/>
                </a:prstClr>
              </a:outerShdw>
            </a:effectLst>
          </c:spPr>
          <c:dPt>
            <c:idx val="0"/>
            <c:bubble3D val="0"/>
            <c:explosion val="3"/>
            <c:spPr>
              <a:solidFill>
                <a:schemeClr val="accent1"/>
              </a:solidFill>
              <a:ln w="19050">
                <a:no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C-9E79-4E2E-B047-7CCFEE8F6684}"/>
              </c:ext>
            </c:extLst>
          </c:dPt>
          <c:dPt>
            <c:idx val="1"/>
            <c:bubble3D val="0"/>
            <c:explosion val="2"/>
            <c:spPr>
              <a:solidFill>
                <a:schemeClr val="accent2"/>
              </a:solidFill>
              <a:ln w="19050">
                <a:no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E-9E79-4E2E-B047-7CCFEE8F6684}"/>
              </c:ext>
            </c:extLst>
          </c:dPt>
          <c:dPt>
            <c:idx val="2"/>
            <c:bubble3D val="0"/>
            <c:explosion val="3"/>
            <c:spPr>
              <a:solidFill>
                <a:schemeClr val="accent3"/>
              </a:solidFill>
              <a:ln w="19050">
                <a:no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10-9E79-4E2E-B047-7CCFEE8F6684}"/>
              </c:ext>
            </c:extLst>
          </c:dPt>
          <c:dPt>
            <c:idx val="3"/>
            <c:bubble3D val="0"/>
            <c:explosion val="3"/>
            <c:spPr>
              <a:solidFill>
                <a:schemeClr val="accent4"/>
              </a:solidFill>
              <a:ln w="19050">
                <a:no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12-9E79-4E2E-B047-7CCFEE8F6684}"/>
              </c:ext>
            </c:extLst>
          </c:dPt>
          <c:dPt>
            <c:idx val="4"/>
            <c:bubble3D val="0"/>
            <c:spPr>
              <a:solidFill>
                <a:schemeClr val="accent5"/>
              </a:solidFill>
              <a:ln w="19050">
                <a:no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14-9E79-4E2E-B047-7CCFEE8F6684}"/>
              </c:ext>
            </c:extLst>
          </c:dPt>
          <c:dLbls>
            <c:dLbl>
              <c:idx val="0"/>
              <c:layout>
                <c:manualLayout>
                  <c:x val="-5.7620107269200048E-2"/>
                  <c:y val="-0.13680998798662922"/>
                </c:manualLayout>
              </c:layout>
              <c:tx>
                <c:rich>
                  <a:bodyPr rot="0" spcFirstLastPara="1" vertOverflow="ellipsis" vert="horz" wrap="square" lIns="38100" tIns="19050" rIns="38100" bIns="19050" anchor="ctr" anchorCtr="1">
                    <a:noAutofit/>
                  </a:bodyPr>
                  <a:lstStyle/>
                  <a:p>
                    <a:pPr>
                      <a:defRPr sz="7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fld id="{671E5FFE-9416-4C3B-931D-C2DBA2FB8669}" type="CELLRANGE">
                      <a:rPr lang="en-US"/>
                      <a:pPr>
                        <a:defRPr sz="700" b="1">
                          <a:solidFill>
                            <a:sysClr val="windowText" lastClr="000000"/>
                          </a:solidFill>
                          <a:latin typeface="Segoe UI Light" panose="020B0502040204020203" pitchFamily="34" charset="0"/>
                          <a:cs typeface="Segoe UI Light" panose="020B0502040204020203" pitchFamily="34" charset="0"/>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25859214297416516"/>
                      <c:h val="0.18439887414555689"/>
                    </c:manualLayout>
                  </c15:layout>
                  <c15:dlblFieldTable/>
                  <c15:showDataLabelsRange val="1"/>
                </c:ext>
                <c:ext xmlns:c16="http://schemas.microsoft.com/office/drawing/2014/chart" uri="{C3380CC4-5D6E-409C-BE32-E72D297353CC}">
                  <c16:uniqueId val="{0000000C-9E79-4E2E-B047-7CCFEE8F6684}"/>
                </c:ext>
              </c:extLst>
            </c:dLbl>
            <c:dLbl>
              <c:idx val="1"/>
              <c:layout>
                <c:manualLayout>
                  <c:x val="9.2783782461974815E-2"/>
                  <c:y val="8.8608966372121331E-2"/>
                </c:manualLayout>
              </c:layout>
              <c:tx>
                <c:rich>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fld id="{AA3D2442-DA28-4C32-9926-DB4B91D18F05}" type="CELLRANGE">
                      <a:rPr lang="en-US"/>
                      <a:pPr>
                        <a:defRPr sz="700" b="1">
                          <a:solidFill>
                            <a:sysClr val="windowText" lastClr="000000"/>
                          </a:solidFill>
                          <a:latin typeface="Segoe UI Light" panose="020B0502040204020203" pitchFamily="34" charset="0"/>
                          <a:cs typeface="Segoe UI Light" panose="020B0502040204020203" pitchFamily="34" charset="0"/>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9E79-4E2E-B047-7CCFEE8F6684}"/>
                </c:ext>
              </c:extLst>
            </c:dLbl>
            <c:dLbl>
              <c:idx val="2"/>
              <c:layout>
                <c:manualLayout>
                  <c:x val="-6.9521812490829948E-2"/>
                  <c:y val="9.2813008855479467E-2"/>
                </c:manualLayout>
              </c:layout>
              <c:tx>
                <c:rich>
                  <a:bodyPr rot="0" spcFirstLastPara="1" vertOverflow="ellipsis" vert="horz" wrap="square" lIns="38100" tIns="19050" rIns="38100" bIns="19050" anchor="ctr" anchorCtr="1">
                    <a:noAutofit/>
                  </a:bodyPr>
                  <a:lstStyle/>
                  <a:p>
                    <a:pPr>
                      <a:defRPr sz="7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fld id="{33796491-B77B-4518-8BDF-C7EE93B0C7D1}" type="CELLRANGE">
                      <a:rPr lang="en-US"/>
                      <a:pPr>
                        <a:defRPr sz="700" b="1">
                          <a:solidFill>
                            <a:sysClr val="windowText" lastClr="000000"/>
                          </a:solidFill>
                          <a:latin typeface="Segoe UI Light" panose="020B0502040204020203" pitchFamily="34" charset="0"/>
                          <a:cs typeface="Segoe UI Light" panose="020B0502040204020203" pitchFamily="34" charset="0"/>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27443004362900547"/>
                      <c:h val="0.17635725641821653"/>
                    </c:manualLayout>
                  </c15:layout>
                  <c15:dlblFieldTable/>
                  <c15:showDataLabelsRange val="1"/>
                </c:ext>
                <c:ext xmlns:c16="http://schemas.microsoft.com/office/drawing/2014/chart" uri="{C3380CC4-5D6E-409C-BE32-E72D297353CC}">
                  <c16:uniqueId val="{00000010-9E79-4E2E-B047-7CCFEE8F6684}"/>
                </c:ext>
              </c:extLst>
            </c:dLbl>
            <c:dLbl>
              <c:idx val="3"/>
              <c:layout>
                <c:manualLayout>
                  <c:x val="-0.12831487096721605"/>
                  <c:y val="5.6177326276141831E-2"/>
                </c:manualLayout>
              </c:layout>
              <c:tx>
                <c:rich>
                  <a:bodyPr rot="0" spcFirstLastPara="1" vertOverflow="ellipsis" vert="horz" wrap="square" lIns="38100" tIns="19050" rIns="38100" bIns="19050" anchor="ctr" anchorCtr="1">
                    <a:noAutofit/>
                  </a:bodyPr>
                  <a:lstStyle/>
                  <a:p>
                    <a:pPr>
                      <a:defRPr sz="7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fld id="{BAF1D90A-2D06-4D9C-9DE1-9790423A03F7}" type="CELLRANGE">
                      <a:rPr lang="en-US" sz="700" b="1">
                        <a:solidFill>
                          <a:sysClr val="windowText" lastClr="000000"/>
                        </a:solidFill>
                        <a:latin typeface="Segoe UI Light" panose="020B0502040204020203" pitchFamily="34" charset="0"/>
                        <a:cs typeface="Segoe UI Light" panose="020B0502040204020203" pitchFamily="34" charset="0"/>
                      </a:rPr>
                      <a:pPr>
                        <a:defRPr sz="700" b="1">
                          <a:solidFill>
                            <a:sysClr val="windowText" lastClr="000000"/>
                          </a:solidFill>
                          <a:latin typeface="Segoe UI Light" panose="020B0502040204020203" pitchFamily="34" charset="0"/>
                          <a:cs typeface="Segoe UI Light" panose="020B0502040204020203" pitchFamily="34" charset="0"/>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25116870548621745"/>
                      <c:h val="0.16113290498185937"/>
                    </c:manualLayout>
                  </c15:layout>
                  <c15:dlblFieldTable/>
                  <c15:showDataLabelsRange val="1"/>
                </c:ext>
                <c:ext xmlns:c16="http://schemas.microsoft.com/office/drawing/2014/chart" uri="{C3380CC4-5D6E-409C-BE32-E72D297353CC}">
                  <c16:uniqueId val="{00000012-9E79-4E2E-B047-7CCFEE8F6684}"/>
                </c:ext>
              </c:extLst>
            </c:dLbl>
            <c:dLbl>
              <c:idx val="4"/>
              <c:tx>
                <c:rich>
                  <a:bodyPr/>
                  <a:lstStyle/>
                  <a:p>
                    <a:endParaRPr lang="lv-LV"/>
                  </a:p>
                </c:rich>
              </c:tx>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9E79-4E2E-B047-7CCFEE8F668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DataLabelsRange val="1"/>
              </c:ext>
            </c:extLst>
          </c:dLbls>
          <c:val>
            <c:numRef>
              <c:f>Sheet1!$G$4:$G$8</c:f>
              <c:numCache>
                <c:formatCode>General</c:formatCode>
                <c:ptCount val="5"/>
                <c:pt idx="0">
                  <c:v>11</c:v>
                </c:pt>
                <c:pt idx="1">
                  <c:v>6</c:v>
                </c:pt>
                <c:pt idx="2">
                  <c:v>4</c:v>
                </c:pt>
                <c:pt idx="3">
                  <c:v>1.5</c:v>
                </c:pt>
              </c:numCache>
            </c:numRef>
          </c:val>
          <c:extLst>
            <c:ext xmlns:c15="http://schemas.microsoft.com/office/drawing/2012/chart" uri="{02D57815-91ED-43cb-92C2-25804820EDAC}">
              <c15:datalabelsRange>
                <c15:f>Sheet1!$F$4:$F$7</c15:f>
                <c15:dlblRangeCache>
                  <c:ptCount val="4"/>
                  <c:pt idx="0">
                    <c:v>Tehniskās</c:v>
                  </c:pt>
                  <c:pt idx="1">
                    <c:v>Digitālās</c:v>
                  </c:pt>
                  <c:pt idx="2">
                    <c:v>Sociāli emocionālās</c:v>
                  </c:pt>
                  <c:pt idx="3">
                    <c:v>Pamata </c:v>
                  </c:pt>
                </c15:dlblRangeCache>
              </c15:datalabelsRange>
            </c:ext>
            <c:ext xmlns:c16="http://schemas.microsoft.com/office/drawing/2014/chart" uri="{C3380CC4-5D6E-409C-BE32-E72D297353CC}">
              <c16:uniqueId val="{00000015-9E79-4E2E-B047-7CCFEE8F6684}"/>
            </c:ext>
          </c:extLst>
        </c:ser>
        <c:dLbls>
          <c:showLegendKey val="0"/>
          <c:showVal val="0"/>
          <c:showCatName val="0"/>
          <c:showSerName val="0"/>
          <c:showPercent val="0"/>
          <c:showBubbleSize val="0"/>
          <c:showLeaderLines val="1"/>
        </c:dLbls>
        <c:firstSliceAng val="78"/>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892144691416813E-2"/>
          <c:y val="2.5279124602419236E-2"/>
          <c:w val="0.8455098272599646"/>
          <c:h val="0.57110193213499705"/>
        </c:manualLayout>
      </c:layout>
      <c:barChart>
        <c:barDir val="col"/>
        <c:grouping val="clustered"/>
        <c:varyColors val="0"/>
        <c:ser>
          <c:idx val="0"/>
          <c:order val="0"/>
          <c:tx>
            <c:strRef>
              <c:f>'TOP 10 (5 menesi)'!$C$5</c:f>
              <c:strCache>
                <c:ptCount val="1"/>
                <c:pt idx="0">
                  <c:v>Unikālas vakances (kreisā  ass)</c:v>
                </c:pt>
              </c:strCache>
            </c:strRef>
          </c:tx>
          <c:spPr>
            <a:solidFill>
              <a:srgbClr val="92B7C4"/>
            </a:solidFill>
            <a:ln w="0">
              <a:noFill/>
            </a:ln>
          </c:spPr>
          <c:invertIfNegative val="0"/>
          <c:dLbls>
            <c:dLbl>
              <c:idx val="2"/>
              <c:layout>
                <c:manualLayout>
                  <c:x val="-4.9495468540898457E-17"/>
                  <c:y val="7.6136093266714208E-2"/>
                </c:manualLayout>
              </c:layout>
              <c:spPr>
                <a:noFill/>
                <a:ln>
                  <a:noFill/>
                </a:ln>
                <a:effectLst/>
              </c:spPr>
              <c:txPr>
                <a:bodyPr wrap="square" lIns="38100" tIns="19050" rIns="38100" bIns="19050" anchor="ctr">
                  <a:spAutoFit/>
                </a:bodyPr>
                <a:lstStyle/>
                <a:p>
                  <a:pPr>
                    <a:defRPr sz="700" b="1">
                      <a:solidFill>
                        <a:schemeClr val="bg1"/>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FE-43BB-BF75-6E7ED0F4FE17}"/>
                </c:ext>
              </c:extLst>
            </c:dLbl>
            <c:dLbl>
              <c:idx val="3"/>
              <c:layout>
                <c:manualLayout>
                  <c:x val="-4.9495468540898457E-17"/>
                  <c:y val="9.992862241256241E-2"/>
                </c:manualLayout>
              </c:layout>
              <c:spPr>
                <a:noFill/>
                <a:ln>
                  <a:noFill/>
                </a:ln>
                <a:effectLst/>
              </c:spPr>
              <c:txPr>
                <a:bodyPr wrap="square" lIns="38100" tIns="19050" rIns="38100" bIns="19050" anchor="ctr">
                  <a:spAutoFit/>
                </a:bodyPr>
                <a:lstStyle/>
                <a:p>
                  <a:pPr>
                    <a:defRPr sz="700" b="1">
                      <a:solidFill>
                        <a:schemeClr val="bg1"/>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FE-43BB-BF75-6E7ED0F4FE17}"/>
                </c:ext>
              </c:extLst>
            </c:dLbl>
            <c:dLbl>
              <c:idx val="4"/>
              <c:layout>
                <c:manualLayout>
                  <c:x val="0"/>
                  <c:y val="0.10953608247422675"/>
                </c:manualLayout>
              </c:layout>
              <c:spPr>
                <a:noFill/>
                <a:ln>
                  <a:noFill/>
                </a:ln>
                <a:effectLst/>
              </c:spPr>
              <c:txPr>
                <a:bodyPr wrap="square" lIns="38100" tIns="19050" rIns="38100" bIns="19050" anchor="ctr">
                  <a:spAutoFit/>
                </a:bodyPr>
                <a:lstStyle/>
                <a:p>
                  <a:pPr>
                    <a:defRPr sz="700" b="1">
                      <a:solidFill>
                        <a:schemeClr val="bg1"/>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FE-43BB-BF75-6E7ED0F4FE17}"/>
                </c:ext>
              </c:extLst>
            </c:dLbl>
            <c:dLbl>
              <c:idx val="5"/>
              <c:layout>
                <c:manualLayout>
                  <c:x val="-7.5181962466880415E-17"/>
                  <c:y val="9.0206185567010308E-2"/>
                </c:manualLayout>
              </c:layout>
              <c:spPr>
                <a:noFill/>
                <a:ln>
                  <a:noFill/>
                </a:ln>
                <a:effectLst/>
              </c:spPr>
              <c:txPr>
                <a:bodyPr wrap="square" lIns="38100" tIns="19050" rIns="38100" bIns="19050" anchor="ctr">
                  <a:spAutoFit/>
                </a:bodyPr>
                <a:lstStyle/>
                <a:p>
                  <a:pPr>
                    <a:defRPr sz="700" b="1">
                      <a:solidFill>
                        <a:schemeClr val="bg1"/>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FE-43BB-BF75-6E7ED0F4FE17}"/>
                </c:ext>
              </c:extLst>
            </c:dLbl>
            <c:dLbl>
              <c:idx val="7"/>
              <c:layout>
                <c:manualLayout>
                  <c:x val="5.5377459567014162E-4"/>
                  <c:y val="2.556778903707696E-2"/>
                </c:manualLayout>
              </c:layout>
              <c:spPr>
                <a:noFill/>
                <a:ln>
                  <a:noFill/>
                </a:ln>
                <a:effectLst/>
              </c:spPr>
              <c:txPr>
                <a:bodyPr wrap="square" lIns="38100" tIns="19050" rIns="38100" bIns="19050" anchor="ctr">
                  <a:noAutofit/>
                </a:bodyPr>
                <a:lstStyle/>
                <a:p>
                  <a:pPr>
                    <a:defRPr sz="700" b="1">
                      <a:solidFill>
                        <a:sysClr val="windowText" lastClr="000000"/>
                      </a:solidFill>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1581180592166797"/>
                      <c:h val="0.12013542994315383"/>
                    </c:manualLayout>
                  </c15:layout>
                </c:ext>
                <c:ext xmlns:c16="http://schemas.microsoft.com/office/drawing/2014/chart" uri="{C3380CC4-5D6E-409C-BE32-E72D297353CC}">
                  <c16:uniqueId val="{00000004-84FE-43BB-BF75-6E7ED0F4FE17}"/>
                </c:ext>
              </c:extLst>
            </c:dLbl>
            <c:spPr>
              <a:noFill/>
              <a:ln>
                <a:noFill/>
              </a:ln>
              <a:effectLst/>
            </c:spPr>
            <c:txPr>
              <a:bodyPr wrap="square" lIns="38100" tIns="19050" rIns="38100" bIns="19050" anchor="ctr">
                <a:spAutoFit/>
              </a:bodyPr>
              <a:lstStyle/>
              <a:p>
                <a:pPr>
                  <a:defRPr sz="700"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'TOP 10 (5 menesi)'!$B$6:$B$15</c:f>
              <c:strCache>
                <c:ptCount val="10"/>
                <c:pt idx="0">
                  <c:v>Pārdevēji</c:v>
                </c:pt>
                <c:pt idx="1">
                  <c:v>Apkopēji/sētnieki</c:v>
                </c:pt>
                <c:pt idx="2">
                  <c:v>Kravas automašīnu vadītāji</c:v>
                </c:pt>
                <c:pt idx="3">
                  <c:v>Noliktavu darbinieki</c:v>
                </c:pt>
                <c:pt idx="4">
                  <c:v>Pavāri</c:v>
                </c:pt>
                <c:pt idx="5">
                  <c:v>Virtuves darbinieki</c:v>
                </c:pt>
                <c:pt idx="6">
                  <c:v>Būvniecības palīgstrādnieki</c:v>
                </c:pt>
                <c:pt idx="7">
                  <c:v>Pārdošanas speciālisti </c:v>
                </c:pt>
                <c:pt idx="8">
                  <c:v>Automehāniķis</c:v>
                </c:pt>
                <c:pt idx="9">
                  <c:v>Vieglo automobiļu vadītāji</c:v>
                </c:pt>
              </c:strCache>
            </c:strRef>
          </c:cat>
          <c:val>
            <c:numRef>
              <c:f>'TOP 10 (5 menesi)'!$C$6:$C$15</c:f>
              <c:numCache>
                <c:formatCode>0.0</c:formatCode>
                <c:ptCount val="10"/>
                <c:pt idx="0">
                  <c:v>3.903</c:v>
                </c:pt>
                <c:pt idx="1">
                  <c:v>2.9</c:v>
                </c:pt>
                <c:pt idx="2">
                  <c:v>1.946</c:v>
                </c:pt>
                <c:pt idx="3">
                  <c:v>1.502</c:v>
                </c:pt>
                <c:pt idx="4">
                  <c:v>1.22</c:v>
                </c:pt>
                <c:pt idx="5">
                  <c:v>1.014</c:v>
                </c:pt>
                <c:pt idx="6">
                  <c:v>0.96099999999999997</c:v>
                </c:pt>
                <c:pt idx="7">
                  <c:v>0.88500000000000001</c:v>
                </c:pt>
                <c:pt idx="8">
                  <c:v>0.86899999999999999</c:v>
                </c:pt>
                <c:pt idx="9">
                  <c:v>0.83599999999999997</c:v>
                </c:pt>
              </c:numCache>
            </c:numRef>
          </c:val>
          <c:extLst>
            <c:ext xmlns:c16="http://schemas.microsoft.com/office/drawing/2014/chart" uri="{C3380CC4-5D6E-409C-BE32-E72D297353CC}">
              <c16:uniqueId val="{00000005-84FE-43BB-BF75-6E7ED0F4FE17}"/>
            </c:ext>
          </c:extLst>
        </c:ser>
        <c:dLbls>
          <c:showLegendKey val="0"/>
          <c:showVal val="1"/>
          <c:showCatName val="0"/>
          <c:showSerName val="0"/>
          <c:showPercent val="0"/>
          <c:showBubbleSize val="0"/>
        </c:dLbls>
        <c:gapWidth val="53"/>
        <c:axId val="76008042"/>
        <c:axId val="41441860"/>
      </c:barChart>
      <c:lineChart>
        <c:grouping val="standard"/>
        <c:varyColors val="0"/>
        <c:ser>
          <c:idx val="1"/>
          <c:order val="1"/>
          <c:tx>
            <c:strRef>
              <c:f>'TOP 10 (5 menesi)'!$E$5</c:f>
              <c:strCache>
                <c:ptCount val="1"/>
                <c:pt idx="0">
                  <c:v>Dienas (labā ass)</c:v>
                </c:pt>
              </c:strCache>
            </c:strRef>
          </c:tx>
          <c:spPr>
            <a:ln w="28440">
              <a:noFill/>
            </a:ln>
          </c:spPr>
          <c:marker>
            <c:symbol val="diamond"/>
            <c:size val="7"/>
            <c:spPr>
              <a:solidFill>
                <a:schemeClr val="accent2">
                  <a:lumMod val="75000"/>
                </a:schemeClr>
              </a:solidFill>
              <a:ln>
                <a:noFill/>
              </a:ln>
            </c:spPr>
          </c:marker>
          <c:dLbls>
            <c:delete val="1"/>
          </c:dLbls>
          <c:cat>
            <c:strRef>
              <c:f>'TOP 10 (5 menesi)'!$B$6:$B$15</c:f>
              <c:strCache>
                <c:ptCount val="10"/>
                <c:pt idx="0">
                  <c:v>Pārdevēji</c:v>
                </c:pt>
                <c:pt idx="1">
                  <c:v>Apkopēji/sētnieki</c:v>
                </c:pt>
                <c:pt idx="2">
                  <c:v>Kravas automašīnu vadītāji</c:v>
                </c:pt>
                <c:pt idx="3">
                  <c:v>Noliktavu darbinieki</c:v>
                </c:pt>
                <c:pt idx="4">
                  <c:v>Pavāri</c:v>
                </c:pt>
                <c:pt idx="5">
                  <c:v>Virtuves darbinieki</c:v>
                </c:pt>
                <c:pt idx="6">
                  <c:v>Būvniecības palīgstrādnieki</c:v>
                </c:pt>
                <c:pt idx="7">
                  <c:v>Pārdošanas speciālisti </c:v>
                </c:pt>
                <c:pt idx="8">
                  <c:v>Automehāniķis</c:v>
                </c:pt>
                <c:pt idx="9">
                  <c:v>Vieglo automobiļu vadītāji</c:v>
                </c:pt>
              </c:strCache>
            </c:strRef>
          </c:cat>
          <c:val>
            <c:numRef>
              <c:f>'TOP 10 (5 menesi)'!$E$6:$E$15</c:f>
              <c:numCache>
                <c:formatCode>General</c:formatCode>
                <c:ptCount val="10"/>
                <c:pt idx="0">
                  <c:v>15</c:v>
                </c:pt>
                <c:pt idx="1">
                  <c:v>4</c:v>
                </c:pt>
                <c:pt idx="2">
                  <c:v>19</c:v>
                </c:pt>
                <c:pt idx="3">
                  <c:v>15</c:v>
                </c:pt>
                <c:pt idx="4">
                  <c:v>14</c:v>
                </c:pt>
                <c:pt idx="5">
                  <c:v>8</c:v>
                </c:pt>
                <c:pt idx="6">
                  <c:v>33</c:v>
                </c:pt>
                <c:pt idx="7">
                  <c:v>26</c:v>
                </c:pt>
                <c:pt idx="8">
                  <c:v>29</c:v>
                </c:pt>
                <c:pt idx="9">
                  <c:v>6</c:v>
                </c:pt>
              </c:numCache>
            </c:numRef>
          </c:val>
          <c:smooth val="1"/>
          <c:extLst>
            <c:ext xmlns:c16="http://schemas.microsoft.com/office/drawing/2014/chart" uri="{C3380CC4-5D6E-409C-BE32-E72D297353CC}">
              <c16:uniqueId val="{00000006-84FE-43BB-BF75-6E7ED0F4FE17}"/>
            </c:ext>
          </c:extLst>
        </c:ser>
        <c:dLbls>
          <c:showLegendKey val="0"/>
          <c:showVal val="1"/>
          <c:showCatName val="0"/>
          <c:showSerName val="0"/>
          <c:showPercent val="0"/>
          <c:showBubbleSize val="0"/>
        </c:dLbls>
        <c:hiLowLines>
          <c:spPr>
            <a:ln w="0">
              <a:noFill/>
            </a:ln>
          </c:spPr>
        </c:hiLowLines>
        <c:marker val="1"/>
        <c:smooth val="0"/>
        <c:axId val="44686500"/>
        <c:axId val="10190050"/>
      </c:lineChart>
      <c:catAx>
        <c:axId val="76008042"/>
        <c:scaling>
          <c:orientation val="minMax"/>
        </c:scaling>
        <c:delete val="0"/>
        <c:axPos val="b"/>
        <c:numFmt formatCode="General" sourceLinked="1"/>
        <c:majorTickMark val="none"/>
        <c:minorTickMark val="none"/>
        <c:tickLblPos val="nextTo"/>
        <c:spPr>
          <a:ln w="0">
            <a:noFill/>
            <a:round/>
          </a:ln>
        </c:spPr>
        <c:txPr>
          <a:bodyPr rot="-5400000" vert="horz"/>
          <a:lstStyle/>
          <a:p>
            <a:pPr>
              <a:defRPr sz="700">
                <a:solidFill>
                  <a:schemeClr val="tx1"/>
                </a:solidFill>
              </a:defRPr>
            </a:pPr>
            <a:endParaRPr lang="lv-LV"/>
          </a:p>
        </c:txPr>
        <c:crossAx val="41441860"/>
        <c:crosses val="autoZero"/>
        <c:auto val="1"/>
        <c:lblAlgn val="ctr"/>
        <c:lblOffset val="100"/>
        <c:noMultiLvlLbl val="0"/>
      </c:catAx>
      <c:valAx>
        <c:axId val="41441860"/>
        <c:scaling>
          <c:orientation val="minMax"/>
          <c:min val="0"/>
        </c:scaling>
        <c:delete val="0"/>
        <c:axPos val="l"/>
        <c:numFmt formatCode="0" sourceLinked="0"/>
        <c:majorTickMark val="none"/>
        <c:minorTickMark val="none"/>
        <c:tickLblPos val="nextTo"/>
        <c:spPr>
          <a:ln w="3175">
            <a:noFill/>
            <a:round/>
          </a:ln>
        </c:spPr>
        <c:txPr>
          <a:bodyPr/>
          <a:lstStyle/>
          <a:p>
            <a:pPr>
              <a:defRPr sz="700">
                <a:solidFill>
                  <a:schemeClr val="tx1"/>
                </a:solidFill>
              </a:defRPr>
            </a:pPr>
            <a:endParaRPr lang="lv-LV"/>
          </a:p>
        </c:txPr>
        <c:crossAx val="76008042"/>
        <c:crosses val="autoZero"/>
        <c:crossBetween val="between"/>
        <c:majorUnit val="1"/>
      </c:valAx>
      <c:catAx>
        <c:axId val="44686500"/>
        <c:scaling>
          <c:orientation val="minMax"/>
        </c:scaling>
        <c:delete val="1"/>
        <c:axPos val="b"/>
        <c:numFmt formatCode="General" sourceLinked="1"/>
        <c:majorTickMark val="none"/>
        <c:minorTickMark val="none"/>
        <c:tickLblPos val="nextTo"/>
        <c:crossAx val="10190050"/>
        <c:crosses val="autoZero"/>
        <c:auto val="1"/>
        <c:lblAlgn val="ctr"/>
        <c:lblOffset val="100"/>
        <c:noMultiLvlLbl val="0"/>
      </c:catAx>
      <c:valAx>
        <c:axId val="10190050"/>
        <c:scaling>
          <c:orientation val="minMax"/>
        </c:scaling>
        <c:delete val="0"/>
        <c:axPos val="r"/>
        <c:numFmt formatCode="General" sourceLinked="1"/>
        <c:majorTickMark val="none"/>
        <c:minorTickMark val="none"/>
        <c:tickLblPos val="nextTo"/>
        <c:spPr>
          <a:ln w="3175">
            <a:noFill/>
            <a:round/>
          </a:ln>
        </c:spPr>
        <c:crossAx val="44686500"/>
        <c:crosses val="max"/>
        <c:crossBetween val="between"/>
        <c:majorUnit val="10"/>
      </c:valAx>
      <c:spPr>
        <a:noFill/>
        <a:ln w="0">
          <a:noFill/>
        </a:ln>
      </c:spPr>
    </c:plotArea>
    <c:legend>
      <c:legendPos val="r"/>
      <c:layout>
        <c:manualLayout>
          <c:xMode val="edge"/>
          <c:yMode val="edge"/>
          <c:x val="0.15809410430105439"/>
          <c:y val="4.0595590476386369E-2"/>
          <c:w val="0.60223289900934474"/>
          <c:h val="0.11773733663446707"/>
        </c:manualLayout>
      </c:layout>
      <c:overlay val="0"/>
      <c:txPr>
        <a:bodyPr/>
        <a:lstStyle/>
        <a:p>
          <a:pPr>
            <a:defRPr sz="700"/>
          </a:pPr>
          <a:endParaRPr lang="lv-LV"/>
        </a:p>
      </c:txPr>
    </c:legend>
    <c:plotVisOnly val="1"/>
    <c:dispBlanksAs val="gap"/>
    <c:showDLblsOverMax val="1"/>
  </c:chart>
  <c:spPr>
    <a:noFill/>
    <a:ln w="9360">
      <a:noFill/>
      <a:round/>
    </a:ln>
  </c:spPr>
  <c:txPr>
    <a:bodyPr/>
    <a:lstStyle/>
    <a:p>
      <a:pPr>
        <a:defRPr sz="800">
          <a:latin typeface="Segoe UI Light" panose="020B0502040204020203" pitchFamily="34" charset="0"/>
          <a:cs typeface="Segoe UI Light" panose="020B0502040204020203" pitchFamily="34" charset="0"/>
        </a:defRPr>
      </a:pPr>
      <a:endParaRPr lang="lv-LV"/>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443428143735253E-2"/>
          <c:y val="1.8174827015999952E-2"/>
          <c:w val="0.83110913998774105"/>
          <c:h val="0.98182517298400007"/>
        </c:manualLayout>
      </c:layout>
      <c:doughnutChart>
        <c:varyColors val="1"/>
        <c:ser>
          <c:idx val="0"/>
          <c:order val="0"/>
          <c:tx>
            <c:strRef>
              <c:f>Sheet1!$C$1</c:f>
              <c:strCache>
                <c:ptCount val="1"/>
                <c:pt idx="0">
                  <c:v>Vakances (tūkst.)</c:v>
                </c:pt>
              </c:strCache>
            </c:strRef>
          </c:tx>
          <c:spPr>
            <a:ln>
              <a:noFill/>
            </a:ln>
          </c:spPr>
          <c:dPt>
            <c:idx val="0"/>
            <c:bubble3D val="0"/>
            <c:spPr>
              <a:solidFill>
                <a:schemeClr val="accent1">
                  <a:lumMod val="50000"/>
                </a:schemeClr>
              </a:solidFill>
              <a:ln w="19050">
                <a:noFill/>
              </a:ln>
              <a:effectLst/>
            </c:spPr>
            <c:extLst>
              <c:ext xmlns:c16="http://schemas.microsoft.com/office/drawing/2014/chart" uri="{C3380CC4-5D6E-409C-BE32-E72D297353CC}">
                <c16:uniqueId val="{00000001-C80E-45A5-ACB5-036410419A26}"/>
              </c:ext>
            </c:extLst>
          </c:dPt>
          <c:dPt>
            <c:idx val="1"/>
            <c:bubble3D val="0"/>
            <c:spPr>
              <a:solidFill>
                <a:schemeClr val="accent5">
                  <a:lumMod val="50000"/>
                </a:schemeClr>
              </a:solidFill>
              <a:ln w="19050">
                <a:noFill/>
              </a:ln>
              <a:effectLst/>
            </c:spPr>
            <c:extLst>
              <c:ext xmlns:c16="http://schemas.microsoft.com/office/drawing/2014/chart" uri="{C3380CC4-5D6E-409C-BE32-E72D297353CC}">
                <c16:uniqueId val="{00000003-C80E-45A5-ACB5-036410419A26}"/>
              </c:ext>
            </c:extLst>
          </c:dPt>
          <c:dPt>
            <c:idx val="2"/>
            <c:bubble3D val="0"/>
            <c:spPr>
              <a:solidFill>
                <a:schemeClr val="accent1">
                  <a:lumMod val="75000"/>
                </a:schemeClr>
              </a:solidFill>
              <a:ln w="19050">
                <a:noFill/>
              </a:ln>
              <a:effectLst/>
            </c:spPr>
            <c:extLst>
              <c:ext xmlns:c16="http://schemas.microsoft.com/office/drawing/2014/chart" uri="{C3380CC4-5D6E-409C-BE32-E72D297353CC}">
                <c16:uniqueId val="{00000005-C80E-45A5-ACB5-036410419A26}"/>
              </c:ext>
            </c:extLst>
          </c:dPt>
          <c:dPt>
            <c:idx val="3"/>
            <c:bubble3D val="0"/>
            <c:spPr>
              <a:solidFill>
                <a:schemeClr val="accent5">
                  <a:lumMod val="75000"/>
                </a:schemeClr>
              </a:solidFill>
              <a:ln w="19050">
                <a:noFill/>
              </a:ln>
              <a:effectLst/>
            </c:spPr>
            <c:extLst>
              <c:ext xmlns:c16="http://schemas.microsoft.com/office/drawing/2014/chart" uri="{C3380CC4-5D6E-409C-BE32-E72D297353CC}">
                <c16:uniqueId val="{00000007-C80E-45A5-ACB5-036410419A26}"/>
              </c:ext>
            </c:extLst>
          </c:dPt>
          <c:dPt>
            <c:idx val="4"/>
            <c:bubble3D val="0"/>
            <c:spPr>
              <a:solidFill>
                <a:schemeClr val="accent5"/>
              </a:solidFill>
              <a:ln w="19050">
                <a:noFill/>
              </a:ln>
              <a:effectLst/>
            </c:spPr>
            <c:extLst>
              <c:ext xmlns:c16="http://schemas.microsoft.com/office/drawing/2014/chart" uri="{C3380CC4-5D6E-409C-BE32-E72D297353CC}">
                <c16:uniqueId val="{00000009-C80E-45A5-ACB5-036410419A26}"/>
              </c:ext>
            </c:extLst>
          </c:dPt>
          <c:dPt>
            <c:idx val="5"/>
            <c:bubble3D val="0"/>
            <c:spPr>
              <a:solidFill>
                <a:schemeClr val="accent5">
                  <a:lumMod val="60000"/>
                  <a:lumOff val="40000"/>
                </a:schemeClr>
              </a:solidFill>
              <a:ln w="19050">
                <a:noFill/>
              </a:ln>
              <a:effectLst/>
            </c:spPr>
            <c:extLst>
              <c:ext xmlns:c16="http://schemas.microsoft.com/office/drawing/2014/chart" uri="{C3380CC4-5D6E-409C-BE32-E72D297353CC}">
                <c16:uniqueId val="{0000000B-C80E-45A5-ACB5-036410419A26}"/>
              </c:ext>
            </c:extLst>
          </c:dPt>
          <c:dPt>
            <c:idx val="6"/>
            <c:bubble3D val="0"/>
            <c:spPr>
              <a:solidFill>
                <a:schemeClr val="accent1">
                  <a:lumMod val="60000"/>
                </a:schemeClr>
              </a:solidFill>
              <a:ln w="19050">
                <a:noFill/>
              </a:ln>
              <a:effectLst/>
            </c:spPr>
            <c:extLst>
              <c:ext xmlns:c16="http://schemas.microsoft.com/office/drawing/2014/chart" uri="{C3380CC4-5D6E-409C-BE32-E72D297353CC}">
                <c16:uniqueId val="{0000000D-C80E-45A5-ACB5-036410419A26}"/>
              </c:ext>
            </c:extLst>
          </c:dPt>
          <c:dPt>
            <c:idx val="7"/>
            <c:bubble3D val="0"/>
            <c:spPr>
              <a:solidFill>
                <a:schemeClr val="accent1">
                  <a:lumMod val="40000"/>
                  <a:lumOff val="60000"/>
                </a:schemeClr>
              </a:solidFill>
              <a:ln w="19050">
                <a:noFill/>
              </a:ln>
              <a:effectLst/>
            </c:spPr>
            <c:extLst>
              <c:ext xmlns:c16="http://schemas.microsoft.com/office/drawing/2014/chart" uri="{C3380CC4-5D6E-409C-BE32-E72D297353CC}">
                <c16:uniqueId val="{0000000F-C80E-45A5-ACB5-036410419A26}"/>
              </c:ext>
            </c:extLst>
          </c:dPt>
          <c:dPt>
            <c:idx val="8"/>
            <c:bubble3D val="0"/>
            <c:spPr>
              <a:solidFill>
                <a:schemeClr val="accent5">
                  <a:lumMod val="40000"/>
                  <a:lumOff val="60000"/>
                </a:schemeClr>
              </a:solidFill>
              <a:ln w="19050">
                <a:noFill/>
              </a:ln>
              <a:effectLst/>
            </c:spPr>
            <c:extLst>
              <c:ext xmlns:c16="http://schemas.microsoft.com/office/drawing/2014/chart" uri="{C3380CC4-5D6E-409C-BE32-E72D297353CC}">
                <c16:uniqueId val="{00000011-C80E-45A5-ACB5-036410419A26}"/>
              </c:ext>
            </c:extLst>
          </c:dPt>
          <c:dPt>
            <c:idx val="9"/>
            <c:bubble3D val="0"/>
            <c:spPr>
              <a:solidFill>
                <a:schemeClr val="accent2">
                  <a:lumMod val="50000"/>
                </a:schemeClr>
              </a:solidFill>
              <a:ln w="19050">
                <a:noFill/>
              </a:ln>
              <a:effectLst/>
            </c:spPr>
            <c:extLst>
              <c:ext xmlns:c16="http://schemas.microsoft.com/office/drawing/2014/chart" uri="{C3380CC4-5D6E-409C-BE32-E72D297353CC}">
                <c16:uniqueId val="{00000013-C80E-45A5-ACB5-036410419A26}"/>
              </c:ext>
            </c:extLst>
          </c:dPt>
          <c:dPt>
            <c:idx val="10"/>
            <c:bubble3D val="0"/>
            <c:spPr>
              <a:solidFill>
                <a:schemeClr val="accent2">
                  <a:lumMod val="75000"/>
                </a:schemeClr>
              </a:solidFill>
              <a:ln w="19050">
                <a:noFill/>
              </a:ln>
              <a:effectLst/>
            </c:spPr>
            <c:extLst>
              <c:ext xmlns:c16="http://schemas.microsoft.com/office/drawing/2014/chart" uri="{C3380CC4-5D6E-409C-BE32-E72D297353CC}">
                <c16:uniqueId val="{00000015-C80E-45A5-ACB5-036410419A26}"/>
              </c:ext>
            </c:extLst>
          </c:dPt>
          <c:dPt>
            <c:idx val="11"/>
            <c:bubble3D val="0"/>
            <c:spPr>
              <a:solidFill>
                <a:srgbClr val="C00000"/>
              </a:solidFill>
              <a:ln w="19050">
                <a:noFill/>
              </a:ln>
              <a:effectLst/>
            </c:spPr>
            <c:extLst>
              <c:ext xmlns:c16="http://schemas.microsoft.com/office/drawing/2014/chart" uri="{C3380CC4-5D6E-409C-BE32-E72D297353CC}">
                <c16:uniqueId val="{00000017-C80E-45A5-ACB5-036410419A26}"/>
              </c:ext>
            </c:extLst>
          </c:dPt>
          <c:dPt>
            <c:idx val="12"/>
            <c:bubble3D val="0"/>
            <c:spPr>
              <a:solidFill>
                <a:schemeClr val="accent2">
                  <a:lumMod val="60000"/>
                  <a:lumOff val="40000"/>
                </a:schemeClr>
              </a:solidFill>
              <a:ln w="19050">
                <a:noFill/>
              </a:ln>
              <a:effectLst/>
            </c:spPr>
            <c:extLst>
              <c:ext xmlns:c16="http://schemas.microsoft.com/office/drawing/2014/chart" uri="{C3380CC4-5D6E-409C-BE32-E72D297353CC}">
                <c16:uniqueId val="{00000019-C80E-45A5-ACB5-036410419A26}"/>
              </c:ext>
            </c:extLst>
          </c:dPt>
          <c:dPt>
            <c:idx val="13"/>
            <c:bubble3D val="0"/>
            <c:spPr>
              <a:solidFill>
                <a:srgbClr val="A12727"/>
              </a:solidFill>
              <a:ln w="19050">
                <a:noFill/>
              </a:ln>
              <a:effectLst/>
            </c:spPr>
            <c:extLst>
              <c:ext xmlns:c16="http://schemas.microsoft.com/office/drawing/2014/chart" uri="{C3380CC4-5D6E-409C-BE32-E72D297353CC}">
                <c16:uniqueId val="{0000001B-C80E-45A5-ACB5-036410419A26}"/>
              </c:ext>
            </c:extLst>
          </c:dPt>
          <c:dPt>
            <c:idx val="14"/>
            <c:bubble3D val="0"/>
            <c:spPr>
              <a:solidFill>
                <a:schemeClr val="accent2">
                  <a:lumMod val="20000"/>
                  <a:lumOff val="80000"/>
                </a:schemeClr>
              </a:solidFill>
              <a:ln w="19050">
                <a:noFill/>
              </a:ln>
              <a:effectLst/>
            </c:spPr>
            <c:extLst>
              <c:ext xmlns:c16="http://schemas.microsoft.com/office/drawing/2014/chart" uri="{C3380CC4-5D6E-409C-BE32-E72D297353CC}">
                <c16:uniqueId val="{0000001D-C80E-45A5-ACB5-036410419A26}"/>
              </c:ext>
            </c:extLst>
          </c:dPt>
          <c:dPt>
            <c:idx val="15"/>
            <c:bubble3D val="0"/>
            <c:spPr>
              <a:solidFill>
                <a:schemeClr val="bg2">
                  <a:lumMod val="25000"/>
                </a:schemeClr>
              </a:solidFill>
              <a:ln w="19050">
                <a:noFill/>
              </a:ln>
              <a:effectLst/>
            </c:spPr>
            <c:extLst>
              <c:ext xmlns:c16="http://schemas.microsoft.com/office/drawing/2014/chart" uri="{C3380CC4-5D6E-409C-BE32-E72D297353CC}">
                <c16:uniqueId val="{0000001F-C80E-45A5-ACB5-036410419A26}"/>
              </c:ext>
            </c:extLst>
          </c:dPt>
          <c:dPt>
            <c:idx val="16"/>
            <c:bubble3D val="0"/>
            <c:spPr>
              <a:solidFill>
                <a:schemeClr val="accent3">
                  <a:lumMod val="50000"/>
                </a:schemeClr>
              </a:solidFill>
              <a:ln w="19050">
                <a:noFill/>
              </a:ln>
              <a:effectLst/>
            </c:spPr>
            <c:extLst>
              <c:ext xmlns:c16="http://schemas.microsoft.com/office/drawing/2014/chart" uri="{C3380CC4-5D6E-409C-BE32-E72D297353CC}">
                <c16:uniqueId val="{00000021-C80E-45A5-ACB5-036410419A26}"/>
              </c:ext>
            </c:extLst>
          </c:dPt>
          <c:dPt>
            <c:idx val="17"/>
            <c:bubble3D val="0"/>
            <c:spPr>
              <a:solidFill>
                <a:schemeClr val="accent3">
                  <a:lumMod val="75000"/>
                </a:schemeClr>
              </a:solidFill>
              <a:ln w="19050">
                <a:noFill/>
              </a:ln>
              <a:effectLst/>
            </c:spPr>
            <c:extLst>
              <c:ext xmlns:c16="http://schemas.microsoft.com/office/drawing/2014/chart" uri="{C3380CC4-5D6E-409C-BE32-E72D297353CC}">
                <c16:uniqueId val="{00000023-C80E-45A5-ACB5-036410419A26}"/>
              </c:ext>
            </c:extLst>
          </c:dPt>
          <c:dPt>
            <c:idx val="18"/>
            <c:bubble3D val="0"/>
            <c:spPr>
              <a:solidFill>
                <a:schemeClr val="accent3">
                  <a:lumMod val="60000"/>
                  <a:lumOff val="40000"/>
                </a:schemeClr>
              </a:solidFill>
              <a:ln w="19050">
                <a:noFill/>
              </a:ln>
              <a:effectLst/>
            </c:spPr>
            <c:extLst>
              <c:ext xmlns:c16="http://schemas.microsoft.com/office/drawing/2014/chart" uri="{C3380CC4-5D6E-409C-BE32-E72D297353CC}">
                <c16:uniqueId val="{00000025-C80E-45A5-ACB5-036410419A26}"/>
              </c:ext>
            </c:extLst>
          </c:dPt>
          <c:dPt>
            <c:idx val="19"/>
            <c:bubble3D val="0"/>
            <c:spPr>
              <a:solidFill>
                <a:srgbClr val="7030A0"/>
              </a:solidFill>
              <a:ln w="19050">
                <a:noFill/>
              </a:ln>
              <a:effectLst/>
            </c:spPr>
            <c:extLst>
              <c:ext xmlns:c16="http://schemas.microsoft.com/office/drawing/2014/chart" uri="{C3380CC4-5D6E-409C-BE32-E72D297353CC}">
                <c16:uniqueId val="{00000027-C80E-45A5-ACB5-036410419A26}"/>
              </c:ext>
            </c:extLst>
          </c:dPt>
          <c:dLbls>
            <c:dLbl>
              <c:idx val="0"/>
              <c:layout>
                <c:manualLayout>
                  <c:x val="1.1227544910179641E-2"/>
                  <c:y val="-2.4055809477989021E-2"/>
                </c:manualLayout>
              </c:layout>
              <c:tx>
                <c:rich>
                  <a:bodyPr/>
                  <a:lstStyle/>
                  <a:p>
                    <a:fld id="{A2CFAAE4-CC50-4338-93E7-EBEDA815862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layout>
                    <c:manualLayout>
                      <c:w val="0.22344670894431609"/>
                      <c:h val="9.6656242482559537E-2"/>
                    </c:manualLayout>
                  </c15:layout>
                  <c15:dlblFieldTable/>
                  <c15:showDataLabelsRange val="1"/>
                </c:ext>
                <c:ext xmlns:c16="http://schemas.microsoft.com/office/drawing/2014/chart" uri="{C3380CC4-5D6E-409C-BE32-E72D297353CC}">
                  <c16:uniqueId val="{00000001-C80E-45A5-ACB5-036410419A26}"/>
                </c:ext>
              </c:extLst>
            </c:dLbl>
            <c:dLbl>
              <c:idx val="1"/>
              <c:layout>
                <c:manualLayout>
                  <c:x val="-3.7425149700598117E-3"/>
                  <c:y val="-1.9244647582391146E-2"/>
                </c:manualLayout>
              </c:layout>
              <c:tx>
                <c:rich>
                  <a:bodyPr/>
                  <a:lstStyle/>
                  <a:p>
                    <a:fld id="{D856FC7A-71D0-4FCA-AB7E-9701657E45C4}"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C80E-45A5-ACB5-036410419A26}"/>
                </c:ext>
              </c:extLst>
            </c:dLbl>
            <c:dLbl>
              <c:idx val="2"/>
              <c:layout>
                <c:manualLayout>
                  <c:x val="3.7425149700598802E-3"/>
                  <c:y val="-3.6083714216983399E-2"/>
                </c:manualLayout>
              </c:layout>
              <c:tx>
                <c:rich>
                  <a:bodyPr rot="0" spcFirstLastPara="1" vertOverflow="ellipsis" vert="horz" wrap="square" lIns="38100" tIns="19050" rIns="38100" bIns="19050" anchor="ctr" anchorCtr="1">
                    <a:noAutofit/>
                  </a:bodyPr>
                  <a:lstStyle/>
                  <a:p>
                    <a:pPr>
                      <a:defRPr sz="700" b="0" i="0" u="none" strike="noStrike" kern="1200" baseline="0">
                        <a:ln>
                          <a:noFill/>
                        </a:ln>
                        <a:solidFill>
                          <a:schemeClr val="bg1"/>
                        </a:solidFill>
                        <a:latin typeface="+mn-lt"/>
                        <a:ea typeface="+mn-ea"/>
                        <a:cs typeface="+mn-cs"/>
                      </a:defRPr>
                    </a:pPr>
                    <a:fld id="{968BA40B-9444-49D4-8E81-4B38C9C4E5E9}" type="CELLRANGE">
                      <a:rPr lang="en-US"/>
                      <a:pPr>
                        <a:defRPr sz="700">
                          <a:solidFill>
                            <a:schemeClr val="bg1"/>
                          </a:solidFill>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ln>
                        <a:noFill/>
                      </a:ln>
                      <a:solidFill>
                        <a:schemeClr val="bg1"/>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15503353529162148"/>
                      <c:h val="0.15920134712533079"/>
                    </c:manualLayout>
                  </c15:layout>
                  <c15:dlblFieldTable/>
                  <c15:showDataLabelsRange val="1"/>
                </c:ext>
                <c:ext xmlns:c16="http://schemas.microsoft.com/office/drawing/2014/chart" uri="{C3380CC4-5D6E-409C-BE32-E72D297353CC}">
                  <c16:uniqueId val="{00000005-C80E-45A5-ACB5-036410419A26}"/>
                </c:ext>
              </c:extLst>
            </c:dLbl>
            <c:dLbl>
              <c:idx val="3"/>
              <c:layout>
                <c:manualLayout>
                  <c:x val="-8.6077844311377286E-2"/>
                  <c:y val="0.10034644153964757"/>
                </c:manualLayout>
              </c:layout>
              <c:tx>
                <c:rich>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fld id="{72A63171-109C-45DE-BAF1-B68BC93C9FEF}"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C80E-45A5-ACB5-036410419A26}"/>
                </c:ext>
              </c:extLst>
            </c:dLbl>
            <c:dLbl>
              <c:idx val="4"/>
              <c:layout>
                <c:manualLayout>
                  <c:x val="-0.13660179640718564"/>
                  <c:y val="0.10103439980755335"/>
                </c:manualLayout>
              </c:layout>
              <c:tx>
                <c:rich>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fld id="{E1D307C7-4F50-4EF5-B40A-721BAB5697C7}"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26695359281437125"/>
                      <c:h val="6.7789271108972815E-2"/>
                    </c:manualLayout>
                  </c15:layout>
                  <c15:dlblFieldTable/>
                  <c15:showDataLabelsRange val="1"/>
                </c:ext>
                <c:ext xmlns:c16="http://schemas.microsoft.com/office/drawing/2014/chart" uri="{C3380CC4-5D6E-409C-BE32-E72D297353CC}">
                  <c16:uniqueId val="{00000009-C80E-45A5-ACB5-036410419A26}"/>
                </c:ext>
              </c:extLst>
            </c:dLbl>
            <c:dLbl>
              <c:idx val="5"/>
              <c:layout>
                <c:manualLayout>
                  <c:x val="-0.15531437125748504"/>
                  <c:y val="8.1789752225162382E-2"/>
                </c:manualLayout>
              </c:layout>
              <c:tx>
                <c:rich>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fld id="{430C3F5B-2169-4C62-BBF3-FF46A1CD37EE}"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3057820382856335"/>
                      <c:h val="6.5600381862298482E-2"/>
                    </c:manualLayout>
                  </c15:layout>
                  <c15:dlblFieldTable/>
                  <c15:showDataLabelsRange val="1"/>
                </c:ext>
                <c:ext xmlns:c16="http://schemas.microsoft.com/office/drawing/2014/chart" uri="{C3380CC4-5D6E-409C-BE32-E72D297353CC}">
                  <c16:uniqueId val="{0000000B-C80E-45A5-ACB5-036410419A26}"/>
                </c:ext>
              </c:extLst>
            </c:dLbl>
            <c:dLbl>
              <c:idx val="6"/>
              <c:layout>
                <c:manualLayout>
                  <c:x val="-0.15344311377245512"/>
                  <c:y val="9.1412076016357952E-2"/>
                </c:manualLayout>
              </c:layout>
              <c:tx>
                <c:rich>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fld id="{29A9E746-5986-4B21-8F05-779A3251B4C4}"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C80E-45A5-ACB5-036410419A26}"/>
                </c:ext>
              </c:extLst>
            </c:dLbl>
            <c:dLbl>
              <c:idx val="7"/>
              <c:layout>
                <c:manualLayout>
                  <c:x val="-0.14970059880239522"/>
                  <c:y val="6.7356266538368931E-2"/>
                </c:manualLayout>
              </c:layout>
              <c:tx>
                <c:rich>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fld id="{D274E67D-4D13-4F74-89DA-198F31B5F1D5}"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C80E-45A5-ACB5-036410419A26}"/>
                </c:ext>
              </c:extLst>
            </c:dLbl>
            <c:dLbl>
              <c:idx val="8"/>
              <c:layout>
                <c:manualLayout>
                  <c:x val="-0.14595808383233533"/>
                  <c:y val="3.8489295164782208E-2"/>
                </c:manualLayout>
              </c:layout>
              <c:tx>
                <c:rich>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fld id="{A838453E-CD9B-4A49-82FC-34BF1B4C2757}"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C80E-45A5-ACB5-036410419A26}"/>
                </c:ext>
              </c:extLst>
            </c:dLbl>
            <c:dLbl>
              <c:idx val="9"/>
              <c:layout>
                <c:manualLayout>
                  <c:x val="-2.2455089820359281E-2"/>
                  <c:y val="-2.4055809477988934E-2"/>
                </c:manualLayout>
              </c:layout>
              <c:tx>
                <c:rich>
                  <a:bodyPr/>
                  <a:lstStyle/>
                  <a:p>
                    <a:fld id="{BA093768-B3BA-47E8-8024-34E243F8E994}"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C80E-45A5-ACB5-036410419A26}"/>
                </c:ext>
              </c:extLst>
            </c:dLbl>
            <c:dLbl>
              <c:idx val="10"/>
              <c:tx>
                <c:rich>
                  <a:bodyPr/>
                  <a:lstStyle/>
                  <a:p>
                    <a:fld id="{B728CD12-6236-463E-823F-CCD17AF0890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C80E-45A5-ACB5-036410419A26}"/>
                </c:ext>
              </c:extLst>
            </c:dLbl>
            <c:dLbl>
              <c:idx val="11"/>
              <c:layout>
                <c:manualLayout>
                  <c:x val="-0.14595808383233533"/>
                  <c:y val="-9.1412076016357952E-2"/>
                </c:manualLayout>
              </c:layout>
              <c:tx>
                <c:rich>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fld id="{4A092F2E-3649-4D54-9C62-47376A5E8F0B}"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C80E-45A5-ACB5-036410419A26}"/>
                </c:ext>
              </c:extLst>
            </c:dLbl>
            <c:dLbl>
              <c:idx val="12"/>
              <c:layout>
                <c:manualLayout>
                  <c:x val="-0.1796408659059833"/>
                  <c:y val="-9.6223237911955736E-2"/>
                </c:manualLayout>
              </c:layout>
              <c:tx>
                <c:rich>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fld id="{B510C9F5-68A7-4767-A0AE-49E46D6E2494}"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28164311141496529"/>
                      <c:h val="5.8166947317777246E-2"/>
                    </c:manualLayout>
                  </c15:layout>
                  <c15:dlblFieldTable/>
                  <c15:showDataLabelsRange val="1"/>
                </c:ext>
                <c:ext xmlns:c16="http://schemas.microsoft.com/office/drawing/2014/chart" uri="{C3380CC4-5D6E-409C-BE32-E72D297353CC}">
                  <c16:uniqueId val="{00000019-C80E-45A5-ACB5-036410419A26}"/>
                </c:ext>
              </c:extLst>
            </c:dLbl>
            <c:dLbl>
              <c:idx val="13"/>
              <c:layout>
                <c:manualLayout>
                  <c:x val="-0.10853278678862747"/>
                  <c:y val="-0.1106567235987491"/>
                </c:manualLayout>
              </c:layout>
              <c:tx>
                <c:rich>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fld id="{5B3418B3-F46F-491C-B309-7D91A514B1EA}"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1498502994011976"/>
                      <c:h val="5.5545053500499111E-2"/>
                    </c:manualLayout>
                  </c15:layout>
                  <c15:dlblFieldTable/>
                  <c15:showDataLabelsRange val="1"/>
                </c:ext>
                <c:ext xmlns:c16="http://schemas.microsoft.com/office/drawing/2014/chart" uri="{C3380CC4-5D6E-409C-BE32-E72D297353CC}">
                  <c16:uniqueId val="{0000001B-C80E-45A5-ACB5-036410419A26}"/>
                </c:ext>
              </c:extLst>
            </c:dLbl>
            <c:dLbl>
              <c:idx val="14"/>
              <c:layout>
                <c:manualLayout>
                  <c:x val="-0.13098802395209583"/>
                  <c:y val="-0.12027885797412201"/>
                </c:manualLayout>
              </c:layout>
              <c:tx>
                <c:rich>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fld id="{929EFD75-0CDB-4773-A464-D2795FC1D74D}"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32797544674430668"/>
                      <c:h val="3.8922299735386093E-2"/>
                    </c:manualLayout>
                  </c15:layout>
                  <c15:dlblFieldTable/>
                  <c15:showDataLabelsRange val="1"/>
                </c:ext>
                <c:ext xmlns:c16="http://schemas.microsoft.com/office/drawing/2014/chart" uri="{C3380CC4-5D6E-409C-BE32-E72D297353CC}">
                  <c16:uniqueId val="{0000001D-C80E-45A5-ACB5-036410419A26}"/>
                </c:ext>
              </c:extLst>
            </c:dLbl>
            <c:dLbl>
              <c:idx val="15"/>
              <c:layout>
                <c:manualLayout>
                  <c:x val="0"/>
                  <c:y val="-5.2922780851575653E-2"/>
                </c:manualLayout>
              </c:layout>
              <c:tx>
                <c:rich>
                  <a:bodyPr/>
                  <a:lstStyle/>
                  <a:p>
                    <a:fld id="{1186078A-9D3B-474C-A037-209AA9996F74}"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C80E-45A5-ACB5-036410419A26}"/>
                </c:ext>
              </c:extLst>
            </c:dLbl>
            <c:dLbl>
              <c:idx val="16"/>
              <c:layout>
                <c:manualLayout>
                  <c:x val="9.1691764109576052E-2"/>
                  <c:y val="-0.11787346644214577"/>
                </c:manualLayout>
              </c:layout>
              <c:tx>
                <c:rich>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fld id="{A28C135E-08EB-47AE-8376-A859E3AAD1F6}"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2606661676646706"/>
                      <c:h val="7.26004330045706E-2"/>
                    </c:manualLayout>
                  </c15:layout>
                  <c15:dlblFieldTable/>
                  <c15:showDataLabelsRange val="1"/>
                </c:ext>
                <c:ext xmlns:c16="http://schemas.microsoft.com/office/drawing/2014/chart" uri="{C3380CC4-5D6E-409C-BE32-E72D297353CC}">
                  <c16:uniqueId val="{00000021-C80E-45A5-ACB5-036410419A26}"/>
                </c:ext>
              </c:extLst>
            </c:dLbl>
            <c:dLbl>
              <c:idx val="17"/>
              <c:layout>
                <c:manualLayout>
                  <c:x val="0.14468444999764252"/>
                  <c:y val="-8.9006495068559052E-2"/>
                </c:manualLayout>
              </c:layout>
              <c:tx>
                <c:rich>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fld id="{E3A62BB9-3FE5-44C7-AFB3-412CDAFA2281}"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2688973431090575"/>
                      <c:h val="7.9600862978488049E-2"/>
                    </c:manualLayout>
                  </c15:layout>
                  <c15:dlblFieldTable/>
                  <c15:showDataLabelsRange val="1"/>
                </c:ext>
                <c:ext xmlns:c16="http://schemas.microsoft.com/office/drawing/2014/chart" uri="{C3380CC4-5D6E-409C-BE32-E72D297353CC}">
                  <c16:uniqueId val="{00000023-C80E-45A5-ACB5-036410419A26}"/>
                </c:ext>
              </c:extLst>
            </c:dLbl>
            <c:dLbl>
              <c:idx val="18"/>
              <c:layout>
                <c:manualLayout>
                  <c:x val="0.15718562874251482"/>
                  <c:y val="-8.6600914120760181E-2"/>
                </c:manualLayout>
              </c:layout>
              <c:tx>
                <c:rich>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fld id="{83B52182-D68F-4DA2-A189-6C246AB02AE6}"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22176287189400726"/>
                      <c:h val="9.6656242482559537E-2"/>
                    </c:manualLayout>
                  </c15:layout>
                  <c15:dlblFieldTable/>
                  <c15:showDataLabelsRange val="1"/>
                </c:ext>
                <c:ext xmlns:c16="http://schemas.microsoft.com/office/drawing/2014/chart" uri="{C3380CC4-5D6E-409C-BE32-E72D297353CC}">
                  <c16:uniqueId val="{00000025-C80E-45A5-ACB5-036410419A26}"/>
                </c:ext>
              </c:extLst>
            </c:dLbl>
            <c:dLbl>
              <c:idx val="19"/>
              <c:layout>
                <c:manualLayout>
                  <c:x val="0.13473039157904648"/>
                  <c:y val="-5.7734132162996103E-2"/>
                </c:manualLayout>
              </c:layout>
              <c:tx>
                <c:rich>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fld id="{723A0D55-5B18-4FD5-9DF8-FDA4ADD43AFA}" type="CELLRANGE">
                      <a:rPr lang="en-US"/>
                      <a:pPr>
                        <a:defRPr sz="700">
                          <a:solidFill>
                            <a:sysClr val="windowText" lastClr="000000"/>
                          </a:solidFill>
                        </a:defRPr>
                      </a:pPr>
                      <a:t>[CELLRANGE]</a:t>
                    </a:fld>
                    <a:endParaRPr lang="lv-LV"/>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ln>
                        <a:noFill/>
                      </a:ln>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18145569098024419"/>
                      <c:h val="0.16401250902092854"/>
                    </c:manualLayout>
                  </c15:layout>
                  <c15:dlblFieldTable/>
                  <c15:showDataLabelsRange val="1"/>
                </c:ext>
                <c:ext xmlns:c16="http://schemas.microsoft.com/office/drawing/2014/chart" uri="{C3380CC4-5D6E-409C-BE32-E72D297353CC}">
                  <c16:uniqueId val="{00000027-C80E-45A5-ACB5-036410419A2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chemeClr val="bg1"/>
                    </a:solidFill>
                    <a:latin typeface="+mn-lt"/>
                    <a:ea typeface="+mn-ea"/>
                    <a:cs typeface="+mn-cs"/>
                  </a:defRPr>
                </a:pPr>
                <a:endParaRPr lang="lv-LV"/>
              </a:p>
            </c:txPr>
            <c:showLegendKey val="0"/>
            <c:showVal val="0"/>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multiLvlStrRef>
              <c:f>Sheet1!$A$2:$B$21</c:f>
              <c:multiLvlStrCache>
                <c:ptCount val="20"/>
                <c:lvl>
                  <c:pt idx="0">
                    <c:v>Tehniskās/profesionālās</c:v>
                  </c:pt>
                  <c:pt idx="1">
                    <c:v>Tehniskās/profesionālās</c:v>
                  </c:pt>
                  <c:pt idx="2">
                    <c:v>Tehniskās/profesionālās</c:v>
                  </c:pt>
                  <c:pt idx="3">
                    <c:v>Tehniskās/profesionālās</c:v>
                  </c:pt>
                  <c:pt idx="4">
                    <c:v>Tehniskās/profesionālās</c:v>
                  </c:pt>
                  <c:pt idx="5">
                    <c:v>Tehniskās/profesionālās</c:v>
                  </c:pt>
                  <c:pt idx="6">
                    <c:v>Tehniskās/profesionālās</c:v>
                  </c:pt>
                  <c:pt idx="7">
                    <c:v>Tehniskās/profesionālās</c:v>
                  </c:pt>
                  <c:pt idx="8">
                    <c:v>Tehniskās/profesionālās</c:v>
                  </c:pt>
                  <c:pt idx="9">
                    <c:v>Digitālās</c:v>
                  </c:pt>
                  <c:pt idx="10">
                    <c:v>Digitālās</c:v>
                  </c:pt>
                  <c:pt idx="11">
                    <c:v>Digitālās</c:v>
                  </c:pt>
                  <c:pt idx="12">
                    <c:v>Digitālās</c:v>
                  </c:pt>
                  <c:pt idx="13">
                    <c:v>Digitālās</c:v>
                  </c:pt>
                  <c:pt idx="14">
                    <c:v>Digitālās</c:v>
                  </c:pt>
                  <c:pt idx="15">
                    <c:v>Sociāli emocionālās</c:v>
                  </c:pt>
                  <c:pt idx="16">
                    <c:v>Sociāli emocionālās</c:v>
                  </c:pt>
                  <c:pt idx="17">
                    <c:v>Sociāli emocionālās</c:v>
                  </c:pt>
                  <c:pt idx="18">
                    <c:v>Sociāli emocionālās</c:v>
                  </c:pt>
                  <c:pt idx="19">
                    <c:v>Pamata prasmes</c:v>
                  </c:pt>
                </c:lvl>
                <c:lvl>
                  <c:pt idx="0">
                    <c:v>Transportlīdzekļu vadīšana</c:v>
                  </c:pt>
                  <c:pt idx="1">
                    <c:v>Inventāra pārvaldība</c:v>
                  </c:pt>
                  <c:pt idx="2">
                    <c:v>Kases aparāta lietošana</c:v>
                  </c:pt>
                  <c:pt idx="3">
                    <c:v>Uzkopšana</c:v>
                  </c:pt>
                  <c:pt idx="4">
                    <c:v>Ēdiena gatavošana</c:v>
                  </c:pt>
                  <c:pt idx="5">
                    <c:v>Finanšu darījumu veikšana</c:v>
                  </c:pt>
                  <c:pt idx="6">
                    <c:v>Grāmatvedība</c:v>
                  </c:pt>
                  <c:pt idx="7">
                    <c:v>Būvniecība</c:v>
                  </c:pt>
                  <c:pt idx="8">
                    <c:v>Fizisks darbs</c:v>
                  </c:pt>
                  <c:pt idx="9">
                    <c:v>MS Office lietošana</c:v>
                  </c:pt>
                  <c:pt idx="10">
                    <c:v>Datorprasmes</c:v>
                  </c:pt>
                  <c:pt idx="11">
                    <c:v>Datu analīze</c:v>
                  </c:pt>
                  <c:pt idx="12">
                    <c:v>Biroja programmatūra</c:v>
                  </c:pt>
                  <c:pt idx="13">
                    <c:v>Datu ievade</c:v>
                  </c:pt>
                  <c:pt idx="14">
                    <c:v>Dokumentu pārvaldība</c:v>
                  </c:pt>
                  <c:pt idx="15">
                    <c:v>Klientu apkalpošana</c:v>
                  </c:pt>
                  <c:pt idx="16">
                    <c:v>Pārdošanas aktv.</c:v>
                  </c:pt>
                  <c:pt idx="17">
                    <c:v>Projektu vadība</c:v>
                  </c:pt>
                  <c:pt idx="18">
                    <c:v>Juridiskās pramses</c:v>
                  </c:pt>
                  <c:pt idx="19">
                    <c:v>Latviešu valodas izpratne</c:v>
                  </c:pt>
                </c:lvl>
              </c:multiLvlStrCache>
            </c:multiLvlStrRef>
          </c:cat>
          <c:val>
            <c:numRef>
              <c:f>Sheet1!$C$2:$C$21</c:f>
              <c:numCache>
                <c:formatCode>0.00</c:formatCode>
                <c:ptCount val="20"/>
                <c:pt idx="0">
                  <c:v>9.3190000000000008</c:v>
                </c:pt>
                <c:pt idx="1">
                  <c:v>4.34</c:v>
                </c:pt>
                <c:pt idx="2">
                  <c:v>2.93</c:v>
                </c:pt>
                <c:pt idx="3">
                  <c:v>2.76</c:v>
                </c:pt>
                <c:pt idx="4">
                  <c:v>1.73</c:v>
                </c:pt>
                <c:pt idx="5">
                  <c:v>1.53</c:v>
                </c:pt>
                <c:pt idx="6">
                  <c:v>1.37</c:v>
                </c:pt>
                <c:pt idx="7">
                  <c:v>1.28</c:v>
                </c:pt>
                <c:pt idx="8">
                  <c:v>1.1100000000000001</c:v>
                </c:pt>
                <c:pt idx="9">
                  <c:v>4.83</c:v>
                </c:pt>
                <c:pt idx="10">
                  <c:v>3.53</c:v>
                </c:pt>
                <c:pt idx="11">
                  <c:v>2.42</c:v>
                </c:pt>
                <c:pt idx="12">
                  <c:v>1.51</c:v>
                </c:pt>
                <c:pt idx="13">
                  <c:v>1.2</c:v>
                </c:pt>
                <c:pt idx="14">
                  <c:v>1.17</c:v>
                </c:pt>
                <c:pt idx="15">
                  <c:v>4.01</c:v>
                </c:pt>
                <c:pt idx="16">
                  <c:v>2.69</c:v>
                </c:pt>
                <c:pt idx="17">
                  <c:v>1.51</c:v>
                </c:pt>
                <c:pt idx="18">
                  <c:v>1.1100000000000001</c:v>
                </c:pt>
                <c:pt idx="19">
                  <c:v>3.42</c:v>
                </c:pt>
              </c:numCache>
            </c:numRef>
          </c:val>
          <c:extLst>
            <c:ext xmlns:c15="http://schemas.microsoft.com/office/drawing/2012/chart" uri="{02D57815-91ED-43cb-92C2-25804820EDAC}">
              <c15:datalabelsRange>
                <c15:f>Sheet1!$A$2:$A$21</c15:f>
                <c15:dlblRangeCache>
                  <c:ptCount val="20"/>
                  <c:pt idx="0">
                    <c:v>Transportlīdzekļu vadīšana</c:v>
                  </c:pt>
                  <c:pt idx="1">
                    <c:v>Inventāra pārvaldība</c:v>
                  </c:pt>
                  <c:pt idx="2">
                    <c:v>Kases aparāta lietošana</c:v>
                  </c:pt>
                  <c:pt idx="3">
                    <c:v>Uzkopšana</c:v>
                  </c:pt>
                  <c:pt idx="4">
                    <c:v>Ēdiena gatavošana</c:v>
                  </c:pt>
                  <c:pt idx="5">
                    <c:v>Finanšu darījumu veikšana</c:v>
                  </c:pt>
                  <c:pt idx="6">
                    <c:v>Grāmatvedība</c:v>
                  </c:pt>
                  <c:pt idx="7">
                    <c:v>Būvniecība</c:v>
                  </c:pt>
                  <c:pt idx="8">
                    <c:v>Fizisks darbs</c:v>
                  </c:pt>
                  <c:pt idx="9">
                    <c:v>MS Office lietošana</c:v>
                  </c:pt>
                  <c:pt idx="10">
                    <c:v>Datorprasmes</c:v>
                  </c:pt>
                  <c:pt idx="11">
                    <c:v>Datu analīze</c:v>
                  </c:pt>
                  <c:pt idx="12">
                    <c:v>Biroja programmatūra</c:v>
                  </c:pt>
                  <c:pt idx="13">
                    <c:v>Datu ievade</c:v>
                  </c:pt>
                  <c:pt idx="14">
                    <c:v>Dokumentu pārvaldība</c:v>
                  </c:pt>
                  <c:pt idx="15">
                    <c:v>Klientu apkalpošana</c:v>
                  </c:pt>
                  <c:pt idx="16">
                    <c:v>Pārdošanas aktv.</c:v>
                  </c:pt>
                  <c:pt idx="17">
                    <c:v>Projektu vadība</c:v>
                  </c:pt>
                  <c:pt idx="18">
                    <c:v>Juridiskās pramses</c:v>
                  </c:pt>
                  <c:pt idx="19">
                    <c:v>Latviešu valodas izpratne</c:v>
                  </c:pt>
                </c15:dlblRangeCache>
              </c15:datalabelsRange>
            </c:ext>
            <c:ext xmlns:c16="http://schemas.microsoft.com/office/drawing/2014/chart" uri="{C3380CC4-5D6E-409C-BE32-E72D297353CC}">
              <c16:uniqueId val="{00000028-C80E-45A5-ACB5-036410419A26}"/>
            </c:ext>
          </c:extLst>
        </c:ser>
        <c:dLbls>
          <c:showLegendKey val="0"/>
          <c:showVal val="1"/>
          <c:showCatName val="0"/>
          <c:showSerName val="0"/>
          <c:showPercent val="0"/>
          <c:showBubbleSize val="0"/>
          <c:showLeaderLines val="1"/>
        </c:dLbls>
        <c:firstSliceAng val="76"/>
        <c:holeSize val="54"/>
      </c:doughnutChart>
      <c:spPr>
        <a:noFill/>
        <a:ln cap="sq" cmpd="sng">
          <a:noFill/>
          <a:prstDash val="sysDash"/>
          <a:beve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n>
            <a:noFill/>
          </a:ln>
        </a:defRPr>
      </a:pPr>
      <a:endParaRPr lang="lv-LV"/>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54978299098601E-2"/>
          <c:y val="2.8824910289950555E-2"/>
          <c:w val="0.93082481834202924"/>
          <c:h val="0.43363605622916768"/>
        </c:manualLayout>
      </c:layout>
      <c:barChart>
        <c:barDir val="col"/>
        <c:grouping val="clustered"/>
        <c:varyColors val="0"/>
        <c:ser>
          <c:idx val="0"/>
          <c:order val="0"/>
          <c:tx>
            <c:strRef>
              <c:f>Sheet2!$C$3</c:f>
              <c:strCache>
                <c:ptCount val="1"/>
                <c:pt idx="0">
                  <c:v>Kopā 5 mēn.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Sheet2!$B$4:$B$37</c:f>
              <c:strCache>
                <c:ptCount val="34"/>
                <c:pt idx="0">
                  <c:v>Grāmatveži</c:v>
                </c:pt>
                <c:pt idx="1">
                  <c:v>Kravas automašīnu vadītāji</c:v>
                </c:pt>
                <c:pt idx="2">
                  <c:v>Grāmatvedības lietveži</c:v>
                </c:pt>
                <c:pt idx="3">
                  <c:v>Būvniecības vadītāji</c:v>
                </c:pt>
                <c:pt idx="4">
                  <c:v>Pārdošanas vadītāji</c:v>
                </c:pt>
                <c:pt idx="5">
                  <c:v>Sistēmu analītiķi</c:v>
                </c:pt>
                <c:pt idx="6">
                  <c:v>Autobusu vadītāji</c:v>
                </c:pt>
                <c:pt idx="7">
                  <c:v>Iepirkumu speciālisti</c:v>
                </c:pt>
                <c:pt idx="8">
                  <c:v>Pētniecības un attīstības vadītāji</c:v>
                </c:pt>
                <c:pt idx="9">
                  <c:v>Tehniskie pārdošanas speciālisti</c:v>
                </c:pt>
                <c:pt idx="10">
                  <c:v>IT atbalsta speciālisti</c:v>
                </c:pt>
                <c:pt idx="11">
                  <c:v>Šefpavāri</c:v>
                </c:pt>
                <c:pt idx="12">
                  <c:v>Sociālā darba speciālisti</c:v>
                </c:pt>
                <c:pt idx="13">
                  <c:v>Apkopēji</c:v>
                </c:pt>
                <c:pt idx="14">
                  <c:v>Ražošanas plānotāji</c:v>
                </c:pt>
                <c:pt idx="15">
                  <c:v>Pavāri</c:v>
                </c:pt>
                <c:pt idx="16">
                  <c:v>Programmētāji</c:v>
                </c:pt>
                <c:pt idx="17">
                  <c:v>Gumijas izst. mašīnu operatori</c:v>
                </c:pt>
                <c:pt idx="18">
                  <c:v>Betonētāji</c:v>
                </c:pt>
                <c:pt idx="19">
                  <c:v>Pārdošanas pārstāvji</c:v>
                </c:pt>
                <c:pt idx="20">
                  <c:v>Krāsotāji</c:v>
                </c:pt>
                <c:pt idx="21">
                  <c:v>Viesmīļi</c:v>
                </c:pt>
                <c:pt idx="22">
                  <c:v>Autotransporta mehāniķi</c:v>
                </c:pt>
                <c:pt idx="23">
                  <c:v>Būvelektriķi</c:v>
                </c:pt>
                <c:pt idx="24">
                  <c:v>Metālapstrādes mašīnu operatori</c:v>
                </c:pt>
                <c:pt idx="25">
                  <c:v>Biroja administratori</c:v>
                </c:pt>
                <c:pt idx="26">
                  <c:v>Veikalu pārziņi</c:v>
                </c:pt>
                <c:pt idx="27">
                  <c:v>Sētnieki</c:v>
                </c:pt>
                <c:pt idx="28">
                  <c:v>Metinātāji</c:v>
                </c:pt>
                <c:pt idx="29">
                  <c:v>Ražošanas palīgstrādnieki</c:v>
                </c:pt>
                <c:pt idx="30">
                  <c:v>Vieglo auto vadītāji</c:v>
                </c:pt>
                <c:pt idx="31">
                  <c:v>Noliktavas darbinieki</c:v>
                </c:pt>
                <c:pt idx="32">
                  <c:v>Būvniecības palīgstrādnieki</c:v>
                </c:pt>
                <c:pt idx="33">
                  <c:v>Pārdevēji</c:v>
                </c:pt>
              </c:strCache>
            </c:strRef>
          </c:cat>
          <c:val>
            <c:numRef>
              <c:f>Sheet2!$C$4:$C$37</c:f>
            </c:numRef>
          </c:val>
          <c:extLst>
            <c:ext xmlns:c16="http://schemas.microsoft.com/office/drawing/2014/chart" uri="{C3380CC4-5D6E-409C-BE32-E72D297353CC}">
              <c16:uniqueId val="{00000000-5FCA-43C4-8AE1-6F884B075FC1}"/>
            </c:ext>
          </c:extLst>
        </c:ser>
        <c:ser>
          <c:idx val="1"/>
          <c:order val="1"/>
          <c:tx>
            <c:strRef>
              <c:f>Sheet2!$D$3</c:f>
              <c:strCache>
                <c:ptCount val="1"/>
                <c:pt idx="0">
                  <c:v>Okt 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Sheet2!$B$4:$B$37</c:f>
              <c:strCache>
                <c:ptCount val="34"/>
                <c:pt idx="0">
                  <c:v>Grāmatveži</c:v>
                </c:pt>
                <c:pt idx="1">
                  <c:v>Kravas automašīnu vadītāji</c:v>
                </c:pt>
                <c:pt idx="2">
                  <c:v>Grāmatvedības lietveži</c:v>
                </c:pt>
                <c:pt idx="3">
                  <c:v>Būvniecības vadītāji</c:v>
                </c:pt>
                <c:pt idx="4">
                  <c:v>Pārdošanas vadītāji</c:v>
                </c:pt>
                <c:pt idx="5">
                  <c:v>Sistēmu analītiķi</c:v>
                </c:pt>
                <c:pt idx="6">
                  <c:v>Autobusu vadītāji</c:v>
                </c:pt>
                <c:pt idx="7">
                  <c:v>Iepirkumu speciālisti</c:v>
                </c:pt>
                <c:pt idx="8">
                  <c:v>Pētniecības un attīstības vadītāji</c:v>
                </c:pt>
                <c:pt idx="9">
                  <c:v>Tehniskie pārdošanas speciālisti</c:v>
                </c:pt>
                <c:pt idx="10">
                  <c:v>IT atbalsta speciālisti</c:v>
                </c:pt>
                <c:pt idx="11">
                  <c:v>Šefpavāri</c:v>
                </c:pt>
                <c:pt idx="12">
                  <c:v>Sociālā darba speciālisti</c:v>
                </c:pt>
                <c:pt idx="13">
                  <c:v>Apkopēji</c:v>
                </c:pt>
                <c:pt idx="14">
                  <c:v>Ražošanas plānotāji</c:v>
                </c:pt>
                <c:pt idx="15">
                  <c:v>Pavāri</c:v>
                </c:pt>
                <c:pt idx="16">
                  <c:v>Programmētāji</c:v>
                </c:pt>
                <c:pt idx="17">
                  <c:v>Gumijas izst. mašīnu operatori</c:v>
                </c:pt>
                <c:pt idx="18">
                  <c:v>Betonētāji</c:v>
                </c:pt>
                <c:pt idx="19">
                  <c:v>Pārdošanas pārstāvji</c:v>
                </c:pt>
                <c:pt idx="20">
                  <c:v>Krāsotāji</c:v>
                </c:pt>
                <c:pt idx="21">
                  <c:v>Viesmīļi</c:v>
                </c:pt>
                <c:pt idx="22">
                  <c:v>Autotransporta mehāniķi</c:v>
                </c:pt>
                <c:pt idx="23">
                  <c:v>Būvelektriķi</c:v>
                </c:pt>
                <c:pt idx="24">
                  <c:v>Metālapstrādes mašīnu operatori</c:v>
                </c:pt>
                <c:pt idx="25">
                  <c:v>Biroja administratori</c:v>
                </c:pt>
                <c:pt idx="26">
                  <c:v>Veikalu pārziņi</c:v>
                </c:pt>
                <c:pt idx="27">
                  <c:v>Sētnieki</c:v>
                </c:pt>
                <c:pt idx="28">
                  <c:v>Metinātāji</c:v>
                </c:pt>
                <c:pt idx="29">
                  <c:v>Ražošanas palīgstrādnieki</c:v>
                </c:pt>
                <c:pt idx="30">
                  <c:v>Vieglo auto vadītāji</c:v>
                </c:pt>
                <c:pt idx="31">
                  <c:v>Noliktavas darbinieki</c:v>
                </c:pt>
                <c:pt idx="32">
                  <c:v>Būvniecības palīgstrādnieki</c:v>
                </c:pt>
                <c:pt idx="33">
                  <c:v>Pārdevēji</c:v>
                </c:pt>
              </c:strCache>
            </c:strRef>
          </c:cat>
          <c:val>
            <c:numRef>
              <c:f>Sheet2!$D$4:$D$37</c:f>
            </c:numRef>
          </c:val>
          <c:extLst>
            <c:ext xmlns:c16="http://schemas.microsoft.com/office/drawing/2014/chart" uri="{C3380CC4-5D6E-409C-BE32-E72D297353CC}">
              <c16:uniqueId val="{00000001-5FCA-43C4-8AE1-6F884B075FC1}"/>
            </c:ext>
          </c:extLst>
        </c:ser>
        <c:ser>
          <c:idx val="2"/>
          <c:order val="2"/>
          <c:tx>
            <c:strRef>
              <c:f>Sheet2!$E$3</c:f>
              <c:strCache>
                <c:ptCount val="1"/>
                <c:pt idx="0">
                  <c:v>Nov 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Sheet2!$B$4:$B$37</c:f>
              <c:strCache>
                <c:ptCount val="34"/>
                <c:pt idx="0">
                  <c:v>Grāmatveži</c:v>
                </c:pt>
                <c:pt idx="1">
                  <c:v>Kravas automašīnu vadītāji</c:v>
                </c:pt>
                <c:pt idx="2">
                  <c:v>Grāmatvedības lietveži</c:v>
                </c:pt>
                <c:pt idx="3">
                  <c:v>Būvniecības vadītāji</c:v>
                </c:pt>
                <c:pt idx="4">
                  <c:v>Pārdošanas vadītāji</c:v>
                </c:pt>
                <c:pt idx="5">
                  <c:v>Sistēmu analītiķi</c:v>
                </c:pt>
                <c:pt idx="6">
                  <c:v>Autobusu vadītāji</c:v>
                </c:pt>
                <c:pt idx="7">
                  <c:v>Iepirkumu speciālisti</c:v>
                </c:pt>
                <c:pt idx="8">
                  <c:v>Pētniecības un attīstības vadītāji</c:v>
                </c:pt>
                <c:pt idx="9">
                  <c:v>Tehniskie pārdošanas speciālisti</c:v>
                </c:pt>
                <c:pt idx="10">
                  <c:v>IT atbalsta speciālisti</c:v>
                </c:pt>
                <c:pt idx="11">
                  <c:v>Šefpavāri</c:v>
                </c:pt>
                <c:pt idx="12">
                  <c:v>Sociālā darba speciālisti</c:v>
                </c:pt>
                <c:pt idx="13">
                  <c:v>Apkopēji</c:v>
                </c:pt>
                <c:pt idx="14">
                  <c:v>Ražošanas plānotāji</c:v>
                </c:pt>
                <c:pt idx="15">
                  <c:v>Pavāri</c:v>
                </c:pt>
                <c:pt idx="16">
                  <c:v>Programmētāji</c:v>
                </c:pt>
                <c:pt idx="17">
                  <c:v>Gumijas izst. mašīnu operatori</c:v>
                </c:pt>
                <c:pt idx="18">
                  <c:v>Betonētāji</c:v>
                </c:pt>
                <c:pt idx="19">
                  <c:v>Pārdošanas pārstāvji</c:v>
                </c:pt>
                <c:pt idx="20">
                  <c:v>Krāsotāji</c:v>
                </c:pt>
                <c:pt idx="21">
                  <c:v>Viesmīļi</c:v>
                </c:pt>
                <c:pt idx="22">
                  <c:v>Autotransporta mehāniķi</c:v>
                </c:pt>
                <c:pt idx="23">
                  <c:v>Būvelektriķi</c:v>
                </c:pt>
                <c:pt idx="24">
                  <c:v>Metālapstrādes mašīnu operatori</c:v>
                </c:pt>
                <c:pt idx="25">
                  <c:v>Biroja administratori</c:v>
                </c:pt>
                <c:pt idx="26">
                  <c:v>Veikalu pārziņi</c:v>
                </c:pt>
                <c:pt idx="27">
                  <c:v>Sētnieki</c:v>
                </c:pt>
                <c:pt idx="28">
                  <c:v>Metinātāji</c:v>
                </c:pt>
                <c:pt idx="29">
                  <c:v>Ražošanas palīgstrādnieki</c:v>
                </c:pt>
                <c:pt idx="30">
                  <c:v>Vieglo auto vadītāji</c:v>
                </c:pt>
                <c:pt idx="31">
                  <c:v>Noliktavas darbinieki</c:v>
                </c:pt>
                <c:pt idx="32">
                  <c:v>Būvniecības palīgstrādnieki</c:v>
                </c:pt>
                <c:pt idx="33">
                  <c:v>Pārdevēji</c:v>
                </c:pt>
              </c:strCache>
            </c:strRef>
          </c:cat>
          <c:val>
            <c:numRef>
              <c:f>Sheet2!$E$4:$E$37</c:f>
            </c:numRef>
          </c:val>
          <c:extLst>
            <c:ext xmlns:c16="http://schemas.microsoft.com/office/drawing/2014/chart" uri="{C3380CC4-5D6E-409C-BE32-E72D297353CC}">
              <c16:uniqueId val="{00000002-5FCA-43C4-8AE1-6F884B075FC1}"/>
            </c:ext>
          </c:extLst>
        </c:ser>
        <c:ser>
          <c:idx val="3"/>
          <c:order val="3"/>
          <c:tx>
            <c:strRef>
              <c:f>Sheet2!$F$3</c:f>
              <c:strCache>
                <c:ptCount val="1"/>
                <c:pt idx="0">
                  <c:v>Dec 2025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Sheet2!$B$4:$B$37</c:f>
              <c:strCache>
                <c:ptCount val="34"/>
                <c:pt idx="0">
                  <c:v>Grāmatveži</c:v>
                </c:pt>
                <c:pt idx="1">
                  <c:v>Kravas automašīnu vadītāji</c:v>
                </c:pt>
                <c:pt idx="2">
                  <c:v>Grāmatvedības lietveži</c:v>
                </c:pt>
                <c:pt idx="3">
                  <c:v>Būvniecības vadītāji</c:v>
                </c:pt>
                <c:pt idx="4">
                  <c:v>Pārdošanas vadītāji</c:v>
                </c:pt>
                <c:pt idx="5">
                  <c:v>Sistēmu analītiķi</c:v>
                </c:pt>
                <c:pt idx="6">
                  <c:v>Autobusu vadītāji</c:v>
                </c:pt>
                <c:pt idx="7">
                  <c:v>Iepirkumu speciālisti</c:v>
                </c:pt>
                <c:pt idx="8">
                  <c:v>Pētniecības un attīstības vadītāji</c:v>
                </c:pt>
                <c:pt idx="9">
                  <c:v>Tehniskie pārdošanas speciālisti</c:v>
                </c:pt>
                <c:pt idx="10">
                  <c:v>IT atbalsta speciālisti</c:v>
                </c:pt>
                <c:pt idx="11">
                  <c:v>Šefpavāri</c:v>
                </c:pt>
                <c:pt idx="12">
                  <c:v>Sociālā darba speciālisti</c:v>
                </c:pt>
                <c:pt idx="13">
                  <c:v>Apkopēji</c:v>
                </c:pt>
                <c:pt idx="14">
                  <c:v>Ražošanas plānotāji</c:v>
                </c:pt>
                <c:pt idx="15">
                  <c:v>Pavāri</c:v>
                </c:pt>
                <c:pt idx="16">
                  <c:v>Programmētāji</c:v>
                </c:pt>
                <c:pt idx="17">
                  <c:v>Gumijas izst. mašīnu operatori</c:v>
                </c:pt>
                <c:pt idx="18">
                  <c:v>Betonētāji</c:v>
                </c:pt>
                <c:pt idx="19">
                  <c:v>Pārdošanas pārstāvji</c:v>
                </c:pt>
                <c:pt idx="20">
                  <c:v>Krāsotāji</c:v>
                </c:pt>
                <c:pt idx="21">
                  <c:v>Viesmīļi</c:v>
                </c:pt>
                <c:pt idx="22">
                  <c:v>Autotransporta mehāniķi</c:v>
                </c:pt>
                <c:pt idx="23">
                  <c:v>Būvelektriķi</c:v>
                </c:pt>
                <c:pt idx="24">
                  <c:v>Metālapstrādes mašīnu operatori</c:v>
                </c:pt>
                <c:pt idx="25">
                  <c:v>Biroja administratori</c:v>
                </c:pt>
                <c:pt idx="26">
                  <c:v>Veikalu pārziņi</c:v>
                </c:pt>
                <c:pt idx="27">
                  <c:v>Sētnieki</c:v>
                </c:pt>
                <c:pt idx="28">
                  <c:v>Metinātāji</c:v>
                </c:pt>
                <c:pt idx="29">
                  <c:v>Ražošanas palīgstrādnieki</c:v>
                </c:pt>
                <c:pt idx="30">
                  <c:v>Vieglo auto vadītāji</c:v>
                </c:pt>
                <c:pt idx="31">
                  <c:v>Noliktavas darbinieki</c:v>
                </c:pt>
                <c:pt idx="32">
                  <c:v>Būvniecības palīgstrādnieki</c:v>
                </c:pt>
                <c:pt idx="33">
                  <c:v>Pārdevēji</c:v>
                </c:pt>
              </c:strCache>
            </c:strRef>
          </c:cat>
          <c:val>
            <c:numRef>
              <c:f>Sheet2!$F$4:$F$37</c:f>
            </c:numRef>
          </c:val>
          <c:extLst>
            <c:ext xmlns:c16="http://schemas.microsoft.com/office/drawing/2014/chart" uri="{C3380CC4-5D6E-409C-BE32-E72D297353CC}">
              <c16:uniqueId val="{00000003-5FCA-43C4-8AE1-6F884B075FC1}"/>
            </c:ext>
          </c:extLst>
        </c:ser>
        <c:ser>
          <c:idx val="4"/>
          <c:order val="4"/>
          <c:tx>
            <c:strRef>
              <c:f>Sheet2!$G$3</c:f>
              <c:strCache>
                <c:ptCount val="1"/>
                <c:pt idx="0">
                  <c:v>Jan 2026</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Sheet2!$B$4:$B$37</c:f>
              <c:strCache>
                <c:ptCount val="34"/>
                <c:pt idx="0">
                  <c:v>Grāmatveži</c:v>
                </c:pt>
                <c:pt idx="1">
                  <c:v>Kravas automašīnu vadītāji</c:v>
                </c:pt>
                <c:pt idx="2">
                  <c:v>Grāmatvedības lietveži</c:v>
                </c:pt>
                <c:pt idx="3">
                  <c:v>Būvniecības vadītāji</c:v>
                </c:pt>
                <c:pt idx="4">
                  <c:v>Pārdošanas vadītāji</c:v>
                </c:pt>
                <c:pt idx="5">
                  <c:v>Sistēmu analītiķi</c:v>
                </c:pt>
                <c:pt idx="6">
                  <c:v>Autobusu vadītāji</c:v>
                </c:pt>
                <c:pt idx="7">
                  <c:v>Iepirkumu speciālisti</c:v>
                </c:pt>
                <c:pt idx="8">
                  <c:v>Pētniecības un attīstības vadītāji</c:v>
                </c:pt>
                <c:pt idx="9">
                  <c:v>Tehniskie pārdošanas speciālisti</c:v>
                </c:pt>
                <c:pt idx="10">
                  <c:v>IT atbalsta speciālisti</c:v>
                </c:pt>
                <c:pt idx="11">
                  <c:v>Šefpavāri</c:v>
                </c:pt>
                <c:pt idx="12">
                  <c:v>Sociālā darba speciālisti</c:v>
                </c:pt>
                <c:pt idx="13">
                  <c:v>Apkopēji</c:v>
                </c:pt>
                <c:pt idx="14">
                  <c:v>Ražošanas plānotāji</c:v>
                </c:pt>
                <c:pt idx="15">
                  <c:v>Pavāri</c:v>
                </c:pt>
                <c:pt idx="16">
                  <c:v>Programmētāji</c:v>
                </c:pt>
                <c:pt idx="17">
                  <c:v>Gumijas izst. mašīnu operatori</c:v>
                </c:pt>
                <c:pt idx="18">
                  <c:v>Betonētāji</c:v>
                </c:pt>
                <c:pt idx="19">
                  <c:v>Pārdošanas pārstāvji</c:v>
                </c:pt>
                <c:pt idx="20">
                  <c:v>Krāsotāji</c:v>
                </c:pt>
                <c:pt idx="21">
                  <c:v>Viesmīļi</c:v>
                </c:pt>
                <c:pt idx="22">
                  <c:v>Autotransporta mehāniķi</c:v>
                </c:pt>
                <c:pt idx="23">
                  <c:v>Būvelektriķi</c:v>
                </c:pt>
                <c:pt idx="24">
                  <c:v>Metālapstrādes mašīnu operatori</c:v>
                </c:pt>
                <c:pt idx="25">
                  <c:v>Biroja administratori</c:v>
                </c:pt>
                <c:pt idx="26">
                  <c:v>Veikalu pārziņi</c:v>
                </c:pt>
                <c:pt idx="27">
                  <c:v>Sētnieki</c:v>
                </c:pt>
                <c:pt idx="28">
                  <c:v>Metinātāji</c:v>
                </c:pt>
                <c:pt idx="29">
                  <c:v>Ražošanas palīgstrādnieki</c:v>
                </c:pt>
                <c:pt idx="30">
                  <c:v>Vieglo auto vadītāji</c:v>
                </c:pt>
                <c:pt idx="31">
                  <c:v>Noliktavas darbinieki</c:v>
                </c:pt>
                <c:pt idx="32">
                  <c:v>Būvniecības palīgstrādnieki</c:v>
                </c:pt>
                <c:pt idx="33">
                  <c:v>Pārdevēji</c:v>
                </c:pt>
              </c:strCache>
            </c:strRef>
          </c:cat>
          <c:val>
            <c:numRef>
              <c:f>Sheet2!$G$4:$G$37</c:f>
            </c:numRef>
          </c:val>
          <c:extLst>
            <c:ext xmlns:c16="http://schemas.microsoft.com/office/drawing/2014/chart" uri="{C3380CC4-5D6E-409C-BE32-E72D297353CC}">
              <c16:uniqueId val="{00000004-5FCA-43C4-8AE1-6F884B075FC1}"/>
            </c:ext>
          </c:extLst>
        </c:ser>
        <c:ser>
          <c:idx val="5"/>
          <c:order val="5"/>
          <c:tx>
            <c:strRef>
              <c:f>Sheet2!$H$3</c:f>
              <c:strCache>
                <c:ptCount val="1"/>
                <c:pt idx="0">
                  <c:v>Feb 2026</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Sheet2!$B$4:$B$37</c:f>
              <c:strCache>
                <c:ptCount val="34"/>
                <c:pt idx="0">
                  <c:v>Grāmatveži</c:v>
                </c:pt>
                <c:pt idx="1">
                  <c:v>Kravas automašīnu vadītāji</c:v>
                </c:pt>
                <c:pt idx="2">
                  <c:v>Grāmatvedības lietveži</c:v>
                </c:pt>
                <c:pt idx="3">
                  <c:v>Būvniecības vadītāji</c:v>
                </c:pt>
                <c:pt idx="4">
                  <c:v>Pārdošanas vadītāji</c:v>
                </c:pt>
                <c:pt idx="5">
                  <c:v>Sistēmu analītiķi</c:v>
                </c:pt>
                <c:pt idx="6">
                  <c:v>Autobusu vadītāji</c:v>
                </c:pt>
                <c:pt idx="7">
                  <c:v>Iepirkumu speciālisti</c:v>
                </c:pt>
                <c:pt idx="8">
                  <c:v>Pētniecības un attīstības vadītāji</c:v>
                </c:pt>
                <c:pt idx="9">
                  <c:v>Tehniskie pārdošanas speciālisti</c:v>
                </c:pt>
                <c:pt idx="10">
                  <c:v>IT atbalsta speciālisti</c:v>
                </c:pt>
                <c:pt idx="11">
                  <c:v>Šefpavāri</c:v>
                </c:pt>
                <c:pt idx="12">
                  <c:v>Sociālā darba speciālisti</c:v>
                </c:pt>
                <c:pt idx="13">
                  <c:v>Apkopēji</c:v>
                </c:pt>
                <c:pt idx="14">
                  <c:v>Ražošanas plānotāji</c:v>
                </c:pt>
                <c:pt idx="15">
                  <c:v>Pavāri</c:v>
                </c:pt>
                <c:pt idx="16">
                  <c:v>Programmētāji</c:v>
                </c:pt>
                <c:pt idx="17">
                  <c:v>Gumijas izst. mašīnu operatori</c:v>
                </c:pt>
                <c:pt idx="18">
                  <c:v>Betonētāji</c:v>
                </c:pt>
                <c:pt idx="19">
                  <c:v>Pārdošanas pārstāvji</c:v>
                </c:pt>
                <c:pt idx="20">
                  <c:v>Krāsotāji</c:v>
                </c:pt>
                <c:pt idx="21">
                  <c:v>Viesmīļi</c:v>
                </c:pt>
                <c:pt idx="22">
                  <c:v>Autotransporta mehāniķi</c:v>
                </c:pt>
                <c:pt idx="23">
                  <c:v>Būvelektriķi</c:v>
                </c:pt>
                <c:pt idx="24">
                  <c:v>Metālapstrādes mašīnu operatori</c:v>
                </c:pt>
                <c:pt idx="25">
                  <c:v>Biroja administratori</c:v>
                </c:pt>
                <c:pt idx="26">
                  <c:v>Veikalu pārziņi</c:v>
                </c:pt>
                <c:pt idx="27">
                  <c:v>Sētnieki</c:v>
                </c:pt>
                <c:pt idx="28">
                  <c:v>Metinātāji</c:v>
                </c:pt>
                <c:pt idx="29">
                  <c:v>Ražošanas palīgstrādnieki</c:v>
                </c:pt>
                <c:pt idx="30">
                  <c:v>Vieglo auto vadītāji</c:v>
                </c:pt>
                <c:pt idx="31">
                  <c:v>Noliktavas darbinieki</c:v>
                </c:pt>
                <c:pt idx="32">
                  <c:v>Būvniecības palīgstrādnieki</c:v>
                </c:pt>
                <c:pt idx="33">
                  <c:v>Pārdevēji</c:v>
                </c:pt>
              </c:strCache>
            </c:strRef>
          </c:cat>
          <c:val>
            <c:numRef>
              <c:f>Sheet2!$H$4:$H$37</c:f>
            </c:numRef>
          </c:val>
          <c:extLst>
            <c:ext xmlns:c16="http://schemas.microsoft.com/office/drawing/2014/chart" uri="{C3380CC4-5D6E-409C-BE32-E72D297353CC}">
              <c16:uniqueId val="{00000005-5FCA-43C4-8AE1-6F884B075FC1}"/>
            </c:ext>
          </c:extLst>
        </c:ser>
        <c:ser>
          <c:idx val="6"/>
          <c:order val="6"/>
          <c:tx>
            <c:strRef>
              <c:f>Sheet2!$I$3</c:f>
              <c:strCache>
                <c:ptCount val="1"/>
                <c:pt idx="0">
                  <c:v>Izmaiņa (abs.)</c:v>
                </c:pt>
              </c:strCache>
            </c:strRef>
          </c:tx>
          <c:spPr>
            <a:solidFill>
              <a:srgbClr val="006666"/>
            </a:solidFill>
            <a:ln>
              <a:noFill/>
            </a:ln>
            <a:effectLst>
              <a:softEdge rad="0"/>
            </a:effectLst>
          </c:spPr>
          <c:invertIfNegative val="0"/>
          <c:dLbls>
            <c:dLbl>
              <c:idx val="33"/>
              <c:layout>
                <c:manualLayout>
                  <c:x val="-2.2532672374943668E-3"/>
                  <c:y val="2.75576989321392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30-4E3A-B667-C4C957D5103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Sheet2!$B$4:$B$37</c:f>
              <c:strCache>
                <c:ptCount val="34"/>
                <c:pt idx="0">
                  <c:v>Grāmatveži</c:v>
                </c:pt>
                <c:pt idx="1">
                  <c:v>Kravas automašīnu vadītāji</c:v>
                </c:pt>
                <c:pt idx="2">
                  <c:v>Grāmatvedības lietveži</c:v>
                </c:pt>
                <c:pt idx="3">
                  <c:v>Būvniecības vadītāji</c:v>
                </c:pt>
                <c:pt idx="4">
                  <c:v>Pārdošanas vadītāji</c:v>
                </c:pt>
                <c:pt idx="5">
                  <c:v>Sistēmu analītiķi</c:v>
                </c:pt>
                <c:pt idx="6">
                  <c:v>Autobusu vadītāji</c:v>
                </c:pt>
                <c:pt idx="7">
                  <c:v>Iepirkumu speciālisti</c:v>
                </c:pt>
                <c:pt idx="8">
                  <c:v>Pētniecības un attīstības vadītāji</c:v>
                </c:pt>
                <c:pt idx="9">
                  <c:v>Tehniskie pārdošanas speciālisti</c:v>
                </c:pt>
                <c:pt idx="10">
                  <c:v>IT atbalsta speciālisti</c:v>
                </c:pt>
                <c:pt idx="11">
                  <c:v>Šefpavāri</c:v>
                </c:pt>
                <c:pt idx="12">
                  <c:v>Sociālā darba speciālisti</c:v>
                </c:pt>
                <c:pt idx="13">
                  <c:v>Apkopēji</c:v>
                </c:pt>
                <c:pt idx="14">
                  <c:v>Ražošanas plānotāji</c:v>
                </c:pt>
                <c:pt idx="15">
                  <c:v>Pavāri</c:v>
                </c:pt>
                <c:pt idx="16">
                  <c:v>Programmētāji</c:v>
                </c:pt>
                <c:pt idx="17">
                  <c:v>Gumijas izst. mašīnu operatori</c:v>
                </c:pt>
                <c:pt idx="18">
                  <c:v>Betonētāji</c:v>
                </c:pt>
                <c:pt idx="19">
                  <c:v>Pārdošanas pārstāvji</c:v>
                </c:pt>
                <c:pt idx="20">
                  <c:v>Krāsotāji</c:v>
                </c:pt>
                <c:pt idx="21">
                  <c:v>Viesmīļi</c:v>
                </c:pt>
                <c:pt idx="22">
                  <c:v>Autotransporta mehāniķi</c:v>
                </c:pt>
                <c:pt idx="23">
                  <c:v>Būvelektriķi</c:v>
                </c:pt>
                <c:pt idx="24">
                  <c:v>Metālapstrādes mašīnu operatori</c:v>
                </c:pt>
                <c:pt idx="25">
                  <c:v>Biroja administratori</c:v>
                </c:pt>
                <c:pt idx="26">
                  <c:v>Veikalu pārziņi</c:v>
                </c:pt>
                <c:pt idx="27">
                  <c:v>Sētnieki</c:v>
                </c:pt>
                <c:pt idx="28">
                  <c:v>Metinātāji</c:v>
                </c:pt>
                <c:pt idx="29">
                  <c:v>Ražošanas palīgstrādnieki</c:v>
                </c:pt>
                <c:pt idx="30">
                  <c:v>Vieglo auto vadītāji</c:v>
                </c:pt>
                <c:pt idx="31">
                  <c:v>Noliktavas darbinieki</c:v>
                </c:pt>
                <c:pt idx="32">
                  <c:v>Būvniecības palīgstrādnieki</c:v>
                </c:pt>
                <c:pt idx="33">
                  <c:v>Pārdevēji</c:v>
                </c:pt>
              </c:strCache>
            </c:strRef>
          </c:cat>
          <c:val>
            <c:numRef>
              <c:f>Sheet2!$I$4:$I$37</c:f>
              <c:numCache>
                <c:formatCode>General</c:formatCode>
                <c:ptCount val="34"/>
                <c:pt idx="0">
                  <c:v>60</c:v>
                </c:pt>
                <c:pt idx="1">
                  <c:v>51</c:v>
                </c:pt>
                <c:pt idx="2">
                  <c:v>51</c:v>
                </c:pt>
                <c:pt idx="3">
                  <c:v>47</c:v>
                </c:pt>
                <c:pt idx="4">
                  <c:v>44</c:v>
                </c:pt>
                <c:pt idx="5">
                  <c:v>40</c:v>
                </c:pt>
                <c:pt idx="6">
                  <c:v>37</c:v>
                </c:pt>
                <c:pt idx="7">
                  <c:v>36</c:v>
                </c:pt>
                <c:pt idx="8">
                  <c:v>33</c:v>
                </c:pt>
                <c:pt idx="9">
                  <c:v>27</c:v>
                </c:pt>
                <c:pt idx="10">
                  <c:v>26</c:v>
                </c:pt>
                <c:pt idx="11">
                  <c:v>26</c:v>
                </c:pt>
                <c:pt idx="12">
                  <c:v>23</c:v>
                </c:pt>
                <c:pt idx="13">
                  <c:v>20</c:v>
                </c:pt>
                <c:pt idx="14">
                  <c:v>19</c:v>
                </c:pt>
                <c:pt idx="15">
                  <c:v>19</c:v>
                </c:pt>
                <c:pt idx="16">
                  <c:v>18</c:v>
                </c:pt>
                <c:pt idx="17">
                  <c:v>-50</c:v>
                </c:pt>
                <c:pt idx="18">
                  <c:v>-51</c:v>
                </c:pt>
                <c:pt idx="19">
                  <c:v>-52</c:v>
                </c:pt>
                <c:pt idx="20">
                  <c:v>-54</c:v>
                </c:pt>
                <c:pt idx="21">
                  <c:v>-57</c:v>
                </c:pt>
                <c:pt idx="22">
                  <c:v>-57</c:v>
                </c:pt>
                <c:pt idx="23">
                  <c:v>-60</c:v>
                </c:pt>
                <c:pt idx="24">
                  <c:v>-61</c:v>
                </c:pt>
                <c:pt idx="25">
                  <c:v>-62</c:v>
                </c:pt>
                <c:pt idx="26">
                  <c:v>-73</c:v>
                </c:pt>
                <c:pt idx="27">
                  <c:v>-75</c:v>
                </c:pt>
                <c:pt idx="28">
                  <c:v>-76</c:v>
                </c:pt>
                <c:pt idx="29">
                  <c:v>-84</c:v>
                </c:pt>
                <c:pt idx="30">
                  <c:v>-89</c:v>
                </c:pt>
                <c:pt idx="31">
                  <c:v>-127</c:v>
                </c:pt>
                <c:pt idx="32">
                  <c:v>-132</c:v>
                </c:pt>
                <c:pt idx="33">
                  <c:v>-537</c:v>
                </c:pt>
              </c:numCache>
            </c:numRef>
          </c:val>
          <c:extLst>
            <c:ext xmlns:c16="http://schemas.microsoft.com/office/drawing/2014/chart" uri="{C3380CC4-5D6E-409C-BE32-E72D297353CC}">
              <c16:uniqueId val="{00000006-5FCA-43C4-8AE1-6F884B075FC1}"/>
            </c:ext>
          </c:extLst>
        </c:ser>
        <c:dLbls>
          <c:dLblPos val="outEnd"/>
          <c:showLegendKey val="0"/>
          <c:showVal val="1"/>
          <c:showCatName val="0"/>
          <c:showSerName val="0"/>
          <c:showPercent val="0"/>
          <c:showBubbleSize val="0"/>
        </c:dLbls>
        <c:gapWidth val="32"/>
        <c:overlap val="-27"/>
        <c:axId val="1077633536"/>
        <c:axId val="1077632096"/>
      </c:barChart>
      <c:catAx>
        <c:axId val="10776335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077632096"/>
        <c:crosses val="autoZero"/>
        <c:auto val="1"/>
        <c:lblAlgn val="ctr"/>
        <c:lblOffset val="100"/>
        <c:noMultiLvlLbl val="0"/>
      </c:catAx>
      <c:valAx>
        <c:axId val="10776320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077633536"/>
        <c:crosses val="autoZero"/>
        <c:crossBetween val="between"/>
        <c:majorUnit val="2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59894607992084"/>
          <c:y val="0"/>
          <c:w val="0.66735018100686705"/>
          <c:h val="0.88340668677808987"/>
        </c:manualLayout>
      </c:layout>
      <c:barChart>
        <c:barDir val="bar"/>
        <c:grouping val="stacked"/>
        <c:varyColors val="0"/>
        <c:ser>
          <c:idx val="0"/>
          <c:order val="0"/>
          <c:tx>
            <c:strRef>
              <c:f>Absolūtās!$B$5</c:f>
              <c:strCache>
                <c:ptCount val="1"/>
                <c:pt idx="0">
                  <c:v>Rīga</c:v>
                </c:pt>
              </c:strCache>
            </c:strRef>
          </c:tx>
          <c:spPr>
            <a:solidFill>
              <a:srgbClr val="277C16"/>
            </a:solidFill>
            <a:ln>
              <a:noFill/>
            </a:ln>
            <a:effectLst/>
          </c:spPr>
          <c:invertIfNegative val="0"/>
          <c:cat>
            <c:strRef>
              <c:f>Absolūtās!$A$6:$A$14</c:f>
              <c:strCache>
                <c:ptCount val="9"/>
                <c:pt idx="0">
                  <c:v> Vadītāji</c:v>
                </c:pt>
                <c:pt idx="1">
                  <c:v>Vecākie speciālisti</c:v>
                </c:pt>
                <c:pt idx="2">
                  <c:v>Speciālisti</c:v>
                </c:pt>
                <c:pt idx="3">
                  <c:v>Kalpotāji</c:v>
                </c:pt>
                <c:pt idx="4">
                  <c:v>Pakalpojumu/tirdzniecības darbinieki</c:v>
                </c:pt>
                <c:pt idx="5">
                  <c:v>Lauksaimniecības darbinieki</c:v>
                </c:pt>
                <c:pt idx="6">
                  <c:v>Kvalificēti strādnieki</c:v>
                </c:pt>
                <c:pt idx="7">
                  <c:v>Iekārtu un mašīnu operatori</c:v>
                </c:pt>
                <c:pt idx="8">
                  <c:v>Vienkāršās profesijas</c:v>
                </c:pt>
              </c:strCache>
            </c:strRef>
          </c:cat>
          <c:val>
            <c:numRef>
              <c:f>Absolūtās!$B$6:$B$14</c:f>
              <c:numCache>
                <c:formatCode>0.00</c:formatCode>
                <c:ptCount val="9"/>
                <c:pt idx="0">
                  <c:v>2.2610000000000001</c:v>
                </c:pt>
                <c:pt idx="1">
                  <c:v>5.2320000000000002</c:v>
                </c:pt>
                <c:pt idx="2">
                  <c:v>3.9740000000000002</c:v>
                </c:pt>
                <c:pt idx="3">
                  <c:v>1.4079999999999999</c:v>
                </c:pt>
                <c:pt idx="4">
                  <c:v>5.9029999999999996</c:v>
                </c:pt>
                <c:pt idx="5">
                  <c:v>3.6999999999999998E-2</c:v>
                </c:pt>
                <c:pt idx="6">
                  <c:v>3.4249999999999998</c:v>
                </c:pt>
                <c:pt idx="7">
                  <c:v>2.7370000000000001</c:v>
                </c:pt>
                <c:pt idx="8">
                  <c:v>5.2869999999999999</c:v>
                </c:pt>
              </c:numCache>
            </c:numRef>
          </c:val>
          <c:extLst>
            <c:ext xmlns:c16="http://schemas.microsoft.com/office/drawing/2014/chart" uri="{C3380CC4-5D6E-409C-BE32-E72D297353CC}">
              <c16:uniqueId val="{00000000-5757-424E-9F0C-D5DC7DF1732C}"/>
            </c:ext>
          </c:extLst>
        </c:ser>
        <c:ser>
          <c:idx val="1"/>
          <c:order val="1"/>
          <c:tx>
            <c:strRef>
              <c:f>Absolūtās!$C$5</c:f>
              <c:strCache>
                <c:ptCount val="1"/>
                <c:pt idx="0">
                  <c:v>Pierīga</c:v>
                </c:pt>
              </c:strCache>
            </c:strRef>
          </c:tx>
          <c:spPr>
            <a:solidFill>
              <a:schemeClr val="accent1">
                <a:lumMod val="75000"/>
              </a:schemeClr>
            </a:solidFill>
            <a:ln>
              <a:noFill/>
            </a:ln>
            <a:effectLst/>
          </c:spPr>
          <c:invertIfNegative val="0"/>
          <c:cat>
            <c:strRef>
              <c:f>Absolūtās!$A$6:$A$14</c:f>
              <c:strCache>
                <c:ptCount val="9"/>
                <c:pt idx="0">
                  <c:v> Vadītāji</c:v>
                </c:pt>
                <c:pt idx="1">
                  <c:v>Vecākie speciālisti</c:v>
                </c:pt>
                <c:pt idx="2">
                  <c:v>Speciālisti</c:v>
                </c:pt>
                <c:pt idx="3">
                  <c:v>Kalpotāji</c:v>
                </c:pt>
                <c:pt idx="4">
                  <c:v>Pakalpojumu/tirdzniecības darbinieki</c:v>
                </c:pt>
                <c:pt idx="5">
                  <c:v>Lauksaimniecības darbinieki</c:v>
                </c:pt>
                <c:pt idx="6">
                  <c:v>Kvalificēti strādnieki</c:v>
                </c:pt>
                <c:pt idx="7">
                  <c:v>Iekārtu un mašīnu operatori</c:v>
                </c:pt>
                <c:pt idx="8">
                  <c:v>Vienkāršās profesijas</c:v>
                </c:pt>
              </c:strCache>
            </c:strRef>
          </c:cat>
          <c:val>
            <c:numRef>
              <c:f>Absolūtās!$C$6:$C$14</c:f>
              <c:numCache>
                <c:formatCode>0.00</c:formatCode>
                <c:ptCount val="9"/>
                <c:pt idx="0">
                  <c:v>0.24199999999999999</c:v>
                </c:pt>
                <c:pt idx="1">
                  <c:v>0.59199999999999997</c:v>
                </c:pt>
                <c:pt idx="2">
                  <c:v>0.55300000000000005</c:v>
                </c:pt>
                <c:pt idx="3">
                  <c:v>0.154</c:v>
                </c:pt>
                <c:pt idx="4">
                  <c:v>1.0960000000000001</c:v>
                </c:pt>
                <c:pt idx="5">
                  <c:v>2.4E-2</c:v>
                </c:pt>
                <c:pt idx="6">
                  <c:v>0.58899999999999997</c:v>
                </c:pt>
                <c:pt idx="7">
                  <c:v>0.55600000000000005</c:v>
                </c:pt>
                <c:pt idx="8">
                  <c:v>1.1000000000000001</c:v>
                </c:pt>
              </c:numCache>
            </c:numRef>
          </c:val>
          <c:extLst>
            <c:ext xmlns:c16="http://schemas.microsoft.com/office/drawing/2014/chart" uri="{C3380CC4-5D6E-409C-BE32-E72D297353CC}">
              <c16:uniqueId val="{00000001-5757-424E-9F0C-D5DC7DF1732C}"/>
            </c:ext>
          </c:extLst>
        </c:ser>
        <c:ser>
          <c:idx val="2"/>
          <c:order val="2"/>
          <c:tx>
            <c:strRef>
              <c:f>Absolūtās!$D$5</c:f>
              <c:strCache>
                <c:ptCount val="1"/>
                <c:pt idx="0">
                  <c:v>Vidzeme</c:v>
                </c:pt>
              </c:strCache>
            </c:strRef>
          </c:tx>
          <c:spPr>
            <a:solidFill>
              <a:srgbClr val="CC9900"/>
            </a:solidFill>
            <a:ln>
              <a:noFill/>
            </a:ln>
            <a:effectLst/>
          </c:spPr>
          <c:invertIfNegative val="0"/>
          <c:cat>
            <c:strRef>
              <c:f>Absolūtās!$A$6:$A$14</c:f>
              <c:strCache>
                <c:ptCount val="9"/>
                <c:pt idx="0">
                  <c:v> Vadītāji</c:v>
                </c:pt>
                <c:pt idx="1">
                  <c:v>Vecākie speciālisti</c:v>
                </c:pt>
                <c:pt idx="2">
                  <c:v>Speciālisti</c:v>
                </c:pt>
                <c:pt idx="3">
                  <c:v>Kalpotāji</c:v>
                </c:pt>
                <c:pt idx="4">
                  <c:v>Pakalpojumu/tirdzniecības darbinieki</c:v>
                </c:pt>
                <c:pt idx="5">
                  <c:v>Lauksaimniecības darbinieki</c:v>
                </c:pt>
                <c:pt idx="6">
                  <c:v>Kvalificēti strādnieki</c:v>
                </c:pt>
                <c:pt idx="7">
                  <c:v>Iekārtu un mašīnu operatori</c:v>
                </c:pt>
                <c:pt idx="8">
                  <c:v>Vienkāršās profesijas</c:v>
                </c:pt>
              </c:strCache>
            </c:strRef>
          </c:cat>
          <c:val>
            <c:numRef>
              <c:f>Absolūtās!$D$6:$D$14</c:f>
              <c:numCache>
                <c:formatCode>0.00</c:formatCode>
                <c:ptCount val="9"/>
                <c:pt idx="0">
                  <c:v>7.3999999999999996E-2</c:v>
                </c:pt>
                <c:pt idx="1">
                  <c:v>0.188</c:v>
                </c:pt>
                <c:pt idx="2">
                  <c:v>0.19</c:v>
                </c:pt>
                <c:pt idx="3">
                  <c:v>4.5999999999999999E-2</c:v>
                </c:pt>
                <c:pt idx="4">
                  <c:v>0.316</c:v>
                </c:pt>
                <c:pt idx="5">
                  <c:v>2.5000000000000001E-2</c:v>
                </c:pt>
                <c:pt idx="6">
                  <c:v>0.30099999999999999</c:v>
                </c:pt>
                <c:pt idx="7">
                  <c:v>0.23200000000000001</c:v>
                </c:pt>
                <c:pt idx="8">
                  <c:v>0.27600000000000002</c:v>
                </c:pt>
              </c:numCache>
            </c:numRef>
          </c:val>
          <c:extLst>
            <c:ext xmlns:c16="http://schemas.microsoft.com/office/drawing/2014/chart" uri="{C3380CC4-5D6E-409C-BE32-E72D297353CC}">
              <c16:uniqueId val="{00000002-5757-424E-9F0C-D5DC7DF1732C}"/>
            </c:ext>
          </c:extLst>
        </c:ser>
        <c:ser>
          <c:idx val="3"/>
          <c:order val="3"/>
          <c:tx>
            <c:strRef>
              <c:f>Absolūtās!$E$5</c:f>
              <c:strCache>
                <c:ptCount val="1"/>
                <c:pt idx="0">
                  <c:v>Kurzeme</c:v>
                </c:pt>
              </c:strCache>
            </c:strRef>
          </c:tx>
          <c:spPr>
            <a:solidFill>
              <a:schemeClr val="accent4"/>
            </a:solidFill>
            <a:ln>
              <a:noFill/>
            </a:ln>
            <a:effectLst/>
          </c:spPr>
          <c:invertIfNegative val="0"/>
          <c:cat>
            <c:strRef>
              <c:f>Absolūtās!$A$6:$A$14</c:f>
              <c:strCache>
                <c:ptCount val="9"/>
                <c:pt idx="0">
                  <c:v> Vadītāji</c:v>
                </c:pt>
                <c:pt idx="1">
                  <c:v>Vecākie speciālisti</c:v>
                </c:pt>
                <c:pt idx="2">
                  <c:v>Speciālisti</c:v>
                </c:pt>
                <c:pt idx="3">
                  <c:v>Kalpotāji</c:v>
                </c:pt>
                <c:pt idx="4">
                  <c:v>Pakalpojumu/tirdzniecības darbinieki</c:v>
                </c:pt>
                <c:pt idx="5">
                  <c:v>Lauksaimniecības darbinieki</c:v>
                </c:pt>
                <c:pt idx="6">
                  <c:v>Kvalificēti strādnieki</c:v>
                </c:pt>
                <c:pt idx="7">
                  <c:v>Iekārtu un mašīnu operatori</c:v>
                </c:pt>
                <c:pt idx="8">
                  <c:v>Vienkāršās profesijas</c:v>
                </c:pt>
              </c:strCache>
            </c:strRef>
          </c:cat>
          <c:val>
            <c:numRef>
              <c:f>Absolūtās!$E$6:$E$14</c:f>
              <c:numCache>
                <c:formatCode>0.00</c:formatCode>
                <c:ptCount val="9"/>
                <c:pt idx="0">
                  <c:v>0.115</c:v>
                </c:pt>
                <c:pt idx="1">
                  <c:v>0.26</c:v>
                </c:pt>
                <c:pt idx="2">
                  <c:v>0.27800000000000002</c:v>
                </c:pt>
                <c:pt idx="3">
                  <c:v>7.0000000000000007E-2</c:v>
                </c:pt>
                <c:pt idx="4">
                  <c:v>0.42799999999999999</c:v>
                </c:pt>
                <c:pt idx="5">
                  <c:v>1.9E-2</c:v>
                </c:pt>
                <c:pt idx="6">
                  <c:v>0.33800000000000002</c:v>
                </c:pt>
                <c:pt idx="7">
                  <c:v>0.23400000000000001</c:v>
                </c:pt>
                <c:pt idx="8">
                  <c:v>0.311</c:v>
                </c:pt>
              </c:numCache>
            </c:numRef>
          </c:val>
          <c:extLst>
            <c:ext xmlns:c16="http://schemas.microsoft.com/office/drawing/2014/chart" uri="{C3380CC4-5D6E-409C-BE32-E72D297353CC}">
              <c16:uniqueId val="{00000003-5757-424E-9F0C-D5DC7DF1732C}"/>
            </c:ext>
          </c:extLst>
        </c:ser>
        <c:ser>
          <c:idx val="4"/>
          <c:order val="4"/>
          <c:tx>
            <c:strRef>
              <c:f>Absolūtās!$F$5</c:f>
              <c:strCache>
                <c:ptCount val="1"/>
                <c:pt idx="0">
                  <c:v>Zemgale</c:v>
                </c:pt>
              </c:strCache>
            </c:strRef>
          </c:tx>
          <c:spPr>
            <a:solidFill>
              <a:schemeClr val="accent5"/>
            </a:solidFill>
            <a:ln>
              <a:noFill/>
            </a:ln>
            <a:effectLst/>
          </c:spPr>
          <c:invertIfNegative val="0"/>
          <c:cat>
            <c:strRef>
              <c:f>Absolūtās!$A$6:$A$14</c:f>
              <c:strCache>
                <c:ptCount val="9"/>
                <c:pt idx="0">
                  <c:v> Vadītāji</c:v>
                </c:pt>
                <c:pt idx="1">
                  <c:v>Vecākie speciālisti</c:v>
                </c:pt>
                <c:pt idx="2">
                  <c:v>Speciālisti</c:v>
                </c:pt>
                <c:pt idx="3">
                  <c:v>Kalpotāji</c:v>
                </c:pt>
                <c:pt idx="4">
                  <c:v>Pakalpojumu/tirdzniecības darbinieki</c:v>
                </c:pt>
                <c:pt idx="5">
                  <c:v>Lauksaimniecības darbinieki</c:v>
                </c:pt>
                <c:pt idx="6">
                  <c:v>Kvalificēti strādnieki</c:v>
                </c:pt>
                <c:pt idx="7">
                  <c:v>Iekārtu un mašīnu operatori</c:v>
                </c:pt>
                <c:pt idx="8">
                  <c:v>Vienkāršās profesijas</c:v>
                </c:pt>
              </c:strCache>
            </c:strRef>
          </c:cat>
          <c:val>
            <c:numRef>
              <c:f>Absolūtās!$F$6:$F$14</c:f>
              <c:numCache>
                <c:formatCode>0.00</c:formatCode>
                <c:ptCount val="9"/>
                <c:pt idx="0">
                  <c:v>0.123</c:v>
                </c:pt>
                <c:pt idx="1">
                  <c:v>0.309</c:v>
                </c:pt>
                <c:pt idx="2">
                  <c:v>0.35099999999999998</c:v>
                </c:pt>
                <c:pt idx="3">
                  <c:v>0.09</c:v>
                </c:pt>
                <c:pt idx="4">
                  <c:v>0.57499999999999996</c:v>
                </c:pt>
                <c:pt idx="5">
                  <c:v>2.3E-2</c:v>
                </c:pt>
                <c:pt idx="6">
                  <c:v>0.65600000000000003</c:v>
                </c:pt>
                <c:pt idx="7">
                  <c:v>0.45</c:v>
                </c:pt>
                <c:pt idx="8">
                  <c:v>0.60699999999999998</c:v>
                </c:pt>
              </c:numCache>
            </c:numRef>
          </c:val>
          <c:extLst>
            <c:ext xmlns:c16="http://schemas.microsoft.com/office/drawing/2014/chart" uri="{C3380CC4-5D6E-409C-BE32-E72D297353CC}">
              <c16:uniqueId val="{00000004-5757-424E-9F0C-D5DC7DF1732C}"/>
            </c:ext>
          </c:extLst>
        </c:ser>
        <c:ser>
          <c:idx val="5"/>
          <c:order val="5"/>
          <c:tx>
            <c:strRef>
              <c:f>Absolūtās!$G$5</c:f>
              <c:strCache>
                <c:ptCount val="1"/>
                <c:pt idx="0">
                  <c:v>Latgale</c:v>
                </c:pt>
              </c:strCache>
            </c:strRef>
          </c:tx>
          <c:spPr>
            <a:solidFill>
              <a:srgbClr val="D24600"/>
            </a:solidFill>
            <a:ln>
              <a:noFill/>
            </a:ln>
            <a:effectLst/>
          </c:spPr>
          <c:invertIfNegative val="0"/>
          <c:cat>
            <c:strRef>
              <c:f>Absolūtās!$A$6:$A$14</c:f>
              <c:strCache>
                <c:ptCount val="9"/>
                <c:pt idx="0">
                  <c:v> Vadītāji</c:v>
                </c:pt>
                <c:pt idx="1">
                  <c:v>Vecākie speciālisti</c:v>
                </c:pt>
                <c:pt idx="2">
                  <c:v>Speciālisti</c:v>
                </c:pt>
                <c:pt idx="3">
                  <c:v>Kalpotāji</c:v>
                </c:pt>
                <c:pt idx="4">
                  <c:v>Pakalpojumu/tirdzniecības darbinieki</c:v>
                </c:pt>
                <c:pt idx="5">
                  <c:v>Lauksaimniecības darbinieki</c:v>
                </c:pt>
                <c:pt idx="6">
                  <c:v>Kvalificēti strādnieki</c:v>
                </c:pt>
                <c:pt idx="7">
                  <c:v>Iekārtu un mašīnu operatori</c:v>
                </c:pt>
                <c:pt idx="8">
                  <c:v>Vienkāršās profesijas</c:v>
                </c:pt>
              </c:strCache>
            </c:strRef>
          </c:cat>
          <c:val>
            <c:numRef>
              <c:f>Absolūtās!$G$6:$G$14</c:f>
              <c:numCache>
                <c:formatCode>0.00</c:formatCode>
                <c:ptCount val="9"/>
                <c:pt idx="0">
                  <c:v>5.8000000000000003E-2</c:v>
                </c:pt>
                <c:pt idx="1">
                  <c:v>0.25700000000000001</c:v>
                </c:pt>
                <c:pt idx="2">
                  <c:v>0.23100000000000001</c:v>
                </c:pt>
                <c:pt idx="3">
                  <c:v>7.9000000000000001E-2</c:v>
                </c:pt>
                <c:pt idx="4">
                  <c:v>0.31</c:v>
                </c:pt>
                <c:pt idx="5">
                  <c:v>1.4E-2</c:v>
                </c:pt>
                <c:pt idx="6">
                  <c:v>0.29799999999999999</c:v>
                </c:pt>
                <c:pt idx="7">
                  <c:v>0.3</c:v>
                </c:pt>
                <c:pt idx="8">
                  <c:v>0.216</c:v>
                </c:pt>
              </c:numCache>
            </c:numRef>
          </c:val>
          <c:extLst>
            <c:ext xmlns:c16="http://schemas.microsoft.com/office/drawing/2014/chart" uri="{C3380CC4-5D6E-409C-BE32-E72D297353CC}">
              <c16:uniqueId val="{00000005-5757-424E-9F0C-D5DC7DF1732C}"/>
            </c:ext>
          </c:extLst>
        </c:ser>
        <c:dLbls>
          <c:showLegendKey val="0"/>
          <c:showVal val="0"/>
          <c:showCatName val="0"/>
          <c:showSerName val="0"/>
          <c:showPercent val="0"/>
          <c:showBubbleSize val="0"/>
        </c:dLbls>
        <c:gapWidth val="29"/>
        <c:overlap val="100"/>
        <c:axId val="65721216"/>
        <c:axId val="65721696"/>
      </c:barChart>
      <c:catAx>
        <c:axId val="6572121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721696"/>
        <c:crosses val="autoZero"/>
        <c:auto val="1"/>
        <c:lblAlgn val="l"/>
        <c:lblOffset val="100"/>
        <c:noMultiLvlLbl val="0"/>
      </c:catAx>
      <c:valAx>
        <c:axId val="65721696"/>
        <c:scaling>
          <c:orientation val="minMax"/>
          <c:max val="9"/>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721216"/>
        <c:crosses val="autoZero"/>
        <c:crossBetween val="between"/>
      </c:valAx>
      <c:spPr>
        <a:noFill/>
        <a:ln>
          <a:noFill/>
        </a:ln>
        <a:effectLst/>
      </c:spPr>
    </c:plotArea>
    <c:legend>
      <c:legendPos val="r"/>
      <c:layout>
        <c:manualLayout>
          <c:xMode val="edge"/>
          <c:yMode val="edge"/>
          <c:x val="0.76629417739541117"/>
          <c:y val="0.11855707098653244"/>
          <c:w val="0.19372544253357527"/>
          <c:h val="0.2555626297962387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500342914688034E-2"/>
          <c:y val="4.8511576626240352E-2"/>
          <c:w val="0.92124386877219178"/>
          <c:h val="0.69434685603660073"/>
        </c:manualLayout>
      </c:layout>
      <c:barChart>
        <c:barDir val="col"/>
        <c:grouping val="clustered"/>
        <c:varyColors val="0"/>
        <c:ser>
          <c:idx val="0"/>
          <c:order val="0"/>
          <c:tx>
            <c:v>2010.gads</c:v>
          </c:tx>
          <c:spPr>
            <a:solidFill>
              <a:srgbClr val="ABC7D1"/>
            </a:solidFill>
            <a:ln>
              <a:noFill/>
            </a:ln>
            <a:effectLst/>
          </c:spPr>
          <c:invertIfNegative val="0"/>
          <c:cat>
            <c:strRef>
              <c:f>'konverģence IKP uz iedz.'!$B$74:$B$100</c:f>
              <c:strCache>
                <c:ptCount val="27"/>
                <c:pt idx="0">
                  <c:v>Luksemburga</c:v>
                </c:pt>
                <c:pt idx="1">
                  <c:v>Īrija</c:v>
                </c:pt>
                <c:pt idx="2">
                  <c:v>Nīderlande</c:v>
                </c:pt>
                <c:pt idx="3">
                  <c:v>Dānija</c:v>
                </c:pt>
                <c:pt idx="4">
                  <c:v>Austrija</c:v>
                </c:pt>
                <c:pt idx="5">
                  <c:v>Vācija</c:v>
                </c:pt>
                <c:pt idx="6">
                  <c:v>Beļģija</c:v>
                </c:pt>
                <c:pt idx="7">
                  <c:v>Zviedrija</c:v>
                </c:pt>
                <c:pt idx="8">
                  <c:v>Malta</c:v>
                </c:pt>
                <c:pt idx="9">
                  <c:v>Somija</c:v>
                </c:pt>
                <c:pt idx="10">
                  <c:v>Kipra</c:v>
                </c:pt>
                <c:pt idx="11">
                  <c:v>Francija</c:v>
                </c:pt>
                <c:pt idx="12">
                  <c:v>Itālija</c:v>
                </c:pt>
                <c:pt idx="13">
                  <c:v>Čehija</c:v>
                </c:pt>
                <c:pt idx="14">
                  <c:v>Spānija</c:v>
                </c:pt>
                <c:pt idx="15">
                  <c:v>Slovēnija</c:v>
                </c:pt>
                <c:pt idx="16">
                  <c:v>Lietuva</c:v>
                </c:pt>
                <c:pt idx="17">
                  <c:v>Polija</c:v>
                </c:pt>
                <c:pt idx="18">
                  <c:v>Portugāle</c:v>
                </c:pt>
                <c:pt idx="19">
                  <c:v>Igaunija</c:v>
                </c:pt>
                <c:pt idx="20">
                  <c:v>Rumānija</c:v>
                </c:pt>
                <c:pt idx="21">
                  <c:v>Horvātija</c:v>
                </c:pt>
                <c:pt idx="22">
                  <c:v>Ungārija</c:v>
                </c:pt>
                <c:pt idx="23">
                  <c:v>Slovākija</c:v>
                </c:pt>
                <c:pt idx="24">
                  <c:v>Latvija</c:v>
                </c:pt>
                <c:pt idx="25">
                  <c:v>Grieķija</c:v>
                </c:pt>
                <c:pt idx="26">
                  <c:v>Bulgārija</c:v>
                </c:pt>
              </c:strCache>
            </c:strRef>
          </c:cat>
          <c:val>
            <c:numRef>
              <c:f>'konverģence IKP uz iedz.'!$C$74:$C$100</c:f>
              <c:numCache>
                <c:formatCode>0.00</c:formatCode>
                <c:ptCount val="27"/>
                <c:pt idx="0">
                  <c:v>2.7221369908866673</c:v>
                </c:pt>
                <c:pt idx="1">
                  <c:v>1.3022542249283726</c:v>
                </c:pt>
                <c:pt idx="2">
                  <c:v>1.3666891146080311</c:v>
                </c:pt>
                <c:pt idx="3">
                  <c:v>1.2984407314575357</c:v>
                </c:pt>
                <c:pt idx="4">
                  <c:v>1.2594331164251189</c:v>
                </c:pt>
                <c:pt idx="5">
                  <c:v>1.2203776832927544</c:v>
                </c:pt>
                <c:pt idx="6">
                  <c:v>1.2018999725045925</c:v>
                </c:pt>
                <c:pt idx="7">
                  <c:v>1.2657451056182283</c:v>
                </c:pt>
                <c:pt idx="8">
                  <c:v>0.87201087064805483</c:v>
                </c:pt>
                <c:pt idx="9">
                  <c:v>1.1749225944507096</c:v>
                </c:pt>
                <c:pt idx="10">
                  <c:v>1.0106953150216578</c:v>
                </c:pt>
                <c:pt idx="11">
                  <c:v>1.0879135767540278</c:v>
                </c:pt>
                <c:pt idx="12">
                  <c:v>1.0551023905065133</c:v>
                </c:pt>
                <c:pt idx="13">
                  <c:v>0.84589023355156989</c:v>
                </c:pt>
                <c:pt idx="14">
                  <c:v>0.9597849779439015</c:v>
                </c:pt>
                <c:pt idx="15">
                  <c:v>0.83192336352515039</c:v>
                </c:pt>
                <c:pt idx="16">
                  <c:v>0.59810082446373991</c:v>
                </c:pt>
                <c:pt idx="17">
                  <c:v>0.6332630672920212</c:v>
                </c:pt>
                <c:pt idx="18">
                  <c:v>0.82334798426784517</c:v>
                </c:pt>
                <c:pt idx="19">
                  <c:v>0.65117094572247181</c:v>
                </c:pt>
                <c:pt idx="20">
                  <c:v>0.52356037632844654</c:v>
                </c:pt>
                <c:pt idx="21">
                  <c:v>0.60743332363688529</c:v>
                </c:pt>
                <c:pt idx="22">
                  <c:v>0.65437475841897419</c:v>
                </c:pt>
                <c:pt idx="23">
                  <c:v>0.76028388012002357</c:v>
                </c:pt>
                <c:pt idx="24">
                  <c:v>0.52322564962881202</c:v>
                </c:pt>
                <c:pt idx="25">
                  <c:v>0.83983725906651097</c:v>
                </c:pt>
                <c:pt idx="26">
                  <c:v>0.44283545393323798</c:v>
                </c:pt>
              </c:numCache>
            </c:numRef>
          </c:val>
          <c:extLst>
            <c:ext xmlns:c16="http://schemas.microsoft.com/office/drawing/2014/chart" uri="{C3380CC4-5D6E-409C-BE32-E72D297353CC}">
              <c16:uniqueId val="{00000000-85B6-4F47-BA6C-305B3FD85707}"/>
            </c:ext>
          </c:extLst>
        </c:ser>
        <c:ser>
          <c:idx val="1"/>
          <c:order val="1"/>
          <c:tx>
            <c:v>2015.gads</c:v>
          </c:tx>
          <c:spPr>
            <a:solidFill>
              <a:schemeClr val="accent5"/>
            </a:solidFill>
            <a:ln>
              <a:noFill/>
            </a:ln>
            <a:effectLst/>
          </c:spPr>
          <c:invertIfNegative val="0"/>
          <c:cat>
            <c:strRef>
              <c:f>'konverģence IKP uz iedz.'!$B$74:$B$100</c:f>
              <c:strCache>
                <c:ptCount val="27"/>
                <c:pt idx="0">
                  <c:v>Luksemburga</c:v>
                </c:pt>
                <c:pt idx="1">
                  <c:v>Īrija</c:v>
                </c:pt>
                <c:pt idx="2">
                  <c:v>Nīderlande</c:v>
                </c:pt>
                <c:pt idx="3">
                  <c:v>Dānija</c:v>
                </c:pt>
                <c:pt idx="4">
                  <c:v>Austrija</c:v>
                </c:pt>
                <c:pt idx="5">
                  <c:v>Vācija</c:v>
                </c:pt>
                <c:pt idx="6">
                  <c:v>Beļģija</c:v>
                </c:pt>
                <c:pt idx="7">
                  <c:v>Zviedrija</c:v>
                </c:pt>
                <c:pt idx="8">
                  <c:v>Malta</c:v>
                </c:pt>
                <c:pt idx="9">
                  <c:v>Somija</c:v>
                </c:pt>
                <c:pt idx="10">
                  <c:v>Kipra</c:v>
                </c:pt>
                <c:pt idx="11">
                  <c:v>Francija</c:v>
                </c:pt>
                <c:pt idx="12">
                  <c:v>Itālija</c:v>
                </c:pt>
                <c:pt idx="13">
                  <c:v>Čehija</c:v>
                </c:pt>
                <c:pt idx="14">
                  <c:v>Spānija</c:v>
                </c:pt>
                <c:pt idx="15">
                  <c:v>Slovēnija</c:v>
                </c:pt>
                <c:pt idx="16">
                  <c:v>Lietuva</c:v>
                </c:pt>
                <c:pt idx="17">
                  <c:v>Polija</c:v>
                </c:pt>
                <c:pt idx="18">
                  <c:v>Portugāle</c:v>
                </c:pt>
                <c:pt idx="19">
                  <c:v>Igaunija</c:v>
                </c:pt>
                <c:pt idx="20">
                  <c:v>Rumānija</c:v>
                </c:pt>
                <c:pt idx="21">
                  <c:v>Horvātija</c:v>
                </c:pt>
                <c:pt idx="22">
                  <c:v>Ungārija</c:v>
                </c:pt>
                <c:pt idx="23">
                  <c:v>Slovākija</c:v>
                </c:pt>
                <c:pt idx="24">
                  <c:v>Latvija</c:v>
                </c:pt>
                <c:pt idx="25">
                  <c:v>Grieķija</c:v>
                </c:pt>
                <c:pt idx="26">
                  <c:v>Bulgārija</c:v>
                </c:pt>
              </c:strCache>
            </c:strRef>
          </c:cat>
          <c:val>
            <c:numRef>
              <c:f>'konverģence IKP uz iedz.'!$D$74:$D$100</c:f>
              <c:numCache>
                <c:formatCode>0.00</c:formatCode>
                <c:ptCount val="27"/>
                <c:pt idx="0">
                  <c:v>2.790993337458449</c:v>
                </c:pt>
                <c:pt idx="1">
                  <c:v>1.8524347776034995</c:v>
                </c:pt>
                <c:pt idx="2">
                  <c:v>1.3180859942728043</c:v>
                </c:pt>
                <c:pt idx="3">
                  <c:v>1.2650554732131294</c:v>
                </c:pt>
                <c:pt idx="4">
                  <c:v>1.2836508713107795</c:v>
                </c:pt>
                <c:pt idx="5">
                  <c:v>1.2615479256903572</c:v>
                </c:pt>
                <c:pt idx="6">
                  <c:v>1.191738736275596</c:v>
                </c:pt>
                <c:pt idx="7">
                  <c:v>1.2613500640352264</c:v>
                </c:pt>
                <c:pt idx="8">
                  <c:v>0.99208193631013186</c:v>
                </c:pt>
                <c:pt idx="9">
                  <c:v>1.0928906508569207</c:v>
                </c:pt>
                <c:pt idx="10">
                  <c:v>0.81171844646223357</c:v>
                </c:pt>
                <c:pt idx="11">
                  <c:v>1.0618335659706732</c:v>
                </c:pt>
                <c:pt idx="12">
                  <c:v>0.96701826083202624</c:v>
                </c:pt>
                <c:pt idx="13">
                  <c:v>0.88511432806181922</c:v>
                </c:pt>
                <c:pt idx="14">
                  <c:v>0.91200192825176629</c:v>
                </c:pt>
                <c:pt idx="15">
                  <c:v>0.81066438346308267</c:v>
                </c:pt>
                <c:pt idx="16">
                  <c:v>0.74616508137510251</c:v>
                </c:pt>
                <c:pt idx="17">
                  <c:v>0.69818902623285795</c:v>
                </c:pt>
                <c:pt idx="18">
                  <c:v>0.76411652972241806</c:v>
                </c:pt>
                <c:pt idx="19">
                  <c:v>0.7698113479055444</c:v>
                </c:pt>
                <c:pt idx="20">
                  <c:v>0.55917502482264403</c:v>
                </c:pt>
                <c:pt idx="21">
                  <c:v>0.61461945807491403</c:v>
                </c:pt>
                <c:pt idx="22">
                  <c:v>0.69680039716230402</c:v>
                </c:pt>
                <c:pt idx="23">
                  <c:v>0.78004619170276135</c:v>
                </c:pt>
                <c:pt idx="24">
                  <c:v>0.62427510684529375</c:v>
                </c:pt>
                <c:pt idx="25">
                  <c:v>0.68825996862993399</c:v>
                </c:pt>
                <c:pt idx="26">
                  <c:v>0.48878664038104552</c:v>
                </c:pt>
              </c:numCache>
            </c:numRef>
          </c:val>
          <c:extLst>
            <c:ext xmlns:c16="http://schemas.microsoft.com/office/drawing/2014/chart" uri="{C3380CC4-5D6E-409C-BE32-E72D297353CC}">
              <c16:uniqueId val="{00000001-85B6-4F47-BA6C-305B3FD85707}"/>
            </c:ext>
          </c:extLst>
        </c:ser>
        <c:ser>
          <c:idx val="2"/>
          <c:order val="2"/>
          <c:tx>
            <c:v>2025.gads</c:v>
          </c:tx>
          <c:spPr>
            <a:solidFill>
              <a:srgbClr val="0E5A69"/>
            </a:solidFill>
            <a:ln>
              <a:noFill/>
            </a:ln>
            <a:effectLst/>
          </c:spPr>
          <c:invertIfNegative val="0"/>
          <c:cat>
            <c:strRef>
              <c:f>'konverģence IKP uz iedz.'!$B$74:$B$100</c:f>
              <c:strCache>
                <c:ptCount val="27"/>
                <c:pt idx="0">
                  <c:v>Luksemburga</c:v>
                </c:pt>
                <c:pt idx="1">
                  <c:v>Īrija</c:v>
                </c:pt>
                <c:pt idx="2">
                  <c:v>Nīderlande</c:v>
                </c:pt>
                <c:pt idx="3">
                  <c:v>Dānija</c:v>
                </c:pt>
                <c:pt idx="4">
                  <c:v>Austrija</c:v>
                </c:pt>
                <c:pt idx="5">
                  <c:v>Vācija</c:v>
                </c:pt>
                <c:pt idx="6">
                  <c:v>Beļģija</c:v>
                </c:pt>
                <c:pt idx="7">
                  <c:v>Zviedrija</c:v>
                </c:pt>
                <c:pt idx="8">
                  <c:v>Malta</c:v>
                </c:pt>
                <c:pt idx="9">
                  <c:v>Somija</c:v>
                </c:pt>
                <c:pt idx="10">
                  <c:v>Kipra</c:v>
                </c:pt>
                <c:pt idx="11">
                  <c:v>Francija</c:v>
                </c:pt>
                <c:pt idx="12">
                  <c:v>Itālija</c:v>
                </c:pt>
                <c:pt idx="13">
                  <c:v>Čehija</c:v>
                </c:pt>
                <c:pt idx="14">
                  <c:v>Spānija</c:v>
                </c:pt>
                <c:pt idx="15">
                  <c:v>Slovēnija</c:v>
                </c:pt>
                <c:pt idx="16">
                  <c:v>Lietuva</c:v>
                </c:pt>
                <c:pt idx="17">
                  <c:v>Polija</c:v>
                </c:pt>
                <c:pt idx="18">
                  <c:v>Portugāle</c:v>
                </c:pt>
                <c:pt idx="19">
                  <c:v>Igaunija</c:v>
                </c:pt>
                <c:pt idx="20">
                  <c:v>Rumānija</c:v>
                </c:pt>
                <c:pt idx="21">
                  <c:v>Horvātija</c:v>
                </c:pt>
                <c:pt idx="22">
                  <c:v>Ungārija</c:v>
                </c:pt>
                <c:pt idx="23">
                  <c:v>Slovākija</c:v>
                </c:pt>
                <c:pt idx="24">
                  <c:v>Latvija</c:v>
                </c:pt>
                <c:pt idx="25">
                  <c:v>Grieķija</c:v>
                </c:pt>
                <c:pt idx="26">
                  <c:v>Bulgārija</c:v>
                </c:pt>
              </c:strCache>
            </c:strRef>
          </c:cat>
          <c:val>
            <c:numRef>
              <c:f>'konverģence IKP uz iedz.'!$E$74:$E$100</c:f>
              <c:numCache>
                <c:formatCode>0.00</c:formatCode>
                <c:ptCount val="27"/>
                <c:pt idx="0">
                  <c:v>2.3868624888282381</c:v>
                </c:pt>
                <c:pt idx="1">
                  <c:v>2.3732881978146589</c:v>
                </c:pt>
                <c:pt idx="2">
                  <c:v>1.3365535235495929</c:v>
                </c:pt>
                <c:pt idx="3">
                  <c:v>1.2714569899189865</c:v>
                </c:pt>
                <c:pt idx="4">
                  <c:v>1.1744140230835023</c:v>
                </c:pt>
                <c:pt idx="5">
                  <c:v>1.1513617536542471</c:v>
                </c:pt>
                <c:pt idx="6">
                  <c:v>1.1469266844133503</c:v>
                </c:pt>
                <c:pt idx="7">
                  <c:v>1.0997962655083271</c:v>
                </c:pt>
                <c:pt idx="8">
                  <c:v>1.0966921975455759</c:v>
                </c:pt>
                <c:pt idx="9">
                  <c:v>1.0098912134695406</c:v>
                </c:pt>
                <c:pt idx="10">
                  <c:v>0.98202187262750218</c:v>
                </c:pt>
                <c:pt idx="11">
                  <c:v>0.97789432714762092</c:v>
                </c:pt>
                <c:pt idx="12">
                  <c:v>0.95902726390343751</c:v>
                </c:pt>
                <c:pt idx="13">
                  <c:v>0.92384222109036396</c:v>
                </c:pt>
                <c:pt idx="14">
                  <c:v>0.9171487742295088</c:v>
                </c:pt>
                <c:pt idx="15">
                  <c:v>0.90583766589465387</c:v>
                </c:pt>
                <c:pt idx="16">
                  <c:v>0.87913114927395564</c:v>
                </c:pt>
                <c:pt idx="17">
                  <c:v>0.81316009494796115</c:v>
                </c:pt>
                <c:pt idx="18">
                  <c:v>0.81287899901015792</c:v>
                </c:pt>
                <c:pt idx="19">
                  <c:v>0.79143882679685174</c:v>
                </c:pt>
                <c:pt idx="20">
                  <c:v>0.78169176509028704</c:v>
                </c:pt>
                <c:pt idx="21">
                  <c:v>0.77959916199775114</c:v>
                </c:pt>
                <c:pt idx="22">
                  <c:v>0.76170272062427324</c:v>
                </c:pt>
                <c:pt idx="23">
                  <c:v>0.7473716328550698</c:v>
                </c:pt>
                <c:pt idx="24">
                  <c:v>0.70941887619285582</c:v>
                </c:pt>
                <c:pt idx="25">
                  <c:v>0.68414907214315224</c:v>
                </c:pt>
                <c:pt idx="26">
                  <c:v>0.68091286506433968</c:v>
                </c:pt>
              </c:numCache>
            </c:numRef>
          </c:val>
          <c:extLst>
            <c:ext xmlns:c16="http://schemas.microsoft.com/office/drawing/2014/chart" uri="{C3380CC4-5D6E-409C-BE32-E72D297353CC}">
              <c16:uniqueId val="{00000002-85B6-4F47-BA6C-305B3FD85707}"/>
            </c:ext>
          </c:extLst>
        </c:ser>
        <c:dLbls>
          <c:showLegendKey val="0"/>
          <c:showVal val="0"/>
          <c:showCatName val="0"/>
          <c:showSerName val="0"/>
          <c:showPercent val="0"/>
          <c:showBubbleSize val="0"/>
        </c:dLbls>
        <c:gapWidth val="40"/>
        <c:axId val="587914696"/>
        <c:axId val="587915024"/>
      </c:barChart>
      <c:lineChart>
        <c:grouping val="standard"/>
        <c:varyColors val="0"/>
        <c:ser>
          <c:idx val="3"/>
          <c:order val="3"/>
          <c:tx>
            <c:strRef>
              <c:f>'konverģence IKP uz iedz.'!$F$73</c:f>
              <c:strCache>
                <c:ptCount val="1"/>
                <c:pt idx="0">
                  <c:v>2025.gads, ES vidēji</c:v>
                </c:pt>
              </c:strCache>
            </c:strRef>
          </c:tx>
          <c:spPr>
            <a:ln w="19050" cap="rnd">
              <a:solidFill>
                <a:srgbClr val="003E4C"/>
              </a:solidFill>
              <a:prstDash val="solid"/>
              <a:round/>
            </a:ln>
            <a:effectLst/>
          </c:spPr>
          <c:marker>
            <c:symbol val="none"/>
          </c:marker>
          <c:cat>
            <c:strRef>
              <c:f>'konverģence IKP uz iedz.'!$B$74:$B$100</c:f>
              <c:strCache>
                <c:ptCount val="27"/>
                <c:pt idx="0">
                  <c:v>Luksemburga</c:v>
                </c:pt>
                <c:pt idx="1">
                  <c:v>Īrija</c:v>
                </c:pt>
                <c:pt idx="2">
                  <c:v>Nīderlande</c:v>
                </c:pt>
                <c:pt idx="3">
                  <c:v>Dānija</c:v>
                </c:pt>
                <c:pt idx="4">
                  <c:v>Austrija</c:v>
                </c:pt>
                <c:pt idx="5">
                  <c:v>Vācija</c:v>
                </c:pt>
                <c:pt idx="6">
                  <c:v>Beļģija</c:v>
                </c:pt>
                <c:pt idx="7">
                  <c:v>Zviedrija</c:v>
                </c:pt>
                <c:pt idx="8">
                  <c:v>Malta</c:v>
                </c:pt>
                <c:pt idx="9">
                  <c:v>Somija</c:v>
                </c:pt>
                <c:pt idx="10">
                  <c:v>Kipra</c:v>
                </c:pt>
                <c:pt idx="11">
                  <c:v>Francija</c:v>
                </c:pt>
                <c:pt idx="12">
                  <c:v>Itālija</c:v>
                </c:pt>
                <c:pt idx="13">
                  <c:v>Čehija</c:v>
                </c:pt>
                <c:pt idx="14">
                  <c:v>Spānija</c:v>
                </c:pt>
                <c:pt idx="15">
                  <c:v>Slovēnija</c:v>
                </c:pt>
                <c:pt idx="16">
                  <c:v>Lietuva</c:v>
                </c:pt>
                <c:pt idx="17">
                  <c:v>Polija</c:v>
                </c:pt>
                <c:pt idx="18">
                  <c:v>Portugāle</c:v>
                </c:pt>
                <c:pt idx="19">
                  <c:v>Igaunija</c:v>
                </c:pt>
                <c:pt idx="20">
                  <c:v>Rumānija</c:v>
                </c:pt>
                <c:pt idx="21">
                  <c:v>Horvātija</c:v>
                </c:pt>
                <c:pt idx="22">
                  <c:v>Ungārija</c:v>
                </c:pt>
                <c:pt idx="23">
                  <c:v>Slovākija</c:v>
                </c:pt>
                <c:pt idx="24">
                  <c:v>Latvija</c:v>
                </c:pt>
                <c:pt idx="25">
                  <c:v>Grieķija</c:v>
                </c:pt>
                <c:pt idx="26">
                  <c:v>Bulgārija</c:v>
                </c:pt>
              </c:strCache>
            </c:strRef>
          </c:cat>
          <c:val>
            <c:numRef>
              <c:f>'konverģence IKP uz iedz.'!$F$74:$F$100</c:f>
              <c:numCache>
                <c:formatCode>General</c:formatCode>
                <c:ptCount val="27"/>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numCache>
            </c:numRef>
          </c:val>
          <c:smooth val="0"/>
          <c:extLst>
            <c:ext xmlns:c16="http://schemas.microsoft.com/office/drawing/2014/chart" uri="{C3380CC4-5D6E-409C-BE32-E72D297353CC}">
              <c16:uniqueId val="{00000003-85B6-4F47-BA6C-305B3FD85707}"/>
            </c:ext>
          </c:extLst>
        </c:ser>
        <c:dLbls>
          <c:showLegendKey val="0"/>
          <c:showVal val="0"/>
          <c:showCatName val="0"/>
          <c:showSerName val="0"/>
          <c:showPercent val="0"/>
          <c:showBubbleSize val="0"/>
        </c:dLbls>
        <c:marker val="1"/>
        <c:smooth val="0"/>
        <c:axId val="587914696"/>
        <c:axId val="587915024"/>
      </c:lineChart>
      <c:catAx>
        <c:axId val="587914696"/>
        <c:scaling>
          <c:orientation val="minMax"/>
        </c:scaling>
        <c:delete val="0"/>
        <c:axPos val="b"/>
        <c:numFmt formatCode="General" sourceLinked="1"/>
        <c:majorTickMark val="out"/>
        <c:minorTickMark val="none"/>
        <c:tickLblPos val="nextTo"/>
        <c:spPr>
          <a:noFill/>
          <a:ln w="6350"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587915024"/>
        <c:crosses val="autoZero"/>
        <c:auto val="1"/>
        <c:lblAlgn val="ctr"/>
        <c:lblOffset val="100"/>
        <c:noMultiLvlLbl val="0"/>
      </c:catAx>
      <c:valAx>
        <c:axId val="587915024"/>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587914696"/>
        <c:crosses val="autoZero"/>
        <c:crossBetween val="between"/>
      </c:valAx>
      <c:spPr>
        <a:noFill/>
        <a:ln>
          <a:noFill/>
        </a:ln>
        <a:effectLst/>
      </c:spPr>
    </c:plotArea>
    <c:legend>
      <c:legendPos val="r"/>
      <c:layout>
        <c:manualLayout>
          <c:xMode val="edge"/>
          <c:yMode val="edge"/>
          <c:x val="0.59543498077073331"/>
          <c:y val="7.6286450963199609E-2"/>
          <c:w val="0.21051871272430528"/>
          <c:h val="0.2917486912812855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6.6132188021951796E-2"/>
          <c:y val="4.2520726805510944E-2"/>
          <c:w val="0.72302806691611166"/>
          <c:h val="0.87181445012699077"/>
        </c:manualLayout>
      </c:layout>
      <c:barChart>
        <c:barDir val="col"/>
        <c:grouping val="stacked"/>
        <c:varyColors val="0"/>
        <c:ser>
          <c:idx val="4"/>
          <c:order val="0"/>
          <c:tx>
            <c:strRef>
              <c:f>Sheet1!$A$2</c:f>
              <c:strCache>
                <c:ptCount val="1"/>
                <c:pt idx="0">
                  <c:v>0-14</c:v>
                </c:pt>
              </c:strCache>
            </c:strRef>
          </c:tx>
          <c:spPr>
            <a:solidFill>
              <a:schemeClr val="accent5">
                <a:tint val="54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Segoe UI Light" panose="020B05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Sheet1!$B$1:$K$1</c:f>
              <c:strCache>
                <c:ptCount val="10"/>
                <c:pt idx="0">
                  <c:v>2000</c:v>
                </c:pt>
                <c:pt idx="1">
                  <c:v>2011</c:v>
                </c:pt>
                <c:pt idx="2">
                  <c:v>2019</c:v>
                </c:pt>
                <c:pt idx="3">
                  <c:v>2020</c:v>
                </c:pt>
                <c:pt idx="4">
                  <c:v>2021</c:v>
                </c:pt>
                <c:pt idx="5">
                  <c:v>2022</c:v>
                </c:pt>
                <c:pt idx="6">
                  <c:v>2023</c:v>
                </c:pt>
                <c:pt idx="7">
                  <c:v>2024</c:v>
                </c:pt>
                <c:pt idx="8">
                  <c:v>2025</c:v>
                </c:pt>
                <c:pt idx="9">
                  <c:v>2026</c:v>
                </c:pt>
              </c:strCache>
            </c:strRef>
          </c:cat>
          <c:val>
            <c:numRef>
              <c:f>Sheet1!$B$2:$K$2</c:f>
              <c:numCache>
                <c:formatCode>0.0</c:formatCode>
                <c:ptCount val="10"/>
                <c:pt idx="0">
                  <c:v>430.22399999999999</c:v>
                </c:pt>
                <c:pt idx="1">
                  <c:v>294.14999999999998</c:v>
                </c:pt>
                <c:pt idx="2">
                  <c:v>305.08</c:v>
                </c:pt>
                <c:pt idx="3">
                  <c:v>305.18799999999999</c:v>
                </c:pt>
                <c:pt idx="4">
                  <c:v>302.97800000000001</c:v>
                </c:pt>
                <c:pt idx="5">
                  <c:v>299.99200000000002</c:v>
                </c:pt>
                <c:pt idx="6">
                  <c:v>300.47699999999998</c:v>
                </c:pt>
                <c:pt idx="7">
                  <c:v>289.08800000000002</c:v>
                </c:pt>
                <c:pt idx="8">
                  <c:v>280.87799999999999</c:v>
                </c:pt>
                <c:pt idx="9">
                  <c:v>273.96300000000002</c:v>
                </c:pt>
              </c:numCache>
            </c:numRef>
          </c:val>
          <c:extLst>
            <c:ext xmlns:c16="http://schemas.microsoft.com/office/drawing/2014/chart" uri="{C3380CC4-5D6E-409C-BE32-E72D297353CC}">
              <c16:uniqueId val="{00000000-C0F7-488B-8895-D769FE26A89D}"/>
            </c:ext>
          </c:extLst>
        </c:ser>
        <c:ser>
          <c:idx val="2"/>
          <c:order val="1"/>
          <c:tx>
            <c:strRef>
              <c:f>Sheet1!$A$3</c:f>
              <c:strCache>
                <c:ptCount val="1"/>
                <c:pt idx="0">
                  <c:v>15-64</c:v>
                </c:pt>
              </c:strCache>
            </c:strRef>
          </c:tx>
          <c:spPr>
            <a:solidFill>
              <a:srgbClr val="006666"/>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Segoe UI Light" panose="020B05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Sheet1!$B$1:$K$1</c:f>
              <c:strCache>
                <c:ptCount val="10"/>
                <c:pt idx="0">
                  <c:v>2000</c:v>
                </c:pt>
                <c:pt idx="1">
                  <c:v>2011</c:v>
                </c:pt>
                <c:pt idx="2">
                  <c:v>2019</c:v>
                </c:pt>
                <c:pt idx="3">
                  <c:v>2020</c:v>
                </c:pt>
                <c:pt idx="4">
                  <c:v>2021</c:v>
                </c:pt>
                <c:pt idx="5">
                  <c:v>2022</c:v>
                </c:pt>
                <c:pt idx="6">
                  <c:v>2023</c:v>
                </c:pt>
                <c:pt idx="7">
                  <c:v>2024</c:v>
                </c:pt>
                <c:pt idx="8">
                  <c:v>2025</c:v>
                </c:pt>
                <c:pt idx="9">
                  <c:v>2026</c:v>
                </c:pt>
              </c:strCache>
            </c:strRef>
          </c:cat>
          <c:val>
            <c:numRef>
              <c:f>Sheet1!$B$3:$K$3</c:f>
              <c:numCache>
                <c:formatCode>0.0</c:formatCode>
                <c:ptCount val="10"/>
                <c:pt idx="0">
                  <c:v>1594.807</c:v>
                </c:pt>
                <c:pt idx="1">
                  <c:v>1395.7650000000001</c:v>
                </c:pt>
                <c:pt idx="2">
                  <c:v>1225.9090000000001</c:v>
                </c:pt>
                <c:pt idx="3">
                  <c:v>1211.0740000000001</c:v>
                </c:pt>
                <c:pt idx="4">
                  <c:v>1196.547</c:v>
                </c:pt>
                <c:pt idx="5">
                  <c:v>1184.1420000000001</c:v>
                </c:pt>
                <c:pt idx="6">
                  <c:v>1187.6130000000001</c:v>
                </c:pt>
                <c:pt idx="7">
                  <c:v>1187.3979999999999</c:v>
                </c:pt>
                <c:pt idx="8">
                  <c:v>1172.8599999999999</c:v>
                </c:pt>
                <c:pt idx="9">
                  <c:v>1158.1659999999999</c:v>
                </c:pt>
              </c:numCache>
            </c:numRef>
          </c:val>
          <c:extLst>
            <c:ext xmlns:c16="http://schemas.microsoft.com/office/drawing/2014/chart" uri="{C3380CC4-5D6E-409C-BE32-E72D297353CC}">
              <c16:uniqueId val="{00000001-C0F7-488B-8895-D769FE26A89D}"/>
            </c:ext>
          </c:extLst>
        </c:ser>
        <c:ser>
          <c:idx val="1"/>
          <c:order val="2"/>
          <c:tx>
            <c:strRef>
              <c:f>Sheet1!$A$4</c:f>
              <c:strCache>
                <c:ptCount val="1"/>
                <c:pt idx="0">
                  <c:v>65+</c:v>
                </c:pt>
              </c:strCache>
            </c:strRef>
          </c:tx>
          <c:spPr>
            <a:solidFill>
              <a:schemeClr val="accent5">
                <a:shade val="76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Segoe UI Light" panose="020B05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Sheet1!$B$1:$K$1</c:f>
              <c:strCache>
                <c:ptCount val="10"/>
                <c:pt idx="0">
                  <c:v>2000</c:v>
                </c:pt>
                <c:pt idx="1">
                  <c:v>2011</c:v>
                </c:pt>
                <c:pt idx="2">
                  <c:v>2019</c:v>
                </c:pt>
                <c:pt idx="3">
                  <c:v>2020</c:v>
                </c:pt>
                <c:pt idx="4">
                  <c:v>2021</c:v>
                </c:pt>
                <c:pt idx="5">
                  <c:v>2022</c:v>
                </c:pt>
                <c:pt idx="6">
                  <c:v>2023</c:v>
                </c:pt>
                <c:pt idx="7">
                  <c:v>2024</c:v>
                </c:pt>
                <c:pt idx="8">
                  <c:v>2025</c:v>
                </c:pt>
                <c:pt idx="9">
                  <c:v>2026</c:v>
                </c:pt>
              </c:strCache>
            </c:strRef>
          </c:cat>
          <c:val>
            <c:numRef>
              <c:f>Sheet1!$B$4:$K$4</c:f>
              <c:numCache>
                <c:formatCode>0.0</c:formatCode>
                <c:ptCount val="10"/>
                <c:pt idx="0">
                  <c:v>351.95699999999999</c:v>
                </c:pt>
                <c:pt idx="1">
                  <c:v>380.45499999999998</c:v>
                </c:pt>
                <c:pt idx="2">
                  <c:v>388.97899999999998</c:v>
                </c:pt>
                <c:pt idx="3">
                  <c:v>391.41300000000001</c:v>
                </c:pt>
                <c:pt idx="4">
                  <c:v>393.69799999999998</c:v>
                </c:pt>
                <c:pt idx="5">
                  <c:v>391.62299999999999</c:v>
                </c:pt>
                <c:pt idx="6">
                  <c:v>394.91800000000001</c:v>
                </c:pt>
                <c:pt idx="7">
                  <c:v>402.089</c:v>
                </c:pt>
                <c:pt idx="8">
                  <c:v>406.827</c:v>
                </c:pt>
                <c:pt idx="9">
                  <c:v>412.96699999999998</c:v>
                </c:pt>
              </c:numCache>
            </c:numRef>
          </c:val>
          <c:extLst>
            <c:ext xmlns:c16="http://schemas.microsoft.com/office/drawing/2014/chart" uri="{C3380CC4-5D6E-409C-BE32-E72D297353CC}">
              <c16:uniqueId val="{00000002-C0F7-488B-8895-D769FE26A89D}"/>
            </c:ext>
          </c:extLst>
        </c:ser>
        <c:dLbls>
          <c:showLegendKey val="0"/>
          <c:showVal val="0"/>
          <c:showCatName val="0"/>
          <c:showSerName val="0"/>
          <c:showPercent val="0"/>
          <c:showBubbleSize val="0"/>
        </c:dLbls>
        <c:gapWidth val="20"/>
        <c:overlap val="100"/>
        <c:axId val="742058144"/>
        <c:axId val="742059320"/>
      </c:barChart>
      <c:catAx>
        <c:axId val="742058144"/>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59320"/>
        <c:crosses val="autoZero"/>
        <c:auto val="1"/>
        <c:lblAlgn val="ctr"/>
        <c:lblOffset val="100"/>
        <c:noMultiLvlLbl val="0"/>
      </c:catAx>
      <c:valAx>
        <c:axId val="742059320"/>
        <c:scaling>
          <c:orientation val="minMax"/>
          <c:max val="2400"/>
          <c:min val="0"/>
        </c:scaling>
        <c:delete val="0"/>
        <c:axPos val="l"/>
        <c:numFmt formatCode="0" sourceLinked="0"/>
        <c:majorTickMark val="out"/>
        <c:minorTickMark val="none"/>
        <c:tickLblPos val="nextTo"/>
        <c:spPr>
          <a:noFill/>
          <a:ln w="3175" cap="flat" cmpd="sng" algn="ctr">
            <a:no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58144"/>
        <c:crosses val="autoZero"/>
        <c:crossBetween val="between"/>
        <c:majorUnit val="600"/>
      </c:valAx>
      <c:spPr>
        <a:solidFill>
          <a:schemeClr val="bg1"/>
        </a:solidFill>
        <a:ln>
          <a:noFill/>
        </a:ln>
        <a:effectLst/>
      </c:spPr>
    </c:plotArea>
    <c:legend>
      <c:legendPos val="r"/>
      <c:layout>
        <c:manualLayout>
          <c:xMode val="edge"/>
          <c:yMode val="edge"/>
          <c:x val="0.82279953416418972"/>
          <c:y val="5.739784180781151E-2"/>
          <c:w val="0.1726852390419224"/>
          <c:h val="0.9023771367057618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800">
          <a:latin typeface="Segoe UI Light" panose="020B0502040204020203" pitchFamily="34" charset="0"/>
          <a:cs typeface="Segoe UI Semilight" panose="020B0402040204020203" pitchFamily="34" charset="0"/>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0828406577415116E-2"/>
          <c:y val="4.1032354227984354E-2"/>
          <c:w val="0.87565465636968753"/>
          <c:h val="0.8847855263957497"/>
        </c:manualLayout>
      </c:layout>
      <c:barChart>
        <c:barDir val="bar"/>
        <c:grouping val="stacked"/>
        <c:varyColors val="0"/>
        <c:ser>
          <c:idx val="0"/>
          <c:order val="0"/>
          <c:tx>
            <c:strRef>
              <c:f>Sheet1!$B$1</c:f>
              <c:strCache>
                <c:ptCount val="1"/>
                <c:pt idx="0">
                  <c:v>Vīrieši</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Sheet1!$B$2:$B$102</c:f>
              <c:numCache>
                <c:formatCode>0.0</c:formatCode>
                <c:ptCount val="101"/>
                <c:pt idx="0">
                  <c:v>-6.1669999999999998</c:v>
                </c:pt>
                <c:pt idx="1">
                  <c:v>-6.5979999999999999</c:v>
                </c:pt>
                <c:pt idx="2">
                  <c:v>-7.4039999999999999</c:v>
                </c:pt>
                <c:pt idx="3">
                  <c:v>-8.0869999999999997</c:v>
                </c:pt>
                <c:pt idx="4">
                  <c:v>-9.0310000000000006</c:v>
                </c:pt>
                <c:pt idx="5">
                  <c:v>-9.0739999999999998</c:v>
                </c:pt>
                <c:pt idx="6">
                  <c:v>-9.6449999999999996</c:v>
                </c:pt>
                <c:pt idx="7">
                  <c:v>-10.077</c:v>
                </c:pt>
                <c:pt idx="8">
                  <c:v>-10.867000000000001</c:v>
                </c:pt>
                <c:pt idx="9">
                  <c:v>-11.394</c:v>
                </c:pt>
                <c:pt idx="10">
                  <c:v>-11.377000000000001</c:v>
                </c:pt>
                <c:pt idx="11">
                  <c:v>-11.21</c:v>
                </c:pt>
                <c:pt idx="12">
                  <c:v>-10.396000000000001</c:v>
                </c:pt>
                <c:pt idx="13">
                  <c:v>-10.204000000000001</c:v>
                </c:pt>
                <c:pt idx="14">
                  <c:v>-9.4670000000000005</c:v>
                </c:pt>
                <c:pt idx="15">
                  <c:v>-9.6669999999999998</c:v>
                </c:pt>
                <c:pt idx="16">
                  <c:v>-10.103</c:v>
                </c:pt>
                <c:pt idx="17">
                  <c:v>-11.068</c:v>
                </c:pt>
                <c:pt idx="18">
                  <c:v>-10.693</c:v>
                </c:pt>
                <c:pt idx="19">
                  <c:v>-10.039999999999999</c:v>
                </c:pt>
                <c:pt idx="20">
                  <c:v>-9.7430000000000003</c:v>
                </c:pt>
                <c:pt idx="21">
                  <c:v>-9.1029999999999998</c:v>
                </c:pt>
                <c:pt idx="22">
                  <c:v>-9.3759999999999994</c:v>
                </c:pt>
                <c:pt idx="23">
                  <c:v>-8.92</c:v>
                </c:pt>
                <c:pt idx="24">
                  <c:v>-8.5530000000000008</c:v>
                </c:pt>
                <c:pt idx="25">
                  <c:v>-8.7970000000000006</c:v>
                </c:pt>
                <c:pt idx="26">
                  <c:v>-8.298</c:v>
                </c:pt>
                <c:pt idx="27">
                  <c:v>-7.8369999999999997</c:v>
                </c:pt>
                <c:pt idx="28">
                  <c:v>-8.0559999999999992</c:v>
                </c:pt>
                <c:pt idx="29">
                  <c:v>-8.35</c:v>
                </c:pt>
                <c:pt idx="30">
                  <c:v>-9.1549999999999994</c:v>
                </c:pt>
                <c:pt idx="31">
                  <c:v>-9.7579999999999991</c:v>
                </c:pt>
                <c:pt idx="32">
                  <c:v>-10.592000000000001</c:v>
                </c:pt>
                <c:pt idx="33">
                  <c:v>-12.448</c:v>
                </c:pt>
                <c:pt idx="34">
                  <c:v>-13.1</c:v>
                </c:pt>
                <c:pt idx="35">
                  <c:v>-13.861000000000001</c:v>
                </c:pt>
                <c:pt idx="36">
                  <c:v>-14.317</c:v>
                </c:pt>
                <c:pt idx="37">
                  <c:v>-14.898999999999999</c:v>
                </c:pt>
                <c:pt idx="38">
                  <c:v>-15.207000000000001</c:v>
                </c:pt>
                <c:pt idx="39">
                  <c:v>-15.163</c:v>
                </c:pt>
                <c:pt idx="40">
                  <c:v>-14.724</c:v>
                </c:pt>
                <c:pt idx="41">
                  <c:v>-14.6</c:v>
                </c:pt>
                <c:pt idx="42">
                  <c:v>-14.786</c:v>
                </c:pt>
                <c:pt idx="43">
                  <c:v>-13.622</c:v>
                </c:pt>
                <c:pt idx="44">
                  <c:v>-13.138999999999999</c:v>
                </c:pt>
                <c:pt idx="45">
                  <c:v>-12.726000000000001</c:v>
                </c:pt>
                <c:pt idx="46">
                  <c:v>-12.143000000000001</c:v>
                </c:pt>
                <c:pt idx="47">
                  <c:v>-11.877000000000001</c:v>
                </c:pt>
                <c:pt idx="48">
                  <c:v>-11.625999999999999</c:v>
                </c:pt>
                <c:pt idx="49">
                  <c:v>-11.916</c:v>
                </c:pt>
                <c:pt idx="50">
                  <c:v>-12.01</c:v>
                </c:pt>
                <c:pt idx="51">
                  <c:v>-12.048</c:v>
                </c:pt>
                <c:pt idx="52">
                  <c:v>-12</c:v>
                </c:pt>
                <c:pt idx="53">
                  <c:v>-12.4</c:v>
                </c:pt>
                <c:pt idx="54">
                  <c:v>-12.239000000000001</c:v>
                </c:pt>
                <c:pt idx="55">
                  <c:v>-11.939</c:v>
                </c:pt>
                <c:pt idx="56">
                  <c:v>-11.583</c:v>
                </c:pt>
                <c:pt idx="57">
                  <c:v>-11.564</c:v>
                </c:pt>
                <c:pt idx="58">
                  <c:v>-11.260999999999999</c:v>
                </c:pt>
                <c:pt idx="59">
                  <c:v>-11.161</c:v>
                </c:pt>
                <c:pt idx="60">
                  <c:v>-10.952999999999999</c:v>
                </c:pt>
                <c:pt idx="61">
                  <c:v>-11.186</c:v>
                </c:pt>
                <c:pt idx="62">
                  <c:v>-11.32</c:v>
                </c:pt>
                <c:pt idx="63">
                  <c:v>-11.481999999999999</c:v>
                </c:pt>
                <c:pt idx="64">
                  <c:v>-11.579000000000001</c:v>
                </c:pt>
                <c:pt idx="65">
                  <c:v>-11.329000000000001</c:v>
                </c:pt>
                <c:pt idx="66">
                  <c:v>-10.827</c:v>
                </c:pt>
                <c:pt idx="67">
                  <c:v>-10.909000000000001</c:v>
                </c:pt>
                <c:pt idx="68">
                  <c:v>-10.085000000000001</c:v>
                </c:pt>
                <c:pt idx="69">
                  <c:v>-9.0359999999999996</c:v>
                </c:pt>
                <c:pt idx="70">
                  <c:v>-8.6790000000000003</c:v>
                </c:pt>
                <c:pt idx="71">
                  <c:v>-8.0220000000000002</c:v>
                </c:pt>
                <c:pt idx="72">
                  <c:v>-7.0839999999999996</c:v>
                </c:pt>
                <c:pt idx="73">
                  <c:v>-6.8230000000000004</c:v>
                </c:pt>
                <c:pt idx="74">
                  <c:v>-6.3849999999999998</c:v>
                </c:pt>
                <c:pt idx="75">
                  <c:v>-6.0620000000000003</c:v>
                </c:pt>
                <c:pt idx="76">
                  <c:v>-5.875</c:v>
                </c:pt>
                <c:pt idx="77">
                  <c:v>-5.258</c:v>
                </c:pt>
                <c:pt idx="78">
                  <c:v>-4.67</c:v>
                </c:pt>
                <c:pt idx="79">
                  <c:v>-3.6909999999999998</c:v>
                </c:pt>
                <c:pt idx="80">
                  <c:v>-3.1760000000000002</c:v>
                </c:pt>
                <c:pt idx="81">
                  <c:v>-3.1040000000000001</c:v>
                </c:pt>
                <c:pt idx="82">
                  <c:v>-3.044</c:v>
                </c:pt>
                <c:pt idx="83">
                  <c:v>-2.895</c:v>
                </c:pt>
                <c:pt idx="84">
                  <c:v>-3.0110000000000001</c:v>
                </c:pt>
                <c:pt idx="85">
                  <c:v>-2.5009999999999999</c:v>
                </c:pt>
                <c:pt idx="86">
                  <c:v>-2.3149999999999999</c:v>
                </c:pt>
                <c:pt idx="87">
                  <c:v>-1.889</c:v>
                </c:pt>
                <c:pt idx="88">
                  <c:v>-1.585</c:v>
                </c:pt>
                <c:pt idx="89">
                  <c:v>-1.1739999999999999</c:v>
                </c:pt>
                <c:pt idx="90">
                  <c:v>-0.90300000000000002</c:v>
                </c:pt>
                <c:pt idx="91">
                  <c:v>-0.58799999999999997</c:v>
                </c:pt>
                <c:pt idx="92">
                  <c:v>-0.48499999999999999</c:v>
                </c:pt>
                <c:pt idx="93">
                  <c:v>-0.38200000000000001</c:v>
                </c:pt>
                <c:pt idx="94">
                  <c:v>-0.28499999999999998</c:v>
                </c:pt>
                <c:pt idx="95">
                  <c:v>-0.20899999999999999</c:v>
                </c:pt>
                <c:pt idx="96">
                  <c:v>-0.123</c:v>
                </c:pt>
                <c:pt idx="97">
                  <c:v>-0.10199999999999999</c:v>
                </c:pt>
                <c:pt idx="98">
                  <c:v>-5.7000000000000002E-2</c:v>
                </c:pt>
                <c:pt idx="99">
                  <c:v>-1.9E-2</c:v>
                </c:pt>
                <c:pt idx="100">
                  <c:v>-3.1E-2</c:v>
                </c:pt>
              </c:numCache>
            </c:numRef>
          </c:val>
          <c:extLst>
            <c:ext xmlns:c16="http://schemas.microsoft.com/office/drawing/2014/chart" uri="{C3380CC4-5D6E-409C-BE32-E72D297353CC}">
              <c16:uniqueId val="{00000000-3BD5-42CB-A4B8-F8B155885154}"/>
            </c:ext>
          </c:extLst>
        </c:ser>
        <c:ser>
          <c:idx val="1"/>
          <c:order val="1"/>
          <c:tx>
            <c:strRef>
              <c:f>Sheet1!$C$1</c:f>
              <c:strCache>
                <c:ptCount val="1"/>
                <c:pt idx="0">
                  <c:v>Sievietes</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Sheet1!$C$2:$C$102</c:f>
              <c:numCache>
                <c:formatCode>0.0</c:formatCode>
                <c:ptCount val="101"/>
                <c:pt idx="0">
                  <c:v>5.6340000000000003</c:v>
                </c:pt>
                <c:pt idx="1">
                  <c:v>6.3280000000000003</c:v>
                </c:pt>
                <c:pt idx="2">
                  <c:v>7.0640000000000001</c:v>
                </c:pt>
                <c:pt idx="3">
                  <c:v>7.7539999999999996</c:v>
                </c:pt>
                <c:pt idx="4">
                  <c:v>8.5519999999999996</c:v>
                </c:pt>
                <c:pt idx="5">
                  <c:v>8.5960000000000001</c:v>
                </c:pt>
                <c:pt idx="6">
                  <c:v>9.2029999999999994</c:v>
                </c:pt>
                <c:pt idx="7">
                  <c:v>9.3919999999999995</c:v>
                </c:pt>
                <c:pt idx="8">
                  <c:v>10.134</c:v>
                </c:pt>
                <c:pt idx="9">
                  <c:v>10.593999999999999</c:v>
                </c:pt>
                <c:pt idx="10">
                  <c:v>10.6</c:v>
                </c:pt>
                <c:pt idx="11">
                  <c:v>10.487</c:v>
                </c:pt>
                <c:pt idx="12">
                  <c:v>10.105</c:v>
                </c:pt>
                <c:pt idx="13">
                  <c:v>9.5609999999999999</c:v>
                </c:pt>
                <c:pt idx="14">
                  <c:v>8.9610000000000003</c:v>
                </c:pt>
                <c:pt idx="15">
                  <c:v>8.9640000000000004</c:v>
                </c:pt>
                <c:pt idx="16">
                  <c:v>9.9380000000000006</c:v>
                </c:pt>
                <c:pt idx="17">
                  <c:v>10.619</c:v>
                </c:pt>
                <c:pt idx="18">
                  <c:v>10.291</c:v>
                </c:pt>
                <c:pt idx="19">
                  <c:v>9.8040000000000003</c:v>
                </c:pt>
                <c:pt idx="20">
                  <c:v>9.3369999999999997</c:v>
                </c:pt>
                <c:pt idx="21">
                  <c:v>8.6379999999999999</c:v>
                </c:pt>
                <c:pt idx="22">
                  <c:v>8.8119999999999994</c:v>
                </c:pt>
                <c:pt idx="23">
                  <c:v>8.5839999999999996</c:v>
                </c:pt>
                <c:pt idx="24">
                  <c:v>8.3360000000000003</c:v>
                </c:pt>
                <c:pt idx="25">
                  <c:v>8.5820000000000007</c:v>
                </c:pt>
                <c:pt idx="26">
                  <c:v>7.9589999999999996</c:v>
                </c:pt>
                <c:pt idx="27">
                  <c:v>7.5060000000000002</c:v>
                </c:pt>
                <c:pt idx="28">
                  <c:v>7.5659999999999998</c:v>
                </c:pt>
                <c:pt idx="29">
                  <c:v>7.782</c:v>
                </c:pt>
                <c:pt idx="30">
                  <c:v>8.5259999999999998</c:v>
                </c:pt>
                <c:pt idx="31">
                  <c:v>9.3740000000000006</c:v>
                </c:pt>
                <c:pt idx="32">
                  <c:v>10.178000000000001</c:v>
                </c:pt>
                <c:pt idx="33">
                  <c:v>11.58</c:v>
                </c:pt>
                <c:pt idx="34">
                  <c:v>12.153</c:v>
                </c:pt>
                <c:pt idx="35">
                  <c:v>13.112</c:v>
                </c:pt>
                <c:pt idx="36">
                  <c:v>13.11</c:v>
                </c:pt>
                <c:pt idx="37">
                  <c:v>13.72</c:v>
                </c:pt>
                <c:pt idx="38">
                  <c:v>14.291</c:v>
                </c:pt>
                <c:pt idx="39">
                  <c:v>14.185</c:v>
                </c:pt>
                <c:pt idx="40">
                  <c:v>13.528</c:v>
                </c:pt>
                <c:pt idx="41">
                  <c:v>13.791</c:v>
                </c:pt>
                <c:pt idx="42">
                  <c:v>13.667</c:v>
                </c:pt>
                <c:pt idx="43">
                  <c:v>12.801</c:v>
                </c:pt>
                <c:pt idx="44">
                  <c:v>12.443</c:v>
                </c:pt>
                <c:pt idx="45">
                  <c:v>12.172000000000001</c:v>
                </c:pt>
                <c:pt idx="46">
                  <c:v>12.26</c:v>
                </c:pt>
                <c:pt idx="47">
                  <c:v>12.172000000000001</c:v>
                </c:pt>
                <c:pt idx="48">
                  <c:v>12.342000000000001</c:v>
                </c:pt>
                <c:pt idx="49">
                  <c:v>12.696999999999999</c:v>
                </c:pt>
                <c:pt idx="50">
                  <c:v>12.992000000000001</c:v>
                </c:pt>
                <c:pt idx="51">
                  <c:v>13.098000000000001</c:v>
                </c:pt>
                <c:pt idx="52">
                  <c:v>13.084</c:v>
                </c:pt>
                <c:pt idx="53">
                  <c:v>13.321</c:v>
                </c:pt>
                <c:pt idx="54">
                  <c:v>13.888999999999999</c:v>
                </c:pt>
                <c:pt idx="55">
                  <c:v>13.592000000000001</c:v>
                </c:pt>
                <c:pt idx="56">
                  <c:v>13.244999999999999</c:v>
                </c:pt>
                <c:pt idx="57">
                  <c:v>13.215</c:v>
                </c:pt>
                <c:pt idx="58">
                  <c:v>13.324999999999999</c:v>
                </c:pt>
                <c:pt idx="59">
                  <c:v>13.462</c:v>
                </c:pt>
                <c:pt idx="60">
                  <c:v>12.984</c:v>
                </c:pt>
                <c:pt idx="61">
                  <c:v>13.852</c:v>
                </c:pt>
                <c:pt idx="62">
                  <c:v>14.256</c:v>
                </c:pt>
                <c:pt idx="63">
                  <c:v>14.833</c:v>
                </c:pt>
                <c:pt idx="64">
                  <c:v>15.21</c:v>
                </c:pt>
                <c:pt idx="65">
                  <c:v>15.292</c:v>
                </c:pt>
                <c:pt idx="66">
                  <c:v>15.145</c:v>
                </c:pt>
                <c:pt idx="67">
                  <c:v>14.635999999999999</c:v>
                </c:pt>
                <c:pt idx="68">
                  <c:v>14.188000000000001</c:v>
                </c:pt>
                <c:pt idx="69">
                  <c:v>13.68</c:v>
                </c:pt>
                <c:pt idx="70">
                  <c:v>13.433999999999999</c:v>
                </c:pt>
                <c:pt idx="71">
                  <c:v>13.002000000000001</c:v>
                </c:pt>
                <c:pt idx="72">
                  <c:v>11.811</c:v>
                </c:pt>
                <c:pt idx="73">
                  <c:v>12.012</c:v>
                </c:pt>
                <c:pt idx="74">
                  <c:v>11.86</c:v>
                </c:pt>
                <c:pt idx="75">
                  <c:v>11.154999999999999</c:v>
                </c:pt>
                <c:pt idx="76">
                  <c:v>11.888</c:v>
                </c:pt>
                <c:pt idx="77">
                  <c:v>10.689</c:v>
                </c:pt>
                <c:pt idx="78">
                  <c:v>9.657</c:v>
                </c:pt>
                <c:pt idx="79">
                  <c:v>8.4540000000000006</c:v>
                </c:pt>
                <c:pt idx="80">
                  <c:v>7.5720000000000001</c:v>
                </c:pt>
                <c:pt idx="81">
                  <c:v>7.8529999999999998</c:v>
                </c:pt>
                <c:pt idx="82">
                  <c:v>7.9059999999999997</c:v>
                </c:pt>
                <c:pt idx="83">
                  <c:v>8.282</c:v>
                </c:pt>
                <c:pt idx="84">
                  <c:v>8.2080000000000002</c:v>
                </c:pt>
                <c:pt idx="85">
                  <c:v>7.6420000000000003</c:v>
                </c:pt>
                <c:pt idx="86">
                  <c:v>7.0170000000000003</c:v>
                </c:pt>
                <c:pt idx="87">
                  <c:v>6.1840000000000002</c:v>
                </c:pt>
                <c:pt idx="88">
                  <c:v>5.2750000000000004</c:v>
                </c:pt>
                <c:pt idx="89">
                  <c:v>4.2270000000000003</c:v>
                </c:pt>
                <c:pt idx="90">
                  <c:v>3.1789999999999998</c:v>
                </c:pt>
                <c:pt idx="91">
                  <c:v>2.4569999999999999</c:v>
                </c:pt>
                <c:pt idx="92">
                  <c:v>2.0209999999999999</c:v>
                </c:pt>
                <c:pt idx="93">
                  <c:v>1.7070000000000001</c:v>
                </c:pt>
                <c:pt idx="94">
                  <c:v>1.232</c:v>
                </c:pt>
                <c:pt idx="95">
                  <c:v>0.94</c:v>
                </c:pt>
                <c:pt idx="96">
                  <c:v>0.60399999999999998</c:v>
                </c:pt>
                <c:pt idx="97">
                  <c:v>0.45100000000000001</c:v>
                </c:pt>
                <c:pt idx="98">
                  <c:v>0.28999999999999998</c:v>
                </c:pt>
                <c:pt idx="99">
                  <c:v>0.17799999999999999</c:v>
                </c:pt>
                <c:pt idx="100">
                  <c:v>0.22600000000000001</c:v>
                </c:pt>
              </c:numCache>
            </c:numRef>
          </c:val>
          <c:extLst>
            <c:ext xmlns:c16="http://schemas.microsoft.com/office/drawing/2014/chart" uri="{C3380CC4-5D6E-409C-BE32-E72D297353CC}">
              <c16:uniqueId val="{00000001-3BD5-42CB-A4B8-F8B155885154}"/>
            </c:ext>
          </c:extLst>
        </c:ser>
        <c:dLbls>
          <c:showLegendKey val="0"/>
          <c:showVal val="0"/>
          <c:showCatName val="0"/>
          <c:showSerName val="0"/>
          <c:showPercent val="0"/>
          <c:showBubbleSize val="0"/>
        </c:dLbls>
        <c:gapWidth val="0"/>
        <c:overlap val="100"/>
        <c:axId val="742072256"/>
        <c:axId val="742067552"/>
      </c:barChart>
      <c:catAx>
        <c:axId val="742072256"/>
        <c:scaling>
          <c:orientation val="minMax"/>
        </c:scaling>
        <c:delete val="0"/>
        <c:axPos val="l"/>
        <c:numFmt formatCode="General" sourceLinked="0"/>
        <c:majorTickMark val="out"/>
        <c:minorTickMark val="none"/>
        <c:tickLblPos val="nextTo"/>
        <c:spPr>
          <a:ln w="3175">
            <a:noFill/>
          </a:ln>
        </c:spPr>
        <c:crossAx val="742067552"/>
        <c:crossesAt val="-120"/>
        <c:auto val="1"/>
        <c:lblAlgn val="ctr"/>
        <c:lblOffset val="100"/>
        <c:tickLblSkip val="20"/>
        <c:tickMarkSkip val="10"/>
        <c:noMultiLvlLbl val="0"/>
      </c:catAx>
      <c:valAx>
        <c:axId val="742067552"/>
        <c:scaling>
          <c:orientation val="minMax"/>
          <c:max val="18"/>
          <c:min val="-18"/>
        </c:scaling>
        <c:delete val="0"/>
        <c:axPos val="b"/>
        <c:numFmt formatCode="#,##0_ ;#,##0\ " sourceLinked="0"/>
        <c:majorTickMark val="out"/>
        <c:minorTickMark val="none"/>
        <c:tickLblPos val="nextTo"/>
        <c:spPr>
          <a:ln w="3175"/>
        </c:spPr>
        <c:crossAx val="742072256"/>
        <c:crosses val="autoZero"/>
        <c:crossBetween val="between"/>
        <c:majorUnit val="6"/>
      </c:valAx>
    </c:plotArea>
    <c:legend>
      <c:legendPos val="r"/>
      <c:legendEntry>
        <c:idx val="1"/>
        <c:txPr>
          <a:bodyPr/>
          <a:lstStyle/>
          <a:p>
            <a:pPr>
              <a:defRPr b="0">
                <a:solidFill>
                  <a:schemeClr val="bg1"/>
                </a:solidFill>
              </a:defRPr>
            </a:pPr>
            <a:endParaRPr lang="en-US"/>
          </a:p>
        </c:txPr>
      </c:legendEntry>
      <c:layout>
        <c:manualLayout>
          <c:xMode val="edge"/>
          <c:yMode val="edge"/>
          <c:x val="0.20421378845659724"/>
          <c:y val="0.5171799390566808"/>
          <c:w val="0.65209400149484631"/>
          <c:h val="7.8203060243446934E-2"/>
        </c:manualLayout>
      </c:layout>
      <c:overlay val="0"/>
      <c:txPr>
        <a:bodyPr/>
        <a:lstStyle/>
        <a:p>
          <a:pPr>
            <a:defRPr b="0"/>
          </a:pPr>
          <a:endParaRPr lang="en-US"/>
        </a:p>
      </c:txPr>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80063832113558"/>
          <c:y val="0.13370592715898752"/>
          <c:w val="0.823709169922197"/>
          <c:h val="0.83499433932122791"/>
        </c:manualLayout>
      </c:layout>
      <c:barChart>
        <c:barDir val="col"/>
        <c:grouping val="stacked"/>
        <c:varyColors val="0"/>
        <c:ser>
          <c:idx val="0"/>
          <c:order val="0"/>
          <c:tx>
            <c:strRef>
              <c:f>Sheet1!$B$1</c:f>
              <c:strCache>
                <c:ptCount val="1"/>
                <c:pt idx="0">
                  <c:v>Dabiskais pieaugums</c:v>
                </c:pt>
              </c:strCache>
            </c:strRef>
          </c:tx>
          <c:spPr>
            <a:solidFill>
              <a:srgbClr val="006666"/>
            </a:solidFill>
          </c:spPr>
          <c:invertIfNegative val="0"/>
          <c:cat>
            <c:strRef>
              <c:f>Sheet1!$A$10:$A$28</c:f>
              <c:strCache>
                <c:ptCount val="19"/>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pt idx="18">
                  <c:v>2025</c:v>
                </c:pt>
              </c:strCache>
            </c:strRef>
          </c:cat>
          <c:val>
            <c:numRef>
              <c:f>Sheet1!$B$10:$B$28</c:f>
              <c:numCache>
                <c:formatCode>General</c:formatCode>
                <c:ptCount val="19"/>
                <c:pt idx="0">
                  <c:v>-9084</c:v>
                </c:pt>
                <c:pt idx="1">
                  <c:v>-6609</c:v>
                </c:pt>
                <c:pt idx="2">
                  <c:v>-7853</c:v>
                </c:pt>
                <c:pt idx="3">
                  <c:v>-10259</c:v>
                </c:pt>
                <c:pt idx="4">
                  <c:v>-9715</c:v>
                </c:pt>
                <c:pt idx="5">
                  <c:v>-9128</c:v>
                </c:pt>
                <c:pt idx="6">
                  <c:v>-8095</c:v>
                </c:pt>
                <c:pt idx="7">
                  <c:v>-6720</c:v>
                </c:pt>
                <c:pt idx="8">
                  <c:v>-6499</c:v>
                </c:pt>
                <c:pt idx="9">
                  <c:v>-6612</c:v>
                </c:pt>
                <c:pt idx="10">
                  <c:v>-7929</c:v>
                </c:pt>
                <c:pt idx="11">
                  <c:v>-9506</c:v>
                </c:pt>
                <c:pt idx="12">
                  <c:v>-8933</c:v>
                </c:pt>
                <c:pt idx="13">
                  <c:v>-11302</c:v>
                </c:pt>
                <c:pt idx="14" formatCode="0">
                  <c:v>-17180</c:v>
                </c:pt>
                <c:pt idx="15" formatCode="0">
                  <c:v>-14777</c:v>
                </c:pt>
                <c:pt idx="16" formatCode="0">
                  <c:v>-13541</c:v>
                </c:pt>
                <c:pt idx="17" formatCode="0">
                  <c:v>-13774</c:v>
                </c:pt>
                <c:pt idx="18" formatCode="0">
                  <c:v>-14178</c:v>
                </c:pt>
              </c:numCache>
            </c:numRef>
          </c:val>
          <c:extLst>
            <c:ext xmlns:c16="http://schemas.microsoft.com/office/drawing/2014/chart" uri="{C3380CC4-5D6E-409C-BE32-E72D297353CC}">
              <c16:uniqueId val="{00000000-259A-4F7D-ACBF-83D39E36DCEE}"/>
            </c:ext>
          </c:extLst>
        </c:ser>
        <c:ser>
          <c:idx val="2"/>
          <c:order val="1"/>
          <c:tx>
            <c:strRef>
              <c:f>Sheet1!$C$1</c:f>
              <c:strCache>
                <c:ptCount val="1"/>
                <c:pt idx="0">
                  <c:v>Migrācijas saldo</c:v>
                </c:pt>
              </c:strCache>
            </c:strRef>
          </c:tx>
          <c:spPr>
            <a:solidFill>
              <a:srgbClr val="92B7C4"/>
            </a:solidFill>
          </c:spPr>
          <c:invertIfNegative val="0"/>
          <c:cat>
            <c:strRef>
              <c:f>Sheet1!$A$10:$A$28</c:f>
              <c:strCache>
                <c:ptCount val="19"/>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pt idx="18">
                  <c:v>2025</c:v>
                </c:pt>
              </c:strCache>
            </c:strRef>
          </c:cat>
          <c:val>
            <c:numRef>
              <c:f>Sheet1!$C$10:$C$28</c:f>
              <c:numCache>
                <c:formatCode>General</c:formatCode>
                <c:ptCount val="19"/>
                <c:pt idx="0">
                  <c:v>-7946</c:v>
                </c:pt>
                <c:pt idx="1">
                  <c:v>-22367</c:v>
                </c:pt>
                <c:pt idx="2">
                  <c:v>-34477</c:v>
                </c:pt>
                <c:pt idx="3">
                  <c:v>-35640</c:v>
                </c:pt>
                <c:pt idx="4">
                  <c:v>-20077</c:v>
                </c:pt>
                <c:pt idx="5">
                  <c:v>-11860</c:v>
                </c:pt>
                <c:pt idx="6">
                  <c:v>-14262</c:v>
                </c:pt>
                <c:pt idx="7">
                  <c:v>-8652</c:v>
                </c:pt>
                <c:pt idx="8">
                  <c:v>-10640</c:v>
                </c:pt>
                <c:pt idx="9">
                  <c:v>-12229</c:v>
                </c:pt>
                <c:pt idx="10">
                  <c:v>-7808</c:v>
                </c:pt>
                <c:pt idx="11">
                  <c:v>-4905</c:v>
                </c:pt>
                <c:pt idx="12">
                  <c:v>-3360</c:v>
                </c:pt>
                <c:pt idx="13">
                  <c:v>-3150</c:v>
                </c:pt>
                <c:pt idx="14" formatCode="0">
                  <c:v>-286</c:v>
                </c:pt>
                <c:pt idx="15" formatCode="0">
                  <c:v>22028</c:v>
                </c:pt>
                <c:pt idx="16" formatCode="0">
                  <c:v>-3123</c:v>
                </c:pt>
                <c:pt idx="17" formatCode="0">
                  <c:v>-4236</c:v>
                </c:pt>
                <c:pt idx="18" formatCode="0">
                  <c:v>-1291</c:v>
                </c:pt>
              </c:numCache>
            </c:numRef>
          </c:val>
          <c:extLst>
            <c:ext xmlns:c16="http://schemas.microsoft.com/office/drawing/2014/chart" uri="{C3380CC4-5D6E-409C-BE32-E72D297353CC}">
              <c16:uniqueId val="{00000001-259A-4F7D-ACBF-83D39E36DCEE}"/>
            </c:ext>
          </c:extLst>
        </c:ser>
        <c:dLbls>
          <c:showLegendKey val="0"/>
          <c:showVal val="0"/>
          <c:showCatName val="0"/>
          <c:showSerName val="0"/>
          <c:showPercent val="0"/>
          <c:showBubbleSize val="0"/>
        </c:dLbls>
        <c:gapWidth val="40"/>
        <c:overlap val="100"/>
        <c:axId val="742061280"/>
        <c:axId val="742070688"/>
      </c:barChart>
      <c:catAx>
        <c:axId val="742061280"/>
        <c:scaling>
          <c:orientation val="minMax"/>
        </c:scaling>
        <c:delete val="0"/>
        <c:axPos val="b"/>
        <c:numFmt formatCode="General" sourceLinked="1"/>
        <c:majorTickMark val="out"/>
        <c:minorTickMark val="none"/>
        <c:tickLblPos val="low"/>
        <c:spPr>
          <a:noFill/>
          <a:ln w="3175" cap="flat" cmpd="sng" algn="ctr">
            <a:solidFill>
              <a:sysClr val="windowText" lastClr="000000">
                <a:tint val="75000"/>
                <a:shade val="95000"/>
                <a:satMod val="105000"/>
              </a:sysClr>
            </a:solidFill>
            <a:prstDash val="solid"/>
            <a:round/>
          </a:ln>
          <a:effectLst/>
        </c:spPr>
        <c:txPr>
          <a:bodyPr rot="-60000000" vert="horz"/>
          <a:lstStyle/>
          <a:p>
            <a:pPr>
              <a:defRPr/>
            </a:pPr>
            <a:endParaRPr lang="en-US"/>
          </a:p>
        </c:txPr>
        <c:crossAx val="742070688"/>
        <c:crosses val="autoZero"/>
        <c:auto val="1"/>
        <c:lblAlgn val="ctr"/>
        <c:lblOffset val="0"/>
        <c:noMultiLvlLbl val="0"/>
      </c:catAx>
      <c:valAx>
        <c:axId val="742070688"/>
        <c:scaling>
          <c:orientation val="minMax"/>
          <c:max val="36000"/>
          <c:min val="-48000"/>
        </c:scaling>
        <c:delete val="0"/>
        <c:axPos val="l"/>
        <c:numFmt formatCode="General" sourceLinked="1"/>
        <c:majorTickMark val="out"/>
        <c:minorTickMark val="none"/>
        <c:tickLblPos val="nextTo"/>
        <c:spPr>
          <a:noFill/>
          <a:ln w="9525" cap="flat" cmpd="sng" algn="ctr">
            <a:noFill/>
            <a:prstDash val="solid"/>
            <a:round/>
          </a:ln>
          <a:effectLst/>
        </c:spPr>
        <c:txPr>
          <a:bodyPr rot="-60000000" vert="horz"/>
          <a:lstStyle/>
          <a:p>
            <a:pPr>
              <a:defRPr/>
            </a:pPr>
            <a:endParaRPr lang="en-US"/>
          </a:p>
        </c:txPr>
        <c:crossAx val="742061280"/>
        <c:crosses val="autoZero"/>
        <c:crossBetween val="between"/>
        <c:majorUnit val="12000"/>
        <c:minorUnit val="2500"/>
        <c:dispUnits>
          <c:builtInUnit val="thousands"/>
        </c:dispUnits>
      </c:valAx>
      <c:spPr>
        <a:noFill/>
        <a:ln w="25400">
          <a:noFill/>
        </a:ln>
        <a:effectLst/>
      </c:spPr>
    </c:plotArea>
    <c:legend>
      <c:legendPos val="b"/>
      <c:layout>
        <c:manualLayout>
          <c:xMode val="edge"/>
          <c:yMode val="edge"/>
          <c:x val="0.15346677102875916"/>
          <c:y val="3.2188511715060639E-2"/>
          <c:w val="0.75187877799163139"/>
          <c:h val="0.10608405347663806"/>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800">
          <a:solidFill>
            <a:sysClr val="windowText" lastClr="000000"/>
          </a:solidFill>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842864327086398E-2"/>
          <c:y val="5.8181127829471178E-2"/>
          <c:w val="0.86406684649010213"/>
          <c:h val="0.82711847140836303"/>
        </c:manualLayout>
      </c:layout>
      <c:barChart>
        <c:barDir val="col"/>
        <c:grouping val="stacked"/>
        <c:varyColors val="0"/>
        <c:ser>
          <c:idx val="0"/>
          <c:order val="0"/>
          <c:tx>
            <c:strRef>
              <c:f>Sheet1!$A$2</c:f>
              <c:strCache>
                <c:ptCount val="1"/>
                <c:pt idx="0">
                  <c:v>Latvijas pilsoņi</c:v>
                </c:pt>
              </c:strCache>
            </c:strRef>
          </c:tx>
          <c:spPr>
            <a:solidFill>
              <a:srgbClr val="006666"/>
            </a:solidFill>
          </c:spPr>
          <c:invertIfNegative val="0"/>
          <c:cat>
            <c:strRef>
              <c:f>Sheet1!$D$1:$P$1</c:f>
              <c:strCach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strCache>
            </c:strRef>
          </c:cat>
          <c:val>
            <c:numRef>
              <c:f>Sheet1!$D$2:$P$2</c:f>
              <c:numCache>
                <c:formatCode>0.0</c:formatCode>
                <c:ptCount val="13"/>
                <c:pt idx="0">
                  <c:v>4.774</c:v>
                </c:pt>
                <c:pt idx="1">
                  <c:v>5.8639999999999999</c:v>
                </c:pt>
                <c:pt idx="2">
                  <c:v>4.9740000000000002</c:v>
                </c:pt>
                <c:pt idx="3">
                  <c:v>4.8970000000000002</c:v>
                </c:pt>
                <c:pt idx="4">
                  <c:v>4.78</c:v>
                </c:pt>
                <c:pt idx="5">
                  <c:v>4.3460000000000001</c:v>
                </c:pt>
                <c:pt idx="6">
                  <c:v>4.5780000000000003</c:v>
                </c:pt>
                <c:pt idx="7">
                  <c:v>4.25</c:v>
                </c:pt>
                <c:pt idx="8">
                  <c:v>6.21</c:v>
                </c:pt>
                <c:pt idx="9">
                  <c:v>8.0299999999999994</c:v>
                </c:pt>
                <c:pt idx="10">
                  <c:v>9.718</c:v>
                </c:pt>
                <c:pt idx="11">
                  <c:v>8.9220000000000006</c:v>
                </c:pt>
                <c:pt idx="12">
                  <c:v>6.907</c:v>
                </c:pt>
              </c:numCache>
            </c:numRef>
          </c:val>
          <c:extLst>
            <c:ext xmlns:c16="http://schemas.microsoft.com/office/drawing/2014/chart" uri="{C3380CC4-5D6E-409C-BE32-E72D297353CC}">
              <c16:uniqueId val="{00000000-B476-4664-A397-5184B61B8BCE}"/>
            </c:ext>
          </c:extLst>
        </c:ser>
        <c:ser>
          <c:idx val="1"/>
          <c:order val="1"/>
          <c:tx>
            <c:strRef>
              <c:f>Sheet1!$A$3</c:f>
              <c:strCache>
                <c:ptCount val="1"/>
                <c:pt idx="0">
                  <c:v>Latvijas nepilsoņi</c:v>
                </c:pt>
              </c:strCache>
            </c:strRef>
          </c:tx>
          <c:spPr>
            <a:solidFill>
              <a:srgbClr val="92B7C4"/>
            </a:solidFill>
          </c:spPr>
          <c:invertIfNegative val="0"/>
          <c:cat>
            <c:strRef>
              <c:f>Sheet1!$D$1:$P$1</c:f>
              <c:strCach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strCache>
            </c:strRef>
          </c:cat>
          <c:val>
            <c:numRef>
              <c:f>Sheet1!$D$3:$P$3</c:f>
              <c:numCache>
                <c:formatCode>0.0</c:formatCode>
                <c:ptCount val="13"/>
                <c:pt idx="0">
                  <c:v>0.61699999999999999</c:v>
                </c:pt>
                <c:pt idx="1">
                  <c:v>0.71899999999999997</c:v>
                </c:pt>
                <c:pt idx="2">
                  <c:v>0.48199999999999998</c:v>
                </c:pt>
                <c:pt idx="3">
                  <c:v>0.379</c:v>
                </c:pt>
                <c:pt idx="4">
                  <c:v>0.52500000000000002</c:v>
                </c:pt>
                <c:pt idx="5">
                  <c:v>0.36699999999999999</c:v>
                </c:pt>
                <c:pt idx="6">
                  <c:v>0.32700000000000001</c:v>
                </c:pt>
                <c:pt idx="7">
                  <c:v>0.36699999999999999</c:v>
                </c:pt>
                <c:pt idx="8">
                  <c:v>0.57699999999999996</c:v>
                </c:pt>
                <c:pt idx="9">
                  <c:v>0.88700000000000001</c:v>
                </c:pt>
                <c:pt idx="10">
                  <c:v>1.0029999999999999</c:v>
                </c:pt>
                <c:pt idx="11">
                  <c:v>0.82</c:v>
                </c:pt>
                <c:pt idx="12">
                  <c:v>0.503</c:v>
                </c:pt>
              </c:numCache>
            </c:numRef>
          </c:val>
          <c:extLst>
            <c:ext xmlns:c16="http://schemas.microsoft.com/office/drawing/2014/chart" uri="{C3380CC4-5D6E-409C-BE32-E72D297353CC}">
              <c16:uniqueId val="{00000001-B476-4664-A397-5184B61B8BCE}"/>
            </c:ext>
          </c:extLst>
        </c:ser>
        <c:ser>
          <c:idx val="2"/>
          <c:order val="2"/>
          <c:tx>
            <c:strRef>
              <c:f>Sheet1!$A$4</c:f>
              <c:strCache>
                <c:ptCount val="1"/>
                <c:pt idx="0">
                  <c:v>Citu valstu pilsoņi</c:v>
                </c:pt>
              </c:strCache>
            </c:strRef>
          </c:tx>
          <c:spPr>
            <a:solidFill>
              <a:srgbClr val="BBD2DA"/>
            </a:solidFill>
          </c:spPr>
          <c:invertIfNegative val="0"/>
          <c:cat>
            <c:strRef>
              <c:f>Sheet1!$D$1:$P$1</c:f>
              <c:strCach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strCache>
            </c:strRef>
          </c:cat>
          <c:val>
            <c:numRef>
              <c:f>Sheet1!$D$4:$P$4</c:f>
              <c:numCache>
                <c:formatCode>0.0</c:formatCode>
                <c:ptCount val="13"/>
                <c:pt idx="0">
                  <c:v>2.9079999999999999</c:v>
                </c:pt>
                <c:pt idx="1">
                  <c:v>3.782</c:v>
                </c:pt>
                <c:pt idx="2">
                  <c:v>4.0229999999999997</c:v>
                </c:pt>
                <c:pt idx="3">
                  <c:v>3.069</c:v>
                </c:pt>
                <c:pt idx="4">
                  <c:v>4.6109999999999998</c:v>
                </c:pt>
                <c:pt idx="5">
                  <c:v>6.1959999999999997</c:v>
                </c:pt>
                <c:pt idx="6">
                  <c:v>6.306</c:v>
                </c:pt>
                <c:pt idx="7">
                  <c:v>4.2229999999999999</c:v>
                </c:pt>
                <c:pt idx="8">
                  <c:v>5.9020000000000001</c:v>
                </c:pt>
                <c:pt idx="9">
                  <c:v>29.791</c:v>
                </c:pt>
                <c:pt idx="10">
                  <c:v>4.9080000000000004</c:v>
                </c:pt>
                <c:pt idx="11">
                  <c:v>4.9589999999999996</c:v>
                </c:pt>
                <c:pt idx="12">
                  <c:v>6.4160000000000004</c:v>
                </c:pt>
              </c:numCache>
            </c:numRef>
          </c:val>
          <c:extLst>
            <c:ext xmlns:c16="http://schemas.microsoft.com/office/drawing/2014/chart" uri="{C3380CC4-5D6E-409C-BE32-E72D297353CC}">
              <c16:uniqueId val="{00000002-B476-4664-A397-5184B61B8BCE}"/>
            </c:ext>
          </c:extLst>
        </c:ser>
        <c:dLbls>
          <c:showLegendKey val="0"/>
          <c:showVal val="0"/>
          <c:showCatName val="0"/>
          <c:showSerName val="0"/>
          <c:showPercent val="0"/>
          <c:showBubbleSize val="0"/>
        </c:dLbls>
        <c:gapWidth val="60"/>
        <c:overlap val="100"/>
        <c:axId val="1710881536"/>
        <c:axId val="1710869056"/>
      </c:barChart>
      <c:catAx>
        <c:axId val="1710881536"/>
        <c:scaling>
          <c:orientation val="minMax"/>
        </c:scaling>
        <c:delete val="0"/>
        <c:axPos val="b"/>
        <c:numFmt formatCode="General" sourceLinked="1"/>
        <c:majorTickMark val="out"/>
        <c:minorTickMark val="none"/>
        <c:tickLblPos val="nextTo"/>
        <c:txPr>
          <a:bodyPr rot="0" vert="horz"/>
          <a:lstStyle/>
          <a:p>
            <a:pPr>
              <a:defRPr/>
            </a:pPr>
            <a:endParaRPr lang="en-US"/>
          </a:p>
        </c:txPr>
        <c:crossAx val="1710869056"/>
        <c:crosses val="autoZero"/>
        <c:auto val="1"/>
        <c:lblAlgn val="ctr"/>
        <c:lblOffset val="100"/>
        <c:noMultiLvlLbl val="0"/>
      </c:catAx>
      <c:valAx>
        <c:axId val="1710869056"/>
        <c:scaling>
          <c:orientation val="minMax"/>
          <c:max val="40"/>
        </c:scaling>
        <c:delete val="0"/>
        <c:axPos val="l"/>
        <c:majorGridlines>
          <c:spPr>
            <a:ln>
              <a:noFill/>
            </a:ln>
          </c:spPr>
        </c:majorGridlines>
        <c:numFmt formatCode="0" sourceLinked="0"/>
        <c:majorTickMark val="out"/>
        <c:minorTickMark val="none"/>
        <c:tickLblPos val="nextTo"/>
        <c:spPr>
          <a:ln>
            <a:noFill/>
          </a:ln>
        </c:spPr>
        <c:crossAx val="1710881536"/>
        <c:crossesAt val="1"/>
        <c:crossBetween val="between"/>
        <c:majorUnit val="10"/>
      </c:valAx>
      <c:spPr>
        <a:ln>
          <a:noFill/>
        </a:ln>
      </c:spPr>
    </c:plotArea>
    <c:legend>
      <c:legendPos val="r"/>
      <c:layout>
        <c:manualLayout>
          <c:xMode val="edge"/>
          <c:yMode val="edge"/>
          <c:x val="0.30967705633490772"/>
          <c:y val="6.0083764154590935E-2"/>
          <c:w val="0.3893196132975561"/>
          <c:h val="0.2270832802765281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48771209329231E-2"/>
          <c:y val="2.3924296477346139E-2"/>
          <c:w val="0.89329538870626268"/>
          <c:h val="0.87623170075119861"/>
        </c:manualLayout>
      </c:layout>
      <c:barChart>
        <c:barDir val="col"/>
        <c:grouping val="clustered"/>
        <c:varyColors val="0"/>
        <c:ser>
          <c:idx val="0"/>
          <c:order val="1"/>
          <c:tx>
            <c:strRef>
              <c:f>Sheet1!$A$3</c:f>
              <c:strCache>
                <c:ptCount val="1"/>
                <c:pt idx="0">
                  <c:v>Ekonomiskās aktivitātes līmenis, % (labā ass)</c:v>
                </c:pt>
              </c:strCache>
            </c:strRef>
          </c:tx>
          <c:spPr>
            <a:solidFill>
              <a:schemeClr val="accent6"/>
            </a:solidFill>
            <a:ln>
              <a:noFill/>
            </a:ln>
            <a:effectLst/>
          </c:spPr>
          <c:invertIfNegative val="0"/>
          <c:dPt>
            <c:idx val="8"/>
            <c:invertIfNegative val="0"/>
            <c:bubble3D val="0"/>
            <c:spPr>
              <a:solidFill>
                <a:schemeClr val="accent6"/>
              </a:solidFill>
              <a:ln>
                <a:noFill/>
              </a:ln>
              <a:effectLst/>
            </c:spPr>
            <c:extLst>
              <c:ext xmlns:c16="http://schemas.microsoft.com/office/drawing/2014/chart" uri="{C3380CC4-5D6E-409C-BE32-E72D297353CC}">
                <c16:uniqueId val="{00000001-A18D-4C4D-8B70-5E31B72C30C0}"/>
              </c:ext>
            </c:extLst>
          </c:dPt>
          <c:dPt>
            <c:idx val="9"/>
            <c:invertIfNegative val="0"/>
            <c:bubble3D val="0"/>
            <c:spPr>
              <a:solidFill>
                <a:schemeClr val="accent6"/>
              </a:solidFill>
              <a:ln>
                <a:noFill/>
              </a:ln>
              <a:effectLst/>
            </c:spPr>
            <c:extLst>
              <c:ext xmlns:c16="http://schemas.microsoft.com/office/drawing/2014/chart" uri="{C3380CC4-5D6E-409C-BE32-E72D297353CC}">
                <c16:uniqueId val="{00000003-A18D-4C4D-8B70-5E31B72C30C0}"/>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5-A18D-4C4D-8B70-5E31B72C30C0}"/>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7-A18D-4C4D-8B70-5E31B72C30C0}"/>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9-A18D-4C4D-8B70-5E31B72C30C0}"/>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B-A18D-4C4D-8B70-5E31B72C30C0}"/>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0D-A18D-4C4D-8B70-5E31B72C30C0}"/>
              </c:ext>
            </c:extLst>
          </c:dPt>
          <c:dPt>
            <c:idx val="15"/>
            <c:invertIfNegative val="0"/>
            <c:bubble3D val="0"/>
            <c:spPr>
              <a:solidFill>
                <a:schemeClr val="accent6"/>
              </a:solidFill>
              <a:ln>
                <a:noFill/>
              </a:ln>
              <a:effectLst/>
            </c:spPr>
            <c:extLst>
              <c:ext xmlns:c16="http://schemas.microsoft.com/office/drawing/2014/chart" uri="{C3380CC4-5D6E-409C-BE32-E72D297353CC}">
                <c16:uniqueId val="{0000000F-A18D-4C4D-8B70-5E31B72C30C0}"/>
              </c:ext>
            </c:extLst>
          </c:dPt>
          <c:cat>
            <c:numRef>
              <c:f>Sheet1!$B$1:$V$1</c:f>
              <c:numCache>
                <c:formatCode>General</c:formatCode>
                <c:ptCount val="21"/>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numCache>
            </c:numRef>
          </c:cat>
          <c:val>
            <c:numRef>
              <c:f>Sheet1!$B$3:$V$3</c:f>
              <c:numCache>
                <c:formatCode>0.0</c:formatCode>
                <c:ptCount val="21"/>
                <c:pt idx="0">
                  <c:v>62.1</c:v>
                </c:pt>
                <c:pt idx="1">
                  <c:v>64.2</c:v>
                </c:pt>
                <c:pt idx="2">
                  <c:v>65.599999999999994</c:v>
                </c:pt>
                <c:pt idx="3">
                  <c:v>67.2</c:v>
                </c:pt>
                <c:pt idx="4">
                  <c:v>65.8</c:v>
                </c:pt>
                <c:pt idx="5">
                  <c:v>64.599999999999994</c:v>
                </c:pt>
                <c:pt idx="6">
                  <c:v>64.5</c:v>
                </c:pt>
                <c:pt idx="7">
                  <c:v>66.099999999999994</c:v>
                </c:pt>
                <c:pt idx="8">
                  <c:v>66</c:v>
                </c:pt>
                <c:pt idx="9">
                  <c:v>66.3</c:v>
                </c:pt>
                <c:pt idx="10">
                  <c:v>67.5</c:v>
                </c:pt>
                <c:pt idx="11">
                  <c:v>68.2</c:v>
                </c:pt>
                <c:pt idx="12">
                  <c:v>68.900000000000006</c:v>
                </c:pt>
                <c:pt idx="13">
                  <c:v>69.599999999999994</c:v>
                </c:pt>
                <c:pt idx="14">
                  <c:v>69.400000000000006</c:v>
                </c:pt>
                <c:pt idx="15">
                  <c:v>69.900000000000006</c:v>
                </c:pt>
                <c:pt idx="16">
                  <c:v>67.7</c:v>
                </c:pt>
                <c:pt idx="17">
                  <c:v>68.599999999999994</c:v>
                </c:pt>
                <c:pt idx="18">
                  <c:v>68.599999999999994</c:v>
                </c:pt>
                <c:pt idx="19">
                  <c:v>68.7</c:v>
                </c:pt>
                <c:pt idx="20">
                  <c:v>69.3</c:v>
                </c:pt>
              </c:numCache>
            </c:numRef>
          </c:val>
          <c:extLst>
            <c:ext xmlns:c16="http://schemas.microsoft.com/office/drawing/2014/chart" uri="{C3380CC4-5D6E-409C-BE32-E72D297353CC}">
              <c16:uniqueId val="{00000010-A18D-4C4D-8B70-5E31B72C30C0}"/>
            </c:ext>
          </c:extLst>
        </c:ser>
        <c:dLbls>
          <c:showLegendKey val="0"/>
          <c:showVal val="0"/>
          <c:showCatName val="0"/>
          <c:showSerName val="0"/>
          <c:showPercent val="0"/>
          <c:showBubbleSize val="0"/>
        </c:dLbls>
        <c:gapWidth val="50"/>
        <c:axId val="742060888"/>
        <c:axId val="742073040"/>
      </c:barChart>
      <c:lineChart>
        <c:grouping val="standard"/>
        <c:varyColors val="0"/>
        <c:ser>
          <c:idx val="1"/>
          <c:order val="0"/>
          <c:tx>
            <c:strRef>
              <c:f>Sheet1!$A$2</c:f>
              <c:strCache>
                <c:ptCount val="1"/>
                <c:pt idx="0">
                  <c:v>Ekonomiski aktīvie iedzīvotāji, tūkstošos (kreisā ass)</c:v>
                </c:pt>
              </c:strCache>
            </c:strRef>
          </c:tx>
          <c:spPr>
            <a:ln w="28575" cap="rnd" cmpd="sng" algn="ctr">
              <a:solidFill>
                <a:srgbClr val="006666"/>
              </a:solidFill>
              <a:prstDash val="solid"/>
              <a:round/>
            </a:ln>
            <a:effectLst/>
          </c:spPr>
          <c:marker>
            <c:symbol val="none"/>
          </c:marker>
          <c:dPt>
            <c:idx val="0"/>
            <c:bubble3D val="0"/>
            <c:extLst>
              <c:ext xmlns:c16="http://schemas.microsoft.com/office/drawing/2014/chart" uri="{C3380CC4-5D6E-409C-BE32-E72D297353CC}">
                <c16:uniqueId val="{00000011-A18D-4C4D-8B70-5E31B72C30C0}"/>
              </c:ext>
            </c:extLst>
          </c:dPt>
          <c:dPt>
            <c:idx val="8"/>
            <c:bubble3D val="0"/>
            <c:extLst>
              <c:ext xmlns:c16="http://schemas.microsoft.com/office/drawing/2014/chart" uri="{C3380CC4-5D6E-409C-BE32-E72D297353CC}">
                <c16:uniqueId val="{00000012-A18D-4C4D-8B70-5E31B72C30C0}"/>
              </c:ext>
            </c:extLst>
          </c:dPt>
          <c:dPt>
            <c:idx val="9"/>
            <c:bubble3D val="0"/>
            <c:extLst>
              <c:ext xmlns:c16="http://schemas.microsoft.com/office/drawing/2014/chart" uri="{C3380CC4-5D6E-409C-BE32-E72D297353CC}">
                <c16:uniqueId val="{00000013-A18D-4C4D-8B70-5E31B72C30C0}"/>
              </c:ext>
            </c:extLst>
          </c:dPt>
          <c:dPt>
            <c:idx val="10"/>
            <c:bubble3D val="0"/>
            <c:extLst>
              <c:ext xmlns:c16="http://schemas.microsoft.com/office/drawing/2014/chart" uri="{C3380CC4-5D6E-409C-BE32-E72D297353CC}">
                <c16:uniqueId val="{00000014-A18D-4C4D-8B70-5E31B72C30C0}"/>
              </c:ext>
            </c:extLst>
          </c:dPt>
          <c:dPt>
            <c:idx val="11"/>
            <c:bubble3D val="0"/>
            <c:extLst>
              <c:ext xmlns:c16="http://schemas.microsoft.com/office/drawing/2014/chart" uri="{C3380CC4-5D6E-409C-BE32-E72D297353CC}">
                <c16:uniqueId val="{00000015-A18D-4C4D-8B70-5E31B72C30C0}"/>
              </c:ext>
            </c:extLst>
          </c:dPt>
          <c:dPt>
            <c:idx val="12"/>
            <c:bubble3D val="0"/>
            <c:extLst>
              <c:ext xmlns:c16="http://schemas.microsoft.com/office/drawing/2014/chart" uri="{C3380CC4-5D6E-409C-BE32-E72D297353CC}">
                <c16:uniqueId val="{00000016-A18D-4C4D-8B70-5E31B72C30C0}"/>
              </c:ext>
            </c:extLst>
          </c:dPt>
          <c:dPt>
            <c:idx val="13"/>
            <c:bubble3D val="0"/>
            <c:extLst>
              <c:ext xmlns:c16="http://schemas.microsoft.com/office/drawing/2014/chart" uri="{C3380CC4-5D6E-409C-BE32-E72D297353CC}">
                <c16:uniqueId val="{00000017-A18D-4C4D-8B70-5E31B72C30C0}"/>
              </c:ext>
            </c:extLst>
          </c:dPt>
          <c:dPt>
            <c:idx val="14"/>
            <c:bubble3D val="0"/>
            <c:extLst>
              <c:ext xmlns:c16="http://schemas.microsoft.com/office/drawing/2014/chart" uri="{C3380CC4-5D6E-409C-BE32-E72D297353CC}">
                <c16:uniqueId val="{00000018-A18D-4C4D-8B70-5E31B72C30C0}"/>
              </c:ext>
            </c:extLst>
          </c:dPt>
          <c:dPt>
            <c:idx val="15"/>
            <c:bubble3D val="0"/>
            <c:extLst>
              <c:ext xmlns:c16="http://schemas.microsoft.com/office/drawing/2014/chart" uri="{C3380CC4-5D6E-409C-BE32-E72D297353CC}">
                <c16:uniqueId val="{00000019-A18D-4C4D-8B70-5E31B72C30C0}"/>
              </c:ext>
            </c:extLst>
          </c:dPt>
          <c:dLbls>
            <c:delete val="1"/>
          </c:dLbls>
          <c:cat>
            <c:numRef>
              <c:f>Sheet1!$B$1:$V$1</c:f>
              <c:numCache>
                <c:formatCode>General</c:formatCode>
                <c:ptCount val="21"/>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numCache>
            </c:numRef>
          </c:cat>
          <c:val>
            <c:numRef>
              <c:f>Sheet1!$B$2:$V$2</c:f>
              <c:numCache>
                <c:formatCode>0.0</c:formatCode>
                <c:ptCount val="21"/>
                <c:pt idx="0">
                  <c:v>1080.8</c:v>
                </c:pt>
                <c:pt idx="1">
                  <c:v>1108.9000000000001</c:v>
                </c:pt>
                <c:pt idx="2">
                  <c:v>1125.5</c:v>
                </c:pt>
                <c:pt idx="3">
                  <c:v>1143.4000000000001</c:v>
                </c:pt>
                <c:pt idx="4">
                  <c:v>1101.4000000000001</c:v>
                </c:pt>
                <c:pt idx="5">
                  <c:v>1056.5</c:v>
                </c:pt>
                <c:pt idx="6">
                  <c:v>1028.2</c:v>
                </c:pt>
                <c:pt idx="7">
                  <c:v>1030.7</c:v>
                </c:pt>
                <c:pt idx="8">
                  <c:v>1014.3</c:v>
                </c:pt>
                <c:pt idx="9">
                  <c:v>992.3</c:v>
                </c:pt>
                <c:pt idx="10">
                  <c:v>994.2</c:v>
                </c:pt>
                <c:pt idx="11">
                  <c:v>988.6</c:v>
                </c:pt>
                <c:pt idx="12">
                  <c:v>980.3</c:v>
                </c:pt>
                <c:pt idx="13">
                  <c:v>982.2</c:v>
                </c:pt>
                <c:pt idx="14">
                  <c:v>971.3</c:v>
                </c:pt>
                <c:pt idx="15">
                  <c:v>971.7</c:v>
                </c:pt>
                <c:pt idx="16">
                  <c:v>934.6</c:v>
                </c:pt>
                <c:pt idx="17">
                  <c:v>951.3</c:v>
                </c:pt>
                <c:pt idx="18">
                  <c:v>945.7</c:v>
                </c:pt>
                <c:pt idx="19">
                  <c:v>942.7</c:v>
                </c:pt>
                <c:pt idx="20">
                  <c:v>948.9</c:v>
                </c:pt>
              </c:numCache>
            </c:numRef>
          </c:val>
          <c:smooth val="1"/>
          <c:extLst>
            <c:ext xmlns:c16="http://schemas.microsoft.com/office/drawing/2014/chart" uri="{C3380CC4-5D6E-409C-BE32-E72D297353CC}">
              <c16:uniqueId val="{0000001A-A18D-4C4D-8B70-5E31B72C30C0}"/>
            </c:ext>
          </c:extLst>
        </c:ser>
        <c:dLbls>
          <c:showLegendKey val="0"/>
          <c:showVal val="1"/>
          <c:showCatName val="0"/>
          <c:showSerName val="0"/>
          <c:showPercent val="0"/>
          <c:showBubbleSize val="0"/>
        </c:dLbls>
        <c:marker val="1"/>
        <c:smooth val="0"/>
        <c:axId val="742071472"/>
        <c:axId val="742063240"/>
      </c:lineChart>
      <c:catAx>
        <c:axId val="742071472"/>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en-US"/>
          </a:p>
        </c:txPr>
        <c:crossAx val="742063240"/>
        <c:crosses val="autoZero"/>
        <c:auto val="0"/>
        <c:lblAlgn val="ctr"/>
        <c:lblOffset val="100"/>
        <c:tickLblSkip val="1"/>
        <c:tickMarkSkip val="1"/>
        <c:noMultiLvlLbl val="0"/>
      </c:catAx>
      <c:valAx>
        <c:axId val="742063240"/>
        <c:scaling>
          <c:orientation val="minMax"/>
          <c:max val="1200"/>
          <c:min val="900"/>
        </c:scaling>
        <c:delete val="0"/>
        <c:axPos val="l"/>
        <c:numFmt formatCode="0" sourceLinked="0"/>
        <c:majorTickMark val="out"/>
        <c:minorTickMark val="none"/>
        <c:tickLblPos val="nextTo"/>
        <c:spPr>
          <a:noFill/>
          <a:ln w="3175" cap="flat" cmpd="sng" algn="ctr">
            <a:noFill/>
            <a:prstDash val="solid"/>
            <a:round/>
          </a:ln>
          <a:effectLst/>
        </c:spPr>
        <c:txPr>
          <a:bodyPr rot="0"/>
          <a:lstStyle/>
          <a:p>
            <a:pPr>
              <a:defRPr/>
            </a:pPr>
            <a:endParaRPr lang="en-US"/>
          </a:p>
        </c:txPr>
        <c:crossAx val="742071472"/>
        <c:crosses val="autoZero"/>
        <c:crossBetween val="between"/>
        <c:majorUnit val="50"/>
      </c:valAx>
      <c:valAx>
        <c:axId val="742073040"/>
        <c:scaling>
          <c:orientation val="minMax"/>
          <c:max val="72"/>
          <c:min val="60"/>
        </c:scaling>
        <c:delete val="0"/>
        <c:axPos val="r"/>
        <c:numFmt formatCode="0" sourceLinked="0"/>
        <c:majorTickMark val="out"/>
        <c:minorTickMark val="none"/>
        <c:tickLblPos val="nextTo"/>
        <c:spPr>
          <a:noFill/>
          <a:ln w="3175" cap="flat" cmpd="sng" algn="ctr">
            <a:noFill/>
            <a:prstDash val="solid"/>
            <a:round/>
          </a:ln>
          <a:effectLst/>
        </c:spPr>
        <c:txPr>
          <a:bodyPr rot="-60000000" vert="horz"/>
          <a:lstStyle/>
          <a:p>
            <a:pPr>
              <a:defRPr/>
            </a:pPr>
            <a:endParaRPr lang="en-US"/>
          </a:p>
        </c:txPr>
        <c:crossAx val="742060888"/>
        <c:crosses val="max"/>
        <c:crossBetween val="between"/>
        <c:majorUnit val="3"/>
      </c:valAx>
      <c:catAx>
        <c:axId val="742060888"/>
        <c:scaling>
          <c:orientation val="minMax"/>
        </c:scaling>
        <c:delete val="1"/>
        <c:axPos val="b"/>
        <c:numFmt formatCode="General" sourceLinked="1"/>
        <c:majorTickMark val="out"/>
        <c:minorTickMark val="none"/>
        <c:tickLblPos val="nextTo"/>
        <c:crossAx val="742073040"/>
        <c:crosses val="autoZero"/>
        <c:auto val="1"/>
        <c:lblAlgn val="ctr"/>
        <c:lblOffset val="100"/>
        <c:noMultiLvlLbl val="0"/>
      </c:catAx>
      <c:spPr>
        <a:solidFill>
          <a:schemeClr val="bg1"/>
        </a:solidFill>
        <a:ln w="25799">
          <a:noFill/>
        </a:ln>
        <a:effectLst/>
      </c:spPr>
    </c:plotArea>
    <c:legend>
      <c:legendPos val="l"/>
      <c:layout>
        <c:manualLayout>
          <c:xMode val="edge"/>
          <c:yMode val="edge"/>
          <c:x val="8.1389889659602907E-2"/>
          <c:y val="3.2960199292936074E-2"/>
          <c:w val="0.88872930574968112"/>
          <c:h val="0.1153759778851519"/>
        </c:manualLayout>
      </c:layout>
      <c:overlay val="1"/>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0"/>
          <c:tx>
            <c:strRef>
              <c:f>Sheet1!$C$1</c:f>
              <c:strCache>
                <c:ptCount val="1"/>
                <c:pt idx="0">
                  <c:v>2025.gads</c:v>
                </c:pt>
              </c:strCache>
            </c:strRef>
          </c:tx>
          <c:spPr>
            <a:solidFill>
              <a:srgbClr val="4BACC6">
                <a:lumMod val="75000"/>
              </a:srgbClr>
            </a:solidFill>
            <a:ln w="6350">
              <a:solidFill>
                <a:srgbClr val="4BACC6">
                  <a:lumMod val="75000"/>
                </a:srgbClr>
              </a:solidFill>
            </a:ln>
          </c:spPr>
          <c:invertIfNegative val="0"/>
          <c:dPt>
            <c:idx val="4"/>
            <c:invertIfNegative val="0"/>
            <c:bubble3D val="0"/>
            <c:extLst>
              <c:ext xmlns:c16="http://schemas.microsoft.com/office/drawing/2014/chart" uri="{C3380CC4-5D6E-409C-BE32-E72D297353CC}">
                <c16:uniqueId val="{00000000-62B8-499D-A099-E7CC495760BD}"/>
              </c:ext>
            </c:extLst>
          </c:dPt>
          <c:dPt>
            <c:idx val="5"/>
            <c:invertIfNegative val="0"/>
            <c:bubble3D val="0"/>
            <c:extLst>
              <c:ext xmlns:c16="http://schemas.microsoft.com/office/drawing/2014/chart" uri="{C3380CC4-5D6E-409C-BE32-E72D297353CC}">
                <c16:uniqueId val="{00000001-62B8-499D-A099-E7CC495760BD}"/>
              </c:ext>
            </c:extLst>
          </c:dPt>
          <c:dPt>
            <c:idx val="7"/>
            <c:invertIfNegative val="0"/>
            <c:bubble3D val="0"/>
            <c:extLst>
              <c:ext xmlns:c16="http://schemas.microsoft.com/office/drawing/2014/chart" uri="{C3380CC4-5D6E-409C-BE32-E72D297353CC}">
                <c16:uniqueId val="{00000002-62B8-499D-A099-E7CC495760BD}"/>
              </c:ext>
            </c:extLst>
          </c:dPt>
          <c:dPt>
            <c:idx val="9"/>
            <c:invertIfNegative val="0"/>
            <c:bubble3D val="0"/>
            <c:spPr>
              <a:solidFill>
                <a:srgbClr val="C0504D"/>
              </a:solidFill>
              <a:ln w="6350">
                <a:solidFill>
                  <a:srgbClr val="4BACC6">
                    <a:lumMod val="75000"/>
                  </a:srgbClr>
                </a:solidFill>
              </a:ln>
            </c:spPr>
            <c:extLst>
              <c:ext xmlns:c16="http://schemas.microsoft.com/office/drawing/2014/chart" uri="{C3380CC4-5D6E-409C-BE32-E72D297353CC}">
                <c16:uniqueId val="{00000004-62B8-499D-A099-E7CC495760BD}"/>
              </c:ext>
            </c:extLst>
          </c:dPt>
          <c:dPt>
            <c:idx val="10"/>
            <c:invertIfNegative val="0"/>
            <c:bubble3D val="0"/>
            <c:extLst>
              <c:ext xmlns:c16="http://schemas.microsoft.com/office/drawing/2014/chart" uri="{C3380CC4-5D6E-409C-BE32-E72D297353CC}">
                <c16:uniqueId val="{00000005-62B8-499D-A099-E7CC495760BD}"/>
              </c:ext>
            </c:extLst>
          </c:dPt>
          <c:dPt>
            <c:idx val="11"/>
            <c:invertIfNegative val="0"/>
            <c:bubble3D val="0"/>
            <c:extLst>
              <c:ext xmlns:c16="http://schemas.microsoft.com/office/drawing/2014/chart" uri="{C3380CC4-5D6E-409C-BE32-E72D297353CC}">
                <c16:uniqueId val="{00000006-62B8-499D-A099-E7CC495760BD}"/>
              </c:ext>
            </c:extLst>
          </c:dPt>
          <c:dPt>
            <c:idx val="15"/>
            <c:invertIfNegative val="0"/>
            <c:bubble3D val="0"/>
            <c:extLst>
              <c:ext xmlns:c16="http://schemas.microsoft.com/office/drawing/2014/chart" uri="{C3380CC4-5D6E-409C-BE32-E72D297353CC}">
                <c16:uniqueId val="{00000007-62B8-499D-A099-E7CC495760BD}"/>
              </c:ext>
            </c:extLst>
          </c:dPt>
          <c:dPt>
            <c:idx val="16"/>
            <c:invertIfNegative val="0"/>
            <c:bubble3D val="0"/>
            <c:extLst>
              <c:ext xmlns:c16="http://schemas.microsoft.com/office/drawing/2014/chart" uri="{C3380CC4-5D6E-409C-BE32-E72D297353CC}">
                <c16:uniqueId val="{00000008-62B8-499D-A099-E7CC495760BD}"/>
              </c:ext>
            </c:extLst>
          </c:dPt>
          <c:dPt>
            <c:idx val="17"/>
            <c:invertIfNegative val="0"/>
            <c:bubble3D val="0"/>
            <c:spPr>
              <a:solidFill>
                <a:srgbClr val="4F81BD">
                  <a:lumMod val="75000"/>
                </a:srgbClr>
              </a:solidFill>
              <a:ln w="6350">
                <a:solidFill>
                  <a:srgbClr val="4BACC6">
                    <a:lumMod val="75000"/>
                  </a:srgbClr>
                </a:solidFill>
              </a:ln>
            </c:spPr>
            <c:extLst>
              <c:ext xmlns:c16="http://schemas.microsoft.com/office/drawing/2014/chart" uri="{C3380CC4-5D6E-409C-BE32-E72D297353CC}">
                <c16:uniqueId val="{0000000A-62B8-499D-A099-E7CC495760BD}"/>
              </c:ext>
            </c:extLst>
          </c:dPt>
          <c:dPt>
            <c:idx val="19"/>
            <c:invertIfNegative val="0"/>
            <c:bubble3D val="0"/>
            <c:extLst>
              <c:ext xmlns:c16="http://schemas.microsoft.com/office/drawing/2014/chart" uri="{C3380CC4-5D6E-409C-BE32-E72D297353CC}">
                <c16:uniqueId val="{0000000B-62B8-499D-A099-E7CC495760BD}"/>
              </c:ext>
            </c:extLst>
          </c:dPt>
          <c:dLbls>
            <c:numFmt formatCode="#,##0" sourceLinked="0"/>
            <c:spPr>
              <a:noFill/>
              <a:ln>
                <a:noFill/>
              </a:ln>
              <a:effectLst/>
            </c:spPr>
            <c:txPr>
              <a:bodyPr/>
              <a:lstStyle/>
              <a:p>
                <a:pPr>
                  <a:defRPr>
                    <a:solidFill>
                      <a:schemeClr val="bg1"/>
                    </a:solidFill>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Nīderlande</c:v>
                </c:pt>
                <c:pt idx="1">
                  <c:v>Zviedrija</c:v>
                </c:pt>
                <c:pt idx="2">
                  <c:v>Igaunija</c:v>
                </c:pt>
                <c:pt idx="3">
                  <c:v>Dānija</c:v>
                </c:pt>
                <c:pt idx="4">
                  <c:v>Malta</c:v>
                </c:pt>
                <c:pt idx="5">
                  <c:v>Īrija</c:v>
                </c:pt>
                <c:pt idx="6">
                  <c:v>Kipra</c:v>
                </c:pt>
                <c:pt idx="7">
                  <c:v>Lietuva</c:v>
                </c:pt>
                <c:pt idx="8">
                  <c:v>Vācija</c:v>
                </c:pt>
                <c:pt idx="9">
                  <c:v>Latvija</c:v>
                </c:pt>
                <c:pt idx="10">
                  <c:v>Austrija</c:v>
                </c:pt>
                <c:pt idx="11">
                  <c:v>Somija</c:v>
                </c:pt>
                <c:pt idx="12">
                  <c:v>Portugāle</c:v>
                </c:pt>
                <c:pt idx="13">
                  <c:v>Čehija</c:v>
                </c:pt>
                <c:pt idx="14">
                  <c:v>Ungārija</c:v>
                </c:pt>
                <c:pt idx="15">
                  <c:v>Luksemburga</c:v>
                </c:pt>
                <c:pt idx="16">
                  <c:v>Slovākija</c:v>
                </c:pt>
                <c:pt idx="17">
                  <c:v>ES27</c:v>
                </c:pt>
                <c:pt idx="18">
                  <c:v>Spānija</c:v>
                </c:pt>
                <c:pt idx="19">
                  <c:v>Slovēnija</c:v>
                </c:pt>
                <c:pt idx="20">
                  <c:v>Francija</c:v>
                </c:pt>
                <c:pt idx="21">
                  <c:v>Polija</c:v>
                </c:pt>
                <c:pt idx="22">
                  <c:v>Bulgārija</c:v>
                </c:pt>
                <c:pt idx="23">
                  <c:v>Beļģija</c:v>
                </c:pt>
                <c:pt idx="24">
                  <c:v>Grieķija</c:v>
                </c:pt>
                <c:pt idx="25">
                  <c:v>Horvātija</c:v>
                </c:pt>
                <c:pt idx="26">
                  <c:v>Itālija</c:v>
                </c:pt>
                <c:pt idx="27">
                  <c:v>Rumānija</c:v>
                </c:pt>
              </c:strCache>
            </c:strRef>
          </c:cat>
          <c:val>
            <c:numRef>
              <c:f>Sheet1!$C$2:$C$29</c:f>
              <c:numCache>
                <c:formatCode>#\ ##0.##########</c:formatCode>
                <c:ptCount val="28"/>
                <c:pt idx="0">
                  <c:v>76.2</c:v>
                </c:pt>
                <c:pt idx="1">
                  <c:v>75.7</c:v>
                </c:pt>
                <c:pt idx="2">
                  <c:v>74.099999999999994</c:v>
                </c:pt>
                <c:pt idx="3" formatCode="#\ ##0.0">
                  <c:v>74</c:v>
                </c:pt>
                <c:pt idx="4">
                  <c:v>73.8</c:v>
                </c:pt>
                <c:pt idx="5">
                  <c:v>71.900000000000006</c:v>
                </c:pt>
                <c:pt idx="6">
                  <c:v>71.900000000000006</c:v>
                </c:pt>
                <c:pt idx="7">
                  <c:v>70.7</c:v>
                </c:pt>
                <c:pt idx="8">
                  <c:v>70.3</c:v>
                </c:pt>
                <c:pt idx="9" formatCode="General">
                  <c:v>69.3</c:v>
                </c:pt>
                <c:pt idx="10">
                  <c:v>69.2</c:v>
                </c:pt>
                <c:pt idx="11">
                  <c:v>69.2</c:v>
                </c:pt>
                <c:pt idx="12">
                  <c:v>68.599999999999994</c:v>
                </c:pt>
                <c:pt idx="13">
                  <c:v>68.3</c:v>
                </c:pt>
                <c:pt idx="14">
                  <c:v>68.2</c:v>
                </c:pt>
                <c:pt idx="15">
                  <c:v>67.400000000000006</c:v>
                </c:pt>
                <c:pt idx="16">
                  <c:v>66.599999999999994</c:v>
                </c:pt>
                <c:pt idx="17">
                  <c:v>65.900000000000006</c:v>
                </c:pt>
                <c:pt idx="18">
                  <c:v>65.599999999999994</c:v>
                </c:pt>
                <c:pt idx="19">
                  <c:v>65.400000000000006</c:v>
                </c:pt>
                <c:pt idx="20">
                  <c:v>64.900000000000006</c:v>
                </c:pt>
                <c:pt idx="21">
                  <c:v>64.3</c:v>
                </c:pt>
                <c:pt idx="22">
                  <c:v>62.9</c:v>
                </c:pt>
                <c:pt idx="23">
                  <c:v>62.7</c:v>
                </c:pt>
                <c:pt idx="24">
                  <c:v>61.3</c:v>
                </c:pt>
                <c:pt idx="25">
                  <c:v>60.6</c:v>
                </c:pt>
                <c:pt idx="26">
                  <c:v>58.1</c:v>
                </c:pt>
                <c:pt idx="27" formatCode="#\ ##0.0">
                  <c:v>57</c:v>
                </c:pt>
              </c:numCache>
            </c:numRef>
          </c:val>
          <c:extLst>
            <c:ext xmlns:c16="http://schemas.microsoft.com/office/drawing/2014/chart" uri="{C3380CC4-5D6E-409C-BE32-E72D297353CC}">
              <c16:uniqueId val="{0000000C-62B8-499D-A099-E7CC495760BD}"/>
            </c:ext>
          </c:extLst>
        </c:ser>
        <c:dLbls>
          <c:showLegendKey val="0"/>
          <c:showVal val="0"/>
          <c:showCatName val="0"/>
          <c:showSerName val="0"/>
          <c:showPercent val="0"/>
          <c:showBubbleSize val="0"/>
        </c:dLbls>
        <c:gapWidth val="40"/>
        <c:axId val="742147520"/>
        <c:axId val="742148304"/>
      </c:barChart>
      <c:lineChart>
        <c:grouping val="stacked"/>
        <c:varyColors val="0"/>
        <c:ser>
          <c:idx val="1"/>
          <c:order val="1"/>
          <c:tx>
            <c:strRef>
              <c:f>Sheet1!$B$1</c:f>
              <c:strCache>
                <c:ptCount val="1"/>
                <c:pt idx="0">
                  <c:v>2010.gads</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Nīderlande</c:v>
                </c:pt>
                <c:pt idx="1">
                  <c:v>Zviedrija</c:v>
                </c:pt>
                <c:pt idx="2">
                  <c:v>Igaunija</c:v>
                </c:pt>
                <c:pt idx="3">
                  <c:v>Dānija</c:v>
                </c:pt>
                <c:pt idx="4">
                  <c:v>Malta</c:v>
                </c:pt>
                <c:pt idx="5">
                  <c:v>Īrija</c:v>
                </c:pt>
                <c:pt idx="6">
                  <c:v>Kipra</c:v>
                </c:pt>
                <c:pt idx="7">
                  <c:v>Lietuva</c:v>
                </c:pt>
                <c:pt idx="8">
                  <c:v>Vācija</c:v>
                </c:pt>
                <c:pt idx="9">
                  <c:v>Latvija</c:v>
                </c:pt>
                <c:pt idx="10">
                  <c:v>Austrija</c:v>
                </c:pt>
                <c:pt idx="11">
                  <c:v>Somija</c:v>
                </c:pt>
                <c:pt idx="12">
                  <c:v>Portugāle</c:v>
                </c:pt>
                <c:pt idx="13">
                  <c:v>Čehija</c:v>
                </c:pt>
                <c:pt idx="14">
                  <c:v>Ungārija</c:v>
                </c:pt>
                <c:pt idx="15">
                  <c:v>Luksemburga</c:v>
                </c:pt>
                <c:pt idx="16">
                  <c:v>Slovākija</c:v>
                </c:pt>
                <c:pt idx="17">
                  <c:v>ES27</c:v>
                </c:pt>
                <c:pt idx="18">
                  <c:v>Spānija</c:v>
                </c:pt>
                <c:pt idx="19">
                  <c:v>Slovēnija</c:v>
                </c:pt>
                <c:pt idx="20">
                  <c:v>Francija</c:v>
                </c:pt>
                <c:pt idx="21">
                  <c:v>Polija</c:v>
                </c:pt>
                <c:pt idx="22">
                  <c:v>Bulgārija</c:v>
                </c:pt>
                <c:pt idx="23">
                  <c:v>Beļģija</c:v>
                </c:pt>
                <c:pt idx="24">
                  <c:v>Grieķija</c:v>
                </c:pt>
                <c:pt idx="25">
                  <c:v>Horvātija</c:v>
                </c:pt>
                <c:pt idx="26">
                  <c:v>Itālija</c:v>
                </c:pt>
                <c:pt idx="27">
                  <c:v>Rumānija</c:v>
                </c:pt>
              </c:strCache>
            </c:strRef>
          </c:cat>
          <c:val>
            <c:numRef>
              <c:f>Sheet1!$B$2:$B$29</c:f>
              <c:numCache>
                <c:formatCode>#\ ##0.##########</c:formatCode>
                <c:ptCount val="28"/>
                <c:pt idx="0">
                  <c:v>70.2</c:v>
                </c:pt>
                <c:pt idx="1">
                  <c:v>70.5</c:v>
                </c:pt>
                <c:pt idx="2">
                  <c:v>66.599999999999994</c:v>
                </c:pt>
                <c:pt idx="3">
                  <c:v>69.5</c:v>
                </c:pt>
                <c:pt idx="4">
                  <c:v>54.3</c:v>
                </c:pt>
                <c:pt idx="5">
                  <c:v>66.5</c:v>
                </c:pt>
                <c:pt idx="6" formatCode="#\ ##0.0">
                  <c:v>68</c:v>
                </c:pt>
                <c:pt idx="7">
                  <c:v>62.5</c:v>
                </c:pt>
                <c:pt idx="8">
                  <c:v>65.8</c:v>
                </c:pt>
                <c:pt idx="9" formatCode="General">
                  <c:v>64.599999999999994</c:v>
                </c:pt>
                <c:pt idx="10">
                  <c:v>66.099999999999994</c:v>
                </c:pt>
                <c:pt idx="11">
                  <c:v>66.400000000000006</c:v>
                </c:pt>
                <c:pt idx="12">
                  <c:v>67.099999999999994</c:v>
                </c:pt>
                <c:pt idx="13">
                  <c:v>63.1</c:v>
                </c:pt>
                <c:pt idx="14">
                  <c:v>54.8</c:v>
                </c:pt>
                <c:pt idx="15" formatCode="#\ ##0.0">
                  <c:v>61</c:v>
                </c:pt>
                <c:pt idx="16">
                  <c:v>62.8</c:v>
                </c:pt>
                <c:pt idx="17">
                  <c:v>62.5</c:v>
                </c:pt>
                <c:pt idx="18">
                  <c:v>66.099999999999994</c:v>
                </c:pt>
                <c:pt idx="19">
                  <c:v>64.3</c:v>
                </c:pt>
                <c:pt idx="20">
                  <c:v>62.9</c:v>
                </c:pt>
                <c:pt idx="21">
                  <c:v>59.7</c:v>
                </c:pt>
                <c:pt idx="22">
                  <c:v>58.8</c:v>
                </c:pt>
                <c:pt idx="23">
                  <c:v>60.3</c:v>
                </c:pt>
                <c:pt idx="24" formatCode="#\ ##0.0">
                  <c:v>60</c:v>
                </c:pt>
                <c:pt idx="25">
                  <c:v>57.6</c:v>
                </c:pt>
                <c:pt idx="26">
                  <c:v>54.3</c:v>
                </c:pt>
                <c:pt idx="27" formatCode="#\ ##0.0">
                  <c:v>60</c:v>
                </c:pt>
              </c:numCache>
            </c:numRef>
          </c:val>
          <c:smooth val="0"/>
          <c:extLst>
            <c:ext xmlns:c16="http://schemas.microsoft.com/office/drawing/2014/chart" uri="{C3380CC4-5D6E-409C-BE32-E72D297353CC}">
              <c16:uniqueId val="{0000000D-62B8-499D-A099-E7CC495760BD}"/>
            </c:ext>
          </c:extLst>
        </c:ser>
        <c:dLbls>
          <c:showLegendKey val="0"/>
          <c:showVal val="0"/>
          <c:showCatName val="0"/>
          <c:showSerName val="0"/>
          <c:showPercent val="0"/>
          <c:showBubbleSize val="0"/>
        </c:dLbls>
        <c:marker val="1"/>
        <c:smooth val="0"/>
        <c:axId val="742147520"/>
        <c:axId val="742148304"/>
      </c:lineChart>
      <c:catAx>
        <c:axId val="742147520"/>
        <c:scaling>
          <c:orientation val="minMax"/>
        </c:scaling>
        <c:delete val="0"/>
        <c:axPos val="b"/>
        <c:numFmt formatCode="General" sourceLinked="1"/>
        <c:majorTickMark val="out"/>
        <c:minorTickMark val="none"/>
        <c:tickLblPos val="low"/>
        <c:spPr>
          <a:ln/>
        </c:spPr>
        <c:txPr>
          <a:bodyPr rot="-5400000" vert="horz"/>
          <a:lstStyle/>
          <a:p>
            <a:pPr>
              <a:defRPr>
                <a:solidFill>
                  <a:sysClr val="windowText" lastClr="000000"/>
                </a:solidFill>
              </a:defRPr>
            </a:pPr>
            <a:endParaRPr lang="en-US"/>
          </a:p>
        </c:txPr>
        <c:crossAx val="742148304"/>
        <c:crosses val="autoZero"/>
        <c:auto val="0"/>
        <c:lblAlgn val="ctr"/>
        <c:lblOffset val="0"/>
        <c:tickLblSkip val="1"/>
        <c:noMultiLvlLbl val="0"/>
      </c:catAx>
      <c:valAx>
        <c:axId val="742148304"/>
        <c:scaling>
          <c:orientation val="minMax"/>
          <c:min val="50"/>
        </c:scaling>
        <c:delete val="0"/>
        <c:axPos val="l"/>
        <c:numFmt formatCode="#,##0" sourceLinked="0"/>
        <c:majorTickMark val="out"/>
        <c:minorTickMark val="none"/>
        <c:tickLblPos val="nextTo"/>
        <c:spPr>
          <a:ln w="6350">
            <a:noFill/>
          </a:ln>
        </c:spPr>
        <c:txPr>
          <a:bodyPr rot="0" vert="horz"/>
          <a:lstStyle/>
          <a:p>
            <a:pPr>
              <a:defRPr/>
            </a:pPr>
            <a:endParaRPr lang="en-US"/>
          </a:p>
        </c:txPr>
        <c:crossAx val="742147520"/>
        <c:crosses val="autoZero"/>
        <c:crossBetween val="between"/>
      </c:valAx>
      <c:spPr>
        <a:noFill/>
        <a:ln w="6350">
          <a:noFill/>
        </a:ln>
      </c:spPr>
    </c:plotArea>
    <c:legend>
      <c:legendPos val="t"/>
      <c:layout>
        <c:manualLayout>
          <c:xMode val="edge"/>
          <c:yMode val="edge"/>
          <c:x val="0.72095035179426104"/>
          <c:y val="7.4607977736978706E-2"/>
          <c:w val="0.1368575124360833"/>
          <c:h val="0.17486797537546853"/>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en-US"/>
    </a:p>
  </c:txPr>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589170840965731E-2"/>
          <c:y val="2.9322738259412468E-2"/>
          <c:w val="0.74799086718349839"/>
          <c:h val="0.85858406618687544"/>
        </c:manualLayout>
      </c:layout>
      <c:barChart>
        <c:barDir val="col"/>
        <c:grouping val="percentStacked"/>
        <c:varyColors val="0"/>
        <c:ser>
          <c:idx val="0"/>
          <c:order val="0"/>
          <c:tx>
            <c:strRef>
              <c:f>Sheet1!$A$2</c:f>
              <c:strCache>
                <c:ptCount val="1"/>
                <c:pt idx="0">
                  <c:v>Pamata izglītība</c:v>
                </c:pt>
              </c:strCache>
            </c:strRef>
          </c:tx>
          <c:invertIfNegative val="0"/>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Sheet1!$E$1:$Y$1</c:f>
              <c:numCache>
                <c:formatCode>General</c:formatCode>
                <c:ptCount val="21"/>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numCache>
            </c:numRef>
          </c:cat>
          <c:val>
            <c:numRef>
              <c:f>Sheet1!$E$2:$Y$2</c:f>
              <c:numCache>
                <c:formatCode>0</c:formatCode>
                <c:ptCount val="21"/>
                <c:pt idx="0">
                  <c:v>14.498519615099925</c:v>
                </c:pt>
                <c:pt idx="1">
                  <c:v>15.204256470376047</c:v>
                </c:pt>
                <c:pt idx="2">
                  <c:v>14.80231008440693</c:v>
                </c:pt>
                <c:pt idx="3">
                  <c:v>13.41612733951373</c:v>
                </c:pt>
                <c:pt idx="4">
                  <c:v>12.520428545487562</c:v>
                </c:pt>
                <c:pt idx="5">
                  <c:v>11.140558447704686</c:v>
                </c:pt>
                <c:pt idx="6">
                  <c:v>11.184594436879983</c:v>
                </c:pt>
                <c:pt idx="7">
                  <c:v>10.20665567090327</c:v>
                </c:pt>
                <c:pt idx="8">
                  <c:v>9.5533865720201128</c:v>
                </c:pt>
                <c:pt idx="9">
                  <c:v>9.3419328832006467</c:v>
                </c:pt>
                <c:pt idx="10">
                  <c:v>9.112854556427278</c:v>
                </c:pt>
                <c:pt idx="11">
                  <c:v>8.6587092858587908</c:v>
                </c:pt>
                <c:pt idx="12">
                  <c:v>8.6300112210547795</c:v>
                </c:pt>
                <c:pt idx="13">
                  <c:v>8.2467929138668303</c:v>
                </c:pt>
                <c:pt idx="14">
                  <c:v>8.0613610624935657</c:v>
                </c:pt>
                <c:pt idx="15">
                  <c:v>8.0168776371308024</c:v>
                </c:pt>
                <c:pt idx="16">
                  <c:v>7.0083458163920396</c:v>
                </c:pt>
                <c:pt idx="17">
                  <c:v>7.2006727635866712</c:v>
                </c:pt>
                <c:pt idx="18">
                  <c:v>7.8354657925346292</c:v>
                </c:pt>
                <c:pt idx="19">
                  <c:v>7.9240479473851693</c:v>
                </c:pt>
                <c:pt idx="20">
                  <c:v>7.7774264938349669</c:v>
                </c:pt>
              </c:numCache>
            </c:numRef>
          </c:val>
          <c:extLst>
            <c:ext xmlns:c16="http://schemas.microsoft.com/office/drawing/2014/chart" uri="{C3380CC4-5D6E-409C-BE32-E72D297353CC}">
              <c16:uniqueId val="{00000000-A775-46F9-8552-C16EFE3E8961}"/>
            </c:ext>
          </c:extLst>
        </c:ser>
        <c:ser>
          <c:idx val="1"/>
          <c:order val="1"/>
          <c:tx>
            <c:strRef>
              <c:f>Sheet1!$A$3</c:f>
              <c:strCache>
                <c:ptCount val="1"/>
                <c:pt idx="0">
                  <c:v>Vidējā vispārējā izglītība</c:v>
                </c:pt>
              </c:strCache>
            </c:strRef>
          </c:tx>
          <c:invertIfNegative val="0"/>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Sheet1!$E$1:$Y$1</c:f>
              <c:numCache>
                <c:formatCode>General</c:formatCode>
                <c:ptCount val="21"/>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numCache>
            </c:numRef>
          </c:cat>
          <c:val>
            <c:numRef>
              <c:f>Sheet1!$E$3:$Y$3</c:f>
              <c:numCache>
                <c:formatCode>0</c:formatCode>
                <c:ptCount val="21"/>
                <c:pt idx="0">
                  <c:v>26.054774241302741</c:v>
                </c:pt>
                <c:pt idx="1">
                  <c:v>25.547840202001982</c:v>
                </c:pt>
                <c:pt idx="2">
                  <c:v>26.352732119058196</c:v>
                </c:pt>
                <c:pt idx="3">
                  <c:v>25.651565506384465</c:v>
                </c:pt>
                <c:pt idx="4">
                  <c:v>25.685491193027055</c:v>
                </c:pt>
                <c:pt idx="5">
                  <c:v>25.177472787505916</c:v>
                </c:pt>
                <c:pt idx="6">
                  <c:v>24.265707060883095</c:v>
                </c:pt>
                <c:pt idx="7">
                  <c:v>24.381488308916271</c:v>
                </c:pt>
                <c:pt idx="8">
                  <c:v>24.312333629103815</c:v>
                </c:pt>
                <c:pt idx="9">
                  <c:v>24.538949914340421</c:v>
                </c:pt>
                <c:pt idx="10">
                  <c:v>23.305169985918326</c:v>
                </c:pt>
                <c:pt idx="11">
                  <c:v>23.477645154764311</c:v>
                </c:pt>
                <c:pt idx="12">
                  <c:v>25.237172294195659</c:v>
                </c:pt>
                <c:pt idx="13">
                  <c:v>25.066177967827326</c:v>
                </c:pt>
                <c:pt idx="14">
                  <c:v>24.637084319983529</c:v>
                </c:pt>
                <c:pt idx="15">
                  <c:v>23.381702171452094</c:v>
                </c:pt>
                <c:pt idx="16">
                  <c:v>21.132035095227906</c:v>
                </c:pt>
                <c:pt idx="17">
                  <c:v>21.623042152843478</c:v>
                </c:pt>
                <c:pt idx="18">
                  <c:v>22.491276303267419</c:v>
                </c:pt>
                <c:pt idx="19">
                  <c:v>22.350694812771824</c:v>
                </c:pt>
                <c:pt idx="20">
                  <c:v>21.719886184002529</c:v>
                </c:pt>
              </c:numCache>
            </c:numRef>
          </c:val>
          <c:extLst>
            <c:ext xmlns:c16="http://schemas.microsoft.com/office/drawing/2014/chart" uri="{C3380CC4-5D6E-409C-BE32-E72D297353CC}">
              <c16:uniqueId val="{00000001-A775-46F9-8552-C16EFE3E8961}"/>
            </c:ext>
          </c:extLst>
        </c:ser>
        <c:ser>
          <c:idx val="2"/>
          <c:order val="2"/>
          <c:tx>
            <c:strRef>
              <c:f>Sheet1!$A$4</c:f>
              <c:strCache>
                <c:ptCount val="1"/>
                <c:pt idx="0">
                  <c:v>Vidējā profesionālā izglītība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Sheet1!$E$1:$Y$1</c:f>
              <c:numCache>
                <c:formatCode>General</c:formatCode>
                <c:ptCount val="21"/>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numCache>
            </c:numRef>
          </c:cat>
          <c:val>
            <c:numRef>
              <c:f>Sheet1!$E$4:$Y$4</c:f>
              <c:numCache>
                <c:formatCode>0</c:formatCode>
                <c:ptCount val="21"/>
                <c:pt idx="0">
                  <c:v>37.629533678756474</c:v>
                </c:pt>
                <c:pt idx="1">
                  <c:v>36.793218504824601</c:v>
                </c:pt>
                <c:pt idx="2">
                  <c:v>35.450910706352737</c:v>
                </c:pt>
                <c:pt idx="3">
                  <c:v>35.175791499037949</c:v>
                </c:pt>
                <c:pt idx="4">
                  <c:v>35.364082077356088</c:v>
                </c:pt>
                <c:pt idx="5">
                  <c:v>35.65546616185518</c:v>
                </c:pt>
                <c:pt idx="6">
                  <c:v>35.158529468974905</c:v>
                </c:pt>
                <c:pt idx="7">
                  <c:v>34.306781798777529</c:v>
                </c:pt>
                <c:pt idx="8">
                  <c:v>33.106575963718825</c:v>
                </c:pt>
                <c:pt idx="9">
                  <c:v>33.890960395041823</c:v>
                </c:pt>
                <c:pt idx="10">
                  <c:v>34.148058740696037</c:v>
                </c:pt>
                <c:pt idx="11">
                  <c:v>32.652235484523565</c:v>
                </c:pt>
                <c:pt idx="12">
                  <c:v>30.653881464857697</c:v>
                </c:pt>
                <c:pt idx="13">
                  <c:v>30.737120749338214</c:v>
                </c:pt>
                <c:pt idx="14">
                  <c:v>29.620096777514672</c:v>
                </c:pt>
                <c:pt idx="15">
                  <c:v>29.649068642585164</c:v>
                </c:pt>
                <c:pt idx="16">
                  <c:v>31.35031029317355</c:v>
                </c:pt>
                <c:pt idx="17">
                  <c:v>30.768422159150639</c:v>
                </c:pt>
                <c:pt idx="18">
                  <c:v>29.449085333615312</c:v>
                </c:pt>
                <c:pt idx="19">
                  <c:v>28.354725787631274</c:v>
                </c:pt>
                <c:pt idx="20">
                  <c:v>28.928232690483718</c:v>
                </c:pt>
              </c:numCache>
            </c:numRef>
          </c:val>
          <c:extLst>
            <c:ext xmlns:c16="http://schemas.microsoft.com/office/drawing/2014/chart" uri="{C3380CC4-5D6E-409C-BE32-E72D297353CC}">
              <c16:uniqueId val="{00000002-A775-46F9-8552-C16EFE3E8961}"/>
            </c:ext>
          </c:extLst>
        </c:ser>
        <c:ser>
          <c:idx val="3"/>
          <c:order val="3"/>
          <c:tx>
            <c:strRef>
              <c:f>Sheet1!$A$5</c:f>
              <c:strCache>
                <c:ptCount val="1"/>
                <c:pt idx="0">
                  <c:v>Augstākā izglītība</c:v>
                </c:pt>
              </c:strCache>
            </c:strRef>
          </c:tx>
          <c:invertIfNegative val="0"/>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Sheet1!$E$1:$Y$1</c:f>
              <c:numCache>
                <c:formatCode>General</c:formatCode>
                <c:ptCount val="21"/>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numCache>
            </c:numRef>
          </c:cat>
          <c:val>
            <c:numRef>
              <c:f>Sheet1!$E$5:$Y$5</c:f>
              <c:numCache>
                <c:formatCode>0</c:formatCode>
                <c:ptCount val="21"/>
                <c:pt idx="0">
                  <c:v>21.817172464840862</c:v>
                </c:pt>
                <c:pt idx="1">
                  <c:v>22.418613039949498</c:v>
                </c:pt>
                <c:pt idx="2">
                  <c:v>23.180808529542425</c:v>
                </c:pt>
                <c:pt idx="3">
                  <c:v>25.739023963617282</c:v>
                </c:pt>
                <c:pt idx="4">
                  <c:v>26.429998184129289</c:v>
                </c:pt>
                <c:pt idx="5">
                  <c:v>27.979176526265974</c:v>
                </c:pt>
                <c:pt idx="6">
                  <c:v>29.361991830383189</c:v>
                </c:pt>
                <c:pt idx="7">
                  <c:v>31.075967788881343</c:v>
                </c:pt>
                <c:pt idx="8">
                  <c:v>32.978408754806274</c:v>
                </c:pt>
                <c:pt idx="9">
                  <c:v>32.127380832409557</c:v>
                </c:pt>
                <c:pt idx="10">
                  <c:v>33.313216656608326</c:v>
                </c:pt>
                <c:pt idx="11">
                  <c:v>35.029334412300223</c:v>
                </c:pt>
                <c:pt idx="12">
                  <c:v>35.336121595429972</c:v>
                </c:pt>
                <c:pt idx="13">
                  <c:v>35.848096110771735</c:v>
                </c:pt>
                <c:pt idx="14">
                  <c:v>37.650571399155766</c:v>
                </c:pt>
                <c:pt idx="15">
                  <c:v>38.921477822373156</c:v>
                </c:pt>
                <c:pt idx="16">
                  <c:v>40.509308795206508</c:v>
                </c:pt>
                <c:pt idx="17">
                  <c:v>40.397350993377486</c:v>
                </c:pt>
                <c:pt idx="18">
                  <c:v>40.171301681294274</c:v>
                </c:pt>
                <c:pt idx="19">
                  <c:v>41.338707966479262</c:v>
                </c:pt>
                <c:pt idx="20">
                  <c:v>41.5428390768258</c:v>
                </c:pt>
              </c:numCache>
            </c:numRef>
          </c:val>
          <c:extLst>
            <c:ext xmlns:c16="http://schemas.microsoft.com/office/drawing/2014/chart" uri="{C3380CC4-5D6E-409C-BE32-E72D297353CC}">
              <c16:uniqueId val="{00000003-A775-46F9-8552-C16EFE3E8961}"/>
            </c:ext>
          </c:extLst>
        </c:ser>
        <c:dLbls>
          <c:showLegendKey val="0"/>
          <c:showVal val="0"/>
          <c:showCatName val="0"/>
          <c:showSerName val="0"/>
          <c:showPercent val="0"/>
          <c:showBubbleSize val="0"/>
        </c:dLbls>
        <c:gapWidth val="20"/>
        <c:overlap val="100"/>
        <c:axId val="742061672"/>
        <c:axId val="742064416"/>
      </c:barChart>
      <c:catAx>
        <c:axId val="742061672"/>
        <c:scaling>
          <c:orientation val="minMax"/>
        </c:scaling>
        <c:delete val="0"/>
        <c:axPos val="b"/>
        <c:numFmt formatCode="General" sourceLinked="1"/>
        <c:majorTickMark val="out"/>
        <c:minorTickMark val="none"/>
        <c:tickLblPos val="nextTo"/>
        <c:spPr>
          <a:ln w="3175"/>
        </c:spPr>
        <c:txPr>
          <a:bodyPr rot="-5400000" vert="horz"/>
          <a:lstStyle/>
          <a:p>
            <a:pPr>
              <a:defRPr/>
            </a:pPr>
            <a:endParaRPr lang="en-US"/>
          </a:p>
        </c:txPr>
        <c:crossAx val="742064416"/>
        <c:crosses val="autoZero"/>
        <c:auto val="1"/>
        <c:lblAlgn val="ctr"/>
        <c:lblOffset val="100"/>
        <c:noMultiLvlLbl val="0"/>
      </c:catAx>
      <c:valAx>
        <c:axId val="742064416"/>
        <c:scaling>
          <c:orientation val="minMax"/>
        </c:scaling>
        <c:delete val="0"/>
        <c:axPos val="l"/>
        <c:numFmt formatCode="0%" sourceLinked="1"/>
        <c:majorTickMark val="out"/>
        <c:minorTickMark val="none"/>
        <c:tickLblPos val="nextTo"/>
        <c:spPr>
          <a:ln w="3175">
            <a:noFill/>
          </a:ln>
        </c:spPr>
        <c:txPr>
          <a:bodyPr rot="0" vert="horz"/>
          <a:lstStyle/>
          <a:p>
            <a:pPr>
              <a:defRPr/>
            </a:pPr>
            <a:endParaRPr lang="en-US"/>
          </a:p>
        </c:txPr>
        <c:crossAx val="742061672"/>
        <c:crosses val="autoZero"/>
        <c:crossBetween val="between"/>
        <c:majorUnit val="0.2"/>
      </c:valAx>
    </c:plotArea>
    <c:legend>
      <c:legendPos val="r"/>
      <c:layout>
        <c:manualLayout>
          <c:xMode val="edge"/>
          <c:yMode val="edge"/>
          <c:x val="0.81737527020809275"/>
          <c:y val="4.7480245504448688E-2"/>
          <c:w val="0.17804564671973885"/>
          <c:h val="0.9300441972833370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35202389117016375"/>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(Sheet1!$B$1,Sheet1!$I$1,Sheet1!$S$1)</c:f>
              <c:numCache>
                <c:formatCode>General</c:formatCode>
                <c:ptCount val="3"/>
                <c:pt idx="0">
                  <c:v>2008</c:v>
                </c:pt>
                <c:pt idx="1">
                  <c:v>2015</c:v>
                </c:pt>
                <c:pt idx="2">
                  <c:v>2025</c:v>
                </c:pt>
              </c:numCache>
            </c:numRef>
          </c:cat>
          <c:val>
            <c:numRef>
              <c:f>(Sheet1!$B$2,Sheet1!$I$2,Sheet1!$S$2)</c:f>
              <c:numCache>
                <c:formatCode>0</c:formatCode>
                <c:ptCount val="3"/>
                <c:pt idx="0">
                  <c:v>47608.893790000002</c:v>
                </c:pt>
                <c:pt idx="1">
                  <c:v>46715.290000000008</c:v>
                </c:pt>
                <c:pt idx="2">
                  <c:v>49685.44709999999</c:v>
                </c:pt>
              </c:numCache>
            </c:numRef>
          </c:val>
          <c:extLst>
            <c:ext xmlns:c16="http://schemas.microsoft.com/office/drawing/2014/chart" uri="{C3380CC4-5D6E-409C-BE32-E72D297353CC}">
              <c16:uniqueId val="{00000000-E9BE-491F-9EB2-30AD5AEEDE62}"/>
            </c:ext>
          </c:extLst>
        </c:ser>
        <c:ser>
          <c:idx val="1"/>
          <c:order val="1"/>
          <c:tx>
            <c:strRef>
              <c:f>Sheet1!$A$3</c:f>
              <c:strCache>
                <c:ptCount val="1"/>
                <c:pt idx="0">
                  <c:v>Humanitārās zinātnes</c:v>
                </c:pt>
              </c:strCache>
            </c:strRef>
          </c:tx>
          <c:invertIfNegative val="0"/>
          <c:cat>
            <c:numRef>
              <c:f>(Sheet1!$B$1,Sheet1!$I$1,Sheet1!$S$1)</c:f>
              <c:numCache>
                <c:formatCode>General</c:formatCode>
                <c:ptCount val="3"/>
                <c:pt idx="0">
                  <c:v>2008</c:v>
                </c:pt>
                <c:pt idx="1">
                  <c:v>2015</c:v>
                </c:pt>
                <c:pt idx="2">
                  <c:v>2025</c:v>
                </c:pt>
              </c:numCache>
            </c:numRef>
          </c:cat>
          <c:val>
            <c:numRef>
              <c:f>(Sheet1!$B$3,Sheet1!$I$3,Sheet1!$S$3)</c:f>
              <c:numCache>
                <c:formatCode>0</c:formatCode>
                <c:ptCount val="3"/>
                <c:pt idx="0">
                  <c:v>20491.25056</c:v>
                </c:pt>
                <c:pt idx="1">
                  <c:v>17122.060000000001</c:v>
                </c:pt>
                <c:pt idx="2">
                  <c:v>20590.860299999997</c:v>
                </c:pt>
              </c:numCache>
            </c:numRef>
          </c:val>
          <c:extLst>
            <c:ext xmlns:c16="http://schemas.microsoft.com/office/drawing/2014/chart" uri="{C3380CC4-5D6E-409C-BE32-E72D297353CC}">
              <c16:uniqueId val="{00000001-E9BE-491F-9EB2-30AD5AEEDE62}"/>
            </c:ext>
          </c:extLst>
        </c:ser>
        <c:ser>
          <c:idx val="2"/>
          <c:order val="2"/>
          <c:tx>
            <c:strRef>
              <c:f>Sheet1!$A$4</c:f>
              <c:strCache>
                <c:ptCount val="1"/>
                <c:pt idx="0">
                  <c:v>Sociālās zinātnes</c:v>
                </c:pt>
              </c:strCache>
            </c:strRef>
          </c:tx>
          <c:invertIfNegative val="0"/>
          <c:cat>
            <c:numRef>
              <c:f>(Sheet1!$B$1,Sheet1!$I$1,Sheet1!$S$1)</c:f>
              <c:numCache>
                <c:formatCode>General</c:formatCode>
                <c:ptCount val="3"/>
                <c:pt idx="0">
                  <c:v>2008</c:v>
                </c:pt>
                <c:pt idx="1">
                  <c:v>2015</c:v>
                </c:pt>
                <c:pt idx="2">
                  <c:v>2025</c:v>
                </c:pt>
              </c:numCache>
            </c:numRef>
          </c:cat>
          <c:val>
            <c:numRef>
              <c:f>(Sheet1!$B$4,Sheet1!$I$4,Sheet1!$S$4)</c:f>
              <c:numCache>
                <c:formatCode>0</c:formatCode>
                <c:ptCount val="3"/>
                <c:pt idx="0">
                  <c:v>104186.07766999998</c:v>
                </c:pt>
                <c:pt idx="1">
                  <c:v>148349.77000000002</c:v>
                </c:pt>
                <c:pt idx="2">
                  <c:v>170681.5232</c:v>
                </c:pt>
              </c:numCache>
            </c:numRef>
          </c:val>
          <c:extLst>
            <c:ext xmlns:c16="http://schemas.microsoft.com/office/drawing/2014/chart" uri="{C3380CC4-5D6E-409C-BE32-E72D297353CC}">
              <c16:uniqueId val="{00000002-E9BE-491F-9EB2-30AD5AEEDE62}"/>
            </c:ext>
          </c:extLst>
        </c:ser>
        <c:ser>
          <c:idx val="3"/>
          <c:order val="3"/>
          <c:tx>
            <c:strRef>
              <c:f>Sheet1!$A$5</c:f>
              <c:strCache>
                <c:ptCount val="1"/>
                <c:pt idx="0">
                  <c:v>Dabas zinātnes, matemātika</c:v>
                </c:pt>
              </c:strCache>
            </c:strRef>
          </c:tx>
          <c:invertIfNegative val="0"/>
          <c:cat>
            <c:numRef>
              <c:f>(Sheet1!$B$1,Sheet1!$I$1,Sheet1!$S$1)</c:f>
              <c:numCache>
                <c:formatCode>General</c:formatCode>
                <c:ptCount val="3"/>
                <c:pt idx="0">
                  <c:v>2008</c:v>
                </c:pt>
                <c:pt idx="1">
                  <c:v>2015</c:v>
                </c:pt>
                <c:pt idx="2">
                  <c:v>2025</c:v>
                </c:pt>
              </c:numCache>
            </c:numRef>
          </c:cat>
          <c:val>
            <c:numRef>
              <c:f>(Sheet1!$B$5,Sheet1!$I$5,Sheet1!$S$5)</c:f>
              <c:numCache>
                <c:formatCode>0</c:formatCode>
                <c:ptCount val="3"/>
                <c:pt idx="0">
                  <c:v>17229.941220000001</c:v>
                </c:pt>
                <c:pt idx="1">
                  <c:v>20618.010000000002</c:v>
                </c:pt>
                <c:pt idx="2">
                  <c:v>29297.335799999997</c:v>
                </c:pt>
              </c:numCache>
            </c:numRef>
          </c:val>
          <c:extLst>
            <c:ext xmlns:c16="http://schemas.microsoft.com/office/drawing/2014/chart" uri="{C3380CC4-5D6E-409C-BE32-E72D297353CC}">
              <c16:uniqueId val="{00000003-E9BE-491F-9EB2-30AD5AEEDE62}"/>
            </c:ext>
          </c:extLst>
        </c:ser>
        <c:ser>
          <c:idx val="4"/>
          <c:order val="4"/>
          <c:tx>
            <c:strRef>
              <c:f>Sheet1!$A$6</c:f>
              <c:strCache>
                <c:ptCount val="1"/>
                <c:pt idx="0">
                  <c:v>Inženierzinātnes</c:v>
                </c:pt>
              </c:strCache>
            </c:strRef>
          </c:tx>
          <c:invertIfNegative val="0"/>
          <c:cat>
            <c:numRef>
              <c:f>(Sheet1!$B$1,Sheet1!$I$1,Sheet1!$S$1)</c:f>
              <c:numCache>
                <c:formatCode>General</c:formatCode>
                <c:ptCount val="3"/>
                <c:pt idx="0">
                  <c:v>2008</c:v>
                </c:pt>
                <c:pt idx="1">
                  <c:v>2015</c:v>
                </c:pt>
                <c:pt idx="2">
                  <c:v>2025</c:v>
                </c:pt>
              </c:numCache>
            </c:numRef>
          </c:cat>
          <c:val>
            <c:numRef>
              <c:f>(Sheet1!$B$6,Sheet1!$I$6,Sheet1!$S$6)</c:f>
              <c:numCache>
                <c:formatCode>0</c:formatCode>
                <c:ptCount val="3"/>
                <c:pt idx="0">
                  <c:v>65941.271389999994</c:v>
                </c:pt>
                <c:pt idx="1">
                  <c:v>49021.02</c:v>
                </c:pt>
                <c:pt idx="2">
                  <c:v>56845.993300000002</c:v>
                </c:pt>
              </c:numCache>
            </c:numRef>
          </c:val>
          <c:extLst>
            <c:ext xmlns:c16="http://schemas.microsoft.com/office/drawing/2014/chart" uri="{C3380CC4-5D6E-409C-BE32-E72D297353CC}">
              <c16:uniqueId val="{00000004-E9BE-491F-9EB2-30AD5AEEDE62}"/>
            </c:ext>
          </c:extLst>
        </c:ser>
        <c:ser>
          <c:idx val="5"/>
          <c:order val="5"/>
          <c:tx>
            <c:strRef>
              <c:f>Sheet1!$A$7</c:f>
              <c:strCache>
                <c:ptCount val="1"/>
                <c:pt idx="0">
                  <c:v>Lauksaimniecība</c:v>
                </c:pt>
              </c:strCache>
            </c:strRef>
          </c:tx>
          <c:invertIfNegative val="0"/>
          <c:cat>
            <c:numRef>
              <c:f>(Sheet1!$B$1,Sheet1!$I$1,Sheet1!$S$1)</c:f>
              <c:numCache>
                <c:formatCode>General</c:formatCode>
                <c:ptCount val="3"/>
                <c:pt idx="0">
                  <c:v>2008</c:v>
                </c:pt>
                <c:pt idx="1">
                  <c:v>2015</c:v>
                </c:pt>
                <c:pt idx="2">
                  <c:v>2025</c:v>
                </c:pt>
              </c:numCache>
            </c:numRef>
          </c:cat>
          <c:val>
            <c:numRef>
              <c:f>(Sheet1!$B$7,Sheet1!$I$7,Sheet1!$S$7)</c:f>
              <c:numCache>
                <c:formatCode>0</c:formatCode>
                <c:ptCount val="3"/>
                <c:pt idx="0">
                  <c:v>11277.161829999997</c:v>
                </c:pt>
                <c:pt idx="1">
                  <c:v>8728.8600000000024</c:v>
                </c:pt>
                <c:pt idx="2">
                  <c:v>7127.5918000000001</c:v>
                </c:pt>
              </c:numCache>
            </c:numRef>
          </c:val>
          <c:extLst>
            <c:ext xmlns:c16="http://schemas.microsoft.com/office/drawing/2014/chart" uri="{C3380CC4-5D6E-409C-BE32-E72D297353CC}">
              <c16:uniqueId val="{00000005-E9BE-491F-9EB2-30AD5AEEDE62}"/>
            </c:ext>
          </c:extLst>
        </c:ser>
        <c:ser>
          <c:idx val="6"/>
          <c:order val="6"/>
          <c:tx>
            <c:strRef>
              <c:f>Sheet1!$A$8</c:f>
              <c:strCache>
                <c:ptCount val="1"/>
                <c:pt idx="0">
                  <c:v>Veselības aprūpe</c:v>
                </c:pt>
              </c:strCache>
            </c:strRef>
          </c:tx>
          <c:invertIfNegative val="0"/>
          <c:cat>
            <c:numRef>
              <c:f>(Sheet1!$B$1,Sheet1!$I$1,Sheet1!$S$1)</c:f>
              <c:numCache>
                <c:formatCode>General</c:formatCode>
                <c:ptCount val="3"/>
                <c:pt idx="0">
                  <c:v>2008</c:v>
                </c:pt>
                <c:pt idx="1">
                  <c:v>2015</c:v>
                </c:pt>
                <c:pt idx="2">
                  <c:v>2025</c:v>
                </c:pt>
              </c:numCache>
            </c:numRef>
          </c:cat>
          <c:val>
            <c:numRef>
              <c:f>(Sheet1!$B$8,Sheet1!$I$8,Sheet1!$S$8)</c:f>
              <c:numCache>
                <c:formatCode>0</c:formatCode>
                <c:ptCount val="3"/>
                <c:pt idx="0">
                  <c:v>17941.423999999995</c:v>
                </c:pt>
                <c:pt idx="1">
                  <c:v>25516.680000000004</c:v>
                </c:pt>
                <c:pt idx="2">
                  <c:v>31880.535199999998</c:v>
                </c:pt>
              </c:numCache>
            </c:numRef>
          </c:val>
          <c:extLst>
            <c:ext xmlns:c16="http://schemas.microsoft.com/office/drawing/2014/chart" uri="{C3380CC4-5D6E-409C-BE32-E72D297353CC}">
              <c16:uniqueId val="{00000006-E9BE-491F-9EB2-30AD5AEEDE62}"/>
            </c:ext>
          </c:extLst>
        </c:ser>
        <c:ser>
          <c:idx val="7"/>
          <c:order val="7"/>
          <c:tx>
            <c:strRef>
              <c:f>Sheet1!$A$9</c:f>
              <c:strCache>
                <c:ptCount val="1"/>
                <c:pt idx="0">
                  <c:v>Pakalpojumi</c:v>
                </c:pt>
              </c:strCache>
            </c:strRef>
          </c:tx>
          <c:invertIfNegative val="0"/>
          <c:cat>
            <c:numRef>
              <c:f>(Sheet1!$B$1,Sheet1!$I$1,Sheet1!$S$1)</c:f>
              <c:numCache>
                <c:formatCode>General</c:formatCode>
                <c:ptCount val="3"/>
                <c:pt idx="0">
                  <c:v>2008</c:v>
                </c:pt>
                <c:pt idx="1">
                  <c:v>2015</c:v>
                </c:pt>
                <c:pt idx="2">
                  <c:v>2025</c:v>
                </c:pt>
              </c:numCache>
            </c:numRef>
          </c:cat>
          <c:val>
            <c:numRef>
              <c:f>(Sheet1!$B$9,Sheet1!$I$9,Sheet1!$S$9)</c:f>
              <c:numCache>
                <c:formatCode>0</c:formatCode>
                <c:ptCount val="3"/>
                <c:pt idx="0">
                  <c:v>9360.6910500000013</c:v>
                </c:pt>
                <c:pt idx="1">
                  <c:v>13543.99</c:v>
                </c:pt>
                <c:pt idx="2">
                  <c:v>23445.525099999999</c:v>
                </c:pt>
              </c:numCache>
            </c:numRef>
          </c:val>
          <c:extLst>
            <c:ext xmlns:c16="http://schemas.microsoft.com/office/drawing/2014/chart" uri="{C3380CC4-5D6E-409C-BE32-E72D297353CC}">
              <c16:uniqueId val="{00000007-E9BE-491F-9EB2-30AD5AEEDE62}"/>
            </c:ext>
          </c:extLst>
        </c:ser>
        <c:ser>
          <c:idx val="8"/>
          <c:order val="8"/>
          <c:tx>
            <c:strRef>
              <c:f>Sheet1!$A$10</c:f>
              <c:strCache>
                <c:ptCount val="1"/>
                <c:pt idx="0">
                  <c:v>Pārējās grupas</c:v>
                </c:pt>
              </c:strCache>
            </c:strRef>
          </c:tx>
          <c:invertIfNegative val="0"/>
          <c:cat>
            <c:numRef>
              <c:f>(Sheet1!$B$1,Sheet1!$I$1,Sheet1!$S$1)</c:f>
              <c:numCache>
                <c:formatCode>General</c:formatCode>
                <c:ptCount val="3"/>
                <c:pt idx="0">
                  <c:v>2008</c:v>
                </c:pt>
                <c:pt idx="1">
                  <c:v>2015</c:v>
                </c:pt>
                <c:pt idx="2">
                  <c:v>2025</c:v>
                </c:pt>
              </c:numCache>
            </c:numRef>
          </c:cat>
          <c:val>
            <c:numRef>
              <c:f>(Sheet1!$B$10,Sheet1!$I$10,Sheet1!$S$10)</c:f>
              <c:numCache>
                <c:formatCode>0</c:formatCode>
                <c:ptCount val="3"/>
                <c:pt idx="0">
                  <c:v>280.25945999999999</c:v>
                </c:pt>
                <c:pt idx="1">
                  <c:v>1593.58</c:v>
                </c:pt>
                <c:pt idx="2">
                  <c:v>10432.6078</c:v>
                </c:pt>
              </c:numCache>
            </c:numRef>
          </c:val>
          <c:extLst>
            <c:ext xmlns:c16="http://schemas.microsoft.com/office/drawing/2014/chart" uri="{C3380CC4-5D6E-409C-BE32-E72D297353CC}">
              <c16:uniqueId val="{00000008-E9BE-491F-9EB2-30AD5AEEDE62}"/>
            </c:ext>
          </c:extLst>
        </c:ser>
        <c:dLbls>
          <c:showLegendKey val="0"/>
          <c:showVal val="0"/>
          <c:showCatName val="0"/>
          <c:showSerName val="0"/>
          <c:showPercent val="0"/>
          <c:showBubbleSize val="0"/>
        </c:dLbls>
        <c:gapWidth val="40"/>
        <c:overlap val="100"/>
        <c:axId val="742071080"/>
        <c:axId val="742063632"/>
      </c:barChart>
      <c:catAx>
        <c:axId val="742071080"/>
        <c:scaling>
          <c:orientation val="minMax"/>
        </c:scaling>
        <c:delete val="0"/>
        <c:axPos val="b"/>
        <c:numFmt formatCode="General" sourceLinked="1"/>
        <c:majorTickMark val="out"/>
        <c:minorTickMark val="none"/>
        <c:tickLblPos val="nextTo"/>
        <c:spPr>
          <a:ln w="3175"/>
        </c:spPr>
        <c:txPr>
          <a:bodyPr rot="0" vert="horz"/>
          <a:lstStyle/>
          <a:p>
            <a:pPr>
              <a:defRPr/>
            </a:pPr>
            <a:endParaRPr lang="en-US"/>
          </a:p>
        </c:txPr>
        <c:crossAx val="742063632"/>
        <c:crosses val="autoZero"/>
        <c:auto val="1"/>
        <c:lblAlgn val="ctr"/>
        <c:lblOffset val="100"/>
        <c:noMultiLvlLbl val="0"/>
      </c:catAx>
      <c:valAx>
        <c:axId val="742063632"/>
        <c:scaling>
          <c:orientation val="minMax"/>
        </c:scaling>
        <c:delete val="0"/>
        <c:axPos val="l"/>
        <c:numFmt formatCode="0%" sourceLinked="1"/>
        <c:majorTickMark val="out"/>
        <c:minorTickMark val="none"/>
        <c:tickLblPos val="nextTo"/>
        <c:spPr>
          <a:noFill/>
          <a:ln w="3175">
            <a:noFill/>
          </a:ln>
        </c:spPr>
        <c:txPr>
          <a:bodyPr rot="0" vert="horz"/>
          <a:lstStyle/>
          <a:p>
            <a:pPr>
              <a:defRPr/>
            </a:pPr>
            <a:endParaRPr lang="en-US"/>
          </a:p>
        </c:txPr>
        <c:crossAx val="742071080"/>
        <c:crosses val="autoZero"/>
        <c:crossBetween val="between"/>
        <c:majorUnit val="0.2"/>
      </c:valAx>
    </c:plotArea>
    <c:legend>
      <c:legendPos val="r"/>
      <c:layout>
        <c:manualLayout>
          <c:xMode val="edge"/>
          <c:yMode val="edge"/>
          <c:x val="0.49033918169269636"/>
          <c:y val="2.4582394710217236E-2"/>
          <c:w val="0.4784151264443654"/>
          <c:h val="0.9345694990125645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36923108977419716"/>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(Sheet1!$B$1,Sheet1!$I$1,Sheet1!$S$1)</c:f>
              <c:numCache>
                <c:formatCode>General</c:formatCode>
                <c:ptCount val="3"/>
                <c:pt idx="0">
                  <c:v>2008</c:v>
                </c:pt>
                <c:pt idx="1">
                  <c:v>2015</c:v>
                </c:pt>
                <c:pt idx="2">
                  <c:v>2025</c:v>
                </c:pt>
              </c:numCache>
            </c:numRef>
          </c:cat>
          <c:val>
            <c:numRef>
              <c:f>(Sheet1!$B$2,Sheet1!$I$2,Sheet1!$S$2)</c:f>
              <c:numCache>
                <c:formatCode>0</c:formatCode>
                <c:ptCount val="3"/>
                <c:pt idx="0">
                  <c:v>7245.0423300000002</c:v>
                </c:pt>
                <c:pt idx="1">
                  <c:v>5028.9799999999996</c:v>
                </c:pt>
                <c:pt idx="2" formatCode="#,##0">
                  <c:v>2960.6415999999999</c:v>
                </c:pt>
              </c:numCache>
            </c:numRef>
          </c:val>
          <c:extLst>
            <c:ext xmlns:c16="http://schemas.microsoft.com/office/drawing/2014/chart" uri="{C3380CC4-5D6E-409C-BE32-E72D297353CC}">
              <c16:uniqueId val="{00000000-DDEE-49BF-910A-A29B69EC3779}"/>
            </c:ext>
          </c:extLst>
        </c:ser>
        <c:ser>
          <c:idx val="1"/>
          <c:order val="1"/>
          <c:tx>
            <c:strRef>
              <c:f>Sheet1!$A$3</c:f>
              <c:strCache>
                <c:ptCount val="1"/>
                <c:pt idx="0">
                  <c:v>Humanitārās zinātnes</c:v>
                </c:pt>
              </c:strCache>
            </c:strRef>
          </c:tx>
          <c:invertIfNegative val="0"/>
          <c:cat>
            <c:numRef>
              <c:f>(Sheet1!$B$1,Sheet1!$I$1,Sheet1!$S$1)</c:f>
              <c:numCache>
                <c:formatCode>General</c:formatCode>
                <c:ptCount val="3"/>
                <c:pt idx="0">
                  <c:v>2008</c:v>
                </c:pt>
                <c:pt idx="1">
                  <c:v>2015</c:v>
                </c:pt>
                <c:pt idx="2">
                  <c:v>2025</c:v>
                </c:pt>
              </c:numCache>
            </c:numRef>
          </c:cat>
          <c:val>
            <c:numRef>
              <c:f>(Sheet1!$B$3,Sheet1!$I$3,Sheet1!$S$3)</c:f>
              <c:numCache>
                <c:formatCode>0</c:formatCode>
                <c:ptCount val="3"/>
                <c:pt idx="0">
                  <c:v>12828.938230000002</c:v>
                </c:pt>
                <c:pt idx="1">
                  <c:v>8779.3599999999988</c:v>
                </c:pt>
                <c:pt idx="2" formatCode="#,##0">
                  <c:v>9164.4268000000011</c:v>
                </c:pt>
              </c:numCache>
            </c:numRef>
          </c:val>
          <c:extLst>
            <c:ext xmlns:c16="http://schemas.microsoft.com/office/drawing/2014/chart" uri="{C3380CC4-5D6E-409C-BE32-E72D297353CC}">
              <c16:uniqueId val="{00000001-DDEE-49BF-910A-A29B69EC3779}"/>
            </c:ext>
          </c:extLst>
        </c:ser>
        <c:ser>
          <c:idx val="2"/>
          <c:order val="2"/>
          <c:tx>
            <c:strRef>
              <c:f>Sheet1!$A$4</c:f>
              <c:strCache>
                <c:ptCount val="1"/>
                <c:pt idx="0">
                  <c:v>Sociālās zinātnes</c:v>
                </c:pt>
              </c:strCache>
            </c:strRef>
          </c:tx>
          <c:invertIfNegative val="0"/>
          <c:cat>
            <c:numRef>
              <c:f>(Sheet1!$B$1,Sheet1!$I$1,Sheet1!$S$1)</c:f>
              <c:numCache>
                <c:formatCode>General</c:formatCode>
                <c:ptCount val="3"/>
                <c:pt idx="0">
                  <c:v>2008</c:v>
                </c:pt>
                <c:pt idx="1">
                  <c:v>2015</c:v>
                </c:pt>
                <c:pt idx="2">
                  <c:v>2025</c:v>
                </c:pt>
              </c:numCache>
            </c:numRef>
          </c:cat>
          <c:val>
            <c:numRef>
              <c:f>(Sheet1!$B$4,Sheet1!$I$4,Sheet1!$S$4)</c:f>
              <c:numCache>
                <c:formatCode>0</c:formatCode>
                <c:ptCount val="3"/>
                <c:pt idx="0">
                  <c:v>46421.810759999993</c:v>
                </c:pt>
                <c:pt idx="1">
                  <c:v>36526.840000000004</c:v>
                </c:pt>
                <c:pt idx="2" formatCode="#,##0">
                  <c:v>29877.177499999998</c:v>
                </c:pt>
              </c:numCache>
            </c:numRef>
          </c:val>
          <c:extLst>
            <c:ext xmlns:c16="http://schemas.microsoft.com/office/drawing/2014/chart" uri="{C3380CC4-5D6E-409C-BE32-E72D297353CC}">
              <c16:uniqueId val="{00000002-DDEE-49BF-910A-A29B69EC3779}"/>
            </c:ext>
          </c:extLst>
        </c:ser>
        <c:ser>
          <c:idx val="3"/>
          <c:order val="3"/>
          <c:tx>
            <c:strRef>
              <c:f>Sheet1!$A$5</c:f>
              <c:strCache>
                <c:ptCount val="1"/>
                <c:pt idx="0">
                  <c:v>Dabas zinātnes, matemātika</c:v>
                </c:pt>
              </c:strCache>
            </c:strRef>
          </c:tx>
          <c:invertIfNegative val="0"/>
          <c:cat>
            <c:numRef>
              <c:f>(Sheet1!$B$1,Sheet1!$I$1,Sheet1!$S$1)</c:f>
              <c:numCache>
                <c:formatCode>General</c:formatCode>
                <c:ptCount val="3"/>
                <c:pt idx="0">
                  <c:v>2008</c:v>
                </c:pt>
                <c:pt idx="1">
                  <c:v>2015</c:v>
                </c:pt>
                <c:pt idx="2">
                  <c:v>2025</c:v>
                </c:pt>
              </c:numCache>
            </c:numRef>
          </c:cat>
          <c:val>
            <c:numRef>
              <c:f>(Sheet1!$B$5,Sheet1!$I$5,Sheet1!$S$5)</c:f>
              <c:numCache>
                <c:formatCode>0</c:formatCode>
                <c:ptCount val="3"/>
                <c:pt idx="0">
                  <c:v>6955.4266200000002</c:v>
                </c:pt>
                <c:pt idx="1">
                  <c:v>6539.1</c:v>
                </c:pt>
                <c:pt idx="2" formatCode="#,##0">
                  <c:v>7063.4089000000004</c:v>
                </c:pt>
              </c:numCache>
            </c:numRef>
          </c:val>
          <c:extLst>
            <c:ext xmlns:c16="http://schemas.microsoft.com/office/drawing/2014/chart" uri="{C3380CC4-5D6E-409C-BE32-E72D297353CC}">
              <c16:uniqueId val="{00000003-DDEE-49BF-910A-A29B69EC3779}"/>
            </c:ext>
          </c:extLst>
        </c:ser>
        <c:ser>
          <c:idx val="4"/>
          <c:order val="4"/>
          <c:tx>
            <c:strRef>
              <c:f>Sheet1!$A$6</c:f>
              <c:strCache>
                <c:ptCount val="1"/>
                <c:pt idx="0">
                  <c:v>Inženierzinātnes</c:v>
                </c:pt>
              </c:strCache>
            </c:strRef>
          </c:tx>
          <c:invertIfNegative val="0"/>
          <c:cat>
            <c:numRef>
              <c:f>(Sheet1!$B$1,Sheet1!$I$1,Sheet1!$S$1)</c:f>
              <c:numCache>
                <c:formatCode>General</c:formatCode>
                <c:ptCount val="3"/>
                <c:pt idx="0">
                  <c:v>2008</c:v>
                </c:pt>
                <c:pt idx="1">
                  <c:v>2015</c:v>
                </c:pt>
                <c:pt idx="2">
                  <c:v>2025</c:v>
                </c:pt>
              </c:numCache>
            </c:numRef>
          </c:cat>
          <c:val>
            <c:numRef>
              <c:f>(Sheet1!$B$6,Sheet1!$I$6,Sheet1!$S$6)</c:f>
              <c:numCache>
                <c:formatCode>0</c:formatCode>
                <c:ptCount val="3"/>
                <c:pt idx="0">
                  <c:v>226025.69081000003</c:v>
                </c:pt>
                <c:pt idx="1">
                  <c:v>199753.64999999991</c:v>
                </c:pt>
                <c:pt idx="2" formatCode="#,##0">
                  <c:v>136147.5919</c:v>
                </c:pt>
              </c:numCache>
            </c:numRef>
          </c:val>
          <c:extLst>
            <c:ext xmlns:c16="http://schemas.microsoft.com/office/drawing/2014/chart" uri="{C3380CC4-5D6E-409C-BE32-E72D297353CC}">
              <c16:uniqueId val="{00000004-DDEE-49BF-910A-A29B69EC3779}"/>
            </c:ext>
          </c:extLst>
        </c:ser>
        <c:ser>
          <c:idx val="5"/>
          <c:order val="5"/>
          <c:tx>
            <c:strRef>
              <c:f>Sheet1!$A$7</c:f>
              <c:strCache>
                <c:ptCount val="1"/>
                <c:pt idx="0">
                  <c:v>Lauksaimniecība</c:v>
                </c:pt>
              </c:strCache>
            </c:strRef>
          </c:tx>
          <c:invertIfNegative val="0"/>
          <c:cat>
            <c:numRef>
              <c:f>(Sheet1!$B$1,Sheet1!$I$1,Sheet1!$S$1)</c:f>
              <c:numCache>
                <c:formatCode>General</c:formatCode>
                <c:ptCount val="3"/>
                <c:pt idx="0">
                  <c:v>2008</c:v>
                </c:pt>
                <c:pt idx="1">
                  <c:v>2015</c:v>
                </c:pt>
                <c:pt idx="2">
                  <c:v>2025</c:v>
                </c:pt>
              </c:numCache>
            </c:numRef>
          </c:cat>
          <c:val>
            <c:numRef>
              <c:f>(Sheet1!$B$7,Sheet1!$I$7,Sheet1!$S$7)</c:f>
              <c:numCache>
                <c:formatCode>0</c:formatCode>
                <c:ptCount val="3"/>
                <c:pt idx="0">
                  <c:v>24593.317440000006</c:v>
                </c:pt>
                <c:pt idx="1">
                  <c:v>21043.949999999997</c:v>
                </c:pt>
                <c:pt idx="2" formatCode="#,##0">
                  <c:v>15394.6757</c:v>
                </c:pt>
              </c:numCache>
            </c:numRef>
          </c:val>
          <c:extLst>
            <c:ext xmlns:c16="http://schemas.microsoft.com/office/drawing/2014/chart" uri="{C3380CC4-5D6E-409C-BE32-E72D297353CC}">
              <c16:uniqueId val="{00000005-DDEE-49BF-910A-A29B69EC3779}"/>
            </c:ext>
          </c:extLst>
        </c:ser>
        <c:ser>
          <c:idx val="6"/>
          <c:order val="6"/>
          <c:tx>
            <c:strRef>
              <c:f>Sheet1!$A$8</c:f>
              <c:strCache>
                <c:ptCount val="1"/>
                <c:pt idx="0">
                  <c:v>Veselības aprūpe</c:v>
                </c:pt>
              </c:strCache>
            </c:strRef>
          </c:tx>
          <c:invertIfNegative val="0"/>
          <c:cat>
            <c:numRef>
              <c:f>(Sheet1!$B$1,Sheet1!$I$1,Sheet1!$S$1)</c:f>
              <c:numCache>
                <c:formatCode>General</c:formatCode>
                <c:ptCount val="3"/>
                <c:pt idx="0">
                  <c:v>2008</c:v>
                </c:pt>
                <c:pt idx="1">
                  <c:v>2015</c:v>
                </c:pt>
                <c:pt idx="2">
                  <c:v>2025</c:v>
                </c:pt>
              </c:numCache>
            </c:numRef>
          </c:cat>
          <c:val>
            <c:numRef>
              <c:f>(Sheet1!$B$8,Sheet1!$I$8,Sheet1!$S$8)</c:f>
              <c:numCache>
                <c:formatCode>0</c:formatCode>
                <c:ptCount val="3"/>
                <c:pt idx="0">
                  <c:v>28034.067350000005</c:v>
                </c:pt>
                <c:pt idx="1">
                  <c:v>15660.489999999987</c:v>
                </c:pt>
                <c:pt idx="2" formatCode="#,##0">
                  <c:v>10012.722699999998</c:v>
                </c:pt>
              </c:numCache>
            </c:numRef>
          </c:val>
          <c:extLst>
            <c:ext xmlns:c16="http://schemas.microsoft.com/office/drawing/2014/chart" uri="{C3380CC4-5D6E-409C-BE32-E72D297353CC}">
              <c16:uniqueId val="{00000006-DDEE-49BF-910A-A29B69EC3779}"/>
            </c:ext>
          </c:extLst>
        </c:ser>
        <c:ser>
          <c:idx val="7"/>
          <c:order val="7"/>
          <c:tx>
            <c:strRef>
              <c:f>Sheet1!$A$9</c:f>
              <c:strCache>
                <c:ptCount val="1"/>
                <c:pt idx="0">
                  <c:v>Pakalpojumi</c:v>
                </c:pt>
              </c:strCache>
            </c:strRef>
          </c:tx>
          <c:invertIfNegative val="0"/>
          <c:cat>
            <c:numRef>
              <c:f>(Sheet1!$B$1,Sheet1!$I$1,Sheet1!$S$1)</c:f>
              <c:numCache>
                <c:formatCode>General</c:formatCode>
                <c:ptCount val="3"/>
                <c:pt idx="0">
                  <c:v>2008</c:v>
                </c:pt>
                <c:pt idx="1">
                  <c:v>2015</c:v>
                </c:pt>
                <c:pt idx="2">
                  <c:v>2025</c:v>
                </c:pt>
              </c:numCache>
            </c:numRef>
          </c:cat>
          <c:val>
            <c:numRef>
              <c:f>(Sheet1!$B$9,Sheet1!$I$9,Sheet1!$S$9)</c:f>
              <c:numCache>
                <c:formatCode>0</c:formatCode>
                <c:ptCount val="3"/>
                <c:pt idx="0">
                  <c:v>34825.01427</c:v>
                </c:pt>
                <c:pt idx="1">
                  <c:v>40277.269999999997</c:v>
                </c:pt>
                <c:pt idx="2" formatCode="#,##0">
                  <c:v>55714.44680000002</c:v>
                </c:pt>
              </c:numCache>
            </c:numRef>
          </c:val>
          <c:extLst>
            <c:ext xmlns:c16="http://schemas.microsoft.com/office/drawing/2014/chart" uri="{C3380CC4-5D6E-409C-BE32-E72D297353CC}">
              <c16:uniqueId val="{00000007-DDEE-49BF-910A-A29B69EC3779}"/>
            </c:ext>
          </c:extLst>
        </c:ser>
        <c:ser>
          <c:idx val="8"/>
          <c:order val="8"/>
          <c:tx>
            <c:strRef>
              <c:f>Sheet1!$A$11</c:f>
              <c:strCache>
                <c:ptCount val="1"/>
                <c:pt idx="0">
                  <c:v>Vispārējā izglītība</c:v>
                </c:pt>
              </c:strCache>
            </c:strRef>
          </c:tx>
          <c:invertIfNegative val="0"/>
          <c:cat>
            <c:numRef>
              <c:f>(Sheet1!$B$1,Sheet1!$I$1,Sheet1!$S$1)</c:f>
              <c:numCache>
                <c:formatCode>General</c:formatCode>
                <c:ptCount val="3"/>
                <c:pt idx="0">
                  <c:v>2008</c:v>
                </c:pt>
                <c:pt idx="1">
                  <c:v>2015</c:v>
                </c:pt>
                <c:pt idx="2">
                  <c:v>2025</c:v>
                </c:pt>
              </c:numCache>
            </c:numRef>
          </c:cat>
          <c:val>
            <c:numRef>
              <c:f>(Sheet1!$B$11,Sheet1!$I$11,Sheet1!$S$11)</c:f>
              <c:numCache>
                <c:formatCode>0</c:formatCode>
                <c:ptCount val="3"/>
                <c:pt idx="0">
                  <c:v>293300</c:v>
                </c:pt>
                <c:pt idx="1">
                  <c:v>231700</c:v>
                </c:pt>
                <c:pt idx="2" formatCode="#,##0">
                  <c:v>206139.43317500115</c:v>
                </c:pt>
              </c:numCache>
            </c:numRef>
          </c:val>
          <c:extLst>
            <c:ext xmlns:c16="http://schemas.microsoft.com/office/drawing/2014/chart" uri="{C3380CC4-5D6E-409C-BE32-E72D297353CC}">
              <c16:uniqueId val="{00000008-DDEE-49BF-910A-A29B69EC3779}"/>
            </c:ext>
          </c:extLst>
        </c:ser>
        <c:dLbls>
          <c:showLegendKey val="0"/>
          <c:showVal val="0"/>
          <c:showCatName val="0"/>
          <c:showSerName val="0"/>
          <c:showPercent val="0"/>
          <c:showBubbleSize val="0"/>
        </c:dLbls>
        <c:gapWidth val="40"/>
        <c:overlap val="100"/>
        <c:axId val="742069120"/>
        <c:axId val="742066768"/>
      </c:barChart>
      <c:catAx>
        <c:axId val="742069120"/>
        <c:scaling>
          <c:orientation val="minMax"/>
        </c:scaling>
        <c:delete val="0"/>
        <c:axPos val="b"/>
        <c:numFmt formatCode="General" sourceLinked="1"/>
        <c:majorTickMark val="out"/>
        <c:minorTickMark val="none"/>
        <c:tickLblPos val="nextTo"/>
        <c:spPr>
          <a:ln w="3175"/>
        </c:spPr>
        <c:txPr>
          <a:bodyPr rot="0" vert="horz"/>
          <a:lstStyle/>
          <a:p>
            <a:pPr>
              <a:defRPr sz="800"/>
            </a:pPr>
            <a:endParaRPr lang="en-US"/>
          </a:p>
        </c:txPr>
        <c:crossAx val="742066768"/>
        <c:crosses val="autoZero"/>
        <c:auto val="1"/>
        <c:lblAlgn val="ctr"/>
        <c:lblOffset val="100"/>
        <c:noMultiLvlLbl val="0"/>
      </c:catAx>
      <c:valAx>
        <c:axId val="742066768"/>
        <c:scaling>
          <c:orientation val="minMax"/>
        </c:scaling>
        <c:delete val="0"/>
        <c:axPos val="l"/>
        <c:numFmt formatCode="0%" sourceLinked="1"/>
        <c:majorTickMark val="out"/>
        <c:minorTickMark val="none"/>
        <c:tickLblPos val="nextTo"/>
        <c:spPr>
          <a:ln w="3175">
            <a:noFill/>
          </a:ln>
        </c:spPr>
        <c:txPr>
          <a:bodyPr rot="0" vert="horz"/>
          <a:lstStyle/>
          <a:p>
            <a:pPr>
              <a:defRPr/>
            </a:pPr>
            <a:endParaRPr lang="en-US"/>
          </a:p>
        </c:txPr>
        <c:crossAx val="742069120"/>
        <c:crosses val="autoZero"/>
        <c:crossBetween val="between"/>
        <c:majorUnit val="0.2"/>
      </c:valAx>
    </c:plotArea>
    <c:legend>
      <c:legendPos val="r"/>
      <c:layout>
        <c:manualLayout>
          <c:xMode val="edge"/>
          <c:yMode val="edge"/>
          <c:x val="0.50514094227747441"/>
          <c:y val="5.7574543846529609E-3"/>
          <c:w val="0.36434694285044572"/>
          <c:h val="0.99424254561534708"/>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4.8895494665989331E-2"/>
          <c:y val="1.1883542334985902E-2"/>
          <c:w val="0.90009644081788165"/>
          <c:h val="0.93620444662870328"/>
        </c:manualLayout>
      </c:layout>
      <c:barChart>
        <c:barDir val="bar"/>
        <c:grouping val="clustered"/>
        <c:varyColors val="0"/>
        <c:ser>
          <c:idx val="2"/>
          <c:order val="0"/>
          <c:tx>
            <c:strRef>
              <c:f>Sheet1!$B$1</c:f>
              <c:strCache>
                <c:ptCount val="1"/>
                <c:pt idx="0">
                  <c:v>2021</c:v>
                </c:pt>
              </c:strCache>
            </c:strRef>
          </c:tx>
          <c:spPr>
            <a:solidFill>
              <a:srgbClr val="92B7C4"/>
            </a:solidFill>
          </c:spPr>
          <c:invertIfNegative val="0"/>
          <c:dLbls>
            <c:dLbl>
              <c:idx val="7"/>
              <c:layout>
                <c:manualLayout>
                  <c:x val="-0.1328879064008128"/>
                  <c:y val="-6.8026425037286788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69-4EBE-9D8E-FB564EDC4490}"/>
                </c:ext>
              </c:extLst>
            </c:dLbl>
            <c:dLbl>
              <c:idx val="8"/>
              <c:layout>
                <c:manualLayout>
                  <c:x val="-8.6895161290322584E-2"/>
                  <c:y val="-6.8026425037286788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69-4EBE-9D8E-FB564EDC4490}"/>
                </c:ext>
              </c:extLst>
            </c:dLbl>
            <c:dLbl>
              <c:idx val="9"/>
              <c:layout>
                <c:manualLayout>
                  <c:x val="-0.11088709677419364"/>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69-4EBE-9D8E-FB564EDC4490}"/>
                </c:ext>
              </c:extLst>
            </c:dLbl>
            <c:dLbl>
              <c:idx val="10"/>
              <c:layout>
                <c:manualLayout>
                  <c:x val="-9.5766129032258063E-2"/>
                  <c:y val="-3.71057513914656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69-4EBE-9D8E-FB564EDC4490}"/>
                </c:ext>
              </c:extLst>
            </c:dLbl>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Sheet1!$A$2:$A$16</c:f>
              <c:numCache>
                <c:formatCode>General</c:formatCode>
                <c:ptCount val="15"/>
              </c:numCache>
            </c:numRef>
          </c:cat>
          <c:val>
            <c:numRef>
              <c:f>Sheet1!$B$2:$B$16</c:f>
              <c:numCache>
                <c:formatCode>0.0</c:formatCode>
                <c:ptCount val="15"/>
                <c:pt idx="0">
                  <c:v>7.1080783368732412</c:v>
                </c:pt>
                <c:pt idx="1">
                  <c:v>14.22691124133223</c:v>
                </c:pt>
                <c:pt idx="2">
                  <c:v>24.803356053217644</c:v>
                </c:pt>
                <c:pt idx="3">
                  <c:v>26.141543367868277</c:v>
                </c:pt>
                <c:pt idx="4">
                  <c:v>29.272848590141219</c:v>
                </c:pt>
                <c:pt idx="5">
                  <c:v>29.79855167456844</c:v>
                </c:pt>
                <c:pt idx="6">
                  <c:v>30.413237875455884</c:v>
                </c:pt>
                <c:pt idx="7">
                  <c:v>34.447284051924214</c:v>
                </c:pt>
                <c:pt idx="8">
                  <c:v>37.657159530273034</c:v>
                </c:pt>
                <c:pt idx="9">
                  <c:v>40.75617399135615</c:v>
                </c:pt>
                <c:pt idx="10">
                  <c:v>42.739643295970694</c:v>
                </c:pt>
                <c:pt idx="11">
                  <c:v>43.906790720060158</c:v>
                </c:pt>
                <c:pt idx="12">
                  <c:v>46.781914888720017</c:v>
                </c:pt>
                <c:pt idx="13">
                  <c:v>48.087298142404613</c:v>
                </c:pt>
                <c:pt idx="14">
                  <c:v>50.49245215731105</c:v>
                </c:pt>
              </c:numCache>
            </c:numRef>
          </c:val>
          <c:extLst>
            <c:ext xmlns:c16="http://schemas.microsoft.com/office/drawing/2014/chart" uri="{C3380CC4-5D6E-409C-BE32-E72D297353CC}">
              <c16:uniqueId val="{00000004-3269-4EBE-9D8E-FB564EDC4490}"/>
            </c:ext>
          </c:extLst>
        </c:ser>
        <c:dLbls>
          <c:showLegendKey val="0"/>
          <c:showVal val="0"/>
          <c:showCatName val="0"/>
          <c:showSerName val="0"/>
          <c:showPercent val="0"/>
          <c:showBubbleSize val="0"/>
        </c:dLbls>
        <c:gapWidth val="40"/>
        <c:axId val="742064024"/>
        <c:axId val="742068728"/>
      </c:barChart>
      <c:catAx>
        <c:axId val="742064024"/>
        <c:scaling>
          <c:orientation val="minMax"/>
        </c:scaling>
        <c:delete val="0"/>
        <c:axPos val="l"/>
        <c:numFmt formatCode="General" sourceLinked="1"/>
        <c:majorTickMark val="out"/>
        <c:minorTickMark val="none"/>
        <c:tickLblPos val="nextTo"/>
        <c:txPr>
          <a:bodyPr rot="0" vert="horz"/>
          <a:lstStyle/>
          <a:p>
            <a:pPr>
              <a:defRPr/>
            </a:pPr>
            <a:endParaRPr lang="en-US"/>
          </a:p>
        </c:txPr>
        <c:crossAx val="742068728"/>
        <c:crosses val="autoZero"/>
        <c:auto val="1"/>
        <c:lblAlgn val="ctr"/>
        <c:lblOffset val="100"/>
        <c:noMultiLvlLbl val="0"/>
      </c:catAx>
      <c:valAx>
        <c:axId val="742068728"/>
        <c:scaling>
          <c:orientation val="minMax"/>
          <c:max val="55"/>
          <c:min val="0"/>
        </c:scaling>
        <c:delete val="0"/>
        <c:axPos val="b"/>
        <c:numFmt formatCode="0" sourceLinked="0"/>
        <c:majorTickMark val="out"/>
        <c:minorTickMark val="none"/>
        <c:tickLblPos val="nextTo"/>
        <c:spPr>
          <a:ln>
            <a:noFill/>
          </a:ln>
        </c:spPr>
        <c:crossAx val="742064024"/>
        <c:crosses val="autoZero"/>
        <c:crossBetween val="between"/>
        <c:majorUnit val="10"/>
        <c:minorUnit val="3"/>
      </c:valAx>
    </c:plotArea>
    <c:plotVisOnly val="1"/>
    <c:dispBlanksAs val="zero"/>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185394364971391E-2"/>
          <c:y val="3.8375336058888695E-2"/>
          <c:w val="0.9122183287298512"/>
          <c:h val="0.84614117665735333"/>
        </c:manualLayout>
      </c:layout>
      <c:lineChart>
        <c:grouping val="standard"/>
        <c:varyColors val="0"/>
        <c:ser>
          <c:idx val="3"/>
          <c:order val="1"/>
          <c:tx>
            <c:v>Lietuva</c:v>
          </c:tx>
          <c:spPr>
            <a:ln w="28575" cap="rnd">
              <a:solidFill>
                <a:srgbClr val="00B050"/>
              </a:solidFill>
              <a:round/>
            </a:ln>
            <a:effectLst/>
          </c:spPr>
          <c:marker>
            <c:symbol val="none"/>
          </c:marker>
          <c:cat>
            <c:strRef>
              <c:f>'konverģence IKP uz iedz.'!$BX$6:$CM$6</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'konverģence IKP uz iedz.'!$BG$22:$BV$22</c:f>
              <c:numCache>
                <c:formatCode>0.00</c:formatCode>
                <c:ptCount val="16"/>
                <c:pt idx="0">
                  <c:v>-40.18991755362601</c:v>
                </c:pt>
                <c:pt idx="1">
                  <c:v>-34.624064799356944</c:v>
                </c:pt>
                <c:pt idx="2">
                  <c:v>-30.169593299409541</c:v>
                </c:pt>
                <c:pt idx="3">
                  <c:v>-26.967451958786455</c:v>
                </c:pt>
                <c:pt idx="4">
                  <c:v>-25.231960010876321</c:v>
                </c:pt>
                <c:pt idx="5">
                  <c:v>-25.383491862489748</c:v>
                </c:pt>
                <c:pt idx="6">
                  <c:v>-24.973764105083973</c:v>
                </c:pt>
                <c:pt idx="7">
                  <c:v>-22.18932317134859</c:v>
                </c:pt>
                <c:pt idx="8">
                  <c:v>-19.241576242147346</c:v>
                </c:pt>
                <c:pt idx="9">
                  <c:v>-16.767623230105244</c:v>
                </c:pt>
                <c:pt idx="10">
                  <c:v>-13.612230852423551</c:v>
                </c:pt>
                <c:pt idx="11">
                  <c:v>-11.981432432513699</c:v>
                </c:pt>
                <c:pt idx="12">
                  <c:v>-13.472319842381111</c:v>
                </c:pt>
                <c:pt idx="13">
                  <c:v>-14.191571360449046</c:v>
                </c:pt>
                <c:pt idx="14">
                  <c:v>-12.567821891204673</c:v>
                </c:pt>
                <c:pt idx="15">
                  <c:v>-12.086885072604431</c:v>
                </c:pt>
              </c:numCache>
            </c:numRef>
          </c:val>
          <c:smooth val="0"/>
          <c:extLst>
            <c:ext xmlns:c16="http://schemas.microsoft.com/office/drawing/2014/chart" uri="{C3380CC4-5D6E-409C-BE32-E72D297353CC}">
              <c16:uniqueId val="{00000000-4911-4BA5-9D1B-D8859BDD5BE2}"/>
            </c:ext>
          </c:extLst>
        </c:ser>
        <c:ser>
          <c:idx val="2"/>
          <c:order val="2"/>
          <c:tx>
            <c:v>Igaunija</c:v>
          </c:tx>
          <c:spPr>
            <a:ln w="28575" cap="rnd">
              <a:solidFill>
                <a:schemeClr val="tx2">
                  <a:lumMod val="60000"/>
                  <a:lumOff val="40000"/>
                </a:schemeClr>
              </a:solidFill>
              <a:round/>
            </a:ln>
            <a:effectLst/>
          </c:spPr>
          <c:marker>
            <c:symbol val="none"/>
          </c:marker>
          <c:cat>
            <c:strRef>
              <c:f>'konverģence IKP uz iedz.'!$BX$6:$CM$6</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'konverģence IKP uz iedz.'!$BG$13:$BV$13</c:f>
              <c:numCache>
                <c:formatCode>0.00</c:formatCode>
                <c:ptCount val="16"/>
                <c:pt idx="0">
                  <c:v>-34.882905427752817</c:v>
                </c:pt>
                <c:pt idx="1">
                  <c:v>-29.126862672355159</c:v>
                </c:pt>
                <c:pt idx="2">
                  <c:v>-25.547925696117744</c:v>
                </c:pt>
                <c:pt idx="3">
                  <c:v>-23.609423505437363</c:v>
                </c:pt>
                <c:pt idx="4">
                  <c:v>-21.574981469272515</c:v>
                </c:pt>
                <c:pt idx="5">
                  <c:v>-23.018865209445565</c:v>
                </c:pt>
                <c:pt idx="6">
                  <c:v>-22.115016759384389</c:v>
                </c:pt>
                <c:pt idx="7">
                  <c:v>-19.96088085522544</c:v>
                </c:pt>
                <c:pt idx="8">
                  <c:v>-17.672187321530558</c:v>
                </c:pt>
                <c:pt idx="9">
                  <c:v>-16.590633754826996</c:v>
                </c:pt>
                <c:pt idx="10">
                  <c:v>-14.808114574115962</c:v>
                </c:pt>
                <c:pt idx="11">
                  <c:v>-15.090658192608458</c:v>
                </c:pt>
                <c:pt idx="12">
                  <c:v>-16.903906712638843</c:v>
                </c:pt>
                <c:pt idx="13">
                  <c:v>-20.237490326060609</c:v>
                </c:pt>
                <c:pt idx="14">
                  <c:v>-21.028039722105433</c:v>
                </c:pt>
                <c:pt idx="15">
                  <c:v>-20.856117320314823</c:v>
                </c:pt>
              </c:numCache>
            </c:numRef>
          </c:val>
          <c:smooth val="0"/>
          <c:extLst>
            <c:ext xmlns:c16="http://schemas.microsoft.com/office/drawing/2014/chart" uri="{C3380CC4-5D6E-409C-BE32-E72D297353CC}">
              <c16:uniqueId val="{00000001-4911-4BA5-9D1B-D8859BDD5BE2}"/>
            </c:ext>
          </c:extLst>
        </c:ser>
        <c:ser>
          <c:idx val="0"/>
          <c:order val="3"/>
          <c:tx>
            <c:v>Latvija</c:v>
          </c:tx>
          <c:spPr>
            <a:ln w="28575" cap="rnd">
              <a:solidFill>
                <a:srgbClr val="C00000"/>
              </a:solidFill>
              <a:round/>
            </a:ln>
            <a:effectLst/>
          </c:spPr>
          <c:marker>
            <c:symbol val="none"/>
          </c:marker>
          <c:cat>
            <c:strRef>
              <c:f>'konverģence IKP uz iedz.'!$BX$6:$CM$6</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'konverģence IKP uz iedz.'!$BG$21:$BV$21</c:f>
              <c:numCache>
                <c:formatCode>0.00</c:formatCode>
                <c:ptCount val="16"/>
                <c:pt idx="0">
                  <c:v>-47.677435037118798</c:v>
                </c:pt>
                <c:pt idx="1">
                  <c:v>-46.358900636863908</c:v>
                </c:pt>
                <c:pt idx="2">
                  <c:v>-41.727418994757457</c:v>
                </c:pt>
                <c:pt idx="3">
                  <c:v>-39.931056811472757</c:v>
                </c:pt>
                <c:pt idx="4">
                  <c:v>-38.680612203089325</c:v>
                </c:pt>
                <c:pt idx="5">
                  <c:v>-37.572489315470627</c:v>
                </c:pt>
                <c:pt idx="6">
                  <c:v>-37.085797518558159</c:v>
                </c:pt>
                <c:pt idx="7">
                  <c:v>-35.926213199339017</c:v>
                </c:pt>
                <c:pt idx="8">
                  <c:v>-33.979929836012062</c:v>
                </c:pt>
                <c:pt idx="9">
                  <c:v>-33.909101234193983</c:v>
                </c:pt>
                <c:pt idx="10">
                  <c:v>-31.46724346999639</c:v>
                </c:pt>
                <c:pt idx="11">
                  <c:v>-29.222573303710206</c:v>
                </c:pt>
                <c:pt idx="12">
                  <c:v>-30.988328011113026</c:v>
                </c:pt>
                <c:pt idx="13">
                  <c:v>-30.283794946360132</c:v>
                </c:pt>
                <c:pt idx="14">
                  <c:v>-31.085951108174655</c:v>
                </c:pt>
                <c:pt idx="15">
                  <c:v>-29.058112380714419</c:v>
                </c:pt>
              </c:numCache>
            </c:numRef>
          </c:val>
          <c:smooth val="0"/>
          <c:extLst>
            <c:ext xmlns:c16="http://schemas.microsoft.com/office/drawing/2014/chart" uri="{C3380CC4-5D6E-409C-BE32-E72D297353CC}">
              <c16:uniqueId val="{00000002-4911-4BA5-9D1B-D8859BDD5BE2}"/>
            </c:ext>
          </c:extLst>
        </c:ser>
        <c:dLbls>
          <c:showLegendKey val="0"/>
          <c:showVal val="0"/>
          <c:showCatName val="0"/>
          <c:showSerName val="0"/>
          <c:showPercent val="0"/>
          <c:showBubbleSize val="0"/>
        </c:dLbls>
        <c:smooth val="0"/>
        <c:axId val="583684032"/>
        <c:axId val="583677800"/>
        <c:extLst>
          <c:ext xmlns:c15="http://schemas.microsoft.com/office/drawing/2012/chart" uri="{02D57815-91ED-43cb-92C2-25804820EDAC}">
            <c15:filteredLineSeries>
              <c15:ser>
                <c:idx val="1"/>
                <c:order val="0"/>
                <c:tx>
                  <c:v>ES vidējais IKP uz 1 iedz. 2022.g.</c:v>
                </c:tx>
                <c:spPr>
                  <a:ln w="28575" cap="rnd">
                    <a:solidFill>
                      <a:schemeClr val="accent2"/>
                    </a:solidFill>
                    <a:round/>
                  </a:ln>
                  <a:effectLst/>
                </c:spPr>
                <c:marker>
                  <c:symbol val="none"/>
                </c:marker>
                <c:cat>
                  <c:strRef>
                    <c:extLst>
                      <c:ext uri="{02D57815-91ED-43cb-92C2-25804820EDAC}">
                        <c15:formulaRef>
                          <c15:sqref>'konverģence IKP uz iedz.'!$BX$6:$CM$6</c15:sqref>
                        </c15:formulaRef>
                      </c:ext>
                    </c:extLst>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extLst>
                      <c:ext uri="{02D57815-91ED-43cb-92C2-25804820EDAC}">
                        <c15:formulaRef>
                          <c15:sqref>'konverģence IKP uz iedz.'!$BX$7:$CJ$7</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3-4911-4BA5-9D1B-D8859BDD5BE2}"/>
                  </c:ext>
                </c:extLst>
              </c15:ser>
            </c15:filteredLineSeries>
          </c:ext>
        </c:extLst>
      </c:lineChart>
      <c:catAx>
        <c:axId val="583684032"/>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583677800"/>
        <c:crosses val="autoZero"/>
        <c:auto val="1"/>
        <c:lblAlgn val="ctr"/>
        <c:lblOffset val="100"/>
        <c:noMultiLvlLbl val="0"/>
      </c:catAx>
      <c:valAx>
        <c:axId val="583677800"/>
        <c:scaling>
          <c:orientation val="minMax"/>
          <c:max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583684032"/>
        <c:crosses val="autoZero"/>
        <c:crossBetween val="between"/>
        <c:majorUnit val="10"/>
      </c:valAx>
      <c:spPr>
        <a:noFill/>
        <a:ln>
          <a:noFill/>
        </a:ln>
        <a:effectLst/>
      </c:spPr>
    </c:plotArea>
    <c:legend>
      <c:legendPos val="b"/>
      <c:layout>
        <c:manualLayout>
          <c:xMode val="edge"/>
          <c:yMode val="edge"/>
          <c:x val="0.14068773928066047"/>
          <c:y val="7.9917687960375919E-2"/>
          <c:w val="0.18776185226019851"/>
          <c:h val="0.2306800863601727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6.4364517994572698E-2"/>
          <c:y val="8.8196383948258121E-3"/>
          <c:w val="0.84135865691086209"/>
          <c:h val="0.93540598693721277"/>
        </c:manualLayout>
      </c:layout>
      <c:barChart>
        <c:barDir val="bar"/>
        <c:grouping val="clustered"/>
        <c:varyColors val="0"/>
        <c:ser>
          <c:idx val="2"/>
          <c:order val="0"/>
          <c:tx>
            <c:strRef>
              <c:f>Sheet1!$B$1</c:f>
              <c:strCache>
                <c:ptCount val="1"/>
                <c:pt idx="0">
                  <c:v>2022</c:v>
                </c:pt>
              </c:strCache>
            </c:strRef>
          </c:tx>
          <c:spPr>
            <a:solidFill>
              <a:srgbClr val="92B7C4"/>
            </a:solidFill>
          </c:spPr>
          <c:invertIfNegative val="0"/>
          <c:dLbls>
            <c:dLbl>
              <c:idx val="10"/>
              <c:numFmt formatCode="#,##0" sourceLinked="0"/>
              <c:spPr>
                <a:noFill/>
                <a:ln>
                  <a:noFill/>
                </a:ln>
                <a:effectLst/>
              </c:spPr>
              <c:txPr>
                <a:bodyPr/>
                <a:lstStyle/>
                <a:p>
                  <a:pPr>
                    <a:defRPr>
                      <a:solidFill>
                        <a:schemeClr val="tx1"/>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21-4AC6-90A3-3091D9BE4983}"/>
                </c:ext>
              </c:extLst>
            </c:dLbl>
            <c:dLbl>
              <c:idx val="11"/>
              <c:numFmt formatCode="#,##0" sourceLinked="0"/>
              <c:spPr>
                <a:noFill/>
                <a:ln>
                  <a:noFill/>
                </a:ln>
                <a:effectLst/>
              </c:spPr>
              <c:txPr>
                <a:bodyPr/>
                <a:lstStyle/>
                <a:p>
                  <a:pPr>
                    <a:defRPr>
                      <a:solidFill>
                        <a:schemeClr val="tx1"/>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21-4AC6-90A3-3091D9BE4983}"/>
                </c:ext>
              </c:extLst>
            </c:dLbl>
            <c:dLbl>
              <c:idx val="12"/>
              <c:numFmt formatCode="#,##0" sourceLinked="0"/>
              <c:spPr>
                <a:noFill/>
                <a:ln>
                  <a:noFill/>
                </a:ln>
                <a:effectLst/>
              </c:spPr>
              <c:txPr>
                <a:bodyPr/>
                <a:lstStyle/>
                <a:p>
                  <a:pPr>
                    <a:defRPr>
                      <a:solidFill>
                        <a:schemeClr val="tx1"/>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21-4AC6-90A3-3091D9BE4983}"/>
                </c:ext>
              </c:extLst>
            </c:dLbl>
            <c:dLbl>
              <c:idx val="13"/>
              <c:numFmt formatCode="#,##0" sourceLinked="0"/>
              <c:spPr>
                <a:noFill/>
                <a:ln>
                  <a:noFill/>
                </a:ln>
                <a:effectLst/>
              </c:spPr>
              <c:txPr>
                <a:bodyPr/>
                <a:lstStyle/>
                <a:p>
                  <a:pPr>
                    <a:defRPr>
                      <a:solidFill>
                        <a:schemeClr val="tx1"/>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21-4AC6-90A3-3091D9BE4983}"/>
                </c:ext>
              </c:extLst>
            </c:dLbl>
            <c:dLbl>
              <c:idx val="14"/>
              <c:layout>
                <c:manualLayout>
                  <c:x val="-0.11545862732520847"/>
                  <c:y val="-2.93987946494193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21-4AC6-90A3-3091D9BE4983}"/>
                </c:ext>
              </c:extLst>
            </c:dLbl>
            <c:dLbl>
              <c:idx val="15"/>
              <c:layout>
                <c:manualLayout>
                  <c:x val="-9.214214643952065E-2"/>
                  <c:y val="-2.694858378296162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21-4AC6-90A3-3091D9BE4983}"/>
                </c:ext>
              </c:extLst>
            </c:dLbl>
            <c:numFmt formatCode="#,##0" sourceLinked="0"/>
            <c:spPr>
              <a:noFill/>
              <a:ln>
                <a:noFill/>
              </a:ln>
              <a:effectLst/>
            </c:spPr>
            <c:txPr>
              <a:bodyPr/>
              <a:lstStyle/>
              <a:p>
                <a:pPr>
                  <a:defRPr>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Sheet1!$A$2:$A$20</c:f>
              <c:numCache>
                <c:formatCode>General</c:formatCode>
                <c:ptCount val="19"/>
              </c:numCache>
            </c:numRef>
          </c:cat>
          <c:val>
            <c:numRef>
              <c:f>Sheet1!$B$2:$B$20</c:f>
              <c:numCache>
                <c:formatCode>0.0</c:formatCode>
                <c:ptCount val="19"/>
                <c:pt idx="0">
                  <c:v>16.17820926725523</c:v>
                </c:pt>
                <c:pt idx="1">
                  <c:v>20.89325609075566</c:v>
                </c:pt>
                <c:pt idx="2">
                  <c:v>28.212750972438112</c:v>
                </c:pt>
                <c:pt idx="3">
                  <c:v>31.41709224810343</c:v>
                </c:pt>
                <c:pt idx="4">
                  <c:v>34.491919488314529</c:v>
                </c:pt>
                <c:pt idx="5">
                  <c:v>35.029864571518011</c:v>
                </c:pt>
                <c:pt idx="6">
                  <c:v>35.149413598056697</c:v>
                </c:pt>
                <c:pt idx="7">
                  <c:v>35.992460156701753</c:v>
                </c:pt>
                <c:pt idx="8">
                  <c:v>37.59389514906448</c:v>
                </c:pt>
                <c:pt idx="9">
                  <c:v>40.480198194112148</c:v>
                </c:pt>
                <c:pt idx="10">
                  <c:v>41.889052281676683</c:v>
                </c:pt>
                <c:pt idx="11">
                  <c:v>42.166248051564011</c:v>
                </c:pt>
                <c:pt idx="12">
                  <c:v>49.16217910106122</c:v>
                </c:pt>
                <c:pt idx="13">
                  <c:v>49.177887895924478</c:v>
                </c:pt>
                <c:pt idx="14">
                  <c:v>52.458426752172258</c:v>
                </c:pt>
                <c:pt idx="15">
                  <c:v>53.277074982739833</c:v>
                </c:pt>
                <c:pt idx="16">
                  <c:v>54.493216885335784</c:v>
                </c:pt>
                <c:pt idx="17">
                  <c:v>61.876596885331821</c:v>
                </c:pt>
                <c:pt idx="18">
                  <c:v>74.900059938205771</c:v>
                </c:pt>
              </c:numCache>
            </c:numRef>
          </c:val>
          <c:extLst>
            <c:ext xmlns:c16="http://schemas.microsoft.com/office/drawing/2014/chart" uri="{C3380CC4-5D6E-409C-BE32-E72D297353CC}">
              <c16:uniqueId val="{00000006-6521-4AC6-90A3-3091D9BE4983}"/>
            </c:ext>
          </c:extLst>
        </c:ser>
        <c:dLbls>
          <c:showLegendKey val="0"/>
          <c:showVal val="0"/>
          <c:showCatName val="0"/>
          <c:showSerName val="0"/>
          <c:showPercent val="0"/>
          <c:showBubbleSize val="0"/>
        </c:dLbls>
        <c:gapWidth val="40"/>
        <c:axId val="742069512"/>
        <c:axId val="742069904"/>
      </c:barChart>
      <c:catAx>
        <c:axId val="742069512"/>
        <c:scaling>
          <c:orientation val="minMax"/>
        </c:scaling>
        <c:delete val="0"/>
        <c:axPos val="l"/>
        <c:numFmt formatCode="General" sourceLinked="1"/>
        <c:majorTickMark val="out"/>
        <c:minorTickMark val="none"/>
        <c:tickLblPos val="nextTo"/>
        <c:txPr>
          <a:bodyPr rot="0" vert="horz"/>
          <a:lstStyle/>
          <a:p>
            <a:pPr>
              <a:defRPr/>
            </a:pPr>
            <a:endParaRPr lang="en-US"/>
          </a:p>
        </c:txPr>
        <c:crossAx val="742069904"/>
        <c:crosses val="autoZero"/>
        <c:auto val="1"/>
        <c:lblAlgn val="ctr"/>
        <c:lblOffset val="100"/>
        <c:noMultiLvlLbl val="0"/>
      </c:catAx>
      <c:valAx>
        <c:axId val="742069904"/>
        <c:scaling>
          <c:orientation val="minMax"/>
          <c:max val="80"/>
          <c:min val="0"/>
        </c:scaling>
        <c:delete val="0"/>
        <c:axPos val="b"/>
        <c:numFmt formatCode="0" sourceLinked="0"/>
        <c:majorTickMark val="out"/>
        <c:minorTickMark val="none"/>
        <c:tickLblPos val="nextTo"/>
        <c:spPr>
          <a:ln>
            <a:noFill/>
          </a:ln>
        </c:spPr>
        <c:crossAx val="742069512"/>
        <c:crosses val="autoZero"/>
        <c:crossBetween val="between"/>
        <c:majorUnit val="20"/>
        <c:minorUnit val="3"/>
      </c:valAx>
    </c:plotArea>
    <c:plotVisOnly val="1"/>
    <c:dispBlanksAs val="zero"/>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userShapes r:id="rId2"/>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24631507926125E-2"/>
          <c:y val="3.2382323864912382E-2"/>
          <c:w val="0.68202015817482564"/>
          <c:h val="0.84650971113174212"/>
        </c:manualLayout>
      </c:layout>
      <c:lineChart>
        <c:grouping val="standard"/>
        <c:varyColors val="0"/>
        <c:ser>
          <c:idx val="0"/>
          <c:order val="0"/>
          <c:tx>
            <c:strRef>
              <c:f>Sheet1!$E$1</c:f>
              <c:strCache>
                <c:ptCount val="1"/>
                <c:pt idx="0">
                  <c:v>Ar pamata izglītību </c:v>
                </c:pt>
              </c:strCache>
            </c:strRef>
          </c:tx>
          <c:marker>
            <c:symbol val="none"/>
          </c:marker>
          <c:cat>
            <c:numRef>
              <c:f>Sheet1!$A$2:$A$17</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Sheet1!$E$2:$E$17</c:f>
              <c:numCache>
                <c:formatCode>0.0</c:formatCode>
                <c:ptCount val="16"/>
                <c:pt idx="0">
                  <c:v>32.880203908241299</c:v>
                </c:pt>
                <c:pt idx="1">
                  <c:v>29.217391304347828</c:v>
                </c:pt>
                <c:pt idx="2">
                  <c:v>26.615969581749049</c:v>
                </c:pt>
                <c:pt idx="3">
                  <c:v>25.180598555211553</c:v>
                </c:pt>
                <c:pt idx="4">
                  <c:v>24.05609492988134</c:v>
                </c:pt>
                <c:pt idx="5">
                  <c:v>21.964679911699779</c:v>
                </c:pt>
                <c:pt idx="6">
                  <c:v>20.677570093457945</c:v>
                </c:pt>
                <c:pt idx="7">
                  <c:v>18.794326241134755</c:v>
                </c:pt>
                <c:pt idx="8">
                  <c:v>16.419753086419753</c:v>
                </c:pt>
                <c:pt idx="9">
                  <c:v>13.665389527458494</c:v>
                </c:pt>
                <c:pt idx="10">
                  <c:v>18.356867779204109</c:v>
                </c:pt>
                <c:pt idx="11">
                  <c:v>14.503816793893129</c:v>
                </c:pt>
                <c:pt idx="12">
                  <c:v>14.890510948905108</c:v>
                </c:pt>
                <c:pt idx="13">
                  <c:v>13.225371120107965</c:v>
                </c:pt>
                <c:pt idx="14">
                  <c:v>15.261044176706829</c:v>
                </c:pt>
                <c:pt idx="15">
                  <c:v>16.124661246612469</c:v>
                </c:pt>
              </c:numCache>
            </c:numRef>
          </c:val>
          <c:smooth val="0"/>
          <c:extLst>
            <c:ext xmlns:c16="http://schemas.microsoft.com/office/drawing/2014/chart" uri="{C3380CC4-5D6E-409C-BE32-E72D297353CC}">
              <c16:uniqueId val="{00000000-B25A-47EC-A032-476CAB08726A}"/>
            </c:ext>
          </c:extLst>
        </c:ser>
        <c:ser>
          <c:idx val="2"/>
          <c:order val="1"/>
          <c:tx>
            <c:strRef>
              <c:f>Sheet1!$D$1</c:f>
              <c:strCache>
                <c:ptCount val="1"/>
                <c:pt idx="0">
                  <c:v>Ar vidējo vispārējo izglītību</c:v>
                </c:pt>
              </c:strCache>
            </c:strRef>
          </c:tx>
          <c:spPr>
            <a:ln w="28575" cap="rnd" cmpd="sng" algn="ctr">
              <a:solidFill>
                <a:schemeClr val="accent3">
                  <a:shade val="95000"/>
                  <a:satMod val="105000"/>
                </a:schemeClr>
              </a:solidFill>
              <a:prstDash val="solid"/>
              <a:round/>
            </a:ln>
            <a:effectLst/>
          </c:spPr>
          <c:marker>
            <c:symbol val="none"/>
          </c:marker>
          <c:cat>
            <c:numRef>
              <c:f>Sheet1!$A$2:$A$17</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Sheet1!$D$2:$D$17</c:f>
              <c:numCache>
                <c:formatCode>0.0</c:formatCode>
                <c:ptCount val="16"/>
                <c:pt idx="0">
                  <c:v>23.796992481203006</c:v>
                </c:pt>
                <c:pt idx="1">
                  <c:v>21.563126252505008</c:v>
                </c:pt>
                <c:pt idx="2">
                  <c:v>20.135296458416235</c:v>
                </c:pt>
                <c:pt idx="3">
                  <c:v>15.004055150040552</c:v>
                </c:pt>
                <c:pt idx="4">
                  <c:v>13.305954825462013</c:v>
                </c:pt>
                <c:pt idx="5">
                  <c:v>12.084592145015106</c:v>
                </c:pt>
                <c:pt idx="6">
                  <c:v>13.270142180094787</c:v>
                </c:pt>
                <c:pt idx="7">
                  <c:v>12.085691188358933</c:v>
                </c:pt>
                <c:pt idx="8">
                  <c:v>9.626320064987814</c:v>
                </c:pt>
                <c:pt idx="9">
                  <c:v>7.0622649394066013</c:v>
                </c:pt>
                <c:pt idx="10">
                  <c:v>9.330985915492958</c:v>
                </c:pt>
                <c:pt idx="11">
                  <c:v>10.379746835443038</c:v>
                </c:pt>
                <c:pt idx="12">
                  <c:v>8.4589207583859984</c:v>
                </c:pt>
                <c:pt idx="13">
                  <c:v>8.8387400094029154</c:v>
                </c:pt>
                <c:pt idx="14">
                  <c:v>9.4921689606075006</c:v>
                </c:pt>
                <c:pt idx="15">
                  <c:v>9.3158660844250374</c:v>
                </c:pt>
              </c:numCache>
            </c:numRef>
          </c:val>
          <c:smooth val="0"/>
          <c:extLst>
            <c:ext xmlns:c16="http://schemas.microsoft.com/office/drawing/2014/chart" uri="{C3380CC4-5D6E-409C-BE32-E72D297353CC}">
              <c16:uniqueId val="{00000001-B25A-47EC-A032-476CAB08726A}"/>
            </c:ext>
          </c:extLst>
        </c:ser>
        <c:ser>
          <c:idx val="4"/>
          <c:order val="2"/>
          <c:tx>
            <c:strRef>
              <c:f>Sheet1!$C$1</c:f>
              <c:strCache>
                <c:ptCount val="1"/>
                <c:pt idx="0">
                  <c:v>Ar vidējo profesionālo izglītību</c:v>
                </c:pt>
              </c:strCache>
            </c:strRef>
          </c:tx>
          <c:spPr>
            <a:ln w="28575" cap="rnd" cmpd="sng" algn="ctr">
              <a:solidFill>
                <a:schemeClr val="accent5">
                  <a:shade val="95000"/>
                  <a:satMod val="105000"/>
                </a:schemeClr>
              </a:solidFill>
              <a:prstDash val="solid"/>
              <a:round/>
            </a:ln>
            <a:effectLst/>
          </c:spPr>
          <c:marker>
            <c:symbol val="none"/>
          </c:marker>
          <c:cat>
            <c:numRef>
              <c:f>Sheet1!$A$2:$A$17</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Sheet1!$C$2:$C$17</c:f>
              <c:numCache>
                <c:formatCode>0.0</c:formatCode>
                <c:ptCount val="16"/>
                <c:pt idx="0">
                  <c:v>19.192991770639768</c:v>
                </c:pt>
                <c:pt idx="1">
                  <c:v>15.961272475795299</c:v>
                </c:pt>
                <c:pt idx="2">
                  <c:v>15.780542986425338</c:v>
                </c:pt>
                <c:pt idx="3">
                  <c:v>11.673615247170936</c:v>
                </c:pt>
                <c:pt idx="4">
                  <c:v>10.496580434136186</c:v>
                </c:pt>
                <c:pt idx="5">
                  <c:v>9.9852724594992637</c:v>
                </c:pt>
                <c:pt idx="6">
                  <c:v>9.8822800495662939</c:v>
                </c:pt>
                <c:pt idx="7">
                  <c:v>8.6522462562396019</c:v>
                </c:pt>
                <c:pt idx="8">
                  <c:v>7.5852931434249742</c:v>
                </c:pt>
                <c:pt idx="9">
                  <c:v>7.0907194994786229</c:v>
                </c:pt>
                <c:pt idx="10">
                  <c:v>8.2957306490801805</c:v>
                </c:pt>
                <c:pt idx="11">
                  <c:v>7.8498293515358366</c:v>
                </c:pt>
                <c:pt idx="12">
                  <c:v>7.3454048513836687</c:v>
                </c:pt>
                <c:pt idx="13">
                  <c:v>7.2172351885098758</c:v>
                </c:pt>
                <c:pt idx="14">
                  <c:v>6.8088290310512525</c:v>
                </c:pt>
                <c:pt idx="15">
                  <c:v>7.1402550091074684</c:v>
                </c:pt>
              </c:numCache>
            </c:numRef>
          </c:val>
          <c:smooth val="0"/>
          <c:extLst>
            <c:ext xmlns:c16="http://schemas.microsoft.com/office/drawing/2014/chart" uri="{C3380CC4-5D6E-409C-BE32-E72D297353CC}">
              <c16:uniqueId val="{00000002-B25A-47EC-A032-476CAB08726A}"/>
            </c:ext>
          </c:extLst>
        </c:ser>
        <c:ser>
          <c:idx val="5"/>
          <c:order val="3"/>
          <c:tx>
            <c:strRef>
              <c:f>Sheet1!$B$1</c:f>
              <c:strCache>
                <c:ptCount val="1"/>
                <c:pt idx="0">
                  <c:v>Ar augstāko izglītību</c:v>
                </c:pt>
              </c:strCache>
            </c:strRef>
          </c:tx>
          <c:spPr>
            <a:ln w="28575" cap="rnd" cmpd="sng" algn="ctr">
              <a:solidFill>
                <a:schemeClr val="accent6">
                  <a:shade val="95000"/>
                  <a:satMod val="105000"/>
                </a:schemeClr>
              </a:solidFill>
              <a:prstDash val="solid"/>
              <a:round/>
            </a:ln>
            <a:effectLst/>
          </c:spPr>
          <c:marker>
            <c:symbol val="none"/>
          </c:marker>
          <c:cat>
            <c:numRef>
              <c:f>Sheet1!$A$2:$A$17</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Sheet1!$B$2:$B$17</c:f>
              <c:numCache>
                <c:formatCode>0.0</c:formatCode>
                <c:ptCount val="16"/>
                <c:pt idx="0">
                  <c:v>10.656292286874153</c:v>
                </c:pt>
                <c:pt idx="1">
                  <c:v>7.1215634315998688</c:v>
                </c:pt>
                <c:pt idx="2">
                  <c:v>6.4314704964096165</c:v>
                </c:pt>
                <c:pt idx="3">
                  <c:v>5.9491778774289985</c:v>
                </c:pt>
                <c:pt idx="4">
                  <c:v>5.5520702634880799</c:v>
                </c:pt>
                <c:pt idx="5">
                  <c:v>4.9516908212560384</c:v>
                </c:pt>
                <c:pt idx="6">
                  <c:v>4.3026277793820382</c:v>
                </c:pt>
                <c:pt idx="7">
                  <c:v>3.8972286374133955</c:v>
                </c:pt>
                <c:pt idx="8">
                  <c:v>3.6637318943481962</c:v>
                </c:pt>
                <c:pt idx="9">
                  <c:v>3.6095159967186214</c:v>
                </c:pt>
                <c:pt idx="10">
                  <c:v>5.0766790058170281</c:v>
                </c:pt>
                <c:pt idx="11">
                  <c:v>4.6487057580559963</c:v>
                </c:pt>
                <c:pt idx="12">
                  <c:v>4.1894353369763211</c:v>
                </c:pt>
                <c:pt idx="13">
                  <c:v>3.3429849960515927</c:v>
                </c:pt>
                <c:pt idx="14">
                  <c:v>4.0287400564536817</c:v>
                </c:pt>
                <c:pt idx="15">
                  <c:v>3.8051750380517504</c:v>
                </c:pt>
              </c:numCache>
            </c:numRef>
          </c:val>
          <c:smooth val="0"/>
          <c:extLst>
            <c:ext xmlns:c16="http://schemas.microsoft.com/office/drawing/2014/chart" uri="{C3380CC4-5D6E-409C-BE32-E72D297353CC}">
              <c16:uniqueId val="{00000003-B25A-47EC-A032-476CAB08726A}"/>
            </c:ext>
          </c:extLst>
        </c:ser>
        <c:dLbls>
          <c:showLegendKey val="0"/>
          <c:showVal val="0"/>
          <c:showCatName val="0"/>
          <c:showSerName val="0"/>
          <c:showPercent val="0"/>
          <c:showBubbleSize val="0"/>
        </c:dLbls>
        <c:smooth val="0"/>
        <c:axId val="742065592"/>
        <c:axId val="742062848"/>
      </c:lineChart>
      <c:catAx>
        <c:axId val="742065592"/>
        <c:scaling>
          <c:orientation val="minMax"/>
        </c:scaling>
        <c:delete val="0"/>
        <c:axPos val="b"/>
        <c:numFmt formatCode="General" sourceLinked="1"/>
        <c:majorTickMark val="out"/>
        <c:minorTickMark val="none"/>
        <c:tickLblPos val="nextTo"/>
        <c:spPr>
          <a:noFill/>
          <a:ln w="6350" cap="flat" cmpd="sng" algn="ctr">
            <a:solidFill>
              <a:schemeClr val="tx1">
                <a:tint val="75000"/>
                <a:shade val="95000"/>
                <a:satMod val="105000"/>
              </a:schemeClr>
            </a:solidFill>
            <a:prstDash val="solid"/>
            <a:round/>
          </a:ln>
          <a:effectLst/>
        </c:spPr>
        <c:txPr>
          <a:bodyPr rot="-60000000" vert="horz"/>
          <a:lstStyle/>
          <a:p>
            <a:pPr>
              <a:defRPr/>
            </a:pPr>
            <a:endParaRPr lang="en-US"/>
          </a:p>
        </c:txPr>
        <c:crossAx val="742062848"/>
        <c:crosses val="autoZero"/>
        <c:auto val="1"/>
        <c:lblAlgn val="ctr"/>
        <c:lblOffset val="100"/>
        <c:noMultiLvlLbl val="0"/>
      </c:catAx>
      <c:valAx>
        <c:axId val="742062848"/>
        <c:scaling>
          <c:orientation val="minMax"/>
          <c:max val="35"/>
          <c:min val="0"/>
        </c:scaling>
        <c:delete val="0"/>
        <c:axPos val="l"/>
        <c:numFmt formatCode="0" sourceLinked="0"/>
        <c:majorTickMark val="out"/>
        <c:minorTickMark val="none"/>
        <c:tickLblPos val="nextTo"/>
        <c:spPr>
          <a:noFill/>
          <a:ln w="9525" cap="flat" cmpd="sng" algn="ctr">
            <a:noFill/>
            <a:prstDash val="solid"/>
            <a:round/>
          </a:ln>
          <a:effectLst/>
        </c:spPr>
        <c:txPr>
          <a:bodyPr rot="-60000000" vert="horz"/>
          <a:lstStyle/>
          <a:p>
            <a:pPr>
              <a:defRPr/>
            </a:pPr>
            <a:endParaRPr lang="en-US"/>
          </a:p>
        </c:txPr>
        <c:crossAx val="742065592"/>
        <c:crosses val="autoZero"/>
        <c:crossBetween val="between"/>
        <c:majorUnit val="7"/>
      </c:valAx>
      <c:spPr>
        <a:solidFill>
          <a:schemeClr val="bg1"/>
        </a:solidFill>
        <a:ln>
          <a:noFill/>
        </a:ln>
        <a:effectLst/>
      </c:spPr>
    </c:plotArea>
    <c:legend>
      <c:legendPos val="l"/>
      <c:layout>
        <c:manualLayout>
          <c:xMode val="edge"/>
          <c:yMode val="edge"/>
          <c:x val="0.76108274227573813"/>
          <c:y val="4.5838301379631283E-2"/>
          <c:w val="0.22515952044031981"/>
          <c:h val="0.86916724353883879"/>
        </c:manualLayout>
      </c:layout>
      <c:overlay val="1"/>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27712743131443E-2"/>
          <c:y val="3.3478893740902474E-2"/>
          <c:w val="0.9026045711653381"/>
          <c:h val="0.78687092957837779"/>
        </c:manualLayout>
      </c:layout>
      <c:barChart>
        <c:barDir val="col"/>
        <c:grouping val="clustered"/>
        <c:varyColors val="0"/>
        <c:ser>
          <c:idx val="0"/>
          <c:order val="0"/>
          <c:tx>
            <c:strRef>
              <c:f>Sheet1!$B$1</c:f>
              <c:strCache>
                <c:ptCount val="1"/>
                <c:pt idx="0">
                  <c:v>Profesiju kvalifikācijas pakāpe</c:v>
                </c:pt>
              </c:strCache>
            </c:strRef>
          </c:tx>
          <c:spPr>
            <a:solidFill>
              <a:srgbClr val="92B7C4"/>
            </a:solidFill>
          </c:spPr>
          <c:invertIfNegative val="0"/>
          <c:cat>
            <c:strRef>
              <c:f>Sheet1!$A$2:$A$4</c:f>
              <c:strCache>
                <c:ptCount val="3"/>
                <c:pt idx="0">
                  <c:v>Augstas kvalifikācijas profesijas / augstākā izglītība</c:v>
                </c:pt>
                <c:pt idx="1">
                  <c:v>Vidējas kvalifikācijas profesijas /                                                   vidējā izglītība</c:v>
                </c:pt>
                <c:pt idx="2">
                  <c:v>Zemas kvalifikācijas profesijas / pamatizglītība un zemāka izglītība</c:v>
                </c:pt>
              </c:strCache>
            </c:strRef>
          </c:cat>
          <c:val>
            <c:numRef>
              <c:f>Sheet1!$B$2:$B$4</c:f>
              <c:numCache>
                <c:formatCode>0.0</c:formatCode>
                <c:ptCount val="3"/>
                <c:pt idx="0">
                  <c:v>403.36910677499998</c:v>
                </c:pt>
                <c:pt idx="1">
                  <c:v>371.32788639999995</c:v>
                </c:pt>
                <c:pt idx="2">
                  <c:v>108.35730184999998</c:v>
                </c:pt>
              </c:numCache>
            </c:numRef>
          </c:val>
          <c:extLst>
            <c:ext xmlns:c16="http://schemas.microsoft.com/office/drawing/2014/chart" uri="{C3380CC4-5D6E-409C-BE32-E72D297353CC}">
              <c16:uniqueId val="{00000000-6AB6-4BE9-9ED5-16642AB51124}"/>
            </c:ext>
          </c:extLst>
        </c:ser>
        <c:ser>
          <c:idx val="1"/>
          <c:order val="1"/>
          <c:tx>
            <c:strRef>
              <c:f>Sheet1!$C$1</c:f>
              <c:strCache>
                <c:ptCount val="1"/>
                <c:pt idx="0">
                  <c:v>Izglītības līmenis</c:v>
                </c:pt>
              </c:strCache>
            </c:strRef>
          </c:tx>
          <c:spPr>
            <a:solidFill>
              <a:schemeClr val="accent4">
                <a:lumMod val="60000"/>
                <a:lumOff val="40000"/>
              </a:schemeClr>
            </a:solidFill>
          </c:spPr>
          <c:invertIfNegative val="0"/>
          <c:cat>
            <c:strRef>
              <c:f>Sheet1!$A$2:$A$4</c:f>
              <c:strCache>
                <c:ptCount val="3"/>
                <c:pt idx="0">
                  <c:v>Augstas kvalifikācijas profesijas / augstākā izglītība</c:v>
                </c:pt>
                <c:pt idx="1">
                  <c:v>Vidējas kvalifikācijas profesijas /                                                   vidējā izglītība</c:v>
                </c:pt>
                <c:pt idx="2">
                  <c:v>Zemas kvalifikācijas profesijas / pamatizglītība un zemāka izglītība</c:v>
                </c:pt>
              </c:strCache>
            </c:strRef>
          </c:cat>
          <c:val>
            <c:numRef>
              <c:f>Sheet1!$C$2:$C$4</c:f>
              <c:numCache>
                <c:formatCode>0.0</c:formatCode>
                <c:ptCount val="3"/>
                <c:pt idx="0">
                  <c:v>379.19809790000085</c:v>
                </c:pt>
                <c:pt idx="1">
                  <c:v>441.86637565000092</c:v>
                </c:pt>
                <c:pt idx="2">
                  <c:v>61.989821475000028</c:v>
                </c:pt>
              </c:numCache>
            </c:numRef>
          </c:val>
          <c:extLst>
            <c:ext xmlns:c16="http://schemas.microsoft.com/office/drawing/2014/chart" uri="{C3380CC4-5D6E-409C-BE32-E72D297353CC}">
              <c16:uniqueId val="{00000001-6AB6-4BE9-9ED5-16642AB51124}"/>
            </c:ext>
          </c:extLst>
        </c:ser>
        <c:dLbls>
          <c:showLegendKey val="0"/>
          <c:showVal val="0"/>
          <c:showCatName val="0"/>
          <c:showSerName val="0"/>
          <c:showPercent val="0"/>
          <c:showBubbleSize val="0"/>
        </c:dLbls>
        <c:gapWidth val="180"/>
        <c:axId val="742066376"/>
        <c:axId val="742085192"/>
      </c:barChart>
      <c:catAx>
        <c:axId val="742066376"/>
        <c:scaling>
          <c:orientation val="minMax"/>
        </c:scaling>
        <c:delete val="0"/>
        <c:axPos val="b"/>
        <c:numFmt formatCode="General" sourceLinked="1"/>
        <c:majorTickMark val="out"/>
        <c:minorTickMark val="none"/>
        <c:tickLblPos val="nextTo"/>
        <c:spPr>
          <a:ln w="3175"/>
        </c:spPr>
        <c:txPr>
          <a:bodyPr/>
          <a:lstStyle/>
          <a:p>
            <a:pPr algn="just">
              <a:defRPr/>
            </a:pPr>
            <a:endParaRPr lang="en-US"/>
          </a:p>
        </c:txPr>
        <c:crossAx val="742085192"/>
        <c:crosses val="autoZero"/>
        <c:auto val="1"/>
        <c:lblAlgn val="ctr"/>
        <c:lblOffset val="100"/>
        <c:tickLblSkip val="1"/>
        <c:noMultiLvlLbl val="0"/>
      </c:catAx>
      <c:valAx>
        <c:axId val="742085192"/>
        <c:scaling>
          <c:orientation val="minMax"/>
          <c:max val="450"/>
        </c:scaling>
        <c:delete val="0"/>
        <c:axPos val="l"/>
        <c:numFmt formatCode="0" sourceLinked="0"/>
        <c:majorTickMark val="out"/>
        <c:minorTickMark val="none"/>
        <c:tickLblPos val="nextTo"/>
        <c:spPr>
          <a:ln w="3175">
            <a:noFill/>
          </a:ln>
        </c:spPr>
        <c:crossAx val="742066376"/>
        <c:crosses val="autoZero"/>
        <c:crossBetween val="between"/>
        <c:majorUnit val="150"/>
      </c:valAx>
    </c:plotArea>
    <c:legend>
      <c:legendPos val="r"/>
      <c:layout>
        <c:manualLayout>
          <c:xMode val="edge"/>
          <c:yMode val="edge"/>
          <c:x val="0.66980267213015121"/>
          <c:y val="5.906090612534063E-2"/>
          <c:w val="0.30040160084730311"/>
          <c:h val="0.19746901675514614"/>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r>
              <a:rPr lang="lv-LV"/>
              <a:t>Augstākā izglītība</a:t>
            </a:r>
          </a:p>
        </c:rich>
      </c:tx>
      <c:layout>
        <c:manualLayout>
          <c:xMode val="edge"/>
          <c:yMode val="edge"/>
          <c:x val="0.33379402547118214"/>
          <c:y val="3.2304437866945944E-3"/>
        </c:manualLayout>
      </c:layout>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title>
    <c:autoTitleDeleted val="0"/>
    <c:plotArea>
      <c:layout>
        <c:manualLayout>
          <c:layoutTarget val="inner"/>
          <c:xMode val="edge"/>
          <c:yMode val="edge"/>
          <c:x val="4.3233294845862057E-4"/>
          <c:y val="0.1623247305764324"/>
          <c:w val="0.95701293814378607"/>
          <c:h val="0.37001929265809491"/>
        </c:manualLayout>
      </c:layout>
      <c:barChart>
        <c:barDir val="col"/>
        <c:grouping val="stacked"/>
        <c:varyColors val="0"/>
        <c:ser>
          <c:idx val="0"/>
          <c:order val="0"/>
          <c:tx>
            <c:strRef>
              <c:f>Sheet1!$B$19</c:f>
              <c:strCache>
                <c:ptCount val="1"/>
                <c:pt idx="0">
                  <c:v>1. līmeņa profesionālā augstākā izglītība</c:v>
                </c:pt>
              </c:strCache>
            </c:strRef>
          </c:tx>
          <c:spPr>
            <a:solidFill>
              <a:srgbClr val="9BBB59">
                <a:lumMod val="50000"/>
              </a:srgbClr>
            </a:solidFill>
            <a:ln>
              <a:noFill/>
            </a:ln>
            <a:effectLst/>
          </c:spPr>
          <c:invertIfNegative val="0"/>
          <c:cat>
            <c:strRef>
              <c:f>Sheet1!$A$20:$A$27</c:f>
              <c:strCache>
                <c:ptCount val="8"/>
                <c:pt idx="0">
                  <c:v>Veselības aprūpe un sociālā labklājība</c:v>
                </c:pt>
                <c:pt idx="1">
                  <c:v>Izglītība</c:v>
                </c:pt>
                <c:pt idx="2">
                  <c:v>Pakalpojumi</c:v>
                </c:pt>
                <c:pt idx="3">
                  <c:v>Dabaszinātnes, matemātika un informācijas tehnoloģijas</c:v>
                </c:pt>
                <c:pt idx="4">
                  <c:v>Inženierzinātnes, ražošana un būvniecība</c:v>
                </c:pt>
                <c:pt idx="5">
                  <c:v>Lauksaimniecība</c:v>
                </c:pt>
                <c:pt idx="6">
                  <c:v>Humanitārās zinātnes un māksla</c:v>
                </c:pt>
                <c:pt idx="7">
                  <c:v>Sociālās zinātnes, komerczinības un tiesības</c:v>
                </c:pt>
              </c:strCache>
            </c:strRef>
          </c:cat>
          <c:val>
            <c:numRef>
              <c:f>Sheet1!$B$20:$B$27</c:f>
              <c:numCache>
                <c:formatCode>0.0%</c:formatCode>
                <c:ptCount val="8"/>
                <c:pt idx="0">
                  <c:v>0.01</c:v>
                </c:pt>
                <c:pt idx="1">
                  <c:v>8.0000000000000002E-3</c:v>
                </c:pt>
                <c:pt idx="2">
                  <c:v>8.9999999999999993E-3</c:v>
                </c:pt>
                <c:pt idx="3">
                  <c:v>6.0000000000000001E-3</c:v>
                </c:pt>
                <c:pt idx="4">
                  <c:v>7.0000000000000001E-3</c:v>
                </c:pt>
                <c:pt idx="5">
                  <c:v>6.0000000000000001E-3</c:v>
                </c:pt>
                <c:pt idx="6">
                  <c:v>2E-3</c:v>
                </c:pt>
                <c:pt idx="7">
                  <c:v>8.9999999999999993E-3</c:v>
                </c:pt>
              </c:numCache>
            </c:numRef>
          </c:val>
          <c:extLst>
            <c:ext xmlns:c16="http://schemas.microsoft.com/office/drawing/2014/chart" uri="{C3380CC4-5D6E-409C-BE32-E72D297353CC}">
              <c16:uniqueId val="{00000000-5CEB-47F6-A54E-CBE7C457EB3A}"/>
            </c:ext>
          </c:extLst>
        </c:ser>
        <c:ser>
          <c:idx val="1"/>
          <c:order val="1"/>
          <c:tx>
            <c:strRef>
              <c:f>Sheet1!$C$19</c:f>
              <c:strCache>
                <c:ptCount val="1"/>
                <c:pt idx="0">
                  <c:v>Akadēmiskā un profesionālā bakalaura grāds</c:v>
                </c:pt>
              </c:strCache>
            </c:strRef>
          </c:tx>
          <c:spPr>
            <a:solidFill>
              <a:schemeClr val="accent2"/>
            </a:solidFill>
            <a:ln>
              <a:noFill/>
            </a:ln>
            <a:effectLst/>
          </c:spPr>
          <c:invertIfNegative val="0"/>
          <c:cat>
            <c:strRef>
              <c:f>Sheet1!$A$20:$A$27</c:f>
              <c:strCache>
                <c:ptCount val="8"/>
                <c:pt idx="0">
                  <c:v>Veselības aprūpe un sociālā labklājība</c:v>
                </c:pt>
                <c:pt idx="1">
                  <c:v>Izglītība</c:v>
                </c:pt>
                <c:pt idx="2">
                  <c:v>Pakalpojumi</c:v>
                </c:pt>
                <c:pt idx="3">
                  <c:v>Dabaszinātnes, matemātika un informācijas tehnoloģijas</c:v>
                </c:pt>
                <c:pt idx="4">
                  <c:v>Inženierzinātnes, ražošana un būvniecība</c:v>
                </c:pt>
                <c:pt idx="5">
                  <c:v>Lauksaimniecība</c:v>
                </c:pt>
                <c:pt idx="6">
                  <c:v>Humanitārās zinātnes un māksla</c:v>
                </c:pt>
                <c:pt idx="7">
                  <c:v>Sociālās zinātnes, komerczinības un tiesības</c:v>
                </c:pt>
              </c:strCache>
            </c:strRef>
          </c:cat>
          <c:val>
            <c:numRef>
              <c:f>Sheet1!$C$20:$C$27</c:f>
              <c:numCache>
                <c:formatCode>0.0%</c:formatCode>
                <c:ptCount val="8"/>
                <c:pt idx="0">
                  <c:v>6.0000000000000001E-3</c:v>
                </c:pt>
                <c:pt idx="1">
                  <c:v>1.2E-2</c:v>
                </c:pt>
                <c:pt idx="2">
                  <c:v>1.9E-2</c:v>
                </c:pt>
                <c:pt idx="3">
                  <c:v>0.02</c:v>
                </c:pt>
                <c:pt idx="4">
                  <c:v>2.1000000000000001E-2</c:v>
                </c:pt>
                <c:pt idx="5">
                  <c:v>2.5000000000000001E-2</c:v>
                </c:pt>
                <c:pt idx="6">
                  <c:v>3.5999999999999997E-2</c:v>
                </c:pt>
                <c:pt idx="7">
                  <c:v>2.5999999999999999E-2</c:v>
                </c:pt>
              </c:numCache>
            </c:numRef>
          </c:val>
          <c:extLst>
            <c:ext xmlns:c16="http://schemas.microsoft.com/office/drawing/2014/chart" uri="{C3380CC4-5D6E-409C-BE32-E72D297353CC}">
              <c16:uniqueId val="{00000001-5CEB-47F6-A54E-CBE7C457EB3A}"/>
            </c:ext>
          </c:extLst>
        </c:ser>
        <c:ser>
          <c:idx val="2"/>
          <c:order val="2"/>
          <c:tx>
            <c:strRef>
              <c:f>Sheet1!$D$19</c:f>
              <c:strCache>
                <c:ptCount val="1"/>
                <c:pt idx="0">
                  <c:v>Akadēmiskā un profesionālā maģistra grāds</c:v>
                </c:pt>
              </c:strCache>
            </c:strRef>
          </c:tx>
          <c:spPr>
            <a:solidFill>
              <a:sysClr val="window" lastClr="FFFFFF">
                <a:lumMod val="50000"/>
              </a:sysClr>
            </a:solidFill>
            <a:ln>
              <a:noFill/>
            </a:ln>
            <a:effectLst/>
          </c:spPr>
          <c:invertIfNegative val="0"/>
          <c:dLbls>
            <c:dLbl>
              <c:idx val="0"/>
              <c:layout>
                <c:manualLayout>
                  <c:x val="4.410143329658214E-3"/>
                  <c:y val="-3.3066699260934307E-2"/>
                </c:manualLayout>
              </c:layout>
              <c:tx>
                <c:rich>
                  <a:bodyPr/>
                  <a:lstStyle/>
                  <a:p>
                    <a:fld id="{4E85607E-463D-4F93-871B-38C64260BED1}" type="CELLREF">
                      <a:rPr lang="en-US"/>
                      <a:pPr/>
                      <a:t>[CELLREF]</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{4E85607E-463D-4F93-871B-38C64260BED1}</c15:txfldGUID>
                      <c15:f>Sheet1!$F$20</c15:f>
                      <c15:dlblFieldTableCache>
                        <c:ptCount val="1"/>
                        <c:pt idx="0">
                          <c:v>2.0%</c:v>
                        </c:pt>
                      </c15:dlblFieldTableCache>
                    </c15:dlblFTEntry>
                  </c15:dlblFieldTable>
                  <c15:showDataLabelsRange val="0"/>
                </c:ext>
                <c:ext xmlns:c16="http://schemas.microsoft.com/office/drawing/2014/chart" uri="{C3380CC4-5D6E-409C-BE32-E72D297353CC}">
                  <c16:uniqueId val="{00000002-5CEB-47F6-A54E-CBE7C457EB3A}"/>
                </c:ext>
              </c:extLst>
            </c:dLbl>
            <c:dLbl>
              <c:idx val="1"/>
              <c:layout>
                <c:manualLayout>
                  <c:x val="0"/>
                  <c:y val="-4.7350766636618892E-2"/>
                </c:manualLayout>
              </c:layout>
              <c:tx>
                <c:rich>
                  <a:bodyPr/>
                  <a:lstStyle/>
                  <a:p>
                    <a:fld id="{F56FD996-F90B-45F7-9C61-C5FCFC41D11F}" type="CELLREF">
                      <a:rPr lang="en-US"/>
                      <a:pPr/>
                      <a:t>[CELLREF]</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{F56FD996-F90B-45F7-9C61-C5FCFC41D11F}</c15:txfldGUID>
                      <c15:f>Sheet1!$F$21</c15:f>
                      <c15:dlblFieldTableCache>
                        <c:ptCount val="1"/>
                        <c:pt idx="0">
                          <c:v>2.5%</c:v>
                        </c:pt>
                      </c15:dlblFieldTableCache>
                    </c15:dlblFTEntry>
                  </c15:dlblFieldTable>
                  <c15:showDataLabelsRange val="0"/>
                </c:ext>
                <c:ext xmlns:c16="http://schemas.microsoft.com/office/drawing/2014/chart" uri="{C3380CC4-5D6E-409C-BE32-E72D297353CC}">
                  <c16:uniqueId val="{00000003-5CEB-47F6-A54E-CBE7C457EB3A}"/>
                </c:ext>
              </c:extLst>
            </c:dLbl>
            <c:dLbl>
              <c:idx val="2"/>
              <c:layout>
                <c:manualLayout>
                  <c:x val="-8.8202866593164279E-3"/>
                  <c:y val="-4.3650576487958441E-2"/>
                </c:manualLayout>
              </c:layout>
              <c:tx>
                <c:rich>
                  <a:bodyPr/>
                  <a:lstStyle/>
                  <a:p>
                    <a:fld id="{5BC63B23-94EA-4FEF-B5C6-89FCE18B8D7A}" type="CELLREF">
                      <a:rPr lang="en-US"/>
                      <a:pPr/>
                      <a:t>[CELLREF]</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{5BC63B23-94EA-4FEF-B5C6-89FCE18B8D7A}</c15:txfldGUID>
                      <c15:f>Sheet1!$F$22</c15:f>
                      <c15:dlblFieldTableCache>
                        <c:ptCount val="1"/>
                        <c:pt idx="0">
                          <c:v>3.2%</c:v>
                        </c:pt>
                      </c15:dlblFieldTableCache>
                    </c15:dlblFTEntry>
                  </c15:dlblFieldTable>
                  <c15:showDataLabelsRange val="0"/>
                </c:ext>
                <c:ext xmlns:c16="http://schemas.microsoft.com/office/drawing/2014/chart" uri="{C3380CC4-5D6E-409C-BE32-E72D297353CC}">
                  <c16:uniqueId val="{00000004-5CEB-47F6-A54E-CBE7C457EB3A}"/>
                </c:ext>
              </c:extLst>
            </c:dLbl>
            <c:dLbl>
              <c:idx val="3"/>
              <c:layout>
                <c:manualLayout>
                  <c:x val="0"/>
                  <c:y val="-5.8106874936628722E-2"/>
                </c:manualLayout>
              </c:layout>
              <c:tx>
                <c:rich>
                  <a:bodyPr/>
                  <a:lstStyle/>
                  <a:p>
                    <a:fld id="{7B42CC7A-E525-479E-A9AC-0D5EAC0AE2C2}" type="CELLREF">
                      <a:rPr lang="en-US"/>
                      <a:pPr/>
                      <a:t>[CELLREF]</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{7B42CC7A-E525-479E-A9AC-0D5EAC0AE2C2}</c15:txfldGUID>
                      <c15:f>Sheet1!$F$23</c15:f>
                      <c15:dlblFieldTableCache>
                        <c:ptCount val="1"/>
                        <c:pt idx="0">
                          <c:v>3.3%</c:v>
                        </c:pt>
                      </c15:dlblFieldTableCache>
                    </c15:dlblFTEntry>
                  </c15:dlblFieldTable>
                  <c15:showDataLabelsRange val="0"/>
                </c:ext>
                <c:ext xmlns:c16="http://schemas.microsoft.com/office/drawing/2014/chart" uri="{C3380CC4-5D6E-409C-BE32-E72D297353CC}">
                  <c16:uniqueId val="{00000005-5CEB-47F6-A54E-CBE7C457EB3A}"/>
                </c:ext>
              </c:extLst>
            </c:dLbl>
            <c:dLbl>
              <c:idx val="4"/>
              <c:layout>
                <c:manualLayout>
                  <c:x val="0"/>
                  <c:y val="-4.4167269706915493E-2"/>
                </c:manualLayout>
              </c:layout>
              <c:tx>
                <c:rich>
                  <a:bodyPr/>
                  <a:lstStyle/>
                  <a:p>
                    <a:fld id="{5C0F533A-F8CB-47E5-AC75-6E61BFF34424}" type="CELLREF">
                      <a:rPr lang="en-US"/>
                      <a:pPr/>
                      <a:t>[CELLREF]</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{5C0F533A-F8CB-47E5-AC75-6E61BFF34424}</c15:txfldGUID>
                      <c15:f>Sheet1!$F$24</c15:f>
                      <c15:dlblFieldTableCache>
                        <c:ptCount val="1"/>
                        <c:pt idx="0">
                          <c:v>3.5%</c:v>
                        </c:pt>
                      </c15:dlblFieldTableCache>
                    </c15:dlblFTEntry>
                  </c15:dlblFieldTable>
                  <c15:showDataLabelsRange val="0"/>
                </c:ext>
                <c:ext xmlns:c16="http://schemas.microsoft.com/office/drawing/2014/chart" uri="{C3380CC4-5D6E-409C-BE32-E72D297353CC}">
                  <c16:uniqueId val="{00000006-5CEB-47F6-A54E-CBE7C457EB3A}"/>
                </c:ext>
              </c:extLst>
            </c:dLbl>
            <c:dLbl>
              <c:idx val="5"/>
              <c:layout>
                <c:manualLayout>
                  <c:x val="4.410143329658214E-3"/>
                  <c:y val="-3.3066699260934244E-2"/>
                </c:manualLayout>
              </c:layout>
              <c:tx>
                <c:rich>
                  <a:bodyPr/>
                  <a:lstStyle/>
                  <a:p>
                    <a:fld id="{38914A3A-4FEC-4642-8DFF-F787CCE737CE}" type="CELLREF">
                      <a:rPr lang="en-US"/>
                      <a:pPr/>
                      <a:t>[CELLREF]</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{38914A3A-4FEC-4642-8DFF-F787CCE737CE}</c15:txfldGUID>
                      <c15:f>Sheet1!$F$25</c15:f>
                      <c15:dlblFieldTableCache>
                        <c:ptCount val="1"/>
                        <c:pt idx="0">
                          <c:v>3.5%</c:v>
                        </c:pt>
                      </c15:dlblFieldTableCache>
                    </c15:dlblFTEntry>
                  </c15:dlblFieldTable>
                  <c15:showDataLabelsRange val="0"/>
                </c:ext>
                <c:ext xmlns:c16="http://schemas.microsoft.com/office/drawing/2014/chart" uri="{C3380CC4-5D6E-409C-BE32-E72D297353CC}">
                  <c16:uniqueId val="{00000007-5CEB-47F6-A54E-CBE7C457EB3A}"/>
                </c:ext>
              </c:extLst>
            </c:dLbl>
            <c:dLbl>
              <c:idx val="6"/>
              <c:layout>
                <c:manualLayout>
                  <c:x val="0"/>
                  <c:y val="-5.1567650004236326E-2"/>
                </c:manualLayout>
              </c:layout>
              <c:tx>
                <c:rich>
                  <a:bodyPr/>
                  <a:lstStyle/>
                  <a:p>
                    <a:fld id="{51D7D64E-FAFD-450C-A625-0DDA6763A52F}" type="CELLREF">
                      <a:rPr lang="en-US"/>
                      <a:pPr/>
                      <a:t>[CELLREF]</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{51D7D64E-FAFD-450C-A625-0DDA6763A52F}</c15:txfldGUID>
                      <c15:f>Sheet1!$F$26</c15:f>
                      <c15:dlblFieldTableCache>
                        <c:ptCount val="1"/>
                        <c:pt idx="0">
                          <c:v>4.7%</c:v>
                        </c:pt>
                      </c15:dlblFieldTableCache>
                    </c15:dlblFTEntry>
                  </c15:dlblFieldTable>
                  <c15:showDataLabelsRange val="0"/>
                </c:ext>
                <c:ext xmlns:c16="http://schemas.microsoft.com/office/drawing/2014/chart" uri="{C3380CC4-5D6E-409C-BE32-E72D297353CC}">
                  <c16:uniqueId val="{00000008-5CEB-47F6-A54E-CBE7C457EB3A}"/>
                </c:ext>
              </c:extLst>
            </c:dLbl>
            <c:dLbl>
              <c:idx val="7"/>
              <c:layout>
                <c:manualLayout>
                  <c:x val="-4.410143329658214E-3"/>
                  <c:y val="-8.383597490426592E-2"/>
                </c:manualLayout>
              </c:layout>
              <c:tx>
                <c:rich>
                  <a:bodyPr/>
                  <a:lstStyle/>
                  <a:p>
                    <a:fld id="{397D9622-A494-4C9C-8768-72EF232DFB7C}" type="CELLREF">
                      <a:rPr lang="en-US"/>
                      <a:pPr/>
                      <a:t>[CELLREF]</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{397D9622-A494-4C9C-8768-72EF232DFB7C}</c15:txfldGUID>
                      <c15:f>Sheet1!$F$27</c15:f>
                      <c15:dlblFieldTableCache>
                        <c:ptCount val="1"/>
                        <c:pt idx="0">
                          <c:v>4.7%</c:v>
                        </c:pt>
                      </c15:dlblFieldTableCache>
                    </c15:dlblFTEntry>
                  </c15:dlblFieldTable>
                  <c15:showDataLabelsRange val="0"/>
                </c:ext>
                <c:ext xmlns:c16="http://schemas.microsoft.com/office/drawing/2014/chart" uri="{C3380CC4-5D6E-409C-BE32-E72D297353CC}">
                  <c16:uniqueId val="{00000009-5CEB-47F6-A54E-CBE7C457EB3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Sheet1!$A$20:$A$27</c:f>
              <c:strCache>
                <c:ptCount val="8"/>
                <c:pt idx="0">
                  <c:v>Veselības aprūpe un sociālā labklājība</c:v>
                </c:pt>
                <c:pt idx="1">
                  <c:v>Izglītība</c:v>
                </c:pt>
                <c:pt idx="2">
                  <c:v>Pakalpojumi</c:v>
                </c:pt>
                <c:pt idx="3">
                  <c:v>Dabaszinātnes, matemātika un informācijas tehnoloģijas</c:v>
                </c:pt>
                <c:pt idx="4">
                  <c:v>Inženierzinātnes, ražošana un būvniecība</c:v>
                </c:pt>
                <c:pt idx="5">
                  <c:v>Lauksaimniecība</c:v>
                </c:pt>
                <c:pt idx="6">
                  <c:v>Humanitārās zinātnes un māksla</c:v>
                </c:pt>
                <c:pt idx="7">
                  <c:v>Sociālās zinātnes, komerczinības un tiesības</c:v>
                </c:pt>
              </c:strCache>
            </c:strRef>
          </c:cat>
          <c:val>
            <c:numRef>
              <c:f>Sheet1!$D$20:$D$27</c:f>
              <c:numCache>
                <c:formatCode>0.0%</c:formatCode>
                <c:ptCount val="8"/>
                <c:pt idx="0">
                  <c:v>4.0000000000000001E-3</c:v>
                </c:pt>
                <c:pt idx="1">
                  <c:v>5.0000000000000001E-3</c:v>
                </c:pt>
                <c:pt idx="2">
                  <c:v>4.0000000000000001E-3</c:v>
                </c:pt>
                <c:pt idx="3">
                  <c:v>6.0000000000000001E-3</c:v>
                </c:pt>
                <c:pt idx="4">
                  <c:v>7.0000000000000001E-3</c:v>
                </c:pt>
                <c:pt idx="5">
                  <c:v>4.0000000000000001E-3</c:v>
                </c:pt>
                <c:pt idx="6">
                  <c:v>8.9999999999999993E-3</c:v>
                </c:pt>
                <c:pt idx="7">
                  <c:v>1.2E-2</c:v>
                </c:pt>
              </c:numCache>
            </c:numRef>
          </c:val>
          <c:extLst>
            <c:ext xmlns:c16="http://schemas.microsoft.com/office/drawing/2014/chart" uri="{C3380CC4-5D6E-409C-BE32-E72D297353CC}">
              <c16:uniqueId val="{0000000A-5CEB-47F6-A54E-CBE7C457EB3A}"/>
            </c:ext>
          </c:extLst>
        </c:ser>
        <c:ser>
          <c:idx val="3"/>
          <c:order val="3"/>
          <c:tx>
            <c:strRef>
              <c:f>Sheet1!$E$19</c:f>
              <c:strCache>
                <c:ptCount val="1"/>
                <c:pt idx="0">
                  <c:v>Doktora grāds</c:v>
                </c:pt>
              </c:strCache>
            </c:strRef>
          </c:tx>
          <c:spPr>
            <a:solidFill>
              <a:srgbClr val="4BACC6">
                <a:lumMod val="50000"/>
              </a:srgbClr>
            </a:solidFill>
            <a:ln>
              <a:noFill/>
            </a:ln>
            <a:effectLst/>
          </c:spPr>
          <c:invertIfNegative val="0"/>
          <c:cat>
            <c:strRef>
              <c:f>Sheet1!$A$20:$A$27</c:f>
              <c:strCache>
                <c:ptCount val="8"/>
                <c:pt idx="0">
                  <c:v>Veselības aprūpe un sociālā labklājība</c:v>
                </c:pt>
                <c:pt idx="1">
                  <c:v>Izglītība</c:v>
                </c:pt>
                <c:pt idx="2">
                  <c:v>Pakalpojumi</c:v>
                </c:pt>
                <c:pt idx="3">
                  <c:v>Dabaszinātnes, matemātika un informācijas tehnoloģijas</c:v>
                </c:pt>
                <c:pt idx="4">
                  <c:v>Inženierzinātnes, ražošana un būvniecība</c:v>
                </c:pt>
                <c:pt idx="5">
                  <c:v>Lauksaimniecība</c:v>
                </c:pt>
                <c:pt idx="6">
                  <c:v>Humanitārās zinātnes un māksla</c:v>
                </c:pt>
                <c:pt idx="7">
                  <c:v>Sociālās zinātnes, komerczinības un tiesības</c:v>
                </c:pt>
              </c:strCache>
            </c:strRef>
          </c:cat>
          <c:val>
            <c:numRef>
              <c:f>Sheet1!$E$20:$E$27</c:f>
              <c:numCache>
                <c:formatCode>0.0%</c:formatCode>
                <c:ptCount val="8"/>
                <c:pt idx="0">
                  <c:v>0</c:v>
                </c:pt>
                <c:pt idx="1">
                  <c:v>0</c:v>
                </c:pt>
                <c:pt idx="2">
                  <c:v>0</c:v>
                </c:pt>
                <c:pt idx="3">
                  <c:v>1E-3</c:v>
                </c:pt>
                <c:pt idx="4">
                  <c:v>0</c:v>
                </c:pt>
                <c:pt idx="5">
                  <c:v>0</c:v>
                </c:pt>
                <c:pt idx="6">
                  <c:v>0</c:v>
                </c:pt>
                <c:pt idx="7">
                  <c:v>0</c:v>
                </c:pt>
              </c:numCache>
            </c:numRef>
          </c:val>
          <c:extLst>
            <c:ext xmlns:c16="http://schemas.microsoft.com/office/drawing/2014/chart" uri="{C3380CC4-5D6E-409C-BE32-E72D297353CC}">
              <c16:uniqueId val="{0000000B-5CEB-47F6-A54E-CBE7C457EB3A}"/>
            </c:ext>
          </c:extLst>
        </c:ser>
        <c:dLbls>
          <c:showLegendKey val="0"/>
          <c:showVal val="0"/>
          <c:showCatName val="0"/>
          <c:showSerName val="0"/>
          <c:showPercent val="0"/>
          <c:showBubbleSize val="0"/>
        </c:dLbls>
        <c:gapWidth val="50"/>
        <c:overlap val="100"/>
        <c:axId val="652776248"/>
        <c:axId val="652775072"/>
      </c:barChart>
      <c:catAx>
        <c:axId val="652776248"/>
        <c:scaling>
          <c:orientation val="minMax"/>
        </c:scaling>
        <c:delete val="0"/>
        <c:axPos val="b"/>
        <c:numFmt formatCode="General" sourceLinked="1"/>
        <c:majorTickMark val="none"/>
        <c:minorTickMark val="none"/>
        <c:tickLblPos val="nextTo"/>
        <c:spPr>
          <a:noFill/>
          <a:ln w="3175" cap="flat" cmpd="sng" algn="ctr">
            <a:solidFill>
              <a:sysClr val="windowText" lastClr="000000">
                <a:tint val="75000"/>
                <a:shade val="95000"/>
                <a:satMod val="105000"/>
              </a:sys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652775072"/>
        <c:crosses val="autoZero"/>
        <c:auto val="1"/>
        <c:lblAlgn val="ctr"/>
        <c:lblOffset val="100"/>
        <c:noMultiLvlLbl val="0"/>
      </c:catAx>
      <c:valAx>
        <c:axId val="652775072"/>
        <c:scaling>
          <c:orientation val="minMax"/>
          <c:max val="5.000000000000001E-2"/>
          <c:min val="0"/>
        </c:scaling>
        <c:delete val="1"/>
        <c:axPos val="l"/>
        <c:numFmt formatCode="0%" sourceLinked="0"/>
        <c:majorTickMark val="out"/>
        <c:minorTickMark val="none"/>
        <c:tickLblPos val="nextTo"/>
        <c:crossAx val="652776248"/>
        <c:crosses val="autoZero"/>
        <c:crossBetween val="between"/>
      </c:valAx>
      <c:spPr>
        <a:noFill/>
        <a:ln>
          <a:noFill/>
        </a:ln>
        <a:effectLst/>
      </c:spPr>
    </c:plotArea>
    <c:legend>
      <c:legendPos val="r"/>
      <c:layout>
        <c:manualLayout>
          <c:xMode val="edge"/>
          <c:yMode val="edge"/>
          <c:x val="0"/>
          <c:y val="4.720048113583615E-2"/>
          <c:w val="0.71879050951045664"/>
          <c:h val="0.1709721194005803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r>
              <a:rPr lang="lv-LV"/>
              <a:t>Vidējā profesionālā izglītība</a:t>
            </a:r>
          </a:p>
        </c:rich>
      </c:tx>
      <c:layout>
        <c:manualLayout>
          <c:xMode val="edge"/>
          <c:yMode val="edge"/>
          <c:x val="0.3295538282988173"/>
          <c:y val="2.11249009770266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title>
    <c:autoTitleDeleted val="0"/>
    <c:plotArea>
      <c:layout>
        <c:manualLayout>
          <c:layoutTarget val="inner"/>
          <c:xMode val="edge"/>
          <c:yMode val="edge"/>
          <c:x val="0.11092517514693245"/>
          <c:y val="9.9679440631268337E-2"/>
          <c:w val="0.83698547604371942"/>
          <c:h val="0.43099214820761628"/>
        </c:manualLayout>
      </c:layout>
      <c:barChart>
        <c:barDir val="col"/>
        <c:grouping val="clustered"/>
        <c:varyColors val="0"/>
        <c:ser>
          <c:idx val="0"/>
          <c:order val="0"/>
          <c:tx>
            <c:strRef>
              <c:f>Sheet1!$B$1</c:f>
              <c:strCache>
                <c:ptCount val="1"/>
                <c:pt idx="0">
                  <c:v>Series 1</c:v>
                </c:pt>
              </c:strCache>
            </c:strRef>
          </c:tx>
          <c:spPr>
            <a:solidFill>
              <a:srgbClr val="92B7C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Veselības aprūpe un sociālā labklājība</c:v>
                </c:pt>
                <c:pt idx="1">
                  <c:v>Humanitārās zinātnes un māksla</c:v>
                </c:pt>
                <c:pt idx="2">
                  <c:v>Dabaszinātnes, matemātika un IT</c:v>
                </c:pt>
                <c:pt idx="3">
                  <c:v>Lauksaimniecība</c:v>
                </c:pt>
                <c:pt idx="4">
                  <c:v>Sociālās zinātnes, komerczinības un tiesības</c:v>
                </c:pt>
                <c:pt idx="5">
                  <c:v>Inženierzinātnes, ražošana un būvniecība</c:v>
                </c:pt>
                <c:pt idx="6">
                  <c:v>Pakalpojumi</c:v>
                </c:pt>
              </c:strCache>
            </c:strRef>
          </c:cat>
          <c:val>
            <c:numRef>
              <c:f>Sheet1!$B$2:$B$8</c:f>
              <c:numCache>
                <c:formatCode>0.0%</c:formatCode>
                <c:ptCount val="7"/>
                <c:pt idx="0">
                  <c:v>4.1363636363636366E-2</c:v>
                </c:pt>
                <c:pt idx="1">
                  <c:v>6.4149560117302051E-2</c:v>
                </c:pt>
                <c:pt idx="2">
                  <c:v>6.4200976971388699E-2</c:v>
                </c:pt>
                <c:pt idx="3">
                  <c:v>7.3732718894009217E-2</c:v>
                </c:pt>
                <c:pt idx="4">
                  <c:v>7.775377969762419E-2</c:v>
                </c:pt>
                <c:pt idx="5">
                  <c:v>8.4825117047645282E-2</c:v>
                </c:pt>
                <c:pt idx="6">
                  <c:v>9.1634980988593157E-2</c:v>
                </c:pt>
              </c:numCache>
            </c:numRef>
          </c:val>
          <c:extLst>
            <c:ext xmlns:c16="http://schemas.microsoft.com/office/drawing/2014/chart" uri="{C3380CC4-5D6E-409C-BE32-E72D297353CC}">
              <c16:uniqueId val="{00000000-5C16-41E5-857A-84BA8593DE79}"/>
            </c:ext>
          </c:extLst>
        </c:ser>
        <c:dLbls>
          <c:showLegendKey val="0"/>
          <c:showVal val="0"/>
          <c:showCatName val="0"/>
          <c:showSerName val="0"/>
          <c:showPercent val="0"/>
          <c:showBubbleSize val="0"/>
        </c:dLbls>
        <c:gapWidth val="68"/>
        <c:axId val="1298158223"/>
        <c:axId val="1298160143"/>
      </c:barChart>
      <c:catAx>
        <c:axId val="1298158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1298160143"/>
        <c:crosses val="autoZero"/>
        <c:auto val="1"/>
        <c:lblAlgn val="ctr"/>
        <c:lblOffset val="100"/>
        <c:noMultiLvlLbl val="0"/>
      </c:catAx>
      <c:valAx>
        <c:axId val="1298160143"/>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1298158223"/>
        <c:crosses val="autoZero"/>
        <c:crossBetween val="between"/>
        <c:majorUnit val="2.0000000000000004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89406942976753E-2"/>
          <c:y val="5.1607794835701402E-2"/>
          <c:w val="0.63968486574238859"/>
          <c:h val="0.76067252105101091"/>
        </c:manualLayout>
      </c:layout>
      <c:barChart>
        <c:barDir val="col"/>
        <c:grouping val="stacked"/>
        <c:varyColors val="0"/>
        <c:ser>
          <c:idx val="2"/>
          <c:order val="0"/>
          <c:tx>
            <c:strRef>
              <c:f>Sheet1!$A$4</c:f>
              <c:strCache>
                <c:ptCount val="1"/>
                <c:pt idx="0">
                  <c:v>Pamatizglītība un zemāks izglītības līmenis</c:v>
                </c:pt>
              </c:strCache>
            </c:strRef>
          </c:tx>
          <c:spPr>
            <a:solidFill>
              <a:schemeClr val="accent3"/>
            </a:solidFill>
          </c:spPr>
          <c:invertIfNegative val="0"/>
          <c:dLbls>
            <c:dLbl>
              <c:idx val="1"/>
              <c:layout>
                <c:manualLayout>
                  <c:x val="-2.2031865363444244E-3"/>
                  <c:y val="-1.94522208654170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C6-4940-BC6B-D5CE3F8B3CB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Kopā</c:v>
                </c:pt>
                <c:pt idx="1">
                  <c:v>Augstas kvalifikācijas profesijas</c:v>
                </c:pt>
                <c:pt idx="2">
                  <c:v>Vidējas kvalifikācijas profesijas</c:v>
                </c:pt>
                <c:pt idx="3">
                  <c:v>Zemas kvalifikācijas profesijas</c:v>
                </c:pt>
              </c:strCache>
            </c:strRef>
          </c:cat>
          <c:val>
            <c:numRef>
              <c:f>Sheet1!$B$4:$E$4</c:f>
              <c:numCache>
                <c:formatCode>0</c:formatCode>
                <c:ptCount val="4"/>
                <c:pt idx="0">
                  <c:v>7.0199331823922462</c:v>
                </c:pt>
                <c:pt idx="1">
                  <c:v>1.0308485652867336</c:v>
                </c:pt>
                <c:pt idx="2">
                  <c:v>10.101783854335377</c:v>
                </c:pt>
                <c:pt idx="3">
                  <c:v>18.753656655395947</c:v>
                </c:pt>
              </c:numCache>
            </c:numRef>
          </c:val>
          <c:extLst>
            <c:ext xmlns:c16="http://schemas.microsoft.com/office/drawing/2014/chart" uri="{C3380CC4-5D6E-409C-BE32-E72D297353CC}">
              <c16:uniqueId val="{00000001-E8C6-4940-BC6B-D5CE3F8B3CB0}"/>
            </c:ext>
          </c:extLst>
        </c:ser>
        <c:ser>
          <c:idx val="1"/>
          <c:order val="1"/>
          <c:tx>
            <c:strRef>
              <c:f>Sheet1!$A$3</c:f>
              <c:strCache>
                <c:ptCount val="1"/>
                <c:pt idx="0">
                  <c:v>Vidējā izglītība</c:v>
                </c:pt>
              </c:strCache>
            </c:strRef>
          </c:tx>
          <c:spPr>
            <a:solidFill>
              <a:srgbClr val="92B7C4"/>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Kopā</c:v>
                </c:pt>
                <c:pt idx="1">
                  <c:v>Augstas kvalifikācijas profesijas</c:v>
                </c:pt>
                <c:pt idx="2">
                  <c:v>Vidējas kvalifikācijas profesijas</c:v>
                </c:pt>
                <c:pt idx="3">
                  <c:v>Zemas kvalifikācijas profesijas</c:v>
                </c:pt>
              </c:strCache>
            </c:strRef>
          </c:cat>
          <c:val>
            <c:numRef>
              <c:f>Sheet1!$B$3:$E$3</c:f>
              <c:numCache>
                <c:formatCode>0</c:formatCode>
                <c:ptCount val="4"/>
                <c:pt idx="0">
                  <c:v>50.038415320486088</c:v>
                </c:pt>
                <c:pt idx="1">
                  <c:v>24.61488853691106</c:v>
                </c:pt>
                <c:pt idx="2">
                  <c:v>72.044421829881728</c:v>
                </c:pt>
                <c:pt idx="3">
                  <c:v>69.267589256607181</c:v>
                </c:pt>
              </c:numCache>
            </c:numRef>
          </c:val>
          <c:extLst>
            <c:ext xmlns:c16="http://schemas.microsoft.com/office/drawing/2014/chart" uri="{C3380CC4-5D6E-409C-BE32-E72D297353CC}">
              <c16:uniqueId val="{00000002-E8C6-4940-BC6B-D5CE3F8B3CB0}"/>
            </c:ext>
          </c:extLst>
        </c:ser>
        <c:ser>
          <c:idx val="0"/>
          <c:order val="2"/>
          <c:tx>
            <c:strRef>
              <c:f>Sheet1!$A$2</c:f>
              <c:strCache>
                <c:ptCount val="1"/>
                <c:pt idx="0">
                  <c:v>Augstākā izglītība</c:v>
                </c:pt>
              </c:strCache>
            </c:strRef>
          </c:tx>
          <c:spPr>
            <a:solidFill>
              <a:schemeClr val="accent2"/>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Kopā</c:v>
                </c:pt>
                <c:pt idx="1">
                  <c:v>Augstas kvalifikācijas profesijas</c:v>
                </c:pt>
                <c:pt idx="2">
                  <c:v>Vidējas kvalifikācijas profesijas</c:v>
                </c:pt>
                <c:pt idx="3">
                  <c:v>Zemas kvalifikācijas profesijas</c:v>
                </c:pt>
              </c:strCache>
            </c:strRef>
          </c:cat>
          <c:val>
            <c:numRef>
              <c:f>Sheet1!$B$2:$E$2</c:f>
              <c:numCache>
                <c:formatCode>0</c:formatCode>
                <c:ptCount val="4"/>
                <c:pt idx="0">
                  <c:v>42.941651497121661</c:v>
                </c:pt>
                <c:pt idx="1">
                  <c:v>74.354262897802201</c:v>
                </c:pt>
                <c:pt idx="2">
                  <c:v>17.853794315782903</c:v>
                </c:pt>
                <c:pt idx="3">
                  <c:v>11.978754087996887</c:v>
                </c:pt>
              </c:numCache>
            </c:numRef>
          </c:val>
          <c:extLst>
            <c:ext xmlns:c16="http://schemas.microsoft.com/office/drawing/2014/chart" uri="{C3380CC4-5D6E-409C-BE32-E72D297353CC}">
              <c16:uniqueId val="{00000003-E8C6-4940-BC6B-D5CE3F8B3CB0}"/>
            </c:ext>
          </c:extLst>
        </c:ser>
        <c:dLbls>
          <c:showLegendKey val="0"/>
          <c:showVal val="0"/>
          <c:showCatName val="0"/>
          <c:showSerName val="0"/>
          <c:showPercent val="0"/>
          <c:showBubbleSize val="0"/>
        </c:dLbls>
        <c:gapWidth val="50"/>
        <c:overlap val="100"/>
        <c:axId val="742082840"/>
        <c:axId val="742082056"/>
      </c:barChart>
      <c:catAx>
        <c:axId val="742082840"/>
        <c:scaling>
          <c:orientation val="minMax"/>
        </c:scaling>
        <c:delete val="0"/>
        <c:axPos val="b"/>
        <c:numFmt formatCode="General" sourceLinked="1"/>
        <c:majorTickMark val="out"/>
        <c:minorTickMark val="none"/>
        <c:tickLblPos val="nextTo"/>
        <c:spPr>
          <a:ln>
            <a:solidFill>
              <a:schemeClr val="bg1">
                <a:lumMod val="65000"/>
              </a:schemeClr>
            </a:solidFill>
          </a:ln>
        </c:spPr>
        <c:crossAx val="742082056"/>
        <c:crosses val="autoZero"/>
        <c:auto val="1"/>
        <c:lblAlgn val="ctr"/>
        <c:lblOffset val="100"/>
        <c:tickLblSkip val="1"/>
        <c:noMultiLvlLbl val="0"/>
      </c:catAx>
      <c:valAx>
        <c:axId val="742082056"/>
        <c:scaling>
          <c:orientation val="minMax"/>
          <c:max val="100"/>
        </c:scaling>
        <c:delete val="0"/>
        <c:axPos val="l"/>
        <c:numFmt formatCode="0" sourceLinked="1"/>
        <c:majorTickMark val="out"/>
        <c:minorTickMark val="none"/>
        <c:tickLblPos val="nextTo"/>
        <c:spPr>
          <a:ln>
            <a:noFill/>
          </a:ln>
        </c:spPr>
        <c:crossAx val="742082840"/>
        <c:crosses val="autoZero"/>
        <c:crossBetween val="between"/>
        <c:majorUnit val="20"/>
      </c:valAx>
    </c:plotArea>
    <c:legend>
      <c:legendPos val="r"/>
      <c:layout>
        <c:manualLayout>
          <c:xMode val="edge"/>
          <c:yMode val="edge"/>
          <c:x val="0.71149450034291462"/>
          <c:y val="3.5539801864666945E-2"/>
          <c:w val="0.27788608287249644"/>
          <c:h val="0.83006665478194219"/>
        </c:manualLayout>
      </c:layout>
      <c:overlay val="0"/>
    </c:legend>
    <c:plotVisOnly val="1"/>
    <c:dispBlanksAs val="gap"/>
    <c:showDLblsOverMax val="0"/>
  </c:chart>
  <c:spPr>
    <a:ln>
      <a:noFill/>
    </a:ln>
  </c:spPr>
  <c:txPr>
    <a:bodyPr/>
    <a:lstStyle/>
    <a:p>
      <a:pPr>
        <a:defRPr sz="800">
          <a:latin typeface="Segoe UI Light" panose="020B0502040204020203" pitchFamily="34" charset="0"/>
          <a:ea typeface="Segoe UI" panose="020B0502040204020203" pitchFamily="34" charset="0"/>
          <a:cs typeface="Segoe UI" panose="020B0502040204020203" pitchFamily="34" charset="0"/>
        </a:defRPr>
      </a:pPr>
      <a:endParaRPr lang="en-US"/>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398373563960241"/>
          <c:y val="1.1923841868363212E-2"/>
          <c:w val="0.45667845617658442"/>
          <c:h val="0.9695145879386885"/>
        </c:manualLayout>
      </c:layout>
      <c:doughnutChart>
        <c:varyColors val="1"/>
        <c:ser>
          <c:idx val="0"/>
          <c:order val="0"/>
          <c:spPr>
            <a:solidFill>
              <a:schemeClr val="accent5">
                <a:lumMod val="75000"/>
              </a:schemeClr>
            </a:solidFill>
            <a:ln w="12700" cap="rnd">
              <a:noFill/>
              <a:round/>
            </a:ln>
            <a:effectLst>
              <a:softEdge rad="0"/>
            </a:effectLst>
          </c:spPr>
          <c:explosion val="20"/>
          <c:dPt>
            <c:idx val="0"/>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01-F7D5-4B07-8092-EE728AB08894}"/>
              </c:ext>
            </c:extLst>
          </c:dPt>
          <c:dPt>
            <c:idx val="1"/>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03-F7D5-4B07-8092-EE728AB08894}"/>
              </c:ext>
            </c:extLst>
          </c:dPt>
          <c:dPt>
            <c:idx val="2"/>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05-F7D5-4B07-8092-EE728AB08894}"/>
              </c:ext>
            </c:extLst>
          </c:dPt>
          <c:dPt>
            <c:idx val="3"/>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07-F7D5-4B07-8092-EE728AB08894}"/>
              </c:ext>
            </c:extLst>
          </c:dPt>
          <c:dPt>
            <c:idx val="4"/>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09-F7D5-4B07-8092-EE728AB08894}"/>
              </c:ext>
            </c:extLst>
          </c:dPt>
          <c:dPt>
            <c:idx val="5"/>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0B-F7D5-4B07-8092-EE728AB08894}"/>
              </c:ext>
            </c:extLst>
          </c:dPt>
          <c:dPt>
            <c:idx val="6"/>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0D-F7D5-4B07-8092-EE728AB08894}"/>
              </c:ext>
            </c:extLst>
          </c:dPt>
          <c:dPt>
            <c:idx val="7"/>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0F-F7D5-4B07-8092-EE728AB08894}"/>
              </c:ext>
            </c:extLst>
          </c:dPt>
          <c:dPt>
            <c:idx val="8"/>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11-F7D5-4B07-8092-EE728AB08894}"/>
              </c:ext>
            </c:extLst>
          </c:dPt>
          <c:dPt>
            <c:idx val="9"/>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13-F7D5-4B07-8092-EE728AB08894}"/>
              </c:ext>
            </c:extLst>
          </c:dPt>
          <c:dPt>
            <c:idx val="10"/>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15-F7D5-4B07-8092-EE728AB08894}"/>
              </c:ext>
            </c:extLst>
          </c:dPt>
          <c:dPt>
            <c:idx val="11"/>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17-F7D5-4B07-8092-EE728AB08894}"/>
              </c:ext>
            </c:extLst>
          </c:dPt>
          <c:dPt>
            <c:idx val="12"/>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19-F7D5-4B07-8092-EE728AB08894}"/>
              </c:ext>
            </c:extLst>
          </c:dPt>
          <c:dPt>
            <c:idx val="13"/>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1B-F7D5-4B07-8092-EE728AB08894}"/>
              </c:ext>
            </c:extLst>
          </c:dPt>
          <c:dPt>
            <c:idx val="14"/>
            <c:bubble3D val="0"/>
            <c:explosion val="30"/>
            <c:spPr>
              <a:solidFill>
                <a:schemeClr val="accent5">
                  <a:lumMod val="50000"/>
                </a:schemeClr>
              </a:solidFill>
              <a:ln w="12700" cap="rnd">
                <a:noFill/>
                <a:round/>
              </a:ln>
              <a:effectLst>
                <a:softEdge rad="0"/>
              </a:effectLst>
            </c:spPr>
            <c:extLst>
              <c:ext xmlns:c16="http://schemas.microsoft.com/office/drawing/2014/chart" uri="{C3380CC4-5D6E-409C-BE32-E72D297353CC}">
                <c16:uniqueId val="{0000001D-F7D5-4B07-8092-EE728AB08894}"/>
              </c:ext>
            </c:extLst>
          </c:dPt>
          <c:dPt>
            <c:idx val="15"/>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1F-F7D5-4B07-8092-EE728AB08894}"/>
              </c:ext>
            </c:extLst>
          </c:dPt>
          <c:dPt>
            <c:idx val="16"/>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21-F7D5-4B07-8092-EE728AB08894}"/>
              </c:ext>
            </c:extLst>
          </c:dPt>
          <c:dPt>
            <c:idx val="17"/>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23-F7D5-4B07-8092-EE728AB08894}"/>
              </c:ext>
            </c:extLst>
          </c:dPt>
          <c:dPt>
            <c:idx val="18"/>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25-F7D5-4B07-8092-EE728AB08894}"/>
              </c:ext>
            </c:extLst>
          </c:dPt>
          <c:dPt>
            <c:idx val="19"/>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27-F7D5-4B07-8092-EE728AB08894}"/>
              </c:ext>
            </c:extLst>
          </c:dPt>
          <c:dPt>
            <c:idx val="20"/>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29-F7D5-4B07-8092-EE728AB08894}"/>
              </c:ext>
            </c:extLst>
          </c:dPt>
          <c:dPt>
            <c:idx val="21"/>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2B-F7D5-4B07-8092-EE728AB08894}"/>
              </c:ext>
            </c:extLst>
          </c:dPt>
          <c:dPt>
            <c:idx val="22"/>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2D-F7D5-4B07-8092-EE728AB08894}"/>
              </c:ext>
            </c:extLst>
          </c:dPt>
          <c:dPt>
            <c:idx val="23"/>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2F-F7D5-4B07-8092-EE728AB08894}"/>
              </c:ext>
            </c:extLst>
          </c:dPt>
          <c:dPt>
            <c:idx val="24"/>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31-F7D5-4B07-8092-EE728AB08894}"/>
              </c:ext>
            </c:extLst>
          </c:dPt>
          <c:dPt>
            <c:idx val="25"/>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33-F7D5-4B07-8092-EE728AB08894}"/>
              </c:ext>
            </c:extLst>
          </c:dPt>
          <c:dPt>
            <c:idx val="26"/>
            <c:bubble3D val="0"/>
            <c:spPr>
              <a:solidFill>
                <a:schemeClr val="accent5">
                  <a:lumMod val="75000"/>
                </a:schemeClr>
              </a:solidFill>
              <a:ln w="12700" cap="rnd">
                <a:noFill/>
                <a:round/>
              </a:ln>
              <a:effectLst>
                <a:softEdge rad="0"/>
              </a:effectLst>
            </c:spPr>
            <c:extLst>
              <c:ext xmlns:c16="http://schemas.microsoft.com/office/drawing/2014/chart" uri="{C3380CC4-5D6E-409C-BE32-E72D297353CC}">
                <c16:uniqueId val="{00000035-F7D5-4B07-8092-EE728AB08894}"/>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Sheet1!$A$2:$A$28</c:f>
              <c:strCache>
                <c:ptCount val="27"/>
                <c:pt idx="0">
                  <c:v>Zviedrija</c:v>
                </c:pt>
                <c:pt idx="1">
                  <c:v>Vācija</c:v>
                </c:pt>
                <c:pt idx="2">
                  <c:v>Ungārija</c:v>
                </c:pt>
                <c:pt idx="3">
                  <c:v>Spānija</c:v>
                </c:pt>
                <c:pt idx="4">
                  <c:v>Somija</c:v>
                </c:pt>
                <c:pt idx="5">
                  <c:v>Slovēnija</c:v>
                </c:pt>
                <c:pt idx="6">
                  <c:v>Slovākija</c:v>
                </c:pt>
                <c:pt idx="7">
                  <c:v>Rumānija</c:v>
                </c:pt>
                <c:pt idx="8">
                  <c:v>Portugāle</c:v>
                </c:pt>
                <c:pt idx="9">
                  <c:v>Polija</c:v>
                </c:pt>
                <c:pt idx="10">
                  <c:v>Nīderlande</c:v>
                </c:pt>
                <c:pt idx="11">
                  <c:v>Malta</c:v>
                </c:pt>
                <c:pt idx="12">
                  <c:v>Luksemburga</c:v>
                </c:pt>
                <c:pt idx="13">
                  <c:v>Lietuva</c:v>
                </c:pt>
                <c:pt idx="14">
                  <c:v>Latvija</c:v>
                </c:pt>
                <c:pt idx="15">
                  <c:v>Kipra</c:v>
                </c:pt>
                <c:pt idx="16">
                  <c:v>Īrija</c:v>
                </c:pt>
                <c:pt idx="17">
                  <c:v>Itālija</c:v>
                </c:pt>
                <c:pt idx="18">
                  <c:v>Igaunija</c:v>
                </c:pt>
                <c:pt idx="19">
                  <c:v>Horvātija</c:v>
                </c:pt>
                <c:pt idx="20">
                  <c:v>Grieķija</c:v>
                </c:pt>
                <c:pt idx="21">
                  <c:v>Francija</c:v>
                </c:pt>
                <c:pt idx="22">
                  <c:v>Dānija</c:v>
                </c:pt>
                <c:pt idx="23">
                  <c:v>Čehija</c:v>
                </c:pt>
                <c:pt idx="24">
                  <c:v>Bulgārija</c:v>
                </c:pt>
                <c:pt idx="25">
                  <c:v>Beļģija</c:v>
                </c:pt>
                <c:pt idx="26">
                  <c:v>Austrija</c:v>
                </c:pt>
              </c:strCache>
            </c:strRef>
          </c:cat>
          <c:val>
            <c:numRef>
              <c:f>Sheet1!$B$2:$B$28</c:f>
              <c:numCache>
                <c:formatCode>0</c:formatCode>
                <c:ptCount val="27"/>
                <c:pt idx="0">
                  <c:v>67.3489</c:v>
                </c:pt>
                <c:pt idx="1">
                  <c:v>59.934899999999999</c:v>
                </c:pt>
                <c:pt idx="2">
                  <c:v>62.1447</c:v>
                </c:pt>
                <c:pt idx="3">
                  <c:v>24.185400000000001</c:v>
                </c:pt>
                <c:pt idx="4">
                  <c:v>66.6006</c:v>
                </c:pt>
                <c:pt idx="5">
                  <c:v>65.316599999999994</c:v>
                </c:pt>
                <c:pt idx="6">
                  <c:v>55.423400000000001</c:v>
                </c:pt>
                <c:pt idx="7">
                  <c:v>32.8078</c:v>
                </c:pt>
                <c:pt idx="8">
                  <c:v>45.342599999999997</c:v>
                </c:pt>
                <c:pt idx="9">
                  <c:v>63.664000000000001</c:v>
                </c:pt>
                <c:pt idx="10">
                  <c:v>63.008899999999997</c:v>
                </c:pt>
                <c:pt idx="11">
                  <c:v>63.3367</c:v>
                </c:pt>
                <c:pt idx="12">
                  <c:v>63.902200000000001</c:v>
                </c:pt>
                <c:pt idx="13">
                  <c:v>54.395699999999998</c:v>
                </c:pt>
                <c:pt idx="14">
                  <c:v>58.651699999999998</c:v>
                </c:pt>
                <c:pt idx="15">
                  <c:v>39.057899999999997</c:v>
                </c:pt>
                <c:pt idx="16">
                  <c:v>47.756799999999998</c:v>
                </c:pt>
                <c:pt idx="17">
                  <c:v>26.033999999999999</c:v>
                </c:pt>
                <c:pt idx="18">
                  <c:v>64.760099999999994</c:v>
                </c:pt>
                <c:pt idx="19">
                  <c:v>61.825200000000002</c:v>
                </c:pt>
                <c:pt idx="20">
                  <c:v>28.069600000000001</c:v>
                </c:pt>
                <c:pt idx="21">
                  <c:v>46.410400000000003</c:v>
                </c:pt>
                <c:pt idx="22">
                  <c:v>66.7149</c:v>
                </c:pt>
                <c:pt idx="23">
                  <c:v>70.366799999999998</c:v>
                </c:pt>
                <c:pt idx="24">
                  <c:v>40.984200000000001</c:v>
                </c:pt>
                <c:pt idx="25">
                  <c:v>50.454700000000003</c:v>
                </c:pt>
                <c:pt idx="26">
                  <c:v>59.978000000000002</c:v>
                </c:pt>
              </c:numCache>
            </c:numRef>
          </c:val>
          <c:extLst>
            <c:ext xmlns:c16="http://schemas.microsoft.com/office/drawing/2014/chart" uri="{C3380CC4-5D6E-409C-BE32-E72D297353CC}">
              <c16:uniqueId val="{00000036-F7D5-4B07-8092-EE728AB08894}"/>
            </c:ext>
          </c:extLst>
        </c:ser>
        <c:dLbls>
          <c:showLegendKey val="0"/>
          <c:showVal val="1"/>
          <c:showCatName val="0"/>
          <c:showSerName val="0"/>
          <c:showPercent val="0"/>
          <c:showBubbleSize val="0"/>
          <c:showLeaderLines val="1"/>
        </c:dLbls>
        <c:firstSliceAng val="0"/>
        <c:holeSize val="4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userShapes r:id="rId4"/>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394993857246163E-2"/>
          <c:y val="4.754892104268376E-2"/>
          <c:w val="0.93808659714736065"/>
          <c:h val="0.54788752784860018"/>
        </c:manualLayout>
      </c:layout>
      <c:barChart>
        <c:barDir val="col"/>
        <c:grouping val="clustered"/>
        <c:varyColors val="0"/>
        <c:ser>
          <c:idx val="0"/>
          <c:order val="0"/>
          <c:tx>
            <c:strRef>
              <c:f>Sheet1!$B$1</c:f>
              <c:strCache>
                <c:ptCount val="1"/>
                <c:pt idx="0">
                  <c:v>Avots: Cedefop</c:v>
                </c:pt>
              </c:strCache>
            </c:strRef>
          </c:tx>
          <c:spPr>
            <a:solidFill>
              <a:schemeClr val="accent2">
                <a:lumMod val="75000"/>
              </a:schemeClr>
            </a:solidFill>
            <a:ln>
              <a:noFill/>
            </a:ln>
            <a:effectLst/>
          </c:spPr>
          <c:invertIfNegative val="0"/>
          <c:dPt>
            <c:idx val="13"/>
            <c:invertIfNegative val="0"/>
            <c:bubble3D val="0"/>
            <c:spPr>
              <a:solidFill>
                <a:srgbClr val="B85808"/>
              </a:solidFill>
              <a:ln>
                <a:noFill/>
              </a:ln>
              <a:effectLst/>
            </c:spPr>
            <c:extLst>
              <c:ext xmlns:c16="http://schemas.microsoft.com/office/drawing/2014/chart" uri="{C3380CC4-5D6E-409C-BE32-E72D297353CC}">
                <c16:uniqueId val="{00000001-2A5C-4EFA-A372-52A2E8DDBA71}"/>
              </c:ext>
            </c:extLst>
          </c:dPt>
          <c:dPt>
            <c:idx val="14"/>
            <c:invertIfNegative val="0"/>
            <c:bubble3D val="0"/>
            <c:spPr>
              <a:solidFill>
                <a:srgbClr val="B85808"/>
              </a:solidFill>
              <a:ln>
                <a:noFill/>
              </a:ln>
              <a:effectLst/>
            </c:spPr>
            <c:extLst>
              <c:ext xmlns:c16="http://schemas.microsoft.com/office/drawing/2014/chart" uri="{C3380CC4-5D6E-409C-BE32-E72D297353CC}">
                <c16:uniqueId val="{00000003-2A5C-4EFA-A372-52A2E8DDBA71}"/>
              </c:ext>
            </c:extLst>
          </c:dPt>
          <c:dPt>
            <c:idx val="15"/>
            <c:invertIfNegative val="0"/>
            <c:bubble3D val="0"/>
            <c:spPr>
              <a:solidFill>
                <a:srgbClr val="C00000"/>
              </a:solidFill>
              <a:ln>
                <a:noFill/>
              </a:ln>
              <a:effectLst/>
            </c:spPr>
            <c:extLst>
              <c:ext xmlns:c16="http://schemas.microsoft.com/office/drawing/2014/chart" uri="{C3380CC4-5D6E-409C-BE32-E72D297353CC}">
                <c16:uniqueId val="{00000005-2A5C-4EFA-A372-52A2E8DDBA71}"/>
              </c:ext>
            </c:extLst>
          </c:dPt>
          <c:dPt>
            <c:idx val="18"/>
            <c:invertIfNegative val="0"/>
            <c:bubble3D val="0"/>
            <c:spPr>
              <a:solidFill>
                <a:srgbClr val="CD6209"/>
              </a:solidFill>
              <a:ln>
                <a:noFill/>
              </a:ln>
              <a:effectLst/>
            </c:spPr>
            <c:extLst>
              <c:ext xmlns:c16="http://schemas.microsoft.com/office/drawing/2014/chart" uri="{C3380CC4-5D6E-409C-BE32-E72D297353CC}">
                <c16:uniqueId val="{00000007-2A5C-4EFA-A372-52A2E8DDBA71}"/>
              </c:ext>
            </c:extLst>
          </c:dPt>
          <c:dPt>
            <c:idx val="20"/>
            <c:invertIfNegative val="0"/>
            <c:bubble3D val="0"/>
            <c:spPr>
              <a:solidFill>
                <a:srgbClr val="CD6209"/>
              </a:solidFill>
              <a:ln>
                <a:noFill/>
              </a:ln>
              <a:effectLst/>
            </c:spPr>
            <c:extLst>
              <c:ext xmlns:c16="http://schemas.microsoft.com/office/drawing/2014/chart" uri="{C3380CC4-5D6E-409C-BE32-E72D297353CC}">
                <c16:uniqueId val="{00000009-2A5C-4EFA-A372-52A2E8DDBA71}"/>
              </c:ext>
            </c:extLst>
          </c:dPt>
          <c:dLbls>
            <c:dLbl>
              <c:idx val="1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5C-4EFA-A372-52A2E8DDBA71}"/>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Sheet1!$A$2:$A$28</c:f>
              <c:strCache>
                <c:ptCount val="27"/>
                <c:pt idx="0">
                  <c:v>Somija</c:v>
                </c:pt>
                <c:pt idx="1">
                  <c:v>Igaunija</c:v>
                </c:pt>
                <c:pt idx="2">
                  <c:v>Nīderlande</c:v>
                </c:pt>
                <c:pt idx="3">
                  <c:v>Dānija</c:v>
                </c:pt>
                <c:pt idx="4">
                  <c:v>Austrija</c:v>
                </c:pt>
                <c:pt idx="5">
                  <c:v>Zviedrija</c:v>
                </c:pt>
                <c:pt idx="6">
                  <c:v>Luksemburga</c:v>
                </c:pt>
                <c:pt idx="7">
                  <c:v>Čehija</c:v>
                </c:pt>
                <c:pt idx="8">
                  <c:v>Horvātija</c:v>
                </c:pt>
                <c:pt idx="9">
                  <c:v>Slovenija</c:v>
                </c:pt>
                <c:pt idx="10">
                  <c:v>Slovākija</c:v>
                </c:pt>
                <c:pt idx="11">
                  <c:v>Vācija</c:v>
                </c:pt>
                <c:pt idx="12">
                  <c:v>Īrija</c:v>
                </c:pt>
                <c:pt idx="13">
                  <c:v>Polija</c:v>
                </c:pt>
                <c:pt idx="14">
                  <c:v>Beļģija</c:v>
                </c:pt>
                <c:pt idx="15">
                  <c:v>Latvija</c:v>
                </c:pt>
                <c:pt idx="16">
                  <c:v>Lietuva</c:v>
                </c:pt>
                <c:pt idx="17">
                  <c:v>Ungārija</c:v>
                </c:pt>
                <c:pt idx="18">
                  <c:v>Spānija</c:v>
                </c:pt>
                <c:pt idx="19">
                  <c:v>Malta</c:v>
                </c:pt>
                <c:pt idx="20">
                  <c:v>Itālija</c:v>
                </c:pt>
                <c:pt idx="21">
                  <c:v>Francija</c:v>
                </c:pt>
                <c:pt idx="22">
                  <c:v>Portugāle</c:v>
                </c:pt>
                <c:pt idx="23">
                  <c:v>Grieķija</c:v>
                </c:pt>
                <c:pt idx="24">
                  <c:v>Bulgārija</c:v>
                </c:pt>
                <c:pt idx="25">
                  <c:v>Rumānija </c:v>
                </c:pt>
                <c:pt idx="26">
                  <c:v>Kipra</c:v>
                </c:pt>
              </c:strCache>
            </c:strRef>
          </c:cat>
          <c:val>
            <c:numRef>
              <c:f>Sheet1!$B$2:$B$28</c:f>
              <c:numCache>
                <c:formatCode>0.0</c:formatCode>
                <c:ptCount val="27"/>
                <c:pt idx="0">
                  <c:v>77.7</c:v>
                </c:pt>
                <c:pt idx="1">
                  <c:v>68.3</c:v>
                </c:pt>
                <c:pt idx="2">
                  <c:v>65</c:v>
                </c:pt>
                <c:pt idx="3">
                  <c:v>63.8</c:v>
                </c:pt>
                <c:pt idx="4">
                  <c:v>62.1</c:v>
                </c:pt>
                <c:pt idx="5">
                  <c:v>61.7</c:v>
                </c:pt>
                <c:pt idx="6">
                  <c:v>60.8</c:v>
                </c:pt>
                <c:pt idx="7">
                  <c:v>60.5</c:v>
                </c:pt>
                <c:pt idx="8">
                  <c:v>58.7</c:v>
                </c:pt>
                <c:pt idx="9">
                  <c:v>58.3</c:v>
                </c:pt>
                <c:pt idx="10">
                  <c:v>56.3</c:v>
                </c:pt>
                <c:pt idx="11">
                  <c:v>54.6</c:v>
                </c:pt>
                <c:pt idx="12">
                  <c:v>54</c:v>
                </c:pt>
                <c:pt idx="13">
                  <c:v>52.2</c:v>
                </c:pt>
                <c:pt idx="14">
                  <c:v>52.1</c:v>
                </c:pt>
                <c:pt idx="15">
                  <c:v>49.4</c:v>
                </c:pt>
                <c:pt idx="16">
                  <c:v>48.9</c:v>
                </c:pt>
                <c:pt idx="17">
                  <c:v>47.4</c:v>
                </c:pt>
                <c:pt idx="18">
                  <c:v>43.1</c:v>
                </c:pt>
                <c:pt idx="19">
                  <c:v>40.9</c:v>
                </c:pt>
                <c:pt idx="20">
                  <c:v>40.799999999999997</c:v>
                </c:pt>
                <c:pt idx="21">
                  <c:v>37.1</c:v>
                </c:pt>
                <c:pt idx="22">
                  <c:v>36.9</c:v>
                </c:pt>
                <c:pt idx="23">
                  <c:v>35.200000000000003</c:v>
                </c:pt>
                <c:pt idx="24">
                  <c:v>34.299999999999997</c:v>
                </c:pt>
                <c:pt idx="25">
                  <c:v>34</c:v>
                </c:pt>
                <c:pt idx="26">
                  <c:v>31.9</c:v>
                </c:pt>
              </c:numCache>
            </c:numRef>
          </c:val>
          <c:extLst>
            <c:ext xmlns:c16="http://schemas.microsoft.com/office/drawing/2014/chart" uri="{C3380CC4-5D6E-409C-BE32-E72D297353CC}">
              <c16:uniqueId val="{0000000A-2A5C-4EFA-A372-52A2E8DDBA71}"/>
            </c:ext>
          </c:extLst>
        </c:ser>
        <c:dLbls>
          <c:showLegendKey val="0"/>
          <c:showVal val="0"/>
          <c:showCatName val="0"/>
          <c:showSerName val="0"/>
          <c:showPercent val="0"/>
          <c:showBubbleSize val="0"/>
        </c:dLbls>
        <c:gapWidth val="60"/>
        <c:overlap val="-27"/>
        <c:axId val="742073432"/>
        <c:axId val="742075392"/>
      </c:barChart>
      <c:catAx>
        <c:axId val="742073432"/>
        <c:scaling>
          <c:orientation val="minMax"/>
        </c:scaling>
        <c:delete val="0"/>
        <c:axPos val="b"/>
        <c:numFmt formatCode="General" sourceLinked="1"/>
        <c:majorTickMark val="none"/>
        <c:minorTickMark val="none"/>
        <c:tickLblPos val="nextTo"/>
        <c:spPr>
          <a:noFill/>
          <a:ln w="6350" cap="flat" cmpd="sng" algn="ctr">
            <a:solidFill>
              <a:sysClr val="window" lastClr="FFFFFF">
                <a:lumMod val="75000"/>
              </a:sys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75392"/>
        <c:crosses val="autoZero"/>
        <c:auto val="1"/>
        <c:lblAlgn val="ctr"/>
        <c:lblOffset val="100"/>
        <c:noMultiLvlLbl val="0"/>
      </c:catAx>
      <c:valAx>
        <c:axId val="742075392"/>
        <c:scaling>
          <c:orientation val="minMax"/>
          <c:max val="80"/>
        </c:scaling>
        <c:delete val="0"/>
        <c:axPos val="l"/>
        <c:numFmt formatCode="0" sourceLinked="0"/>
        <c:majorTickMark val="none"/>
        <c:minorTickMark val="none"/>
        <c:tickLblPos val="nextTo"/>
        <c:spPr>
          <a:noFill/>
          <a:ln w="6350">
            <a:solidFill>
              <a:sysClr val="window" lastClr="FFFFFF">
                <a:lumMod val="75000"/>
              </a:sys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73432"/>
        <c:crosses val="autoZero"/>
        <c:crossBetween val="between"/>
        <c:majorUnit val="20"/>
        <c:minorUnit val="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394993857246163E-2"/>
          <c:y val="6.5242317730606028E-2"/>
          <c:w val="0.93808659714736065"/>
          <c:h val="0.44762593183210192"/>
        </c:manualLayout>
      </c:layout>
      <c:barChart>
        <c:barDir val="col"/>
        <c:grouping val="clustered"/>
        <c:varyColors val="0"/>
        <c:ser>
          <c:idx val="0"/>
          <c:order val="0"/>
          <c:tx>
            <c:strRef>
              <c:f>Sheet1!$B$1</c:f>
              <c:strCache>
                <c:ptCount val="1"/>
                <c:pt idx="0">
                  <c:v>Avots: Cedefop</c:v>
                </c:pt>
              </c:strCache>
            </c:strRef>
          </c:tx>
          <c:spPr>
            <a:solidFill>
              <a:srgbClr val="B85808"/>
            </a:solidFill>
            <a:ln>
              <a:noFill/>
            </a:ln>
            <a:effectLst/>
          </c:spPr>
          <c:invertIfNegative val="0"/>
          <c:dPt>
            <c:idx val="9"/>
            <c:invertIfNegative val="0"/>
            <c:bubble3D val="0"/>
            <c:spPr>
              <a:solidFill>
                <a:srgbClr val="C00000"/>
              </a:solidFill>
              <a:ln>
                <a:noFill/>
              </a:ln>
              <a:effectLst/>
            </c:spPr>
            <c:extLst>
              <c:ext xmlns:c16="http://schemas.microsoft.com/office/drawing/2014/chart" uri="{C3380CC4-5D6E-409C-BE32-E72D297353CC}">
                <c16:uniqueId val="{00000001-3C20-47C9-9876-6D94DB0F8947}"/>
              </c:ext>
            </c:extLst>
          </c:dPt>
          <c:dPt>
            <c:idx val="13"/>
            <c:invertIfNegative val="0"/>
            <c:bubble3D val="0"/>
            <c:spPr>
              <a:solidFill>
                <a:srgbClr val="B85808"/>
              </a:solidFill>
              <a:ln>
                <a:noFill/>
              </a:ln>
              <a:effectLst/>
            </c:spPr>
            <c:extLst>
              <c:ext xmlns:c16="http://schemas.microsoft.com/office/drawing/2014/chart" uri="{C3380CC4-5D6E-409C-BE32-E72D297353CC}">
                <c16:uniqueId val="{00000003-3C20-47C9-9876-6D94DB0F8947}"/>
              </c:ext>
            </c:extLst>
          </c:dPt>
          <c:dPt>
            <c:idx val="14"/>
            <c:invertIfNegative val="0"/>
            <c:bubble3D val="0"/>
            <c:spPr>
              <a:solidFill>
                <a:srgbClr val="B85808"/>
              </a:solidFill>
              <a:ln>
                <a:noFill/>
              </a:ln>
              <a:effectLst/>
            </c:spPr>
            <c:extLst>
              <c:ext xmlns:c16="http://schemas.microsoft.com/office/drawing/2014/chart" uri="{C3380CC4-5D6E-409C-BE32-E72D297353CC}">
                <c16:uniqueId val="{00000005-3C20-47C9-9876-6D94DB0F8947}"/>
              </c:ext>
            </c:extLst>
          </c:dPt>
          <c:dPt>
            <c:idx val="18"/>
            <c:invertIfNegative val="0"/>
            <c:bubble3D val="0"/>
            <c:spPr>
              <a:solidFill>
                <a:srgbClr val="B85808"/>
              </a:solidFill>
              <a:ln>
                <a:noFill/>
              </a:ln>
              <a:effectLst/>
            </c:spPr>
            <c:extLst>
              <c:ext xmlns:c16="http://schemas.microsoft.com/office/drawing/2014/chart" uri="{C3380CC4-5D6E-409C-BE32-E72D297353CC}">
                <c16:uniqueId val="{00000007-3C20-47C9-9876-6D94DB0F8947}"/>
              </c:ext>
            </c:extLst>
          </c:dPt>
          <c:dPt>
            <c:idx val="20"/>
            <c:invertIfNegative val="0"/>
            <c:bubble3D val="0"/>
            <c:spPr>
              <a:solidFill>
                <a:srgbClr val="B85808"/>
              </a:solidFill>
              <a:ln>
                <a:noFill/>
              </a:ln>
              <a:effectLst/>
            </c:spPr>
            <c:extLst>
              <c:ext xmlns:c16="http://schemas.microsoft.com/office/drawing/2014/chart" uri="{C3380CC4-5D6E-409C-BE32-E72D297353CC}">
                <c16:uniqueId val="{00000009-3C20-47C9-9876-6D94DB0F8947}"/>
              </c:ext>
            </c:extLst>
          </c:dPt>
          <c:dLbls>
            <c:dLbl>
              <c:idx val="9"/>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20-47C9-9876-6D94DB0F894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Sheet1!$A$2:$A$28</c:f>
              <c:strCache>
                <c:ptCount val="27"/>
                <c:pt idx="0">
                  <c:v>Nīderlande</c:v>
                </c:pt>
                <c:pt idx="1">
                  <c:v>Malta</c:v>
                </c:pt>
                <c:pt idx="2">
                  <c:v>Zviedrija</c:v>
                </c:pt>
                <c:pt idx="3">
                  <c:v>Austrija</c:v>
                </c:pt>
                <c:pt idx="4">
                  <c:v>Īrija</c:v>
                </c:pt>
                <c:pt idx="5">
                  <c:v>Dānija</c:v>
                </c:pt>
                <c:pt idx="6">
                  <c:v>Slovenija</c:v>
                </c:pt>
                <c:pt idx="7">
                  <c:v>Vācija</c:v>
                </c:pt>
                <c:pt idx="8">
                  <c:v>Lietuva</c:v>
                </c:pt>
                <c:pt idx="9">
                  <c:v>Latvija</c:v>
                </c:pt>
                <c:pt idx="10">
                  <c:v>Kipra</c:v>
                </c:pt>
                <c:pt idx="11">
                  <c:v>Igaunija</c:v>
                </c:pt>
                <c:pt idx="12">
                  <c:v>Portugāle</c:v>
                </c:pt>
                <c:pt idx="13">
                  <c:v>Somija</c:v>
                </c:pt>
                <c:pt idx="14">
                  <c:v>Luksemburga</c:v>
                </c:pt>
                <c:pt idx="15">
                  <c:v>Polija</c:v>
                </c:pt>
                <c:pt idx="16">
                  <c:v>Horvātija</c:v>
                </c:pt>
                <c:pt idx="17">
                  <c:v>Francija</c:v>
                </c:pt>
                <c:pt idx="18">
                  <c:v>Čehija</c:v>
                </c:pt>
                <c:pt idx="19">
                  <c:v>Ungārija</c:v>
                </c:pt>
                <c:pt idx="20">
                  <c:v>Beļģija</c:v>
                </c:pt>
                <c:pt idx="21">
                  <c:v>Slovākija</c:v>
                </c:pt>
                <c:pt idx="22">
                  <c:v>Grieķija</c:v>
                </c:pt>
                <c:pt idx="23">
                  <c:v>Spānija</c:v>
                </c:pt>
                <c:pt idx="24">
                  <c:v>Bulgārija</c:v>
                </c:pt>
                <c:pt idx="25">
                  <c:v>Itālija</c:v>
                </c:pt>
                <c:pt idx="26">
                  <c:v>Rumānija</c:v>
                </c:pt>
              </c:strCache>
            </c:strRef>
          </c:cat>
          <c:val>
            <c:numRef>
              <c:f>Sheet1!$B$2:$B$28</c:f>
              <c:numCache>
                <c:formatCode>General</c:formatCode>
                <c:ptCount val="27"/>
                <c:pt idx="0">
                  <c:v>86.5</c:v>
                </c:pt>
                <c:pt idx="1">
                  <c:v>81.7</c:v>
                </c:pt>
                <c:pt idx="2">
                  <c:v>77.5</c:v>
                </c:pt>
                <c:pt idx="3">
                  <c:v>73.400000000000006</c:v>
                </c:pt>
                <c:pt idx="4">
                  <c:v>72.599999999999994</c:v>
                </c:pt>
                <c:pt idx="5">
                  <c:v>67.5</c:v>
                </c:pt>
                <c:pt idx="6">
                  <c:v>67</c:v>
                </c:pt>
                <c:pt idx="7">
                  <c:v>65.599999999999994</c:v>
                </c:pt>
                <c:pt idx="8">
                  <c:v>65.5</c:v>
                </c:pt>
                <c:pt idx="9">
                  <c:v>65</c:v>
                </c:pt>
                <c:pt idx="10">
                  <c:v>63.5</c:v>
                </c:pt>
                <c:pt idx="11">
                  <c:v>63</c:v>
                </c:pt>
                <c:pt idx="12">
                  <c:v>61.9</c:v>
                </c:pt>
                <c:pt idx="13">
                  <c:v>60</c:v>
                </c:pt>
                <c:pt idx="14">
                  <c:v>59.5</c:v>
                </c:pt>
                <c:pt idx="15">
                  <c:v>59.1</c:v>
                </c:pt>
                <c:pt idx="16">
                  <c:v>57.2</c:v>
                </c:pt>
                <c:pt idx="17">
                  <c:v>55.6</c:v>
                </c:pt>
                <c:pt idx="18">
                  <c:v>53.9</c:v>
                </c:pt>
                <c:pt idx="19">
                  <c:v>51</c:v>
                </c:pt>
                <c:pt idx="20">
                  <c:v>47.5</c:v>
                </c:pt>
                <c:pt idx="21">
                  <c:v>43.4</c:v>
                </c:pt>
                <c:pt idx="22">
                  <c:v>37.4</c:v>
                </c:pt>
                <c:pt idx="23">
                  <c:v>36.5</c:v>
                </c:pt>
                <c:pt idx="24">
                  <c:v>25.9</c:v>
                </c:pt>
                <c:pt idx="25">
                  <c:v>10.6</c:v>
                </c:pt>
                <c:pt idx="26">
                  <c:v>9.4</c:v>
                </c:pt>
              </c:numCache>
            </c:numRef>
          </c:val>
          <c:extLst>
            <c:ext xmlns:c16="http://schemas.microsoft.com/office/drawing/2014/chart" uri="{C3380CC4-5D6E-409C-BE32-E72D297353CC}">
              <c16:uniqueId val="{0000000A-3C20-47C9-9876-6D94DB0F8947}"/>
            </c:ext>
          </c:extLst>
        </c:ser>
        <c:dLbls>
          <c:showLegendKey val="0"/>
          <c:showVal val="0"/>
          <c:showCatName val="0"/>
          <c:showSerName val="0"/>
          <c:showPercent val="0"/>
          <c:showBubbleSize val="0"/>
        </c:dLbls>
        <c:gapWidth val="60"/>
        <c:overlap val="-27"/>
        <c:axId val="742073432"/>
        <c:axId val="742075392"/>
      </c:barChart>
      <c:catAx>
        <c:axId val="742073432"/>
        <c:scaling>
          <c:orientation val="minMax"/>
        </c:scaling>
        <c:delete val="0"/>
        <c:axPos val="b"/>
        <c:numFmt formatCode="General" sourceLinked="1"/>
        <c:majorTickMark val="none"/>
        <c:minorTickMark val="none"/>
        <c:tickLblPos val="nextTo"/>
        <c:spPr>
          <a:noFill/>
          <a:ln w="6350" cap="flat" cmpd="sng" algn="ctr">
            <a:solidFill>
              <a:sysClr val="window" lastClr="FFFFFF">
                <a:lumMod val="75000"/>
              </a:sys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75392"/>
        <c:crosses val="autoZero"/>
        <c:auto val="1"/>
        <c:lblAlgn val="ctr"/>
        <c:lblOffset val="100"/>
        <c:noMultiLvlLbl val="0"/>
      </c:catAx>
      <c:valAx>
        <c:axId val="742075392"/>
        <c:scaling>
          <c:orientation val="minMax"/>
          <c:max val="80"/>
        </c:scaling>
        <c:delete val="0"/>
        <c:axPos val="l"/>
        <c:numFmt formatCode="0" sourceLinked="0"/>
        <c:majorTickMark val="none"/>
        <c:minorTickMark val="none"/>
        <c:tickLblPos val="nextTo"/>
        <c:spPr>
          <a:noFill/>
          <a:ln w="6350">
            <a:solidFill>
              <a:sysClr val="window" lastClr="FFFFFF">
                <a:lumMod val="75000"/>
              </a:sys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73432"/>
        <c:crosses val="autoZero"/>
        <c:crossBetween val="between"/>
        <c:majorUnit val="20"/>
        <c:minorUnit val="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394993857246163E-2"/>
          <c:y val="3.8948248199348494E-2"/>
          <c:w val="0.93808659714736065"/>
          <c:h val="0.65734950581927043"/>
        </c:manualLayout>
      </c:layout>
      <c:barChart>
        <c:barDir val="col"/>
        <c:grouping val="clustered"/>
        <c:varyColors val="0"/>
        <c:ser>
          <c:idx val="0"/>
          <c:order val="0"/>
          <c:tx>
            <c:strRef>
              <c:f>Sheet1!$B$1</c:f>
              <c:strCache>
                <c:ptCount val="1"/>
                <c:pt idx="0">
                  <c:v>Avots: Cedefop</c:v>
                </c:pt>
              </c:strCache>
            </c:strRef>
          </c:tx>
          <c:spPr>
            <a:solidFill>
              <a:srgbClr val="B85808"/>
            </a:solidFill>
            <a:ln>
              <a:noFill/>
            </a:ln>
            <a:effectLst/>
          </c:spPr>
          <c:invertIfNegative val="0"/>
          <c:dPt>
            <c:idx val="9"/>
            <c:invertIfNegative val="0"/>
            <c:bubble3D val="0"/>
            <c:spPr>
              <a:solidFill>
                <a:srgbClr val="B85808"/>
              </a:solidFill>
              <a:ln>
                <a:noFill/>
              </a:ln>
              <a:effectLst/>
            </c:spPr>
            <c:extLst>
              <c:ext xmlns:c16="http://schemas.microsoft.com/office/drawing/2014/chart" uri="{C3380CC4-5D6E-409C-BE32-E72D297353CC}">
                <c16:uniqueId val="{00000001-CAED-4656-893A-B4B1B8BCD248}"/>
              </c:ext>
            </c:extLst>
          </c:dPt>
          <c:dPt>
            <c:idx val="13"/>
            <c:invertIfNegative val="0"/>
            <c:bubble3D val="0"/>
            <c:spPr>
              <a:solidFill>
                <a:srgbClr val="B85808"/>
              </a:solidFill>
              <a:ln>
                <a:noFill/>
              </a:ln>
              <a:effectLst/>
            </c:spPr>
            <c:extLst>
              <c:ext xmlns:c16="http://schemas.microsoft.com/office/drawing/2014/chart" uri="{C3380CC4-5D6E-409C-BE32-E72D297353CC}">
                <c16:uniqueId val="{00000003-CAED-4656-893A-B4B1B8BCD248}"/>
              </c:ext>
            </c:extLst>
          </c:dPt>
          <c:dPt>
            <c:idx val="14"/>
            <c:invertIfNegative val="0"/>
            <c:bubble3D val="0"/>
            <c:spPr>
              <a:solidFill>
                <a:srgbClr val="C00000"/>
              </a:solidFill>
              <a:ln>
                <a:noFill/>
              </a:ln>
              <a:effectLst/>
            </c:spPr>
            <c:extLst>
              <c:ext xmlns:c16="http://schemas.microsoft.com/office/drawing/2014/chart" uri="{C3380CC4-5D6E-409C-BE32-E72D297353CC}">
                <c16:uniqueId val="{00000005-CAED-4656-893A-B4B1B8BCD248}"/>
              </c:ext>
            </c:extLst>
          </c:dPt>
          <c:dPt>
            <c:idx val="18"/>
            <c:invertIfNegative val="0"/>
            <c:bubble3D val="0"/>
            <c:spPr>
              <a:solidFill>
                <a:srgbClr val="B85808"/>
              </a:solidFill>
              <a:ln>
                <a:noFill/>
              </a:ln>
              <a:effectLst/>
            </c:spPr>
            <c:extLst>
              <c:ext xmlns:c16="http://schemas.microsoft.com/office/drawing/2014/chart" uri="{C3380CC4-5D6E-409C-BE32-E72D297353CC}">
                <c16:uniqueId val="{00000007-CAED-4656-893A-B4B1B8BCD248}"/>
              </c:ext>
            </c:extLst>
          </c:dPt>
          <c:dPt>
            <c:idx val="20"/>
            <c:invertIfNegative val="0"/>
            <c:bubble3D val="0"/>
            <c:spPr>
              <a:solidFill>
                <a:srgbClr val="B85808"/>
              </a:solidFill>
              <a:ln>
                <a:noFill/>
              </a:ln>
              <a:effectLst/>
            </c:spPr>
            <c:extLst>
              <c:ext xmlns:c16="http://schemas.microsoft.com/office/drawing/2014/chart" uri="{C3380CC4-5D6E-409C-BE32-E72D297353CC}">
                <c16:uniqueId val="{00000009-CAED-4656-893A-B4B1B8BCD248}"/>
              </c:ext>
            </c:extLst>
          </c:dPt>
          <c:dLbls>
            <c:dLbl>
              <c:idx val="1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ED-4656-893A-B4B1B8BCD24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Sheet1!$A$2:$A$29</c:f>
              <c:strCache>
                <c:ptCount val="27"/>
                <c:pt idx="0">
                  <c:v>Čehija</c:v>
                </c:pt>
                <c:pt idx="1">
                  <c:v>Ungārija</c:v>
                </c:pt>
                <c:pt idx="2">
                  <c:v>Polija</c:v>
                </c:pt>
                <c:pt idx="3">
                  <c:v>Malta</c:v>
                </c:pt>
                <c:pt idx="4">
                  <c:v>Rumānija</c:v>
                </c:pt>
                <c:pt idx="5">
                  <c:v>Slovēnija</c:v>
                </c:pt>
                <c:pt idx="6">
                  <c:v>Luksemburga</c:v>
                </c:pt>
                <c:pt idx="7">
                  <c:v>Dānija</c:v>
                </c:pt>
                <c:pt idx="8">
                  <c:v>Horvātija</c:v>
                </c:pt>
                <c:pt idx="9">
                  <c:v>Zviedrija</c:v>
                </c:pt>
                <c:pt idx="10">
                  <c:v>Somija</c:v>
                </c:pt>
                <c:pt idx="11">
                  <c:v>Slovākija</c:v>
                </c:pt>
                <c:pt idx="12">
                  <c:v>Igaunija</c:v>
                </c:pt>
                <c:pt idx="13">
                  <c:v>Bulgārija</c:v>
                </c:pt>
                <c:pt idx="14">
                  <c:v>Latvija</c:v>
                </c:pt>
                <c:pt idx="15">
                  <c:v>Vācija</c:v>
                </c:pt>
                <c:pt idx="16">
                  <c:v>Lietuva</c:v>
                </c:pt>
                <c:pt idx="17">
                  <c:v>Austrija</c:v>
                </c:pt>
                <c:pt idx="18">
                  <c:v>Beļģija</c:v>
                </c:pt>
                <c:pt idx="19">
                  <c:v>Nīderlande</c:v>
                </c:pt>
                <c:pt idx="20">
                  <c:v>Francija</c:v>
                </c:pt>
                <c:pt idx="21">
                  <c:v>Portugāle</c:v>
                </c:pt>
                <c:pt idx="22">
                  <c:v>Īrija</c:v>
                </c:pt>
                <c:pt idx="23">
                  <c:v>Itālija</c:v>
                </c:pt>
                <c:pt idx="24">
                  <c:v>Kipra</c:v>
                </c:pt>
                <c:pt idx="25">
                  <c:v>Grieķija</c:v>
                </c:pt>
                <c:pt idx="26">
                  <c:v>Spānija</c:v>
                </c:pt>
              </c:strCache>
            </c:strRef>
          </c:cat>
          <c:val>
            <c:numRef>
              <c:f>Sheet1!$B$2:$B$29</c:f>
              <c:numCache>
                <c:formatCode>General</c:formatCode>
                <c:ptCount val="27"/>
                <c:pt idx="0">
                  <c:v>92.4</c:v>
                </c:pt>
                <c:pt idx="1">
                  <c:v>85</c:v>
                </c:pt>
                <c:pt idx="2">
                  <c:v>76.7</c:v>
                </c:pt>
                <c:pt idx="3">
                  <c:v>73.2</c:v>
                </c:pt>
                <c:pt idx="4">
                  <c:v>70.2</c:v>
                </c:pt>
                <c:pt idx="5">
                  <c:v>69.599999999999994</c:v>
                </c:pt>
                <c:pt idx="6">
                  <c:v>69.2</c:v>
                </c:pt>
                <c:pt idx="7">
                  <c:v>68.3</c:v>
                </c:pt>
                <c:pt idx="8">
                  <c:v>67.3</c:v>
                </c:pt>
                <c:pt idx="9">
                  <c:v>65.5</c:v>
                </c:pt>
                <c:pt idx="10">
                  <c:v>63.9</c:v>
                </c:pt>
                <c:pt idx="11">
                  <c:v>63.9</c:v>
                </c:pt>
                <c:pt idx="12">
                  <c:v>63.5</c:v>
                </c:pt>
                <c:pt idx="13">
                  <c:v>62</c:v>
                </c:pt>
                <c:pt idx="14">
                  <c:v>62</c:v>
                </c:pt>
                <c:pt idx="15">
                  <c:v>60.4</c:v>
                </c:pt>
                <c:pt idx="16">
                  <c:v>52.2</c:v>
                </c:pt>
                <c:pt idx="17">
                  <c:v>51.6</c:v>
                </c:pt>
                <c:pt idx="18">
                  <c:v>51.2</c:v>
                </c:pt>
                <c:pt idx="19">
                  <c:v>50.5</c:v>
                </c:pt>
                <c:pt idx="20">
                  <c:v>48.5</c:v>
                </c:pt>
                <c:pt idx="21">
                  <c:v>43.1</c:v>
                </c:pt>
                <c:pt idx="22">
                  <c:v>33.700000000000003</c:v>
                </c:pt>
                <c:pt idx="23">
                  <c:v>33.4</c:v>
                </c:pt>
                <c:pt idx="24">
                  <c:v>33.1</c:v>
                </c:pt>
                <c:pt idx="25">
                  <c:v>20</c:v>
                </c:pt>
                <c:pt idx="26">
                  <c:v>12.5</c:v>
                </c:pt>
              </c:numCache>
            </c:numRef>
          </c:val>
          <c:extLst>
            <c:ext xmlns:c16="http://schemas.microsoft.com/office/drawing/2014/chart" uri="{C3380CC4-5D6E-409C-BE32-E72D297353CC}">
              <c16:uniqueId val="{0000000A-CAED-4656-893A-B4B1B8BCD248}"/>
            </c:ext>
          </c:extLst>
        </c:ser>
        <c:dLbls>
          <c:showLegendKey val="0"/>
          <c:showVal val="0"/>
          <c:showCatName val="0"/>
          <c:showSerName val="0"/>
          <c:showPercent val="0"/>
          <c:showBubbleSize val="0"/>
        </c:dLbls>
        <c:gapWidth val="60"/>
        <c:overlap val="-27"/>
        <c:axId val="742073432"/>
        <c:axId val="742075392"/>
      </c:barChart>
      <c:catAx>
        <c:axId val="742073432"/>
        <c:scaling>
          <c:orientation val="minMax"/>
        </c:scaling>
        <c:delete val="0"/>
        <c:axPos val="b"/>
        <c:numFmt formatCode="General" sourceLinked="1"/>
        <c:majorTickMark val="none"/>
        <c:minorTickMark val="none"/>
        <c:tickLblPos val="nextTo"/>
        <c:spPr>
          <a:noFill/>
          <a:ln w="6350" cap="flat" cmpd="sng" algn="ctr">
            <a:solidFill>
              <a:sysClr val="window" lastClr="FFFFFF">
                <a:lumMod val="75000"/>
              </a:sys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75392"/>
        <c:crosses val="autoZero"/>
        <c:auto val="1"/>
        <c:lblAlgn val="ctr"/>
        <c:lblOffset val="100"/>
        <c:noMultiLvlLbl val="0"/>
      </c:catAx>
      <c:valAx>
        <c:axId val="742075392"/>
        <c:scaling>
          <c:orientation val="minMax"/>
          <c:max val="80"/>
        </c:scaling>
        <c:delete val="0"/>
        <c:axPos val="l"/>
        <c:numFmt formatCode="0" sourceLinked="0"/>
        <c:majorTickMark val="none"/>
        <c:minorTickMark val="none"/>
        <c:tickLblPos val="nextTo"/>
        <c:spPr>
          <a:noFill/>
          <a:ln w="6350">
            <a:solidFill>
              <a:sysClr val="window" lastClr="FFFFFF">
                <a:lumMod val="75000"/>
              </a:sys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42073432"/>
        <c:crosses val="autoZero"/>
        <c:crossBetween val="between"/>
        <c:majorUnit val="20"/>
        <c:minorUnit val="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321445624148115E-2"/>
          <c:y val="4.7032080353913347E-2"/>
          <c:w val="0.84871775695609286"/>
          <c:h val="0.85727773443197575"/>
        </c:manualLayout>
      </c:layout>
      <c:barChart>
        <c:barDir val="col"/>
        <c:grouping val="clustered"/>
        <c:varyColors val="0"/>
        <c:ser>
          <c:idx val="2"/>
          <c:order val="0"/>
          <c:tx>
            <c:strRef>
              <c:f>Sheet1!$A$2</c:f>
              <c:strCache>
                <c:ptCount val="1"/>
                <c:pt idx="0">
                  <c:v>Ekonomiski aktīvie iedzīvotāji</c:v>
                </c:pt>
              </c:strCache>
            </c:strRef>
          </c:tx>
          <c:spPr>
            <a:solidFill>
              <a:srgbClr val="92B7C4"/>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Sheet1!$B$1:$Q$1</c:f>
              <c:strCache>
                <c:ptCount val="9"/>
                <c:pt idx="0">
                  <c:v>2010</c:v>
                </c:pt>
                <c:pt idx="1">
                  <c:v>2012</c:v>
                </c:pt>
                <c:pt idx="2">
                  <c:v>2014</c:v>
                </c:pt>
                <c:pt idx="3">
                  <c:v>2016</c:v>
                </c:pt>
                <c:pt idx="4">
                  <c:v>2019</c:v>
                </c:pt>
                <c:pt idx="5">
                  <c:v>2022</c:v>
                </c:pt>
                <c:pt idx="6">
                  <c:v>2023</c:v>
                </c:pt>
                <c:pt idx="7">
                  <c:v>2024</c:v>
                </c:pt>
                <c:pt idx="8">
                  <c:v>2025</c:v>
                </c:pt>
              </c:strCache>
            </c:strRef>
          </c:cat>
          <c:val>
            <c:numRef>
              <c:f>Sheet1!$B$2:$Q$2</c:f>
              <c:numCache>
                <c:formatCode>0</c:formatCode>
                <c:ptCount val="9"/>
                <c:pt idx="0">
                  <c:v>1056.5</c:v>
                </c:pt>
                <c:pt idx="1">
                  <c:v>1030.7</c:v>
                </c:pt>
                <c:pt idx="2">
                  <c:v>992.3</c:v>
                </c:pt>
                <c:pt idx="3">
                  <c:v>988.6</c:v>
                </c:pt>
                <c:pt idx="4">
                  <c:v>971.3</c:v>
                </c:pt>
                <c:pt idx="5">
                  <c:v>951.3</c:v>
                </c:pt>
                <c:pt idx="6">
                  <c:v>945.7</c:v>
                </c:pt>
                <c:pt idx="7">
                  <c:v>942.7</c:v>
                </c:pt>
                <c:pt idx="8">
                  <c:v>948.9</c:v>
                </c:pt>
              </c:numCache>
            </c:numRef>
          </c:val>
          <c:extLst>
            <c:ext xmlns:c16="http://schemas.microsoft.com/office/drawing/2014/chart" uri="{C3380CC4-5D6E-409C-BE32-E72D297353CC}">
              <c16:uniqueId val="{00000000-2371-4A52-85D8-7E8A76C9EC80}"/>
            </c:ext>
          </c:extLst>
        </c:ser>
        <c:ser>
          <c:idx val="3"/>
          <c:order val="1"/>
          <c:tx>
            <c:strRef>
              <c:f>Sheet1!$A$3</c:f>
              <c:strCache>
                <c:ptCount val="1"/>
                <c:pt idx="0">
                  <c:v>Nodarbinātie iedzīvotāji</c:v>
                </c:pt>
              </c:strCache>
            </c:strRef>
          </c:tx>
          <c:spPr>
            <a:solidFill>
              <a:srgbClr val="0E5A69"/>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Sheet1!$B$1:$Q$1</c:f>
              <c:strCache>
                <c:ptCount val="9"/>
                <c:pt idx="0">
                  <c:v>2010</c:v>
                </c:pt>
                <c:pt idx="1">
                  <c:v>2012</c:v>
                </c:pt>
                <c:pt idx="2">
                  <c:v>2014</c:v>
                </c:pt>
                <c:pt idx="3">
                  <c:v>2016</c:v>
                </c:pt>
                <c:pt idx="4">
                  <c:v>2019</c:v>
                </c:pt>
                <c:pt idx="5">
                  <c:v>2022</c:v>
                </c:pt>
                <c:pt idx="6">
                  <c:v>2023</c:v>
                </c:pt>
                <c:pt idx="7">
                  <c:v>2024</c:v>
                </c:pt>
                <c:pt idx="8">
                  <c:v>2025</c:v>
                </c:pt>
              </c:strCache>
            </c:strRef>
          </c:cat>
          <c:val>
            <c:numRef>
              <c:f>Sheet1!$B$3:$Q$3</c:f>
              <c:numCache>
                <c:formatCode>0</c:formatCode>
                <c:ptCount val="9"/>
                <c:pt idx="0">
                  <c:v>850.7</c:v>
                </c:pt>
                <c:pt idx="1">
                  <c:v>875.6</c:v>
                </c:pt>
                <c:pt idx="2">
                  <c:v>884.6</c:v>
                </c:pt>
                <c:pt idx="3">
                  <c:v>893.3</c:v>
                </c:pt>
                <c:pt idx="4">
                  <c:v>910</c:v>
                </c:pt>
                <c:pt idx="5">
                  <c:v>886.2</c:v>
                </c:pt>
                <c:pt idx="6">
                  <c:v>884.2</c:v>
                </c:pt>
                <c:pt idx="7">
                  <c:v>877.4</c:v>
                </c:pt>
                <c:pt idx="8">
                  <c:v>883.1</c:v>
                </c:pt>
              </c:numCache>
            </c:numRef>
          </c:val>
          <c:extLst>
            <c:ext xmlns:c16="http://schemas.microsoft.com/office/drawing/2014/chart" uri="{C3380CC4-5D6E-409C-BE32-E72D297353CC}">
              <c16:uniqueId val="{00000001-2371-4A52-85D8-7E8A76C9EC80}"/>
            </c:ext>
          </c:extLst>
        </c:ser>
        <c:dLbls>
          <c:showLegendKey val="0"/>
          <c:showVal val="0"/>
          <c:showCatName val="0"/>
          <c:showSerName val="0"/>
          <c:showPercent val="0"/>
          <c:showBubbleSize val="0"/>
        </c:dLbls>
        <c:gapWidth val="40"/>
        <c:overlap val="80"/>
        <c:axId val="742143600"/>
        <c:axId val="742139288"/>
      </c:barChart>
      <c:catAx>
        <c:axId val="742143600"/>
        <c:scaling>
          <c:orientation val="minMax"/>
        </c:scaling>
        <c:delete val="0"/>
        <c:axPos val="b"/>
        <c:numFmt formatCode="General" sourceLinked="1"/>
        <c:majorTickMark val="out"/>
        <c:minorTickMark val="none"/>
        <c:tickLblPos val="low"/>
        <c:txPr>
          <a:bodyPr rot="0" vert="horz"/>
          <a:lstStyle/>
          <a:p>
            <a:pPr>
              <a:defRPr/>
            </a:pPr>
            <a:endParaRPr lang="en-US"/>
          </a:p>
        </c:txPr>
        <c:crossAx val="742139288"/>
        <c:crosses val="autoZero"/>
        <c:auto val="0"/>
        <c:lblAlgn val="ctr"/>
        <c:lblOffset val="0"/>
        <c:noMultiLvlLbl val="1"/>
      </c:catAx>
      <c:valAx>
        <c:axId val="742139288"/>
        <c:scaling>
          <c:orientation val="minMax"/>
          <c:min val="700"/>
        </c:scaling>
        <c:delete val="0"/>
        <c:axPos val="l"/>
        <c:numFmt formatCode="0" sourceLinked="0"/>
        <c:majorTickMark val="out"/>
        <c:minorTickMark val="none"/>
        <c:tickLblPos val="nextTo"/>
        <c:spPr>
          <a:ln w="3175">
            <a:noFill/>
          </a:ln>
        </c:spPr>
        <c:txPr>
          <a:bodyPr rot="0" vert="horz"/>
          <a:lstStyle/>
          <a:p>
            <a:pPr>
              <a:defRPr/>
            </a:pPr>
            <a:endParaRPr lang="en-US"/>
          </a:p>
        </c:txPr>
        <c:crossAx val="742143600"/>
        <c:crosses val="autoZero"/>
        <c:crossBetween val="between"/>
        <c:majorUnit val="100"/>
      </c:valAx>
      <c:spPr>
        <a:noFill/>
        <a:ln w="24631">
          <a:noFill/>
        </a:ln>
      </c:spPr>
    </c:plotArea>
    <c:legend>
      <c:legendPos val="l"/>
      <c:layout>
        <c:manualLayout>
          <c:xMode val="edge"/>
          <c:yMode val="edge"/>
          <c:x val="0.30512792664842631"/>
          <c:y val="2.9919407677686277E-2"/>
          <c:w val="0.64659621128260825"/>
          <c:h val="0.15094656938314965"/>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en-US"/>
    </a:p>
  </c:tx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24631507926125E-2"/>
          <c:y val="3.2382323864912382E-2"/>
          <c:w val="0.93200945882823971"/>
          <c:h val="0.86415144875958516"/>
        </c:manualLayout>
      </c:layout>
      <c:lineChart>
        <c:grouping val="standard"/>
        <c:varyColors val="0"/>
        <c:ser>
          <c:idx val="1"/>
          <c:order val="0"/>
          <c:tx>
            <c:strRef>
              <c:f>Sheet1!$B$1</c:f>
              <c:strCache>
                <c:ptCount val="1"/>
                <c:pt idx="0">
                  <c:v>Profesionālās izglītības iestādēs</c:v>
                </c:pt>
              </c:strCache>
            </c:strRef>
          </c:tx>
          <c:spPr>
            <a:effectLst/>
          </c:spPr>
          <c:marker>
            <c:symbol val="circle"/>
            <c:size val="7"/>
          </c:marker>
          <c:cat>
            <c:numRef>
              <c:f>Sheet1!$A$2:$A$19</c:f>
              <c:numCache>
                <c:formatCode>General</c:formatCod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numCache>
            </c:numRef>
          </c:cat>
          <c:val>
            <c:numRef>
              <c:f>Sheet1!$B$2:$B$19</c:f>
              <c:numCache>
                <c:formatCode>0.0</c:formatCode>
                <c:ptCount val="18"/>
                <c:pt idx="0">
                  <c:v>13.882999999999999</c:v>
                </c:pt>
                <c:pt idx="1">
                  <c:v>11.367000000000001</c:v>
                </c:pt>
                <c:pt idx="2">
                  <c:v>11.914</c:v>
                </c:pt>
                <c:pt idx="3">
                  <c:v>11.923999999999999</c:v>
                </c:pt>
                <c:pt idx="4">
                  <c:v>11.366</c:v>
                </c:pt>
                <c:pt idx="5">
                  <c:v>11.506</c:v>
                </c:pt>
                <c:pt idx="6">
                  <c:v>11.702999999999999</c:v>
                </c:pt>
                <c:pt idx="7">
                  <c:v>11.048</c:v>
                </c:pt>
                <c:pt idx="8">
                  <c:v>12.484999999999999</c:v>
                </c:pt>
                <c:pt idx="9">
                  <c:v>11.625</c:v>
                </c:pt>
                <c:pt idx="10">
                  <c:v>11.68</c:v>
                </c:pt>
                <c:pt idx="11">
                  <c:v>11.138999999999999</c:v>
                </c:pt>
                <c:pt idx="12">
                  <c:v>10.923999999999999</c:v>
                </c:pt>
                <c:pt idx="13">
                  <c:v>10.606999999999999</c:v>
                </c:pt>
                <c:pt idx="14">
                  <c:v>10.628</c:v>
                </c:pt>
                <c:pt idx="15">
                  <c:v>10.975</c:v>
                </c:pt>
                <c:pt idx="16">
                  <c:v>10.836</c:v>
                </c:pt>
                <c:pt idx="17">
                  <c:v>10.199999999999999</c:v>
                </c:pt>
              </c:numCache>
            </c:numRef>
          </c:val>
          <c:smooth val="0"/>
          <c:extLst>
            <c:ext xmlns:c16="http://schemas.microsoft.com/office/drawing/2014/chart" uri="{C3380CC4-5D6E-409C-BE32-E72D297353CC}">
              <c16:uniqueId val="{00000000-1810-4227-9C7E-ABEC77006FEB}"/>
            </c:ext>
          </c:extLst>
        </c:ser>
        <c:ser>
          <c:idx val="2"/>
          <c:order val="1"/>
          <c:tx>
            <c:strRef>
              <c:f>Sheet1!$C$1</c:f>
              <c:strCache>
                <c:ptCount val="1"/>
                <c:pt idx="0">
                  <c:v>Augstskolās un koledžās</c:v>
                </c:pt>
              </c:strCache>
            </c:strRef>
          </c:tx>
          <c:spPr>
            <a:effectLst/>
          </c:spPr>
          <c:marker>
            <c:symbol val="circle"/>
            <c:size val="7"/>
          </c:marker>
          <c:cat>
            <c:numRef>
              <c:f>Sheet1!$A$2:$A$19</c:f>
              <c:numCache>
                <c:formatCode>General</c:formatCod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numCache>
            </c:numRef>
          </c:cat>
          <c:val>
            <c:numRef>
              <c:f>Sheet1!$C$2:$C$19</c:f>
              <c:numCache>
                <c:formatCode>0.0</c:formatCode>
                <c:ptCount val="18"/>
                <c:pt idx="0">
                  <c:v>41.576999999999998</c:v>
                </c:pt>
                <c:pt idx="1">
                  <c:v>31.529</c:v>
                </c:pt>
                <c:pt idx="2">
                  <c:v>31.012</c:v>
                </c:pt>
                <c:pt idx="3">
                  <c:v>31.945</c:v>
                </c:pt>
                <c:pt idx="4">
                  <c:v>33.319000000000003</c:v>
                </c:pt>
                <c:pt idx="5">
                  <c:v>31.219000000000001</c:v>
                </c:pt>
                <c:pt idx="6">
                  <c:v>29.137</c:v>
                </c:pt>
                <c:pt idx="7">
                  <c:v>29.082999999999998</c:v>
                </c:pt>
                <c:pt idx="8">
                  <c:v>28.588000000000001</c:v>
                </c:pt>
                <c:pt idx="9">
                  <c:v>27.128</c:v>
                </c:pt>
                <c:pt idx="10">
                  <c:v>27.652000000000001</c:v>
                </c:pt>
                <c:pt idx="11">
                  <c:v>29.399000000000001</c:v>
                </c:pt>
                <c:pt idx="12">
                  <c:v>28.704999999999998</c:v>
                </c:pt>
                <c:pt idx="13">
                  <c:v>29.036999999999999</c:v>
                </c:pt>
                <c:pt idx="14">
                  <c:v>26.46</c:v>
                </c:pt>
                <c:pt idx="15">
                  <c:v>28.911999999999999</c:v>
                </c:pt>
                <c:pt idx="16">
                  <c:v>29.198</c:v>
                </c:pt>
                <c:pt idx="17">
                  <c:v>30.2</c:v>
                </c:pt>
              </c:numCache>
            </c:numRef>
          </c:val>
          <c:smooth val="0"/>
          <c:extLst>
            <c:ext xmlns:c16="http://schemas.microsoft.com/office/drawing/2014/chart" uri="{C3380CC4-5D6E-409C-BE32-E72D297353CC}">
              <c16:uniqueId val="{00000001-1810-4227-9C7E-ABEC77006FEB}"/>
            </c:ext>
          </c:extLst>
        </c:ser>
        <c:ser>
          <c:idx val="3"/>
          <c:order val="2"/>
          <c:tx>
            <c:strRef>
              <c:f>Sheet1!$D$1</c:f>
              <c:strCache>
                <c:ptCount val="1"/>
                <c:pt idx="0">
                  <c:v>Vidusskolās</c:v>
                </c:pt>
              </c:strCache>
            </c:strRef>
          </c:tx>
          <c:spPr>
            <a:effectLst/>
          </c:spPr>
          <c:marker>
            <c:symbol val="circle"/>
            <c:size val="7"/>
          </c:marker>
          <c:cat>
            <c:numRef>
              <c:f>Sheet1!$A$2:$A$19</c:f>
              <c:numCache>
                <c:formatCode>General</c:formatCod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numCache>
            </c:numRef>
          </c:cat>
          <c:val>
            <c:numRef>
              <c:f>Sheet1!$D$2:$D$19</c:f>
              <c:numCache>
                <c:formatCode>0.0</c:formatCode>
                <c:ptCount val="18"/>
                <c:pt idx="0">
                  <c:v>20.856000000000002</c:v>
                </c:pt>
                <c:pt idx="1">
                  <c:v>20.152000000000001</c:v>
                </c:pt>
                <c:pt idx="2">
                  <c:v>16.702999999999999</c:v>
                </c:pt>
                <c:pt idx="3">
                  <c:v>15.205</c:v>
                </c:pt>
                <c:pt idx="4">
                  <c:v>13.773999999999999</c:v>
                </c:pt>
                <c:pt idx="5">
                  <c:v>13.298</c:v>
                </c:pt>
                <c:pt idx="6">
                  <c:v>12.42</c:v>
                </c:pt>
                <c:pt idx="7">
                  <c:v>12.917</c:v>
                </c:pt>
                <c:pt idx="8">
                  <c:v>13.188000000000001</c:v>
                </c:pt>
                <c:pt idx="9">
                  <c:v>12.507</c:v>
                </c:pt>
                <c:pt idx="10">
                  <c:v>12.464</c:v>
                </c:pt>
                <c:pt idx="11">
                  <c:v>12.336</c:v>
                </c:pt>
                <c:pt idx="12">
                  <c:v>11.872999999999999</c:v>
                </c:pt>
                <c:pt idx="13">
                  <c:v>12.086</c:v>
                </c:pt>
                <c:pt idx="14">
                  <c:v>12.292999999999999</c:v>
                </c:pt>
                <c:pt idx="15">
                  <c:v>12.9</c:v>
                </c:pt>
                <c:pt idx="16">
                  <c:v>13.8</c:v>
                </c:pt>
                <c:pt idx="17">
                  <c:v>13.1</c:v>
                </c:pt>
              </c:numCache>
            </c:numRef>
          </c:val>
          <c:smooth val="0"/>
          <c:extLst>
            <c:ext xmlns:c16="http://schemas.microsoft.com/office/drawing/2014/chart" uri="{C3380CC4-5D6E-409C-BE32-E72D297353CC}">
              <c16:uniqueId val="{00000002-1810-4227-9C7E-ABEC77006FEB}"/>
            </c:ext>
          </c:extLst>
        </c:ser>
        <c:dLbls>
          <c:showLegendKey val="0"/>
          <c:showVal val="0"/>
          <c:showCatName val="0"/>
          <c:showSerName val="0"/>
          <c:showPercent val="0"/>
          <c:showBubbleSize val="0"/>
        </c:dLbls>
        <c:marker val="1"/>
        <c:smooth val="0"/>
        <c:axId val="742078920"/>
        <c:axId val="742075784"/>
      </c:lineChart>
      <c:catAx>
        <c:axId val="74207892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vert="horz"/>
          <a:lstStyle/>
          <a:p>
            <a:pPr>
              <a:defRPr/>
            </a:pPr>
            <a:endParaRPr lang="en-US"/>
          </a:p>
        </c:txPr>
        <c:crossAx val="742075784"/>
        <c:crosses val="autoZero"/>
        <c:auto val="1"/>
        <c:lblAlgn val="ctr"/>
        <c:lblOffset val="100"/>
        <c:noMultiLvlLbl val="0"/>
      </c:catAx>
      <c:valAx>
        <c:axId val="742075784"/>
        <c:scaling>
          <c:orientation val="minMax"/>
          <c:max val="50"/>
          <c:min val="0"/>
        </c:scaling>
        <c:delete val="0"/>
        <c:axPos val="l"/>
        <c:numFmt formatCode="0" sourceLinked="0"/>
        <c:majorTickMark val="out"/>
        <c:minorTickMark val="none"/>
        <c:tickLblPos val="nextTo"/>
        <c:spPr>
          <a:noFill/>
          <a:ln w="9525" cap="flat" cmpd="sng" algn="ctr">
            <a:noFill/>
            <a:prstDash val="solid"/>
            <a:round/>
          </a:ln>
          <a:effectLst/>
        </c:spPr>
        <c:txPr>
          <a:bodyPr rot="-60000000" vert="horz"/>
          <a:lstStyle/>
          <a:p>
            <a:pPr>
              <a:defRPr/>
            </a:pPr>
            <a:endParaRPr lang="en-US"/>
          </a:p>
        </c:txPr>
        <c:crossAx val="742078920"/>
        <c:crosses val="autoZero"/>
        <c:crossBetween val="between"/>
        <c:majorUnit val="10"/>
      </c:valAx>
      <c:spPr>
        <a:solidFill>
          <a:schemeClr val="bg1"/>
        </a:solidFill>
        <a:ln>
          <a:noFill/>
        </a:ln>
        <a:effectLst/>
      </c:spPr>
    </c:plotArea>
    <c:legend>
      <c:legendPos val="l"/>
      <c:layout>
        <c:manualLayout>
          <c:xMode val="edge"/>
          <c:yMode val="edge"/>
          <c:x val="0.49785656616517204"/>
          <c:y val="2.8597425027840338E-3"/>
          <c:w val="0.29477502192049582"/>
          <c:h val="0.29177013708334976"/>
        </c:manualLayout>
      </c:layout>
      <c:overlay val="1"/>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885739968286"/>
          <c:y val="8.6450848134884004E-2"/>
          <c:w val="0.87375237947106399"/>
          <c:h val="0.77313984619677201"/>
        </c:manualLayout>
      </c:layout>
      <c:barChart>
        <c:barDir val="col"/>
        <c:grouping val="clustered"/>
        <c:varyColors val="0"/>
        <c:ser>
          <c:idx val="0"/>
          <c:order val="0"/>
          <c:tx>
            <c:strRef>
              <c:f>Sheet1!$A$2</c:f>
              <c:strCache>
                <c:ptCount val="1"/>
                <c:pt idx="0">
                  <c:v>..mācības turpina profesionālās izglītības iestādēs</c:v>
                </c:pt>
              </c:strCache>
            </c:strRef>
          </c:tx>
          <c:spPr>
            <a:solidFill>
              <a:schemeClr val="bg1">
                <a:lumMod val="50000"/>
              </a:schemeClr>
            </a:solidFill>
            <a:ln>
              <a:noFill/>
            </a:ln>
          </c:spPr>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Sheet1!$B$1:$AB$1</c:f>
              <c:strCache>
                <c:ptCount val="20"/>
                <c:pt idx="0">
                  <c:v>2000</c:v>
                </c:pt>
                <c:pt idx="1">
                  <c:v>2002</c:v>
                </c:pt>
                <c:pt idx="2">
                  <c:v>2004</c:v>
                </c:pt>
                <c:pt idx="3">
                  <c:v>2006</c:v>
                </c:pt>
                <c:pt idx="4">
                  <c:v>2008</c:v>
                </c:pt>
                <c:pt idx="5">
                  <c:v>2010</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strCache>
            </c:strRef>
          </c:cat>
          <c:val>
            <c:numRef>
              <c:f>Sheet1!$B$2:$AB$2</c:f>
              <c:numCache>
                <c:formatCode>0.0</c:formatCode>
                <c:ptCount val="20"/>
                <c:pt idx="0" formatCode="0.00">
                  <c:v>34.799999999999997</c:v>
                </c:pt>
                <c:pt idx="1">
                  <c:v>31.4</c:v>
                </c:pt>
                <c:pt idx="2">
                  <c:v>29.6</c:v>
                </c:pt>
                <c:pt idx="3">
                  <c:v>30.4</c:v>
                </c:pt>
                <c:pt idx="4">
                  <c:v>32.700000000000003</c:v>
                </c:pt>
                <c:pt idx="5">
                  <c:v>33.799999999999997</c:v>
                </c:pt>
                <c:pt idx="6">
                  <c:v>33.799999999999997</c:v>
                </c:pt>
                <c:pt idx="7">
                  <c:v>33.4</c:v>
                </c:pt>
                <c:pt idx="8">
                  <c:v>33.799999999999997</c:v>
                </c:pt>
                <c:pt idx="9">
                  <c:v>32.299999999999997</c:v>
                </c:pt>
                <c:pt idx="10">
                  <c:v>34.6</c:v>
                </c:pt>
                <c:pt idx="11">
                  <c:v>35.700000000000003</c:v>
                </c:pt>
                <c:pt idx="12">
                  <c:v>34.5</c:v>
                </c:pt>
                <c:pt idx="13">
                  <c:v>34.6</c:v>
                </c:pt>
                <c:pt idx="14">
                  <c:v>37.4</c:v>
                </c:pt>
                <c:pt idx="15">
                  <c:v>36.9</c:v>
                </c:pt>
                <c:pt idx="16">
                  <c:v>37</c:v>
                </c:pt>
                <c:pt idx="17">
                  <c:v>35.9</c:v>
                </c:pt>
                <c:pt idx="18">
                  <c:v>34.4</c:v>
                </c:pt>
                <c:pt idx="19">
                  <c:v>33.299999999999997</c:v>
                </c:pt>
              </c:numCache>
            </c:numRef>
          </c:val>
          <c:extLst>
            <c:ext xmlns:c16="http://schemas.microsoft.com/office/drawing/2014/chart" uri="{C3380CC4-5D6E-409C-BE32-E72D297353CC}">
              <c16:uniqueId val="{00000000-3E42-4D29-99B3-DF90AAF6D15C}"/>
            </c:ext>
          </c:extLst>
        </c:ser>
        <c:dLbls>
          <c:showLegendKey val="0"/>
          <c:showVal val="0"/>
          <c:showCatName val="0"/>
          <c:showSerName val="0"/>
          <c:showPercent val="0"/>
          <c:showBubbleSize val="0"/>
        </c:dLbls>
        <c:gapWidth val="40"/>
        <c:axId val="742080096"/>
        <c:axId val="742076176"/>
      </c:barChart>
      <c:catAx>
        <c:axId val="742080096"/>
        <c:scaling>
          <c:orientation val="minMax"/>
        </c:scaling>
        <c:delete val="0"/>
        <c:axPos val="b"/>
        <c:numFmt formatCode="General" sourceLinked="0"/>
        <c:majorTickMark val="out"/>
        <c:minorTickMark val="none"/>
        <c:tickLblPos val="low"/>
        <c:txPr>
          <a:bodyPr rot="-5400000" vert="horz"/>
          <a:lstStyle/>
          <a:p>
            <a:pPr>
              <a:defRPr sz="800"/>
            </a:pPr>
            <a:endParaRPr lang="lv-LV"/>
          </a:p>
        </c:txPr>
        <c:crossAx val="742076176"/>
        <c:crosses val="autoZero"/>
        <c:auto val="1"/>
        <c:lblAlgn val="ctr"/>
        <c:lblOffset val="100"/>
        <c:tickLblSkip val="1"/>
        <c:noMultiLvlLbl val="0"/>
      </c:catAx>
      <c:valAx>
        <c:axId val="742076176"/>
        <c:scaling>
          <c:orientation val="minMax"/>
          <c:max val="38"/>
          <c:min val="23"/>
        </c:scaling>
        <c:delete val="0"/>
        <c:axPos val="l"/>
        <c:numFmt formatCode="0" sourceLinked="0"/>
        <c:majorTickMark val="out"/>
        <c:minorTickMark val="none"/>
        <c:tickLblPos val="low"/>
        <c:spPr>
          <a:ln>
            <a:noFill/>
          </a:ln>
        </c:spPr>
        <c:crossAx val="742080096"/>
        <c:crosses val="autoZero"/>
        <c:crossBetween val="between"/>
        <c:majorUnit val="3"/>
      </c:valAx>
      <c:spPr>
        <a:ln>
          <a:noFill/>
        </a:ln>
      </c:spPr>
    </c:plotArea>
    <c:plotVisOnly val="1"/>
    <c:dispBlanksAs val="gap"/>
    <c:showDLblsOverMax val="0"/>
  </c:chart>
  <c:spPr>
    <a:solidFill>
      <a:schemeClr val="bg1"/>
    </a:solidFill>
    <a:ln>
      <a:solidFill>
        <a:schemeClr val="bg1"/>
      </a:solid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885739968286"/>
          <c:y val="8.6450848134884004E-2"/>
          <c:w val="0.87662028357566413"/>
          <c:h val="0.77313984619677201"/>
        </c:manualLayout>
      </c:layout>
      <c:barChart>
        <c:barDir val="col"/>
        <c:grouping val="clustered"/>
        <c:varyColors val="0"/>
        <c:ser>
          <c:idx val="0"/>
          <c:order val="0"/>
          <c:tx>
            <c:strRef>
              <c:f>Sheet1!$A$2</c:f>
              <c:strCache>
                <c:ptCount val="1"/>
                <c:pt idx="0">
                  <c:v>..mācības turpina profesionālās izglītības iestādēs</c:v>
                </c:pt>
              </c:strCache>
            </c:strRef>
          </c:tx>
          <c:spPr>
            <a:solidFill>
              <a:schemeClr val="accent5">
                <a:lumMod val="75000"/>
              </a:schemeClr>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Sheet1!$B$1:$AB$1</c:f>
              <c:strCache>
                <c:ptCount val="20"/>
                <c:pt idx="0">
                  <c:v>2000</c:v>
                </c:pt>
                <c:pt idx="1">
                  <c:v>2002</c:v>
                </c:pt>
                <c:pt idx="2">
                  <c:v>2004</c:v>
                </c:pt>
                <c:pt idx="3">
                  <c:v>2006</c:v>
                </c:pt>
                <c:pt idx="4">
                  <c:v>2008</c:v>
                </c:pt>
                <c:pt idx="5">
                  <c:v>2010</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strCache>
            </c:strRef>
          </c:cat>
          <c:val>
            <c:numRef>
              <c:f>Sheet1!$B$2:$AB$2</c:f>
              <c:numCache>
                <c:formatCode>0.0</c:formatCode>
                <c:ptCount val="20"/>
                <c:pt idx="0">
                  <c:v>12</c:v>
                </c:pt>
                <c:pt idx="1">
                  <c:v>10</c:v>
                </c:pt>
                <c:pt idx="2">
                  <c:v>7.5</c:v>
                </c:pt>
                <c:pt idx="3">
                  <c:v>3.2</c:v>
                </c:pt>
                <c:pt idx="4">
                  <c:v>2.8</c:v>
                </c:pt>
                <c:pt idx="5">
                  <c:v>4.2</c:v>
                </c:pt>
                <c:pt idx="6">
                  <c:v>6.4</c:v>
                </c:pt>
                <c:pt idx="7">
                  <c:v>7.6</c:v>
                </c:pt>
                <c:pt idx="8">
                  <c:v>7.3</c:v>
                </c:pt>
                <c:pt idx="9">
                  <c:v>7.6</c:v>
                </c:pt>
                <c:pt idx="10">
                  <c:v>8.3000000000000007</c:v>
                </c:pt>
                <c:pt idx="11">
                  <c:v>6.3</c:v>
                </c:pt>
                <c:pt idx="12">
                  <c:v>5.7</c:v>
                </c:pt>
                <c:pt idx="13">
                  <c:v>5.2</c:v>
                </c:pt>
                <c:pt idx="14">
                  <c:v>6.7</c:v>
                </c:pt>
                <c:pt idx="15" formatCode="General">
                  <c:v>5.6</c:v>
                </c:pt>
                <c:pt idx="16">
                  <c:v>3.7</c:v>
                </c:pt>
                <c:pt idx="17">
                  <c:v>3.1</c:v>
                </c:pt>
                <c:pt idx="18">
                  <c:v>2.2999999999999998</c:v>
                </c:pt>
                <c:pt idx="19">
                  <c:v>2.4</c:v>
                </c:pt>
              </c:numCache>
            </c:numRef>
          </c:val>
          <c:extLst>
            <c:ext xmlns:c16="http://schemas.microsoft.com/office/drawing/2014/chart" uri="{C3380CC4-5D6E-409C-BE32-E72D297353CC}">
              <c16:uniqueId val="{00000000-7B82-4463-8E35-E4DA8A1703A0}"/>
            </c:ext>
          </c:extLst>
        </c:ser>
        <c:dLbls>
          <c:showLegendKey val="0"/>
          <c:showVal val="0"/>
          <c:showCatName val="0"/>
          <c:showSerName val="0"/>
          <c:showPercent val="0"/>
          <c:showBubbleSize val="0"/>
        </c:dLbls>
        <c:gapWidth val="40"/>
        <c:axId val="742084800"/>
        <c:axId val="742080880"/>
      </c:barChart>
      <c:catAx>
        <c:axId val="742084800"/>
        <c:scaling>
          <c:orientation val="minMax"/>
        </c:scaling>
        <c:delete val="0"/>
        <c:axPos val="b"/>
        <c:numFmt formatCode="General" sourceLinked="0"/>
        <c:majorTickMark val="out"/>
        <c:minorTickMark val="none"/>
        <c:tickLblPos val="low"/>
        <c:txPr>
          <a:bodyPr rot="-5400000" vert="horz"/>
          <a:lstStyle/>
          <a:p>
            <a:pPr>
              <a:defRPr sz="800"/>
            </a:pPr>
            <a:endParaRPr lang="lv-LV"/>
          </a:p>
        </c:txPr>
        <c:crossAx val="742080880"/>
        <c:crosses val="autoZero"/>
        <c:auto val="1"/>
        <c:lblAlgn val="ctr"/>
        <c:lblOffset val="100"/>
        <c:tickLblSkip val="1"/>
        <c:noMultiLvlLbl val="0"/>
      </c:catAx>
      <c:valAx>
        <c:axId val="742080880"/>
        <c:scaling>
          <c:orientation val="minMax"/>
          <c:max val="12"/>
          <c:min val="0"/>
        </c:scaling>
        <c:delete val="0"/>
        <c:axPos val="l"/>
        <c:numFmt formatCode="0" sourceLinked="0"/>
        <c:majorTickMark val="out"/>
        <c:minorTickMark val="none"/>
        <c:tickLblPos val="low"/>
        <c:spPr>
          <a:ln>
            <a:noFill/>
          </a:ln>
        </c:spPr>
        <c:crossAx val="742084800"/>
        <c:crosses val="autoZero"/>
        <c:crossBetween val="between"/>
        <c:majorUnit val="3"/>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Sheet2!$B$3:$C$3</c:f>
              <c:strCache>
                <c:ptCount val="2"/>
                <c:pt idx="0">
                  <c:v>Izglītība</c:v>
                </c:pt>
              </c:strCache>
            </c:strRef>
          </c:tx>
          <c:spPr>
            <a:solidFill>
              <a:schemeClr val="accent1"/>
            </a:solidFill>
            <a:ln>
              <a:noFill/>
            </a:ln>
            <a:effectLst/>
          </c:spPr>
          <c:invertIfNegative val="0"/>
          <c:dLbls>
            <c:dLbl>
              <c:idx val="0"/>
              <c:tx>
                <c:rich>
                  <a:bodyPr/>
                  <a:lstStyle/>
                  <a:p>
                    <a:fld id="{69DFCE2C-6628-421B-AF8A-1CAEED474FFD}"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7665-46C5-8F91-28EE79CB3A75}"/>
                </c:ext>
              </c:extLst>
            </c:dLbl>
            <c:dLbl>
              <c:idx val="1"/>
              <c:tx>
                <c:rich>
                  <a:bodyPr/>
                  <a:lstStyle/>
                  <a:p>
                    <a:fld id="{640E7705-D5C9-42E5-8F13-9957E4314BD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7665-46C5-8F91-28EE79CB3A75}"/>
                </c:ext>
              </c:extLst>
            </c:dLbl>
            <c:dLbl>
              <c:idx val="2"/>
              <c:tx>
                <c:rich>
                  <a:bodyPr/>
                  <a:lstStyle/>
                  <a:p>
                    <a:fld id="{490BBBB8-6648-4CA4-95BD-39F13A3C186B}"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7665-46C5-8F91-28EE79CB3A75}"/>
                </c:ext>
              </c:extLst>
            </c:dLbl>
            <c:dLbl>
              <c:idx val="3"/>
              <c:tx>
                <c:rich>
                  <a:bodyPr/>
                  <a:lstStyle/>
                  <a:p>
                    <a:fld id="{EF98397D-C4BE-46C8-80F4-3703AE065267}"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665-46C5-8F91-28EE79CB3A75}"/>
                </c:ext>
              </c:extLst>
            </c:dLbl>
            <c:dLbl>
              <c:idx val="4"/>
              <c:tx>
                <c:rich>
                  <a:bodyPr/>
                  <a:lstStyle/>
                  <a:p>
                    <a:fld id="{7850DD5E-97D6-4661-BB10-515F60BEFCA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7665-46C5-8F91-28EE79CB3A75}"/>
                </c:ext>
              </c:extLst>
            </c:dLbl>
            <c:dLbl>
              <c:idx val="5"/>
              <c:tx>
                <c:rich>
                  <a:bodyPr/>
                  <a:lstStyle/>
                  <a:p>
                    <a:fld id="{97074AA3-479A-4863-8545-80F439DACE19}"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7665-46C5-8F91-28EE79CB3A75}"/>
                </c:ext>
              </c:extLst>
            </c:dLbl>
            <c:dLbl>
              <c:idx val="6"/>
              <c:tx>
                <c:rich>
                  <a:bodyPr/>
                  <a:lstStyle/>
                  <a:p>
                    <a:fld id="{6415F9E0-81A5-4E93-8FB3-43988824D0B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7665-46C5-8F91-28EE79CB3A75}"/>
                </c:ext>
              </c:extLst>
            </c:dLbl>
            <c:dLbl>
              <c:idx val="7"/>
              <c:tx>
                <c:rich>
                  <a:bodyPr/>
                  <a:lstStyle/>
                  <a:p>
                    <a:fld id="{47301744-8737-4192-ADA0-10B341AC698D}"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7665-46C5-8F91-28EE79CB3A75}"/>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(Sheet2!$D$2:$N$2,Sheet2!$R$2,Sheet2!$V$2,Sheet2!$Y$2,Sheet2!$AB$2:$AE$2)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(Sheet2!$D$3:$N$3,Sheet2!$R$3,Sheet2!$V$3,Sheet2!$Y$3,Sheet2!$AB$3:$AE$3)</c:f>
              <c:numCache>
                <c:formatCode>0.00</c:formatCode>
                <c:ptCount val="8"/>
                <c:pt idx="0">
                  <c:v>8.1391153762897753E-2</c:v>
                </c:pt>
                <c:pt idx="1">
                  <c:v>6.3717398481346985E-2</c:v>
                </c:pt>
                <c:pt idx="2">
                  <c:v>6.9049951028403528E-2</c:v>
                </c:pt>
                <c:pt idx="3">
                  <c:v>5.4355590326201575E-2</c:v>
                </c:pt>
                <c:pt idx="4">
                  <c:v>6.0234138972809666E-2</c:v>
                </c:pt>
                <c:pt idx="5">
                  <c:v>6.5059490868843384E-2</c:v>
                </c:pt>
                <c:pt idx="6">
                  <c:v>8.1032947462154947E-2</c:v>
                </c:pt>
                <c:pt idx="7">
                  <c:v>6.9001410247800682E-2</c:v>
                </c:pt>
              </c:numCache>
              <c:extLst/>
            </c:numRef>
          </c:val>
          <c:extLst>
            <c:ext xmlns:c15="http://schemas.microsoft.com/office/drawing/2012/chart" uri="{02D57815-91ED-43cb-92C2-25804820EDAC}">
              <c15:datalabelsRange>
                <c15:f>Sheet1!$B$2:$S$2</c15:f>
                <c15:dlblRangeCache>
                  <c:ptCount val="8"/>
                  <c:pt idx="0">
                    <c:v>8</c:v>
                  </c:pt>
                  <c:pt idx="1">
                    <c:v>6</c:v>
                  </c:pt>
                  <c:pt idx="2">
                    <c:v>7</c:v>
                  </c:pt>
                  <c:pt idx="3">
                    <c:v>5</c:v>
                  </c:pt>
                  <c:pt idx="4">
                    <c:v>6</c:v>
                  </c:pt>
                  <c:pt idx="5">
                    <c:v>7</c:v>
                  </c:pt>
                  <c:pt idx="6">
                    <c:v>8</c:v>
                  </c:pt>
                  <c:pt idx="7">
                    <c:v>7</c:v>
                  </c:pt>
                </c15:dlblRangeCache>
              </c15:datalabelsRange>
            </c:ext>
            <c:ext xmlns:c16="http://schemas.microsoft.com/office/drawing/2014/chart" uri="{C3380CC4-5D6E-409C-BE32-E72D297353CC}">
              <c16:uniqueId val="{00000008-7665-46C5-8F91-28EE79CB3A75}"/>
            </c:ext>
          </c:extLst>
        </c:ser>
        <c:ser>
          <c:idx val="1"/>
          <c:order val="1"/>
          <c:tx>
            <c:strRef>
              <c:f>Sheet2!$B$4:$C$4</c:f>
              <c:strCache>
                <c:ptCount val="2"/>
                <c:pt idx="0">
                  <c:v>Humanitārās zinātnes un māksla</c:v>
                </c:pt>
              </c:strCache>
            </c:strRef>
          </c:tx>
          <c:spPr>
            <a:solidFill>
              <a:schemeClr val="accent2"/>
            </a:solidFill>
            <a:ln>
              <a:noFill/>
            </a:ln>
            <a:effectLst/>
          </c:spPr>
          <c:invertIfNegative val="0"/>
          <c:dLbls>
            <c:dLbl>
              <c:idx val="0"/>
              <c:tx>
                <c:rich>
                  <a:bodyPr/>
                  <a:lstStyle/>
                  <a:p>
                    <a:fld id="{D746CA6E-976A-4E5B-AC67-FCFF32E7F155}"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7665-46C5-8F91-28EE79CB3A75}"/>
                </c:ext>
              </c:extLst>
            </c:dLbl>
            <c:dLbl>
              <c:idx val="1"/>
              <c:tx>
                <c:rich>
                  <a:bodyPr/>
                  <a:lstStyle/>
                  <a:p>
                    <a:fld id="{30E58F57-4917-4C05-9AB5-A7BDDD3930B9}"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7665-46C5-8F91-28EE79CB3A75}"/>
                </c:ext>
              </c:extLst>
            </c:dLbl>
            <c:dLbl>
              <c:idx val="2"/>
              <c:tx>
                <c:rich>
                  <a:bodyPr/>
                  <a:lstStyle/>
                  <a:p>
                    <a:fld id="{F9AA6D31-05EA-4725-9858-31D3F24FD36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7665-46C5-8F91-28EE79CB3A75}"/>
                </c:ext>
              </c:extLst>
            </c:dLbl>
            <c:dLbl>
              <c:idx val="3"/>
              <c:tx>
                <c:rich>
                  <a:bodyPr/>
                  <a:lstStyle/>
                  <a:p>
                    <a:fld id="{EE130BFB-2588-4250-969F-EF01AF602015}"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7665-46C5-8F91-28EE79CB3A75}"/>
                </c:ext>
              </c:extLst>
            </c:dLbl>
            <c:dLbl>
              <c:idx val="4"/>
              <c:tx>
                <c:rich>
                  <a:bodyPr/>
                  <a:lstStyle/>
                  <a:p>
                    <a:fld id="{05DE49C2-F663-4646-9F5B-F2422EF75CE7}"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7665-46C5-8F91-28EE79CB3A75}"/>
                </c:ext>
              </c:extLst>
            </c:dLbl>
            <c:dLbl>
              <c:idx val="5"/>
              <c:tx>
                <c:rich>
                  <a:bodyPr/>
                  <a:lstStyle/>
                  <a:p>
                    <a:fld id="{9B60C998-B305-40FD-9163-2DF6C2EB9988}"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7665-46C5-8F91-28EE79CB3A75}"/>
                </c:ext>
              </c:extLst>
            </c:dLbl>
            <c:dLbl>
              <c:idx val="6"/>
              <c:tx>
                <c:rich>
                  <a:bodyPr/>
                  <a:lstStyle/>
                  <a:p>
                    <a:fld id="{2E3ACCBB-BA62-4CDF-B44B-A3AF40E16356}"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7665-46C5-8F91-28EE79CB3A75}"/>
                </c:ext>
              </c:extLst>
            </c:dLbl>
            <c:dLbl>
              <c:idx val="7"/>
              <c:tx>
                <c:rich>
                  <a:bodyPr/>
                  <a:lstStyle/>
                  <a:p>
                    <a:fld id="{7A384194-4715-4E02-B1B3-663C23D144E9}"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7665-46C5-8F91-28EE79CB3A75}"/>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(Sheet2!$D$2:$N$2,Sheet2!$R$2,Sheet2!$V$2,Sheet2!$Y$2,Sheet2!$AB$2:$AE$2)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(Sheet2!$D$4:$N$4,Sheet2!$R$4,Sheet2!$V$4,Sheet2!$Y$4,Sheet2!$AB$4:$AE$4)</c:f>
              <c:numCache>
                <c:formatCode>0.00</c:formatCode>
                <c:ptCount val="8"/>
                <c:pt idx="0">
                  <c:v>8.2593741732207709E-2</c:v>
                </c:pt>
                <c:pt idx="1">
                  <c:v>8.6497193793331137E-2</c:v>
                </c:pt>
                <c:pt idx="2">
                  <c:v>7.4156988946411082E-2</c:v>
                </c:pt>
                <c:pt idx="3">
                  <c:v>7.5682846355318203E-2</c:v>
                </c:pt>
                <c:pt idx="4">
                  <c:v>8.0777945619335351E-2</c:v>
                </c:pt>
                <c:pt idx="5">
                  <c:v>7.377559490868843E-2</c:v>
                </c:pt>
                <c:pt idx="6">
                  <c:v>7.1991232276183301E-2</c:v>
                </c:pt>
                <c:pt idx="7">
                  <c:v>7.0545967362836609E-2</c:v>
                </c:pt>
              </c:numCache>
              <c:extLst/>
            </c:numRef>
          </c:val>
          <c:extLst>
            <c:ext xmlns:c15="http://schemas.microsoft.com/office/drawing/2012/chart" uri="{02D57815-91ED-43cb-92C2-25804820EDAC}">
              <c15:datalabelsRange>
                <c15:f>Sheet1!$B$3:$S$3</c15:f>
                <c15:dlblRangeCache>
                  <c:ptCount val="8"/>
                  <c:pt idx="0">
                    <c:v>8</c:v>
                  </c:pt>
                  <c:pt idx="1">
                    <c:v>9</c:v>
                  </c:pt>
                  <c:pt idx="2">
                    <c:v>7</c:v>
                  </c:pt>
                  <c:pt idx="3">
                    <c:v>8</c:v>
                  </c:pt>
                  <c:pt idx="4">
                    <c:v>8</c:v>
                  </c:pt>
                  <c:pt idx="5">
                    <c:v>7</c:v>
                  </c:pt>
                  <c:pt idx="6">
                    <c:v>7</c:v>
                  </c:pt>
                  <c:pt idx="7">
                    <c:v>7</c:v>
                  </c:pt>
                </c15:dlblRangeCache>
              </c15:datalabelsRange>
            </c:ext>
            <c:ext xmlns:c16="http://schemas.microsoft.com/office/drawing/2014/chart" uri="{C3380CC4-5D6E-409C-BE32-E72D297353CC}">
              <c16:uniqueId val="{00000011-7665-46C5-8F91-28EE79CB3A75}"/>
            </c:ext>
          </c:extLst>
        </c:ser>
        <c:ser>
          <c:idx val="2"/>
          <c:order val="2"/>
          <c:tx>
            <c:strRef>
              <c:f>Sheet2!$B$5:$C$5</c:f>
              <c:strCache>
                <c:ptCount val="2"/>
                <c:pt idx="0">
                  <c:v>Sociālās zinātnes, komerczinības un tiesības</c:v>
                </c:pt>
              </c:strCache>
            </c:strRef>
          </c:tx>
          <c:spPr>
            <a:solidFill>
              <a:schemeClr val="accent3"/>
            </a:solidFill>
            <a:ln>
              <a:noFill/>
            </a:ln>
            <a:effectLst/>
          </c:spPr>
          <c:invertIfNegative val="0"/>
          <c:dLbls>
            <c:dLbl>
              <c:idx val="0"/>
              <c:tx>
                <c:rich>
                  <a:bodyPr/>
                  <a:lstStyle/>
                  <a:p>
                    <a:fld id="{7A8D6B49-F5C9-4532-BD0F-5E4AF0325F2D}"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7665-46C5-8F91-28EE79CB3A75}"/>
                </c:ext>
              </c:extLst>
            </c:dLbl>
            <c:dLbl>
              <c:idx val="1"/>
              <c:tx>
                <c:rich>
                  <a:bodyPr/>
                  <a:lstStyle/>
                  <a:p>
                    <a:fld id="{7768F94D-EDBC-4DC9-8CC2-FB1C9C091B06}"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7665-46C5-8F91-28EE79CB3A75}"/>
                </c:ext>
              </c:extLst>
            </c:dLbl>
            <c:dLbl>
              <c:idx val="2"/>
              <c:tx>
                <c:rich>
                  <a:bodyPr/>
                  <a:lstStyle/>
                  <a:p>
                    <a:fld id="{88E4ECC9-DD02-4774-84F5-6002D2AF963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7665-46C5-8F91-28EE79CB3A75}"/>
                </c:ext>
              </c:extLst>
            </c:dLbl>
            <c:dLbl>
              <c:idx val="3"/>
              <c:tx>
                <c:rich>
                  <a:bodyPr/>
                  <a:lstStyle/>
                  <a:p>
                    <a:fld id="{8E37BC39-8DE4-4C72-B54A-F4B8C988FFCA}"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7665-46C5-8F91-28EE79CB3A75}"/>
                </c:ext>
              </c:extLst>
            </c:dLbl>
            <c:dLbl>
              <c:idx val="4"/>
              <c:tx>
                <c:rich>
                  <a:bodyPr/>
                  <a:lstStyle/>
                  <a:p>
                    <a:fld id="{2C9DB3B8-2AF8-4F21-A5BF-EC6CEE4B755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7665-46C5-8F91-28EE79CB3A75}"/>
                </c:ext>
              </c:extLst>
            </c:dLbl>
            <c:dLbl>
              <c:idx val="5"/>
              <c:tx>
                <c:rich>
                  <a:bodyPr/>
                  <a:lstStyle/>
                  <a:p>
                    <a:fld id="{320989FD-BC82-458A-BE73-A61EDAC82C97}"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7665-46C5-8F91-28EE79CB3A75}"/>
                </c:ext>
              </c:extLst>
            </c:dLbl>
            <c:dLbl>
              <c:idx val="6"/>
              <c:tx>
                <c:rich>
                  <a:bodyPr/>
                  <a:lstStyle/>
                  <a:p>
                    <a:fld id="{7F2FF339-1BDD-4EFB-89A7-B0825AF57B8D}"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7665-46C5-8F91-28EE79CB3A75}"/>
                </c:ext>
              </c:extLst>
            </c:dLbl>
            <c:dLbl>
              <c:idx val="7"/>
              <c:tx>
                <c:rich>
                  <a:bodyPr/>
                  <a:lstStyle/>
                  <a:p>
                    <a:fld id="{5C2A6AA5-2E72-4BE7-9255-E9A512FF876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7665-46C5-8F91-28EE79CB3A75}"/>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(Sheet2!$D$2:$N$2,Sheet2!$R$2,Sheet2!$V$2,Sheet2!$Y$2,Sheet2!$AB$2:$AE$2)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(Sheet2!$D$5:$N$5,Sheet2!$R$5,Sheet2!$V$5,Sheet2!$Y$5,Sheet2!$AB$5:$AE$5)</c:f>
              <c:numCache>
                <c:formatCode>0.00</c:formatCode>
                <c:ptCount val="8"/>
                <c:pt idx="0">
                  <c:v>0.50386030738148491</c:v>
                </c:pt>
                <c:pt idx="1">
                  <c:v>0.39986194063447283</c:v>
                </c:pt>
                <c:pt idx="2">
                  <c:v>0.34727857842451376</c:v>
                </c:pt>
                <c:pt idx="3">
                  <c:v>0.36569271063641623</c:v>
                </c:pt>
                <c:pt idx="4">
                  <c:v>0.33972809667673715</c:v>
                </c:pt>
                <c:pt idx="5">
                  <c:v>0.35850166021029328</c:v>
                </c:pt>
                <c:pt idx="6">
                  <c:v>0.3414617439550654</c:v>
                </c:pt>
                <c:pt idx="7">
                  <c:v>0.38506480424417433</c:v>
                </c:pt>
              </c:numCache>
              <c:extLst/>
            </c:numRef>
          </c:val>
          <c:extLst>
            <c:ext xmlns:c15="http://schemas.microsoft.com/office/drawing/2012/chart" uri="{02D57815-91ED-43cb-92C2-25804820EDAC}">
              <c15:datalabelsRange>
                <c15:f>Sheet1!$B$4:$S$4</c15:f>
                <c15:dlblRangeCache>
                  <c:ptCount val="8"/>
                  <c:pt idx="0">
                    <c:v>50</c:v>
                  </c:pt>
                  <c:pt idx="1">
                    <c:v>40</c:v>
                  </c:pt>
                  <c:pt idx="2">
                    <c:v>35</c:v>
                  </c:pt>
                  <c:pt idx="3">
                    <c:v>37</c:v>
                  </c:pt>
                  <c:pt idx="4">
                    <c:v>34</c:v>
                  </c:pt>
                  <c:pt idx="5">
                    <c:v>36</c:v>
                  </c:pt>
                  <c:pt idx="6">
                    <c:v>34</c:v>
                  </c:pt>
                  <c:pt idx="7">
                    <c:v>39</c:v>
                  </c:pt>
                </c15:dlblRangeCache>
              </c15:datalabelsRange>
            </c:ext>
            <c:ext xmlns:c16="http://schemas.microsoft.com/office/drawing/2014/chart" uri="{C3380CC4-5D6E-409C-BE32-E72D297353CC}">
              <c16:uniqueId val="{0000001A-7665-46C5-8F91-28EE79CB3A75}"/>
            </c:ext>
          </c:extLst>
        </c:ser>
        <c:ser>
          <c:idx val="3"/>
          <c:order val="3"/>
          <c:tx>
            <c:strRef>
              <c:f>Sheet2!$B$6:$C$6</c:f>
              <c:strCache>
                <c:ptCount val="2"/>
                <c:pt idx="0">
                  <c:v>Dabaszinātnes, matemātika un informācijas tehnoloģijas</c:v>
                </c:pt>
              </c:strCache>
            </c:strRef>
          </c:tx>
          <c:spPr>
            <a:solidFill>
              <a:schemeClr val="accent4"/>
            </a:solidFill>
            <a:ln>
              <a:noFill/>
            </a:ln>
            <a:effectLst/>
          </c:spPr>
          <c:invertIfNegative val="0"/>
          <c:dLbls>
            <c:dLbl>
              <c:idx val="0"/>
              <c:tx>
                <c:rich>
                  <a:bodyPr/>
                  <a:lstStyle/>
                  <a:p>
                    <a:fld id="{61514735-897A-470C-84E9-0DF3FF110558}"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7665-46C5-8F91-28EE79CB3A75}"/>
                </c:ext>
              </c:extLst>
            </c:dLbl>
            <c:dLbl>
              <c:idx val="1"/>
              <c:tx>
                <c:rich>
                  <a:bodyPr/>
                  <a:lstStyle/>
                  <a:p>
                    <a:fld id="{3A2B2EB7-7478-41C9-9C62-890BAFA35843}"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7665-46C5-8F91-28EE79CB3A75}"/>
                </c:ext>
              </c:extLst>
            </c:dLbl>
            <c:dLbl>
              <c:idx val="2"/>
              <c:tx>
                <c:rich>
                  <a:bodyPr/>
                  <a:lstStyle/>
                  <a:p>
                    <a:fld id="{43942073-6506-4BFC-8080-5B0C1B802A4D}"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7665-46C5-8F91-28EE79CB3A75}"/>
                </c:ext>
              </c:extLst>
            </c:dLbl>
            <c:dLbl>
              <c:idx val="3"/>
              <c:tx>
                <c:rich>
                  <a:bodyPr/>
                  <a:lstStyle/>
                  <a:p>
                    <a:fld id="{059EE86A-5F63-4B9A-9B4B-6F69FDF5ACD8}"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7665-46C5-8F91-28EE79CB3A75}"/>
                </c:ext>
              </c:extLst>
            </c:dLbl>
            <c:dLbl>
              <c:idx val="4"/>
              <c:tx>
                <c:rich>
                  <a:bodyPr/>
                  <a:lstStyle/>
                  <a:p>
                    <a:fld id="{F12384AA-B3EC-4878-9AC2-D26A7E11263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7665-46C5-8F91-28EE79CB3A75}"/>
                </c:ext>
              </c:extLst>
            </c:dLbl>
            <c:dLbl>
              <c:idx val="5"/>
              <c:tx>
                <c:rich>
                  <a:bodyPr/>
                  <a:lstStyle/>
                  <a:p>
                    <a:fld id="{A99D0BC3-85BA-4B4C-B710-A8400701542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7665-46C5-8F91-28EE79CB3A75}"/>
                </c:ext>
              </c:extLst>
            </c:dLbl>
            <c:dLbl>
              <c:idx val="6"/>
              <c:tx>
                <c:rich>
                  <a:bodyPr/>
                  <a:lstStyle/>
                  <a:p>
                    <a:fld id="{46E92E11-D7E7-4E59-9ED1-D7FEEF3E2C1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7665-46C5-8F91-28EE79CB3A75}"/>
                </c:ext>
              </c:extLst>
            </c:dLbl>
            <c:dLbl>
              <c:idx val="7"/>
              <c:tx>
                <c:rich>
                  <a:bodyPr/>
                  <a:lstStyle/>
                  <a:p>
                    <a:fld id="{F3D6888F-5518-45C5-A17A-ABB7FD85BD73}"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7665-46C5-8F91-28EE79CB3A75}"/>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(Sheet2!$D$2:$N$2,Sheet2!$R$2,Sheet2!$V$2,Sheet2!$Y$2,Sheet2!$AB$2:$AE$2)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(Sheet2!$D$6:$N$6,Sheet2!$R$6,Sheet2!$V$6,Sheet2!$Y$6,Sheet2!$AB$6:$AE$6)</c:f>
              <c:numCache>
                <c:formatCode>0.00</c:formatCode>
                <c:ptCount val="8"/>
                <c:pt idx="0">
                  <c:v>5.6689996873271281E-2</c:v>
                </c:pt>
                <c:pt idx="1">
                  <c:v>8.1725141810978716E-2</c:v>
                </c:pt>
                <c:pt idx="2">
                  <c:v>9.7453476983349663E-2</c:v>
                </c:pt>
                <c:pt idx="3">
                  <c:v>0.10490152726283207</c:v>
                </c:pt>
                <c:pt idx="4">
                  <c:v>0.12764350453172205</c:v>
                </c:pt>
                <c:pt idx="5">
                  <c:v>0.11168372993912562</c:v>
                </c:pt>
                <c:pt idx="6">
                  <c:v>0.11213096787451195</c:v>
                </c:pt>
                <c:pt idx="7">
                  <c:v>0.11762138204284467</c:v>
                </c:pt>
              </c:numCache>
              <c:extLst/>
            </c:numRef>
          </c:val>
          <c:extLst>
            <c:ext xmlns:c15="http://schemas.microsoft.com/office/drawing/2012/chart" uri="{02D57815-91ED-43cb-92C2-25804820EDAC}">
              <c15:datalabelsRange>
                <c15:f>Sheet1!$B$5:$S$5</c15:f>
                <c15:dlblRangeCache>
                  <c:ptCount val="8"/>
                  <c:pt idx="0">
                    <c:v>6</c:v>
                  </c:pt>
                  <c:pt idx="1">
                    <c:v>8</c:v>
                  </c:pt>
                  <c:pt idx="2">
                    <c:v>10</c:v>
                  </c:pt>
                  <c:pt idx="3">
                    <c:v>10</c:v>
                  </c:pt>
                  <c:pt idx="4">
                    <c:v>13</c:v>
                  </c:pt>
                  <c:pt idx="5">
                    <c:v>11</c:v>
                  </c:pt>
                  <c:pt idx="6">
                    <c:v>11</c:v>
                  </c:pt>
                  <c:pt idx="7">
                    <c:v>12</c:v>
                  </c:pt>
                </c15:dlblRangeCache>
              </c15:datalabelsRange>
            </c:ext>
            <c:ext xmlns:c16="http://schemas.microsoft.com/office/drawing/2014/chart" uri="{C3380CC4-5D6E-409C-BE32-E72D297353CC}">
              <c16:uniqueId val="{00000023-7665-46C5-8F91-28EE79CB3A75}"/>
            </c:ext>
          </c:extLst>
        </c:ser>
        <c:ser>
          <c:idx val="4"/>
          <c:order val="4"/>
          <c:tx>
            <c:strRef>
              <c:f>Sheet2!$B$7:$C$7</c:f>
              <c:strCache>
                <c:ptCount val="2"/>
                <c:pt idx="0">
                  <c:v>Inženierzinātnes, ražošana un būvniecība</c:v>
                </c:pt>
              </c:strCache>
            </c:strRef>
          </c:tx>
          <c:spPr>
            <a:solidFill>
              <a:schemeClr val="accent5"/>
            </a:solidFill>
            <a:ln>
              <a:noFill/>
            </a:ln>
            <a:effectLst/>
          </c:spPr>
          <c:invertIfNegative val="0"/>
          <c:dLbls>
            <c:dLbl>
              <c:idx val="0"/>
              <c:tx>
                <c:rich>
                  <a:bodyPr/>
                  <a:lstStyle/>
                  <a:p>
                    <a:fld id="{7067EAEF-2456-40BB-913D-D7069D3158C8}"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7665-46C5-8F91-28EE79CB3A75}"/>
                </c:ext>
              </c:extLst>
            </c:dLbl>
            <c:dLbl>
              <c:idx val="1"/>
              <c:tx>
                <c:rich>
                  <a:bodyPr/>
                  <a:lstStyle/>
                  <a:p>
                    <a:fld id="{64AB6EC1-6D48-4855-A5AB-80579C1BF3C9}"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7665-46C5-8F91-28EE79CB3A75}"/>
                </c:ext>
              </c:extLst>
            </c:dLbl>
            <c:dLbl>
              <c:idx val="2"/>
              <c:tx>
                <c:rich>
                  <a:bodyPr/>
                  <a:lstStyle/>
                  <a:p>
                    <a:fld id="{EE126260-AAC3-4168-AEB9-AA5FA15A12D8}"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7665-46C5-8F91-28EE79CB3A75}"/>
                </c:ext>
              </c:extLst>
            </c:dLbl>
            <c:dLbl>
              <c:idx val="3"/>
              <c:tx>
                <c:rich>
                  <a:bodyPr/>
                  <a:lstStyle/>
                  <a:p>
                    <a:fld id="{D7FB837D-47CF-491B-A1A4-FE9728F85ADA}"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7665-46C5-8F91-28EE79CB3A75}"/>
                </c:ext>
              </c:extLst>
            </c:dLbl>
            <c:dLbl>
              <c:idx val="4"/>
              <c:tx>
                <c:rich>
                  <a:bodyPr/>
                  <a:lstStyle/>
                  <a:p>
                    <a:fld id="{EF7041A2-F588-42E0-9D9E-5364A746A27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7665-46C5-8F91-28EE79CB3A75}"/>
                </c:ext>
              </c:extLst>
            </c:dLbl>
            <c:dLbl>
              <c:idx val="5"/>
              <c:tx>
                <c:rich>
                  <a:bodyPr/>
                  <a:lstStyle/>
                  <a:p>
                    <a:fld id="{F94A4C44-D656-45E6-A422-B931B6FA185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7665-46C5-8F91-28EE79CB3A75}"/>
                </c:ext>
              </c:extLst>
            </c:dLbl>
            <c:dLbl>
              <c:idx val="6"/>
              <c:tx>
                <c:rich>
                  <a:bodyPr/>
                  <a:lstStyle/>
                  <a:p>
                    <a:fld id="{4E6EF393-21D4-40C9-BC3A-92CD70F74EE5}"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7665-46C5-8F91-28EE79CB3A75}"/>
                </c:ext>
              </c:extLst>
            </c:dLbl>
            <c:dLbl>
              <c:idx val="7"/>
              <c:tx>
                <c:rich>
                  <a:bodyPr/>
                  <a:lstStyle/>
                  <a:p>
                    <a:fld id="{D81C02DF-350E-408B-8CE1-B3569BDD353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7665-46C5-8F91-28EE79CB3A75}"/>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(Sheet2!$D$2:$N$2,Sheet2!$R$2,Sheet2!$V$2,Sheet2!$Y$2,Sheet2!$AB$2:$AE$2)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(Sheet2!$D$7:$N$7,Sheet2!$R$7,Sheet2!$V$7,Sheet2!$Y$7,Sheet2!$AB$7:$AE$7)</c:f>
              <c:numCache>
                <c:formatCode>0.00</c:formatCode>
                <c:ptCount val="8"/>
                <c:pt idx="0">
                  <c:v>0.13050484642951632</c:v>
                </c:pt>
                <c:pt idx="1">
                  <c:v>0.15927848975059275</c:v>
                </c:pt>
                <c:pt idx="2">
                  <c:v>0.1722401007415699</c:v>
                </c:pt>
                <c:pt idx="3">
                  <c:v>0.14190958876152249</c:v>
                </c:pt>
                <c:pt idx="4">
                  <c:v>0.1395392749244713</c:v>
                </c:pt>
                <c:pt idx="5">
                  <c:v>0.15353486441615938</c:v>
                </c:pt>
                <c:pt idx="6">
                  <c:v>0.12141242550859647</c:v>
                </c:pt>
                <c:pt idx="7">
                  <c:v>0.1256127862467262</c:v>
                </c:pt>
              </c:numCache>
              <c:extLst/>
            </c:numRef>
          </c:val>
          <c:extLst>
            <c:ext xmlns:c15="http://schemas.microsoft.com/office/drawing/2012/chart" uri="{02D57815-91ED-43cb-92C2-25804820EDAC}">
              <c15:datalabelsRange>
                <c15:f>Sheet1!$B$6:$S$6</c15:f>
                <c15:dlblRangeCache>
                  <c:ptCount val="8"/>
                  <c:pt idx="0">
                    <c:v>13</c:v>
                  </c:pt>
                  <c:pt idx="1">
                    <c:v>16</c:v>
                  </c:pt>
                  <c:pt idx="2">
                    <c:v>17</c:v>
                  </c:pt>
                  <c:pt idx="3">
                    <c:v>14</c:v>
                  </c:pt>
                  <c:pt idx="4">
                    <c:v>14</c:v>
                  </c:pt>
                  <c:pt idx="5">
                    <c:v>15</c:v>
                  </c:pt>
                  <c:pt idx="6">
                    <c:v>12</c:v>
                  </c:pt>
                  <c:pt idx="7">
                    <c:v>13</c:v>
                  </c:pt>
                </c15:dlblRangeCache>
              </c15:datalabelsRange>
            </c:ext>
            <c:ext xmlns:c16="http://schemas.microsoft.com/office/drawing/2014/chart" uri="{C3380CC4-5D6E-409C-BE32-E72D297353CC}">
              <c16:uniqueId val="{0000002C-7665-46C5-8F91-28EE79CB3A75}"/>
            </c:ext>
          </c:extLst>
        </c:ser>
        <c:ser>
          <c:idx val="5"/>
          <c:order val="5"/>
          <c:tx>
            <c:strRef>
              <c:f>Sheet2!$B$8:$C$8</c:f>
              <c:strCache>
                <c:ptCount val="2"/>
                <c:pt idx="0">
                  <c:v>Lauksaimniecība</c:v>
                </c:pt>
              </c:strCache>
            </c:strRef>
          </c:tx>
          <c:spPr>
            <a:solidFill>
              <a:schemeClr val="accent6"/>
            </a:solidFill>
            <a:ln>
              <a:noFill/>
            </a:ln>
            <a:effectLst/>
          </c:spPr>
          <c:invertIfNegative val="0"/>
          <c:dLbls>
            <c:dLbl>
              <c:idx val="0"/>
              <c:tx>
                <c:rich>
                  <a:bodyPr/>
                  <a:lstStyle/>
                  <a:p>
                    <a:fld id="{6BDEEFE5-38B2-4614-ABE5-FF88693BFC03}"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7665-46C5-8F91-28EE79CB3A75}"/>
                </c:ext>
              </c:extLst>
            </c:dLbl>
            <c:dLbl>
              <c:idx val="1"/>
              <c:tx>
                <c:rich>
                  <a:bodyPr/>
                  <a:lstStyle/>
                  <a:p>
                    <a:fld id="{D9D5D3FC-7FC9-44FD-8DD5-1FC9C375A6E5}"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7665-46C5-8F91-28EE79CB3A75}"/>
                </c:ext>
              </c:extLst>
            </c:dLbl>
            <c:dLbl>
              <c:idx val="2"/>
              <c:tx>
                <c:rich>
                  <a:bodyPr/>
                  <a:lstStyle/>
                  <a:p>
                    <a:fld id="{E72F22C9-8F46-488E-A260-F89E52C333D7}"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7665-46C5-8F91-28EE79CB3A75}"/>
                </c:ext>
              </c:extLst>
            </c:dLbl>
            <c:dLbl>
              <c:idx val="3"/>
              <c:tx>
                <c:rich>
                  <a:bodyPr/>
                  <a:lstStyle/>
                  <a:p>
                    <a:fld id="{5ECA5D72-9189-4C37-82BA-F84206B79BF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7665-46C5-8F91-28EE79CB3A75}"/>
                </c:ext>
              </c:extLst>
            </c:dLbl>
            <c:dLbl>
              <c:idx val="4"/>
              <c:tx>
                <c:rich>
                  <a:bodyPr/>
                  <a:lstStyle/>
                  <a:p>
                    <a:fld id="{3D124E4A-8CEC-47BF-8AF8-947804964182}"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7665-46C5-8F91-28EE79CB3A75}"/>
                </c:ext>
              </c:extLst>
            </c:dLbl>
            <c:dLbl>
              <c:idx val="5"/>
              <c:tx>
                <c:rich>
                  <a:bodyPr/>
                  <a:lstStyle/>
                  <a:p>
                    <a:fld id="{5BD159C5-5835-4B04-B274-7A5FA260CF01}"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7665-46C5-8F91-28EE79CB3A75}"/>
                </c:ext>
              </c:extLst>
            </c:dLbl>
            <c:dLbl>
              <c:idx val="6"/>
              <c:tx>
                <c:rich>
                  <a:bodyPr/>
                  <a:lstStyle/>
                  <a:p>
                    <a:fld id="{1CDF6819-ED26-48E9-A8CA-3A667AE752F8}"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7665-46C5-8F91-28EE79CB3A75}"/>
                </c:ext>
              </c:extLst>
            </c:dLbl>
            <c:dLbl>
              <c:idx val="7"/>
              <c:tx>
                <c:rich>
                  <a:bodyPr/>
                  <a:lstStyle/>
                  <a:p>
                    <a:fld id="{C1EF14F3-506D-4ED2-94BB-A58189887852}"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7665-46C5-8F91-28EE79CB3A75}"/>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(Sheet2!$D$2:$N$2,Sheet2!$R$2,Sheet2!$V$2,Sheet2!$Y$2,Sheet2!$AB$2:$AE$2)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(Sheet2!$D$8:$N$8,Sheet2!$R$8,Sheet2!$V$8,Sheet2!$Y$8,Sheet2!$AB$8:$AE$8)</c:f>
              <c:numCache>
                <c:formatCode>0.00</c:formatCode>
                <c:ptCount val="8"/>
                <c:pt idx="0">
                  <c:v>8.4662193039420838E-3</c:v>
                </c:pt>
                <c:pt idx="1">
                  <c:v>1.5516672169032684E-2</c:v>
                </c:pt>
                <c:pt idx="2">
                  <c:v>1.4761438365747866E-2</c:v>
                </c:pt>
                <c:pt idx="3">
                  <c:v>1.5748834994387565E-2</c:v>
                </c:pt>
                <c:pt idx="4">
                  <c:v>1.5747734138972808E-2</c:v>
                </c:pt>
                <c:pt idx="5">
                  <c:v>1.5529883785279469E-2</c:v>
                </c:pt>
                <c:pt idx="6">
                  <c:v>1.4350297965614083E-2</c:v>
                </c:pt>
                <c:pt idx="7">
                  <c:v>1.279296219192801E-2</c:v>
                </c:pt>
              </c:numCache>
              <c:extLst/>
            </c:numRef>
          </c:val>
          <c:extLst>
            <c:ext xmlns:c15="http://schemas.microsoft.com/office/drawing/2012/chart" uri="{02D57815-91ED-43cb-92C2-25804820EDAC}">
              <c15:datalabelsRange>
                <c15:f>Sheet1!$B$7:$S$7</c15:f>
                <c15:dlblRangeCache>
                  <c:ptCount val="8"/>
                  <c:pt idx="0">
                    <c:v>1</c:v>
                  </c:pt>
                  <c:pt idx="1">
                    <c:v>2</c:v>
                  </c:pt>
                  <c:pt idx="2">
                    <c:v>1</c:v>
                  </c:pt>
                  <c:pt idx="3">
                    <c:v>2</c:v>
                  </c:pt>
                  <c:pt idx="4">
                    <c:v>2</c:v>
                  </c:pt>
                  <c:pt idx="5">
                    <c:v>2</c:v>
                  </c:pt>
                  <c:pt idx="6">
                    <c:v>1</c:v>
                  </c:pt>
                  <c:pt idx="7">
                    <c:v>1</c:v>
                  </c:pt>
                </c15:dlblRangeCache>
              </c15:datalabelsRange>
            </c:ext>
            <c:ext xmlns:c16="http://schemas.microsoft.com/office/drawing/2014/chart" uri="{C3380CC4-5D6E-409C-BE32-E72D297353CC}">
              <c16:uniqueId val="{00000035-7665-46C5-8F91-28EE79CB3A75}"/>
            </c:ext>
          </c:extLst>
        </c:ser>
        <c:ser>
          <c:idx val="6"/>
          <c:order val="6"/>
          <c:tx>
            <c:strRef>
              <c:f>Sheet2!$B$9:$C$9</c:f>
              <c:strCache>
                <c:ptCount val="2"/>
                <c:pt idx="0">
                  <c:v>Veselības aprūpe un sociālā labklājība</c:v>
                </c:pt>
              </c:strCache>
            </c:strRef>
          </c:tx>
          <c:spPr>
            <a:solidFill>
              <a:schemeClr val="bg2">
                <a:lumMod val="75000"/>
              </a:schemeClr>
            </a:solidFill>
            <a:ln>
              <a:noFill/>
            </a:ln>
            <a:effectLst/>
          </c:spPr>
          <c:invertIfNegative val="0"/>
          <c:dLbls>
            <c:dLbl>
              <c:idx val="0"/>
              <c:tx>
                <c:rich>
                  <a:bodyPr/>
                  <a:lstStyle/>
                  <a:p>
                    <a:fld id="{71DD8326-E264-45B1-8C7B-42515AE110A0}"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6-7665-46C5-8F91-28EE79CB3A75}"/>
                </c:ext>
              </c:extLst>
            </c:dLbl>
            <c:dLbl>
              <c:idx val="1"/>
              <c:tx>
                <c:rich>
                  <a:bodyPr/>
                  <a:lstStyle/>
                  <a:p>
                    <a:fld id="{1FC2A4D3-A7BF-451A-9983-68D7395A181A}"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7665-46C5-8F91-28EE79CB3A75}"/>
                </c:ext>
              </c:extLst>
            </c:dLbl>
            <c:dLbl>
              <c:idx val="2"/>
              <c:tx>
                <c:rich>
                  <a:bodyPr/>
                  <a:lstStyle/>
                  <a:p>
                    <a:fld id="{CBA8CE9C-1B47-4228-9FD5-D25569913E7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7665-46C5-8F91-28EE79CB3A75}"/>
                </c:ext>
              </c:extLst>
            </c:dLbl>
            <c:dLbl>
              <c:idx val="3"/>
              <c:tx>
                <c:rich>
                  <a:bodyPr/>
                  <a:lstStyle/>
                  <a:p>
                    <a:fld id="{A51627A0-83D9-40CD-A07A-17D0E33CE9A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7665-46C5-8F91-28EE79CB3A75}"/>
                </c:ext>
              </c:extLst>
            </c:dLbl>
            <c:dLbl>
              <c:idx val="4"/>
              <c:tx>
                <c:rich>
                  <a:bodyPr/>
                  <a:lstStyle/>
                  <a:p>
                    <a:fld id="{A565AE44-D0FE-47CB-B76A-F8594341D88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7665-46C5-8F91-28EE79CB3A75}"/>
                </c:ext>
              </c:extLst>
            </c:dLbl>
            <c:dLbl>
              <c:idx val="5"/>
              <c:tx>
                <c:rich>
                  <a:bodyPr/>
                  <a:lstStyle/>
                  <a:p>
                    <a:fld id="{302FF489-8FC0-49AB-816A-D78816C5AA86}"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7665-46C5-8F91-28EE79CB3A75}"/>
                </c:ext>
              </c:extLst>
            </c:dLbl>
            <c:dLbl>
              <c:idx val="6"/>
              <c:tx>
                <c:rich>
                  <a:bodyPr/>
                  <a:lstStyle/>
                  <a:p>
                    <a:fld id="{756AC6F4-FC7B-491D-A674-1FBBFBED34DA}"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7665-46C5-8F91-28EE79CB3A75}"/>
                </c:ext>
              </c:extLst>
            </c:dLbl>
            <c:dLbl>
              <c:idx val="7"/>
              <c:tx>
                <c:rich>
                  <a:bodyPr/>
                  <a:lstStyle/>
                  <a:p>
                    <a:fld id="{1BE5FEF2-4B3A-4D24-A3B8-F297C2ED0BD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7665-46C5-8F91-28EE79CB3A75}"/>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(Sheet2!$D$2:$N$2,Sheet2!$R$2,Sheet2!$V$2,Sheet2!$Y$2,Sheet2!$AB$2:$AE$2)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(Sheet2!$D$9:$N$9,Sheet2!$R$9,Sheet2!$V$9,Sheet2!$Y$9,Sheet2!$AB$9:$AE$9)</c:f>
              <c:numCache>
                <c:formatCode>0.00</c:formatCode>
                <c:ptCount val="8"/>
                <c:pt idx="0">
                  <c:v>7.0832431392356357E-2</c:v>
                </c:pt>
                <c:pt idx="1">
                  <c:v>0.11816080914793362</c:v>
                </c:pt>
                <c:pt idx="2">
                  <c:v>0.14191269063942913</c:v>
                </c:pt>
                <c:pt idx="3">
                  <c:v>0.1564679070716691</c:v>
                </c:pt>
                <c:pt idx="4">
                  <c:v>0.17095921450151058</c:v>
                </c:pt>
                <c:pt idx="5">
                  <c:v>0.15363862755949087</c:v>
                </c:pt>
                <c:pt idx="6">
                  <c:v>0.17326529214329747</c:v>
                </c:pt>
                <c:pt idx="7">
                  <c:v>0.15069505070176617</c:v>
                </c:pt>
              </c:numCache>
              <c:extLst/>
            </c:numRef>
          </c:val>
          <c:extLst>
            <c:ext xmlns:c15="http://schemas.microsoft.com/office/drawing/2012/chart" uri="{02D57815-91ED-43cb-92C2-25804820EDAC}">
              <c15:datalabelsRange>
                <c15:f>Sheet1!$B$8:$S$8</c15:f>
                <c15:dlblRangeCache>
                  <c:ptCount val="8"/>
                  <c:pt idx="0">
                    <c:v>7</c:v>
                  </c:pt>
                  <c:pt idx="1">
                    <c:v>12</c:v>
                  </c:pt>
                  <c:pt idx="2">
                    <c:v>14</c:v>
                  </c:pt>
                  <c:pt idx="3">
                    <c:v>16</c:v>
                  </c:pt>
                  <c:pt idx="4">
                    <c:v>17</c:v>
                  </c:pt>
                  <c:pt idx="5">
                    <c:v>15</c:v>
                  </c:pt>
                  <c:pt idx="6">
                    <c:v>17</c:v>
                  </c:pt>
                  <c:pt idx="7">
                    <c:v>15</c:v>
                  </c:pt>
                </c15:dlblRangeCache>
              </c15:datalabelsRange>
            </c:ext>
            <c:ext xmlns:c16="http://schemas.microsoft.com/office/drawing/2014/chart" uri="{C3380CC4-5D6E-409C-BE32-E72D297353CC}">
              <c16:uniqueId val="{0000003E-7665-46C5-8F91-28EE79CB3A75}"/>
            </c:ext>
          </c:extLst>
        </c:ser>
        <c:ser>
          <c:idx val="7"/>
          <c:order val="7"/>
          <c:tx>
            <c:strRef>
              <c:f>Sheet2!$B$10:$C$10</c:f>
              <c:strCache>
                <c:ptCount val="2"/>
                <c:pt idx="0">
                  <c:v>Pakalpojumi</c:v>
                </c:pt>
              </c:strCache>
            </c:strRef>
          </c:tx>
          <c:spPr>
            <a:solidFill>
              <a:schemeClr val="accent2">
                <a:lumMod val="60000"/>
                <a:lumOff val="40000"/>
              </a:schemeClr>
            </a:solidFill>
            <a:ln>
              <a:noFill/>
            </a:ln>
            <a:effectLst/>
          </c:spPr>
          <c:invertIfNegative val="0"/>
          <c:dLbls>
            <c:dLbl>
              <c:idx val="0"/>
              <c:tx>
                <c:rich>
                  <a:bodyPr/>
                  <a:lstStyle/>
                  <a:p>
                    <a:fld id="{5AC526AE-6A23-4E75-B2C0-A03D4C3C86D8}"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F-7665-46C5-8F91-28EE79CB3A75}"/>
                </c:ext>
              </c:extLst>
            </c:dLbl>
            <c:dLbl>
              <c:idx val="1"/>
              <c:tx>
                <c:rich>
                  <a:bodyPr/>
                  <a:lstStyle/>
                  <a:p>
                    <a:fld id="{7CE537FC-2B39-46F6-BEE1-C9C207402AF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0-7665-46C5-8F91-28EE79CB3A75}"/>
                </c:ext>
              </c:extLst>
            </c:dLbl>
            <c:dLbl>
              <c:idx val="2"/>
              <c:tx>
                <c:rich>
                  <a:bodyPr/>
                  <a:lstStyle/>
                  <a:p>
                    <a:fld id="{C0F39709-E67D-4D5D-B50F-0E1A47B475D2}"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1-7665-46C5-8F91-28EE79CB3A75}"/>
                </c:ext>
              </c:extLst>
            </c:dLbl>
            <c:dLbl>
              <c:idx val="3"/>
              <c:tx>
                <c:rich>
                  <a:bodyPr/>
                  <a:lstStyle/>
                  <a:p>
                    <a:fld id="{FB008C15-0701-4A32-85B9-95DA3E0317C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7665-46C5-8F91-28EE79CB3A75}"/>
                </c:ext>
              </c:extLst>
            </c:dLbl>
            <c:dLbl>
              <c:idx val="4"/>
              <c:tx>
                <c:rich>
                  <a:bodyPr/>
                  <a:lstStyle/>
                  <a:p>
                    <a:fld id="{22F523AE-026F-496C-8670-5036C96BFDD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7665-46C5-8F91-28EE79CB3A75}"/>
                </c:ext>
              </c:extLst>
            </c:dLbl>
            <c:dLbl>
              <c:idx val="5"/>
              <c:tx>
                <c:rich>
                  <a:bodyPr/>
                  <a:lstStyle/>
                  <a:p>
                    <a:fld id="{8034531A-CAE0-4816-ABE6-ACCEABE85626}"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7665-46C5-8F91-28EE79CB3A75}"/>
                </c:ext>
              </c:extLst>
            </c:dLbl>
            <c:dLbl>
              <c:idx val="6"/>
              <c:tx>
                <c:rich>
                  <a:bodyPr/>
                  <a:lstStyle/>
                  <a:p>
                    <a:fld id="{B33174BF-DA01-4E3B-9FBD-2C5E4FC6170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7665-46C5-8F91-28EE79CB3A75}"/>
                </c:ext>
              </c:extLst>
            </c:dLbl>
            <c:dLbl>
              <c:idx val="7"/>
              <c:tx>
                <c:rich>
                  <a:bodyPr/>
                  <a:lstStyle/>
                  <a:p>
                    <a:fld id="{BB473C50-2719-431C-A4FB-00FF8398DD4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7665-46C5-8F91-28EE79CB3A75}"/>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(Sheet2!$D$2:$N$2,Sheet2!$R$2,Sheet2!$V$2,Sheet2!$Y$2,Sheet2!$AB$2:$AE$2)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(Sheet2!$D$10:$N$10,Sheet2!$R$10,Sheet2!$V$10,Sheet2!$Y$10,Sheet2!$AB$10:$AE$10)</c:f>
              <c:numCache>
                <c:formatCode>0.00</c:formatCode>
                <c:ptCount val="8"/>
                <c:pt idx="0">
                  <c:v>6.5011905620896163E-2</c:v>
                </c:pt>
                <c:pt idx="1">
                  <c:v>7.491221225126804E-2</c:v>
                </c:pt>
                <c:pt idx="2">
                  <c:v>8.3146774870575063E-2</c:v>
                </c:pt>
                <c:pt idx="3">
                  <c:v>8.5240994591652783E-2</c:v>
                </c:pt>
                <c:pt idx="4">
                  <c:v>6.5370090634441089E-2</c:v>
                </c:pt>
                <c:pt idx="5">
                  <c:v>6.8276148312119533E-2</c:v>
                </c:pt>
                <c:pt idx="6">
                  <c:v>8.4355092814576343E-2</c:v>
                </c:pt>
                <c:pt idx="7">
                  <c:v>6.8665636961923307E-2</c:v>
                </c:pt>
              </c:numCache>
              <c:extLst/>
            </c:numRef>
          </c:val>
          <c:extLst>
            <c:ext xmlns:c15="http://schemas.microsoft.com/office/drawing/2012/chart" uri="{02D57815-91ED-43cb-92C2-25804820EDAC}">
              <c15:datalabelsRange>
                <c15:f>Sheet1!$B$9:$S$9</c15:f>
                <c15:dlblRangeCache>
                  <c:ptCount val="8"/>
                  <c:pt idx="0">
                    <c:v>7</c:v>
                  </c:pt>
                  <c:pt idx="1">
                    <c:v>7</c:v>
                  </c:pt>
                  <c:pt idx="2">
                    <c:v>8</c:v>
                  </c:pt>
                  <c:pt idx="3">
                    <c:v>9</c:v>
                  </c:pt>
                  <c:pt idx="4">
                    <c:v>7</c:v>
                  </c:pt>
                  <c:pt idx="5">
                    <c:v>7</c:v>
                  </c:pt>
                  <c:pt idx="6">
                    <c:v>8</c:v>
                  </c:pt>
                  <c:pt idx="7">
                    <c:v>7</c:v>
                  </c:pt>
                </c15:dlblRangeCache>
              </c15:datalabelsRange>
            </c:ext>
            <c:ext xmlns:c16="http://schemas.microsoft.com/office/drawing/2014/chart" uri="{C3380CC4-5D6E-409C-BE32-E72D297353CC}">
              <c16:uniqueId val="{00000047-7665-46C5-8F91-28EE79CB3A75}"/>
            </c:ext>
          </c:extLst>
        </c:ser>
        <c:ser>
          <c:idx val="8"/>
          <c:order val="8"/>
          <c:tx>
            <c:strRef>
              <c:f>Sheet2!$B$11:$C$11</c:f>
              <c:strCache>
                <c:ptCount val="2"/>
                <c:pt idx="0">
                  <c:v>Citur neklasificētās tematiskās grupas</c:v>
                </c:pt>
              </c:strCache>
            </c:strRef>
          </c:tx>
          <c:spPr>
            <a:solidFill>
              <a:schemeClr val="accent3">
                <a:lumMod val="60000"/>
              </a:schemeClr>
            </a:solidFill>
            <a:ln>
              <a:noFill/>
            </a:ln>
            <a:effectLst/>
          </c:spPr>
          <c:invertIfNegative val="0"/>
          <c:dLbls>
            <c:delete val="1"/>
          </c:dLbls>
          <c:cat>
            <c:numRef>
              <c:f>(Sheet2!$D$2:$N$2,Sheet2!$R$2,Sheet2!$V$2,Sheet2!$Y$2,Sheet2!$AB$2:$AE$2)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(Sheet2!$D$11:$N$11,Sheet2!$R$11,Sheet2!$V$11,Sheet2!$Y$11,Sheet2!$AB$11:$AE$11)</c:f>
              <c:numCache>
                <c:formatCode>0.00</c:formatCode>
                <c:ptCount val="8"/>
                <c:pt idx="0">
                  <c:v>6.4939750342737576E-4</c:v>
                </c:pt>
                <c:pt idx="1">
                  <c:v>3.3014196104324861E-4</c:v>
                </c:pt>
                <c:pt idx="2">
                  <c:v>0</c:v>
                </c:pt>
                <c:pt idx="3">
                  <c:v>0</c:v>
                </c:pt>
                <c:pt idx="4">
                  <c:v>0</c:v>
                </c:pt>
                <c:pt idx="5">
                  <c:v>0</c:v>
                </c:pt>
                <c:pt idx="6">
                  <c:v>0</c:v>
                </c:pt>
                <c:pt idx="7">
                  <c:v>0</c:v>
                </c:pt>
              </c:numCache>
              <c:extLst/>
            </c:numRef>
          </c:val>
          <c:extLst>
            <c:ext xmlns:c16="http://schemas.microsoft.com/office/drawing/2014/chart" uri="{C3380CC4-5D6E-409C-BE32-E72D297353CC}">
              <c16:uniqueId val="{00000048-7665-46C5-8F91-28EE79CB3A75}"/>
            </c:ext>
          </c:extLst>
        </c:ser>
        <c:dLbls>
          <c:dLblPos val="ctr"/>
          <c:showLegendKey val="0"/>
          <c:showVal val="1"/>
          <c:showCatName val="0"/>
          <c:showSerName val="0"/>
          <c:showPercent val="0"/>
          <c:showBubbleSize val="0"/>
        </c:dLbls>
        <c:gapWidth val="54"/>
        <c:overlap val="100"/>
        <c:axId val="184418975"/>
        <c:axId val="184419455"/>
      </c:barChart>
      <c:catAx>
        <c:axId val="184418975"/>
        <c:scaling>
          <c:orientation val="minMax"/>
        </c:scaling>
        <c:delete val="0"/>
        <c:axPos val="b"/>
        <c:numFmt formatCode="General" sourceLinked="1"/>
        <c:majorTickMark val="out"/>
        <c:minorTickMark val="none"/>
        <c:tickLblPos val="nextTo"/>
        <c:spPr>
          <a:noFill/>
          <a:ln w="9525" cap="flat" cmpd="sng" algn="ctr">
            <a:solidFill>
              <a:schemeClr val="tx1">
                <a:tint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crossAx val="184419455"/>
        <c:crosses val="autoZero"/>
        <c:auto val="1"/>
        <c:lblAlgn val="ctr"/>
        <c:lblOffset val="100"/>
        <c:noMultiLvlLbl val="0"/>
      </c:catAx>
      <c:valAx>
        <c:axId val="184419455"/>
        <c:scaling>
          <c:orientation val="minMax"/>
          <c:max val="1"/>
        </c:scaling>
        <c:delete val="0"/>
        <c:axPos val="l"/>
        <c:numFmt formatCode="0%" sourceLinked="0"/>
        <c:majorTickMark val="out"/>
        <c:minorTickMark val="none"/>
        <c:tickLblPos val="nextTo"/>
        <c:spPr>
          <a:noFill/>
          <a:ln>
            <a:solidFill>
              <a:schemeClr val="tx1">
                <a:tint val="7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crossAx val="184418975"/>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Sheet2!$B$3:$C$3</c:f>
              <c:strCache>
                <c:ptCount val="2"/>
                <c:pt idx="0">
                  <c:v>Izglītība</c:v>
                </c:pt>
              </c:strCache>
            </c:strRef>
          </c:tx>
          <c:spPr>
            <a:solidFill>
              <a:schemeClr val="accent1"/>
            </a:solidFill>
            <a:ln>
              <a:noFill/>
            </a:ln>
            <a:effectLst/>
          </c:spPr>
          <c:invertIfNegative val="0"/>
          <c:dLbls>
            <c:dLbl>
              <c:idx val="0"/>
              <c:tx>
                <c:rich>
                  <a:bodyPr/>
                  <a:lstStyle/>
                  <a:p>
                    <a:fld id="{F889B1C4-FDD6-4746-8B07-C4847B80DB8A}"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9E1C-4CA2-9047-86441120B22D}"/>
                </c:ext>
              </c:extLst>
            </c:dLbl>
            <c:dLbl>
              <c:idx val="1"/>
              <c:tx>
                <c:rich>
                  <a:bodyPr/>
                  <a:lstStyle/>
                  <a:p>
                    <a:fld id="{49FB0D2F-20E6-4520-979F-13BDCCDD0975}"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9E1C-4CA2-9047-86441120B22D}"/>
                </c:ext>
              </c:extLst>
            </c:dLbl>
            <c:dLbl>
              <c:idx val="2"/>
              <c:tx>
                <c:rich>
                  <a:bodyPr/>
                  <a:lstStyle/>
                  <a:p>
                    <a:fld id="{3E041C5E-B9D4-4D22-98E0-E53F2FB1281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9E1C-4CA2-9047-86441120B22D}"/>
                </c:ext>
              </c:extLst>
            </c:dLbl>
            <c:dLbl>
              <c:idx val="3"/>
              <c:tx>
                <c:rich>
                  <a:bodyPr/>
                  <a:lstStyle/>
                  <a:p>
                    <a:fld id="{111525A2-B703-4421-BCFD-3DB1C1E365A5}"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9E1C-4CA2-9047-86441120B22D}"/>
                </c:ext>
              </c:extLst>
            </c:dLbl>
            <c:dLbl>
              <c:idx val="4"/>
              <c:tx>
                <c:rich>
                  <a:bodyPr/>
                  <a:lstStyle/>
                  <a:p>
                    <a:fld id="{3A2FD266-8748-494A-BB71-0790EAD1DE3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9E1C-4CA2-9047-86441120B22D}"/>
                </c:ext>
              </c:extLst>
            </c:dLbl>
            <c:dLbl>
              <c:idx val="5"/>
              <c:tx>
                <c:rich>
                  <a:bodyPr/>
                  <a:lstStyle/>
                  <a:p>
                    <a:fld id="{CCD01732-5F60-4FAD-90C1-DBA722436C3D}"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9E1C-4CA2-9047-86441120B22D}"/>
                </c:ext>
              </c:extLst>
            </c:dLbl>
            <c:dLbl>
              <c:idx val="6"/>
              <c:tx>
                <c:rich>
                  <a:bodyPr/>
                  <a:lstStyle/>
                  <a:p>
                    <a:fld id="{AEB5D4A9-CACA-45B1-838A-3BEA28463227}"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9E1C-4CA2-9047-86441120B22D}"/>
                </c:ext>
              </c:extLst>
            </c:dLbl>
            <c:dLbl>
              <c:idx val="7"/>
              <c:tx>
                <c:rich>
                  <a:bodyPr/>
                  <a:lstStyle/>
                  <a:p>
                    <a:fld id="{7789E602-0613-4BD0-A591-6F8015052BCB}"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9E1C-4CA2-9047-86441120B22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(Sheet2!$D$2:$AO$2,Sheet2!$AS$2,Sheet2!$AW$2,Sheet2!$AZ$2,Sheet2!$BC$2:$BF$2)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(Sheet2!$D$3:$AO$3,Sheet2!$AS$3,Sheet2!$AW$3,Sheet2!$AZ$3,Sheet2!$BC$3:$BF$3)</c:f>
              <c:numCache>
                <c:formatCode>0.00</c:formatCode>
                <c:ptCount val="8"/>
                <c:pt idx="0">
                  <c:v>0.10314439387670667</c:v>
                </c:pt>
                <c:pt idx="1">
                  <c:v>7.5819672131147542E-2</c:v>
                </c:pt>
                <c:pt idx="2">
                  <c:v>7.3626234489744244E-2</c:v>
                </c:pt>
                <c:pt idx="3">
                  <c:v>8.7419181034482762E-2</c:v>
                </c:pt>
                <c:pt idx="4">
                  <c:v>9.5887349128296828E-2</c:v>
                </c:pt>
                <c:pt idx="5">
                  <c:v>8.9273011808223071E-2</c:v>
                </c:pt>
                <c:pt idx="6">
                  <c:v>9.539351680142423E-2</c:v>
                </c:pt>
                <c:pt idx="7">
                  <c:v>7.8121810139503228E-2</c:v>
                </c:pt>
              </c:numCache>
              <c:extLst/>
            </c:numRef>
          </c:val>
          <c:extLst>
            <c:ext xmlns:c15="http://schemas.microsoft.com/office/drawing/2012/chart" uri="{02D57815-91ED-43cb-92C2-25804820EDAC}">
              <c15:datalabelsRange>
                <c15:f>Sheet1!$B$2:$S$2</c15:f>
                <c15:dlblRangeCache>
                  <c:ptCount val="8"/>
                  <c:pt idx="0">
                    <c:v>10</c:v>
                  </c:pt>
                  <c:pt idx="1">
                    <c:v>8</c:v>
                  </c:pt>
                  <c:pt idx="2">
                    <c:v>7</c:v>
                  </c:pt>
                  <c:pt idx="3">
                    <c:v>9</c:v>
                  </c:pt>
                  <c:pt idx="4">
                    <c:v>10</c:v>
                  </c:pt>
                  <c:pt idx="5">
                    <c:v>9</c:v>
                  </c:pt>
                  <c:pt idx="6">
                    <c:v>10</c:v>
                  </c:pt>
                  <c:pt idx="7">
                    <c:v>8</c:v>
                  </c:pt>
                </c15:dlblRangeCache>
              </c15:datalabelsRange>
            </c:ext>
            <c:ext xmlns:c16="http://schemas.microsoft.com/office/drawing/2014/chart" uri="{C3380CC4-5D6E-409C-BE32-E72D297353CC}">
              <c16:uniqueId val="{00000008-9E1C-4CA2-9047-86441120B22D}"/>
            </c:ext>
          </c:extLst>
        </c:ser>
        <c:ser>
          <c:idx val="1"/>
          <c:order val="1"/>
          <c:tx>
            <c:strRef>
              <c:f>Sheet2!$B$4:$C$4</c:f>
              <c:strCache>
                <c:ptCount val="2"/>
                <c:pt idx="0">
                  <c:v>Humanitārās zinātnes un māksla</c:v>
                </c:pt>
              </c:strCache>
            </c:strRef>
          </c:tx>
          <c:spPr>
            <a:solidFill>
              <a:schemeClr val="accent2"/>
            </a:solidFill>
            <a:ln>
              <a:noFill/>
            </a:ln>
            <a:effectLst/>
          </c:spPr>
          <c:invertIfNegative val="0"/>
          <c:dLbls>
            <c:dLbl>
              <c:idx val="0"/>
              <c:tx>
                <c:rich>
                  <a:bodyPr/>
                  <a:lstStyle/>
                  <a:p>
                    <a:fld id="{A714D038-2153-4B03-815F-6E935400698F}"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9E1C-4CA2-9047-86441120B22D}"/>
                </c:ext>
              </c:extLst>
            </c:dLbl>
            <c:dLbl>
              <c:idx val="1"/>
              <c:tx>
                <c:rich>
                  <a:bodyPr/>
                  <a:lstStyle/>
                  <a:p>
                    <a:fld id="{14439820-18E6-42E5-B11A-FA13FF4CB362}"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9E1C-4CA2-9047-86441120B22D}"/>
                </c:ext>
              </c:extLst>
            </c:dLbl>
            <c:dLbl>
              <c:idx val="2"/>
              <c:tx>
                <c:rich>
                  <a:bodyPr/>
                  <a:lstStyle/>
                  <a:p>
                    <a:fld id="{F7CA0A6A-4BE6-4844-9525-0BEB74FCCBF7}"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9E1C-4CA2-9047-86441120B22D}"/>
                </c:ext>
              </c:extLst>
            </c:dLbl>
            <c:dLbl>
              <c:idx val="3"/>
              <c:tx>
                <c:rich>
                  <a:bodyPr/>
                  <a:lstStyle/>
                  <a:p>
                    <a:fld id="{31CB1224-809D-40E5-BC26-CD4B612D8D28}"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9E1C-4CA2-9047-86441120B22D}"/>
                </c:ext>
              </c:extLst>
            </c:dLbl>
            <c:dLbl>
              <c:idx val="4"/>
              <c:tx>
                <c:rich>
                  <a:bodyPr/>
                  <a:lstStyle/>
                  <a:p>
                    <a:fld id="{9D3DEF55-520C-4313-AA7B-CE797FC2693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9E1C-4CA2-9047-86441120B22D}"/>
                </c:ext>
              </c:extLst>
            </c:dLbl>
            <c:dLbl>
              <c:idx val="5"/>
              <c:tx>
                <c:rich>
                  <a:bodyPr/>
                  <a:lstStyle/>
                  <a:p>
                    <a:fld id="{CC052675-84B0-4E45-A13F-A67152AE50D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9E1C-4CA2-9047-86441120B22D}"/>
                </c:ext>
              </c:extLst>
            </c:dLbl>
            <c:dLbl>
              <c:idx val="6"/>
              <c:tx>
                <c:rich>
                  <a:bodyPr/>
                  <a:lstStyle/>
                  <a:p>
                    <a:fld id="{AB911B55-EA5C-48A4-8CFD-19A96A9869ED}"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9E1C-4CA2-9047-86441120B22D}"/>
                </c:ext>
              </c:extLst>
            </c:dLbl>
            <c:dLbl>
              <c:idx val="7"/>
              <c:tx>
                <c:rich>
                  <a:bodyPr/>
                  <a:lstStyle/>
                  <a:p>
                    <a:fld id="{4C9C4668-E6B7-4D78-A8D0-FD31C6FC235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9E1C-4CA2-9047-86441120B22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(Sheet2!$D$2:$AO$2,Sheet2!$AS$2,Sheet2!$AW$2,Sheet2!$AZ$2,Sheet2!$BC$2:$BF$2)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(Sheet2!$D$4:$AO$4,Sheet2!$AS$4,Sheet2!$AW$4,Sheet2!$AZ$4,Sheet2!$BC$4:$BF$4)</c:f>
              <c:numCache>
                <c:formatCode>0.00</c:formatCode>
                <c:ptCount val="8"/>
                <c:pt idx="0">
                  <c:v>7.1452213487794791E-2</c:v>
                </c:pt>
                <c:pt idx="1">
                  <c:v>8.0383755588673625E-2</c:v>
                </c:pt>
                <c:pt idx="2">
                  <c:v>8.8503418586984045E-2</c:v>
                </c:pt>
                <c:pt idx="3">
                  <c:v>7.7788254310344834E-2</c:v>
                </c:pt>
                <c:pt idx="4">
                  <c:v>8.046490835940992E-2</c:v>
                </c:pt>
                <c:pt idx="5">
                  <c:v>7.5046237018068007E-2</c:v>
                </c:pt>
                <c:pt idx="6">
                  <c:v>7.5810399821971658E-2</c:v>
                </c:pt>
                <c:pt idx="7">
                  <c:v>7.8189860496767613E-2</c:v>
                </c:pt>
              </c:numCache>
              <c:extLst/>
            </c:numRef>
          </c:val>
          <c:extLst>
            <c:ext xmlns:c15="http://schemas.microsoft.com/office/drawing/2012/chart" uri="{02D57815-91ED-43cb-92C2-25804820EDAC}">
              <c15:datalabelsRange>
                <c15:f>Sheet1!$B$3:$S$3</c15:f>
                <c15:dlblRangeCache>
                  <c:ptCount val="8"/>
                  <c:pt idx="0">
                    <c:v>7</c:v>
                  </c:pt>
                  <c:pt idx="1">
                    <c:v>8</c:v>
                  </c:pt>
                  <c:pt idx="2">
                    <c:v>9</c:v>
                  </c:pt>
                  <c:pt idx="3">
                    <c:v>8</c:v>
                  </c:pt>
                  <c:pt idx="4">
                    <c:v>8</c:v>
                  </c:pt>
                  <c:pt idx="5">
                    <c:v>8</c:v>
                  </c:pt>
                  <c:pt idx="6">
                    <c:v>8</c:v>
                  </c:pt>
                  <c:pt idx="7">
                    <c:v>8</c:v>
                  </c:pt>
                </c15:dlblRangeCache>
              </c15:datalabelsRange>
            </c:ext>
            <c:ext xmlns:c16="http://schemas.microsoft.com/office/drawing/2014/chart" uri="{C3380CC4-5D6E-409C-BE32-E72D297353CC}">
              <c16:uniqueId val="{00000011-9E1C-4CA2-9047-86441120B22D}"/>
            </c:ext>
          </c:extLst>
        </c:ser>
        <c:ser>
          <c:idx val="2"/>
          <c:order val="2"/>
          <c:tx>
            <c:strRef>
              <c:f>Sheet2!$B$5:$C$5</c:f>
              <c:strCache>
                <c:ptCount val="2"/>
                <c:pt idx="0">
                  <c:v>Sociālās zinātnes, komerczinības un tiesības</c:v>
                </c:pt>
              </c:strCache>
            </c:strRef>
          </c:tx>
          <c:spPr>
            <a:solidFill>
              <a:schemeClr val="accent3"/>
            </a:solidFill>
            <a:ln>
              <a:noFill/>
            </a:ln>
            <a:effectLst/>
          </c:spPr>
          <c:invertIfNegative val="0"/>
          <c:dLbls>
            <c:dLbl>
              <c:idx val="0"/>
              <c:tx>
                <c:rich>
                  <a:bodyPr/>
                  <a:lstStyle/>
                  <a:p>
                    <a:fld id="{2B7156AA-70DE-4E40-B161-D4A23761A69D}"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9E1C-4CA2-9047-86441120B22D}"/>
                </c:ext>
              </c:extLst>
            </c:dLbl>
            <c:dLbl>
              <c:idx val="1"/>
              <c:tx>
                <c:rich>
                  <a:bodyPr/>
                  <a:lstStyle/>
                  <a:p>
                    <a:fld id="{048DC9D4-3E1A-4917-988B-AE1E62AB6397}"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9E1C-4CA2-9047-86441120B22D}"/>
                </c:ext>
              </c:extLst>
            </c:dLbl>
            <c:dLbl>
              <c:idx val="2"/>
              <c:tx>
                <c:rich>
                  <a:bodyPr/>
                  <a:lstStyle/>
                  <a:p>
                    <a:fld id="{55590A77-51F2-467B-AD78-EDEBC9B406B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9E1C-4CA2-9047-86441120B22D}"/>
                </c:ext>
              </c:extLst>
            </c:dLbl>
            <c:dLbl>
              <c:idx val="3"/>
              <c:tx>
                <c:rich>
                  <a:bodyPr/>
                  <a:lstStyle/>
                  <a:p>
                    <a:fld id="{CC1FA495-F56A-40AD-9270-2CE0D11BEDA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9E1C-4CA2-9047-86441120B22D}"/>
                </c:ext>
              </c:extLst>
            </c:dLbl>
            <c:dLbl>
              <c:idx val="4"/>
              <c:tx>
                <c:rich>
                  <a:bodyPr/>
                  <a:lstStyle/>
                  <a:p>
                    <a:fld id="{F11148EB-9CDD-4485-B829-5D73C82F5415}"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9E1C-4CA2-9047-86441120B22D}"/>
                </c:ext>
              </c:extLst>
            </c:dLbl>
            <c:dLbl>
              <c:idx val="5"/>
              <c:tx>
                <c:rich>
                  <a:bodyPr/>
                  <a:lstStyle/>
                  <a:p>
                    <a:fld id="{9622916F-7A77-4920-967E-91111E93A25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9E1C-4CA2-9047-86441120B22D}"/>
                </c:ext>
              </c:extLst>
            </c:dLbl>
            <c:dLbl>
              <c:idx val="6"/>
              <c:tx>
                <c:rich>
                  <a:bodyPr/>
                  <a:lstStyle/>
                  <a:p>
                    <a:fld id="{453C604B-4B75-4643-8B96-B8F6686E7A2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9E1C-4CA2-9047-86441120B22D}"/>
                </c:ext>
              </c:extLst>
            </c:dLbl>
            <c:dLbl>
              <c:idx val="7"/>
              <c:tx>
                <c:rich>
                  <a:bodyPr/>
                  <a:lstStyle/>
                  <a:p>
                    <a:fld id="{B0E9FD0A-36C5-458C-BCAA-AE1D82F696B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9E1C-4CA2-9047-86441120B22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(Sheet2!$D$2:$AO$2,Sheet2!$AS$2,Sheet2!$AW$2,Sheet2!$AZ$2,Sheet2!$BC$2:$BF$2)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(Sheet2!$D$5:$AO$5,Sheet2!$AS$5,Sheet2!$AW$5,Sheet2!$AZ$5,Sheet2!$BC$5:$BF$5)</c:f>
              <c:numCache>
                <c:formatCode>0.00</c:formatCode>
                <c:ptCount val="8"/>
                <c:pt idx="0">
                  <c:v>0.55035167563094745</c:v>
                </c:pt>
                <c:pt idx="1">
                  <c:v>0.47038002980625931</c:v>
                </c:pt>
                <c:pt idx="2">
                  <c:v>0.39212458850341858</c:v>
                </c:pt>
                <c:pt idx="3">
                  <c:v>0.35311153017241381</c:v>
                </c:pt>
                <c:pt idx="4">
                  <c:v>0.3446580241394725</c:v>
                </c:pt>
                <c:pt idx="5">
                  <c:v>0.35268174704794425</c:v>
                </c:pt>
                <c:pt idx="6">
                  <c:v>0.33929233736369707</c:v>
                </c:pt>
                <c:pt idx="7">
                  <c:v>0.34474310990132701</c:v>
                </c:pt>
              </c:numCache>
              <c:extLst/>
            </c:numRef>
          </c:val>
          <c:extLst>
            <c:ext xmlns:c15="http://schemas.microsoft.com/office/drawing/2012/chart" uri="{02D57815-91ED-43cb-92C2-25804820EDAC}">
              <c15:datalabelsRange>
                <c15:f>Sheet1!$B$4:$S$4</c15:f>
                <c15:dlblRangeCache>
                  <c:ptCount val="8"/>
                  <c:pt idx="0">
                    <c:v>55</c:v>
                  </c:pt>
                  <c:pt idx="1">
                    <c:v>47</c:v>
                  </c:pt>
                  <c:pt idx="2">
                    <c:v>39</c:v>
                  </c:pt>
                  <c:pt idx="3">
                    <c:v>35</c:v>
                  </c:pt>
                  <c:pt idx="4">
                    <c:v>34</c:v>
                  </c:pt>
                  <c:pt idx="5">
                    <c:v>35</c:v>
                  </c:pt>
                  <c:pt idx="6">
                    <c:v>34</c:v>
                  </c:pt>
                  <c:pt idx="7">
                    <c:v>34</c:v>
                  </c:pt>
                </c15:dlblRangeCache>
              </c15:datalabelsRange>
            </c:ext>
            <c:ext xmlns:c16="http://schemas.microsoft.com/office/drawing/2014/chart" uri="{C3380CC4-5D6E-409C-BE32-E72D297353CC}">
              <c16:uniqueId val="{0000001A-9E1C-4CA2-9047-86441120B22D}"/>
            </c:ext>
          </c:extLst>
        </c:ser>
        <c:ser>
          <c:idx val="3"/>
          <c:order val="3"/>
          <c:tx>
            <c:strRef>
              <c:f>Sheet2!$B$6:$C$6</c:f>
              <c:strCache>
                <c:ptCount val="2"/>
                <c:pt idx="0">
                  <c:v>Dabaszinātnes, matemātika un informācijas tehnoloģijas</c:v>
                </c:pt>
              </c:strCache>
            </c:strRef>
          </c:tx>
          <c:spPr>
            <a:solidFill>
              <a:schemeClr val="accent4"/>
            </a:solidFill>
            <a:ln>
              <a:noFill/>
            </a:ln>
            <a:effectLst/>
          </c:spPr>
          <c:invertIfNegative val="0"/>
          <c:dLbls>
            <c:dLbl>
              <c:idx val="0"/>
              <c:tx>
                <c:rich>
                  <a:bodyPr/>
                  <a:lstStyle/>
                  <a:p>
                    <a:fld id="{CD911099-038F-422B-A8B1-BA7D8503A645}"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9E1C-4CA2-9047-86441120B22D}"/>
                </c:ext>
              </c:extLst>
            </c:dLbl>
            <c:dLbl>
              <c:idx val="1"/>
              <c:tx>
                <c:rich>
                  <a:bodyPr/>
                  <a:lstStyle/>
                  <a:p>
                    <a:fld id="{0B908DB1-5206-4535-AE65-A42F91CAD955}"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9E1C-4CA2-9047-86441120B22D}"/>
                </c:ext>
              </c:extLst>
            </c:dLbl>
            <c:dLbl>
              <c:idx val="2"/>
              <c:tx>
                <c:rich>
                  <a:bodyPr/>
                  <a:lstStyle/>
                  <a:p>
                    <a:fld id="{EA9EF4ED-100F-4354-BE72-0D4A62CB288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9E1C-4CA2-9047-86441120B22D}"/>
                </c:ext>
              </c:extLst>
            </c:dLbl>
            <c:dLbl>
              <c:idx val="3"/>
              <c:tx>
                <c:rich>
                  <a:bodyPr/>
                  <a:lstStyle/>
                  <a:p>
                    <a:fld id="{B964CEF9-F2B5-4244-AB08-8B7F2E7F0E31}"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9E1C-4CA2-9047-86441120B22D}"/>
                </c:ext>
              </c:extLst>
            </c:dLbl>
            <c:dLbl>
              <c:idx val="4"/>
              <c:tx>
                <c:rich>
                  <a:bodyPr/>
                  <a:lstStyle/>
                  <a:p>
                    <a:fld id="{D5E828D6-1E89-476C-B064-B2C9FBD4A801}"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9E1C-4CA2-9047-86441120B22D}"/>
                </c:ext>
              </c:extLst>
            </c:dLbl>
            <c:dLbl>
              <c:idx val="5"/>
              <c:tx>
                <c:rich>
                  <a:bodyPr/>
                  <a:lstStyle/>
                  <a:p>
                    <a:fld id="{20F41B33-9753-41A9-8757-6323E89B0513}"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9E1C-4CA2-9047-86441120B22D}"/>
                </c:ext>
              </c:extLst>
            </c:dLbl>
            <c:dLbl>
              <c:idx val="6"/>
              <c:tx>
                <c:rich>
                  <a:bodyPr/>
                  <a:lstStyle/>
                  <a:p>
                    <a:fld id="{2049831A-1EBA-4D3B-82C5-FE4D91367BD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9E1C-4CA2-9047-86441120B22D}"/>
                </c:ext>
              </c:extLst>
            </c:dLbl>
            <c:dLbl>
              <c:idx val="7"/>
              <c:tx>
                <c:rich>
                  <a:bodyPr/>
                  <a:lstStyle/>
                  <a:p>
                    <a:fld id="{49F9C197-F5B9-4B72-BDA4-5B5BE65E2DE5}"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9E1C-4CA2-9047-86441120B22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(Sheet2!$D$2:$AO$2,Sheet2!$AS$2,Sheet2!$AW$2,Sheet2!$AZ$2,Sheet2!$BC$2:$BF$2)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(Sheet2!$D$6:$AO$6,Sheet2!$AS$6,Sheet2!$AW$6,Sheet2!$AZ$6,Sheet2!$BC$6:$BF$6)</c:f>
              <c:numCache>
                <c:formatCode>0.00</c:formatCode>
                <c:ptCount val="8"/>
                <c:pt idx="0">
                  <c:v>5.0682664460074474E-2</c:v>
                </c:pt>
                <c:pt idx="1">
                  <c:v>6.3198584202682567E-2</c:v>
                </c:pt>
                <c:pt idx="2">
                  <c:v>7.255001266143328E-2</c:v>
                </c:pt>
                <c:pt idx="3">
                  <c:v>6.7349137931034489E-2</c:v>
                </c:pt>
                <c:pt idx="4">
                  <c:v>7.9421844732528682E-2</c:v>
                </c:pt>
                <c:pt idx="5">
                  <c:v>8.5218380993028878E-2</c:v>
                </c:pt>
                <c:pt idx="6">
                  <c:v>0.10117943772717157</c:v>
                </c:pt>
                <c:pt idx="7">
                  <c:v>0.11459680163320858</c:v>
                </c:pt>
              </c:numCache>
              <c:extLst/>
            </c:numRef>
          </c:val>
          <c:extLst>
            <c:ext xmlns:c15="http://schemas.microsoft.com/office/drawing/2012/chart" uri="{02D57815-91ED-43cb-92C2-25804820EDAC}">
              <c15:datalabelsRange>
                <c15:f>Sheet1!$B$5:$S$5</c15:f>
                <c15:dlblRangeCache>
                  <c:ptCount val="8"/>
                  <c:pt idx="0">
                    <c:v>5</c:v>
                  </c:pt>
                  <c:pt idx="1">
                    <c:v>6</c:v>
                  </c:pt>
                  <c:pt idx="2">
                    <c:v>7</c:v>
                  </c:pt>
                  <c:pt idx="3">
                    <c:v>7</c:v>
                  </c:pt>
                  <c:pt idx="4">
                    <c:v>8</c:v>
                  </c:pt>
                  <c:pt idx="5">
                    <c:v>9</c:v>
                  </c:pt>
                  <c:pt idx="6">
                    <c:v>10</c:v>
                  </c:pt>
                  <c:pt idx="7">
                    <c:v>11</c:v>
                  </c:pt>
                </c15:dlblRangeCache>
              </c15:datalabelsRange>
            </c:ext>
            <c:ext xmlns:c16="http://schemas.microsoft.com/office/drawing/2014/chart" uri="{C3380CC4-5D6E-409C-BE32-E72D297353CC}">
              <c16:uniqueId val="{00000023-9E1C-4CA2-9047-86441120B22D}"/>
            </c:ext>
          </c:extLst>
        </c:ser>
        <c:ser>
          <c:idx val="4"/>
          <c:order val="4"/>
          <c:tx>
            <c:strRef>
              <c:f>Sheet2!$B$7:$C$7</c:f>
              <c:strCache>
                <c:ptCount val="2"/>
                <c:pt idx="0">
                  <c:v>Inženierzinātnes, ražošana un būvniecība</c:v>
                </c:pt>
              </c:strCache>
            </c:strRef>
          </c:tx>
          <c:spPr>
            <a:solidFill>
              <a:schemeClr val="accent5"/>
            </a:solidFill>
            <a:ln>
              <a:noFill/>
            </a:ln>
            <a:effectLst/>
          </c:spPr>
          <c:invertIfNegative val="0"/>
          <c:dLbls>
            <c:dLbl>
              <c:idx val="0"/>
              <c:tx>
                <c:rich>
                  <a:bodyPr/>
                  <a:lstStyle/>
                  <a:p>
                    <a:fld id="{EDE40060-DCD7-4CEB-A81F-AEAA0E1DEFFF}"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9E1C-4CA2-9047-86441120B22D}"/>
                </c:ext>
              </c:extLst>
            </c:dLbl>
            <c:dLbl>
              <c:idx val="1"/>
              <c:tx>
                <c:rich>
                  <a:bodyPr/>
                  <a:lstStyle/>
                  <a:p>
                    <a:fld id="{23603E81-DC4C-486D-AD4B-F0B5C2F2C54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9E1C-4CA2-9047-86441120B22D}"/>
                </c:ext>
              </c:extLst>
            </c:dLbl>
            <c:dLbl>
              <c:idx val="2"/>
              <c:tx>
                <c:rich>
                  <a:bodyPr/>
                  <a:lstStyle/>
                  <a:p>
                    <a:fld id="{DE2290E8-F678-48EA-98CE-5D8E80C91663}"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9E1C-4CA2-9047-86441120B22D}"/>
                </c:ext>
              </c:extLst>
            </c:dLbl>
            <c:dLbl>
              <c:idx val="3"/>
              <c:tx>
                <c:rich>
                  <a:bodyPr/>
                  <a:lstStyle/>
                  <a:p>
                    <a:fld id="{47698FA0-61AA-4984-98F7-82A18B49DD5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9E1C-4CA2-9047-86441120B22D}"/>
                </c:ext>
              </c:extLst>
            </c:dLbl>
            <c:dLbl>
              <c:idx val="4"/>
              <c:tx>
                <c:rich>
                  <a:bodyPr/>
                  <a:lstStyle/>
                  <a:p>
                    <a:fld id="{44F22717-EC59-41BE-8480-80321264A225}"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9E1C-4CA2-9047-86441120B22D}"/>
                </c:ext>
              </c:extLst>
            </c:dLbl>
            <c:dLbl>
              <c:idx val="5"/>
              <c:tx>
                <c:rich>
                  <a:bodyPr/>
                  <a:lstStyle/>
                  <a:p>
                    <a:fld id="{3EFDD6A6-86E3-4433-AA08-EF0B116F3B0A}"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9E1C-4CA2-9047-86441120B22D}"/>
                </c:ext>
              </c:extLst>
            </c:dLbl>
            <c:dLbl>
              <c:idx val="6"/>
              <c:tx>
                <c:rich>
                  <a:bodyPr/>
                  <a:lstStyle/>
                  <a:p>
                    <a:fld id="{CBF95871-607C-4C70-9321-A1B51C1D6F6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9E1C-4CA2-9047-86441120B22D}"/>
                </c:ext>
              </c:extLst>
            </c:dLbl>
            <c:dLbl>
              <c:idx val="7"/>
              <c:tx>
                <c:rich>
                  <a:bodyPr/>
                  <a:lstStyle/>
                  <a:p>
                    <a:fld id="{35D65A3E-C148-4C3E-A325-EA95BF4B8063}"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9E1C-4CA2-9047-86441120B22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(Sheet2!$D$2:$AO$2,Sheet2!$AS$2,Sheet2!$AW$2,Sheet2!$AZ$2,Sheet2!$BC$2:$BF$2)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(Sheet2!$D$7:$AO$7,Sheet2!$AS$7,Sheet2!$AW$7,Sheet2!$AZ$7,Sheet2!$BC$7:$BF$7)</c:f>
              <c:numCache>
                <c:formatCode>0.00</c:formatCode>
                <c:ptCount val="8"/>
                <c:pt idx="0">
                  <c:v>7.5879189077368639E-2</c:v>
                </c:pt>
                <c:pt idx="1">
                  <c:v>0.12439456035767511</c:v>
                </c:pt>
                <c:pt idx="2">
                  <c:v>0.12585464674601166</c:v>
                </c:pt>
                <c:pt idx="3">
                  <c:v>0.12446120689655173</c:v>
                </c:pt>
                <c:pt idx="4">
                  <c:v>0.1150350171360453</c:v>
                </c:pt>
                <c:pt idx="5">
                  <c:v>0.11039977237160335</c:v>
                </c:pt>
                <c:pt idx="6">
                  <c:v>9.9176618945182107E-2</c:v>
                </c:pt>
                <c:pt idx="7">
                  <c:v>0.10452534875808098</c:v>
                </c:pt>
              </c:numCache>
              <c:extLst/>
            </c:numRef>
          </c:val>
          <c:extLst>
            <c:ext xmlns:c15="http://schemas.microsoft.com/office/drawing/2012/chart" uri="{02D57815-91ED-43cb-92C2-25804820EDAC}">
              <c15:datalabelsRange>
                <c15:f>Sheet1!$B$6:$S$6</c15:f>
                <c15:dlblRangeCache>
                  <c:ptCount val="8"/>
                  <c:pt idx="0">
                    <c:v>8</c:v>
                  </c:pt>
                  <c:pt idx="1">
                    <c:v>12</c:v>
                  </c:pt>
                  <c:pt idx="2">
                    <c:v>13</c:v>
                  </c:pt>
                  <c:pt idx="3">
                    <c:v>12</c:v>
                  </c:pt>
                  <c:pt idx="4">
                    <c:v>12</c:v>
                  </c:pt>
                  <c:pt idx="5">
                    <c:v>11</c:v>
                  </c:pt>
                  <c:pt idx="6">
                    <c:v>10</c:v>
                  </c:pt>
                  <c:pt idx="7">
                    <c:v>10</c:v>
                  </c:pt>
                </c15:dlblRangeCache>
              </c15:datalabelsRange>
            </c:ext>
            <c:ext xmlns:c16="http://schemas.microsoft.com/office/drawing/2014/chart" uri="{C3380CC4-5D6E-409C-BE32-E72D297353CC}">
              <c16:uniqueId val="{0000002C-9E1C-4CA2-9047-86441120B22D}"/>
            </c:ext>
          </c:extLst>
        </c:ser>
        <c:ser>
          <c:idx val="5"/>
          <c:order val="5"/>
          <c:tx>
            <c:strRef>
              <c:f>Sheet2!$B$8:$C$8</c:f>
              <c:strCache>
                <c:ptCount val="2"/>
                <c:pt idx="0">
                  <c:v>Lauksaimniecība</c:v>
                </c:pt>
              </c:strCache>
            </c:strRef>
          </c:tx>
          <c:spPr>
            <a:solidFill>
              <a:schemeClr val="accent6"/>
            </a:solidFill>
            <a:ln>
              <a:noFill/>
            </a:ln>
            <a:effectLst/>
          </c:spPr>
          <c:invertIfNegative val="0"/>
          <c:dLbls>
            <c:delete val="1"/>
          </c:dLbls>
          <c:cat>
            <c:numRef>
              <c:f>(Sheet2!$D$2:$AO$2,Sheet2!$AS$2,Sheet2!$AW$2,Sheet2!$AZ$2,Sheet2!$BC$2:$BF$2)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(Sheet2!$D$8:$AO$8,Sheet2!$AS$8,Sheet2!$AW$8,Sheet2!$AZ$8,Sheet2!$BC$8:$BF$8)</c:f>
              <c:numCache>
                <c:formatCode>0.00</c:formatCode>
                <c:ptCount val="8"/>
                <c:pt idx="0">
                  <c:v>7.4472486553578817E-3</c:v>
                </c:pt>
                <c:pt idx="1">
                  <c:v>1.0758196721311475E-2</c:v>
                </c:pt>
                <c:pt idx="2">
                  <c:v>1.8548999746771336E-2</c:v>
                </c:pt>
                <c:pt idx="3">
                  <c:v>1.5086206896551725E-2</c:v>
                </c:pt>
                <c:pt idx="4">
                  <c:v>1.3485322604678886E-2</c:v>
                </c:pt>
                <c:pt idx="5">
                  <c:v>1.3799971546450419E-2</c:v>
                </c:pt>
                <c:pt idx="6">
                  <c:v>1.6096728729322749E-2</c:v>
                </c:pt>
                <c:pt idx="7">
                  <c:v>1.4766927526369513E-2</c:v>
                </c:pt>
              </c:numCache>
              <c:extLst/>
            </c:numRef>
          </c:val>
          <c:extLst>
            <c:ext xmlns:c16="http://schemas.microsoft.com/office/drawing/2014/chart" uri="{C3380CC4-5D6E-409C-BE32-E72D297353CC}">
              <c16:uniqueId val="{0000002D-9E1C-4CA2-9047-86441120B22D}"/>
            </c:ext>
          </c:extLst>
        </c:ser>
        <c:ser>
          <c:idx val="6"/>
          <c:order val="6"/>
          <c:tx>
            <c:strRef>
              <c:f>Sheet2!$B$9:$C$9</c:f>
              <c:strCache>
                <c:ptCount val="2"/>
                <c:pt idx="0">
                  <c:v>Veselības aprūpe un sociālā labklājība</c:v>
                </c:pt>
              </c:strCache>
            </c:strRef>
          </c:tx>
          <c:spPr>
            <a:solidFill>
              <a:schemeClr val="bg2">
                <a:lumMod val="75000"/>
              </a:schemeClr>
            </a:solidFill>
            <a:ln>
              <a:noFill/>
            </a:ln>
            <a:effectLst/>
          </c:spPr>
          <c:invertIfNegative val="0"/>
          <c:dLbls>
            <c:dLbl>
              <c:idx val="0"/>
              <c:tx>
                <c:rich>
                  <a:bodyPr/>
                  <a:lstStyle/>
                  <a:p>
                    <a:fld id="{26DD35B7-13BF-4F06-B8DC-8DCF7D9F3F39}"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E-9E1C-4CA2-9047-86441120B22D}"/>
                </c:ext>
              </c:extLst>
            </c:dLbl>
            <c:dLbl>
              <c:idx val="1"/>
              <c:tx>
                <c:rich>
                  <a:bodyPr/>
                  <a:lstStyle/>
                  <a:p>
                    <a:fld id="{2B47F121-6894-45ED-A1C1-AEBB7D85B4E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9E1C-4CA2-9047-86441120B22D}"/>
                </c:ext>
              </c:extLst>
            </c:dLbl>
            <c:dLbl>
              <c:idx val="2"/>
              <c:tx>
                <c:rich>
                  <a:bodyPr/>
                  <a:lstStyle/>
                  <a:p>
                    <a:fld id="{8F409145-669D-485F-86BF-A22584E6B188}"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9E1C-4CA2-9047-86441120B22D}"/>
                </c:ext>
              </c:extLst>
            </c:dLbl>
            <c:dLbl>
              <c:idx val="3"/>
              <c:tx>
                <c:rich>
                  <a:bodyPr/>
                  <a:lstStyle/>
                  <a:p>
                    <a:fld id="{EC1F74A0-5691-4826-A2CD-7686D253ECBA}"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9E1C-4CA2-9047-86441120B22D}"/>
                </c:ext>
              </c:extLst>
            </c:dLbl>
            <c:dLbl>
              <c:idx val="4"/>
              <c:tx>
                <c:rich>
                  <a:bodyPr/>
                  <a:lstStyle/>
                  <a:p>
                    <a:fld id="{69C8DA66-69FB-4A81-B21C-4332360F99C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9E1C-4CA2-9047-86441120B22D}"/>
                </c:ext>
              </c:extLst>
            </c:dLbl>
            <c:dLbl>
              <c:idx val="5"/>
              <c:tx>
                <c:rich>
                  <a:bodyPr/>
                  <a:lstStyle/>
                  <a:p>
                    <a:fld id="{F10BEDBD-D820-4290-939E-5F413F1F387A}"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9E1C-4CA2-9047-86441120B22D}"/>
                </c:ext>
              </c:extLst>
            </c:dLbl>
            <c:dLbl>
              <c:idx val="6"/>
              <c:tx>
                <c:rich>
                  <a:bodyPr/>
                  <a:lstStyle/>
                  <a:p>
                    <a:fld id="{903228F8-2904-4EAB-9E64-E3B855C0F839}"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9E1C-4CA2-9047-86441120B22D}"/>
                </c:ext>
              </c:extLst>
            </c:dLbl>
            <c:dLbl>
              <c:idx val="7"/>
              <c:tx>
                <c:rich>
                  <a:bodyPr/>
                  <a:lstStyle/>
                  <a:p>
                    <a:fld id="{1F186D4B-3B7D-4401-B1B4-35AC470FA86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9E1C-4CA2-9047-86441120B22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(Sheet2!$D$2:$AO$2,Sheet2!$AS$2,Sheet2!$AW$2,Sheet2!$AZ$2,Sheet2!$BC$2:$BF$2)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(Sheet2!$D$9:$AO$9,Sheet2!$AS$9,Sheet2!$AW$9,Sheet2!$AZ$9,Sheet2!$BC$9:$BF$9)</c:f>
              <c:numCache>
                <c:formatCode>0.00</c:formatCode>
                <c:ptCount val="8"/>
                <c:pt idx="0">
                  <c:v>7.9313198179561437E-2</c:v>
                </c:pt>
                <c:pt idx="1">
                  <c:v>0.10716281669150522</c:v>
                </c:pt>
                <c:pt idx="2">
                  <c:v>0.14256773866801722</c:v>
                </c:pt>
                <c:pt idx="3">
                  <c:v>0.18446928879310345</c:v>
                </c:pt>
                <c:pt idx="4">
                  <c:v>0.18842199374161825</c:v>
                </c:pt>
                <c:pt idx="5">
                  <c:v>0.19597382273438613</c:v>
                </c:pt>
                <c:pt idx="6">
                  <c:v>0.19931755804465545</c:v>
                </c:pt>
                <c:pt idx="7">
                  <c:v>0.19380741748894181</c:v>
                </c:pt>
              </c:numCache>
              <c:extLst/>
            </c:numRef>
          </c:val>
          <c:extLst>
            <c:ext xmlns:c15="http://schemas.microsoft.com/office/drawing/2012/chart" uri="{02D57815-91ED-43cb-92C2-25804820EDAC}">
              <c15:datalabelsRange>
                <c15:f>Sheet1!$B$8:$S$8</c15:f>
                <c15:dlblRangeCache>
                  <c:ptCount val="8"/>
                  <c:pt idx="0">
                    <c:v>8</c:v>
                  </c:pt>
                  <c:pt idx="1">
                    <c:v>11</c:v>
                  </c:pt>
                  <c:pt idx="2">
                    <c:v>14</c:v>
                  </c:pt>
                  <c:pt idx="3">
                    <c:v>18</c:v>
                  </c:pt>
                  <c:pt idx="4">
                    <c:v>19</c:v>
                  </c:pt>
                  <c:pt idx="5">
                    <c:v>20</c:v>
                  </c:pt>
                  <c:pt idx="6">
                    <c:v>20</c:v>
                  </c:pt>
                  <c:pt idx="7">
                    <c:v>19</c:v>
                  </c:pt>
                </c15:dlblRangeCache>
              </c15:datalabelsRange>
            </c:ext>
            <c:ext xmlns:c16="http://schemas.microsoft.com/office/drawing/2014/chart" uri="{C3380CC4-5D6E-409C-BE32-E72D297353CC}">
              <c16:uniqueId val="{00000036-9E1C-4CA2-9047-86441120B22D}"/>
            </c:ext>
          </c:extLst>
        </c:ser>
        <c:ser>
          <c:idx val="7"/>
          <c:order val="7"/>
          <c:tx>
            <c:strRef>
              <c:f>Sheet2!$B$10:$C$10</c:f>
              <c:strCache>
                <c:ptCount val="2"/>
                <c:pt idx="0">
                  <c:v>Pakalpojumi</c:v>
                </c:pt>
              </c:strCache>
            </c:strRef>
          </c:tx>
          <c:spPr>
            <a:solidFill>
              <a:schemeClr val="accent2">
                <a:lumMod val="60000"/>
                <a:lumOff val="40000"/>
              </a:schemeClr>
            </a:solidFill>
            <a:ln>
              <a:noFill/>
            </a:ln>
            <a:effectLst/>
          </c:spPr>
          <c:invertIfNegative val="0"/>
          <c:dLbls>
            <c:dLbl>
              <c:idx val="0"/>
              <c:tx>
                <c:rich>
                  <a:bodyPr/>
                  <a:lstStyle/>
                  <a:p>
                    <a:fld id="{7FE47D69-2940-435A-91C9-73A673CC6414}"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7-9E1C-4CA2-9047-86441120B22D}"/>
                </c:ext>
              </c:extLst>
            </c:dLbl>
            <c:dLbl>
              <c:idx val="1"/>
              <c:tx>
                <c:rich>
                  <a:bodyPr/>
                  <a:lstStyle/>
                  <a:p>
                    <a:fld id="{2E3AAA19-20CB-4C06-BB81-0648530D0AB6}"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9E1C-4CA2-9047-86441120B22D}"/>
                </c:ext>
              </c:extLst>
            </c:dLbl>
            <c:dLbl>
              <c:idx val="2"/>
              <c:tx>
                <c:rich>
                  <a:bodyPr/>
                  <a:lstStyle/>
                  <a:p>
                    <a:fld id="{A5766A5A-7D8D-4238-BF27-DCF5D7FD4043}"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9E1C-4CA2-9047-86441120B22D}"/>
                </c:ext>
              </c:extLst>
            </c:dLbl>
            <c:dLbl>
              <c:idx val="3"/>
              <c:tx>
                <c:rich>
                  <a:bodyPr/>
                  <a:lstStyle/>
                  <a:p>
                    <a:fld id="{FDF50732-B3A7-4914-A29C-E7D922D4BF1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9E1C-4CA2-9047-86441120B22D}"/>
                </c:ext>
              </c:extLst>
            </c:dLbl>
            <c:dLbl>
              <c:idx val="4"/>
              <c:tx>
                <c:rich>
                  <a:bodyPr/>
                  <a:lstStyle/>
                  <a:p>
                    <a:fld id="{4749E1C2-BDF2-49E4-8850-C43CD502C017}"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9E1C-4CA2-9047-86441120B22D}"/>
                </c:ext>
              </c:extLst>
            </c:dLbl>
            <c:dLbl>
              <c:idx val="5"/>
              <c:tx>
                <c:rich>
                  <a:bodyPr/>
                  <a:lstStyle/>
                  <a:p>
                    <a:fld id="{E2D3B927-953F-4CD9-BC2A-EA3FFF357EE6}"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9E1C-4CA2-9047-86441120B22D}"/>
                </c:ext>
              </c:extLst>
            </c:dLbl>
            <c:dLbl>
              <c:idx val="6"/>
              <c:tx>
                <c:rich>
                  <a:bodyPr/>
                  <a:lstStyle/>
                  <a:p>
                    <a:fld id="{73FB16D4-C182-4C6D-801E-431D85297802}"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9E1C-4CA2-9047-86441120B22D}"/>
                </c:ext>
              </c:extLst>
            </c:dLbl>
            <c:dLbl>
              <c:idx val="7"/>
              <c:tx>
                <c:rich>
                  <a:bodyPr/>
                  <a:lstStyle/>
                  <a:p>
                    <a:fld id="{A0DBCD1A-94F9-48F3-B208-38781DC45B2A}"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9E1C-4CA2-9047-86441120B22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(Sheet2!$D$2:$AO$2,Sheet2!$AS$2,Sheet2!$AW$2,Sheet2!$AZ$2,Sheet2!$BC$2:$BF$2)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(Sheet2!$D$10:$AO$10,Sheet2!$AS$10,Sheet2!$AW$10,Sheet2!$AZ$10,Sheet2!$BC$10:$BF$10)</c:f>
              <c:numCache>
                <c:formatCode>0.00</c:formatCode>
                <c:ptCount val="8"/>
                <c:pt idx="0">
                  <c:v>6.0322714108398845E-2</c:v>
                </c:pt>
                <c:pt idx="1">
                  <c:v>6.790238450074515E-2</c:v>
                </c:pt>
                <c:pt idx="2">
                  <c:v>8.6224360597619648E-2</c:v>
                </c:pt>
                <c:pt idx="3">
                  <c:v>9.0315193965517238E-2</c:v>
                </c:pt>
                <c:pt idx="4">
                  <c:v>8.2625540157949637E-2</c:v>
                </c:pt>
                <c:pt idx="5">
                  <c:v>7.7607056480295922E-2</c:v>
                </c:pt>
                <c:pt idx="6">
                  <c:v>7.3733402566575179E-2</c:v>
                </c:pt>
                <c:pt idx="7">
                  <c:v>7.1248724055801294E-2</c:v>
                </c:pt>
              </c:numCache>
              <c:extLst/>
            </c:numRef>
          </c:val>
          <c:extLst>
            <c:ext xmlns:c15="http://schemas.microsoft.com/office/drawing/2012/chart" uri="{02D57815-91ED-43cb-92C2-25804820EDAC}">
              <c15:datalabelsRange>
                <c15:f>Sheet1!$B$9:$S$9</c15:f>
                <c15:dlblRangeCache>
                  <c:ptCount val="8"/>
                  <c:pt idx="0">
                    <c:v>6</c:v>
                  </c:pt>
                  <c:pt idx="1">
                    <c:v>7</c:v>
                  </c:pt>
                  <c:pt idx="2">
                    <c:v>9</c:v>
                  </c:pt>
                  <c:pt idx="3">
                    <c:v>9</c:v>
                  </c:pt>
                  <c:pt idx="4">
                    <c:v>8</c:v>
                  </c:pt>
                  <c:pt idx="5">
                    <c:v>8</c:v>
                  </c:pt>
                  <c:pt idx="6">
                    <c:v>7</c:v>
                  </c:pt>
                  <c:pt idx="7">
                    <c:v>7</c:v>
                  </c:pt>
                </c15:dlblRangeCache>
              </c15:datalabelsRange>
            </c:ext>
            <c:ext xmlns:c16="http://schemas.microsoft.com/office/drawing/2014/chart" uri="{C3380CC4-5D6E-409C-BE32-E72D297353CC}">
              <c16:uniqueId val="{0000003F-9E1C-4CA2-9047-86441120B22D}"/>
            </c:ext>
          </c:extLst>
        </c:ser>
        <c:ser>
          <c:idx val="8"/>
          <c:order val="8"/>
          <c:tx>
            <c:strRef>
              <c:f>Sheet2!$B$11:$C$11</c:f>
              <c:strCache>
                <c:ptCount val="2"/>
                <c:pt idx="0">
                  <c:v>Citur neklasificētās tematiskās grupas</c:v>
                </c:pt>
              </c:strCache>
            </c:strRef>
          </c:tx>
          <c:spPr>
            <a:solidFill>
              <a:schemeClr val="accent3">
                <a:lumMod val="60000"/>
              </a:schemeClr>
            </a:solidFill>
            <a:ln>
              <a:noFill/>
            </a:ln>
            <a:effectLst/>
          </c:spPr>
          <c:invertIfNegative val="0"/>
          <c:dLbls>
            <c:delete val="1"/>
          </c:dLbls>
          <c:cat>
            <c:numRef>
              <c:f>(Sheet2!$D$2:$AO$2,Sheet2!$AS$2,Sheet2!$AW$2,Sheet2!$AZ$2,Sheet2!$BC$2:$BF$2)</c:f>
              <c:numCache>
                <c:formatCode>General</c:formatCode>
                <c:ptCount val="8"/>
                <c:pt idx="0">
                  <c:v>2008</c:v>
                </c:pt>
                <c:pt idx="1">
                  <c:v>2012</c:v>
                </c:pt>
                <c:pt idx="2">
                  <c:v>2016</c:v>
                </c:pt>
                <c:pt idx="3">
                  <c:v>2019</c:v>
                </c:pt>
                <c:pt idx="4">
                  <c:v>2022</c:v>
                </c:pt>
                <c:pt idx="5">
                  <c:v>2023</c:v>
                </c:pt>
                <c:pt idx="6">
                  <c:v>2024</c:v>
                </c:pt>
                <c:pt idx="7">
                  <c:v>2025</c:v>
                </c:pt>
              </c:numCache>
              <c:extLst/>
            </c:numRef>
          </c:cat>
          <c:val>
            <c:numRef>
              <c:f>(Sheet2!$D$11:$AO$11,Sheet2!$AS$11,Sheet2!$AW$11,Sheet2!$AZ$11,Sheet2!$BC$11:$BF$11)</c:f>
              <c:numCache>
                <c:formatCode>0.00</c:formatCode>
                <c:ptCount val="8"/>
                <c:pt idx="0">
                  <c:v>1.4067025237898222E-3</c:v>
                </c:pt>
                <c:pt idx="1">
                  <c:v>0</c:v>
                </c:pt>
                <c:pt idx="2">
                  <c:v>0</c:v>
                </c:pt>
                <c:pt idx="3">
                  <c:v>0</c:v>
                </c:pt>
                <c:pt idx="4">
                  <c:v>0</c:v>
                </c:pt>
                <c:pt idx="5">
                  <c:v>0</c:v>
                </c:pt>
                <c:pt idx="6">
                  <c:v>0</c:v>
                </c:pt>
                <c:pt idx="7">
                  <c:v>0</c:v>
                </c:pt>
              </c:numCache>
              <c:extLst/>
            </c:numRef>
          </c:val>
          <c:extLst>
            <c:ext xmlns:c16="http://schemas.microsoft.com/office/drawing/2014/chart" uri="{C3380CC4-5D6E-409C-BE32-E72D297353CC}">
              <c16:uniqueId val="{00000040-9E1C-4CA2-9047-86441120B22D}"/>
            </c:ext>
          </c:extLst>
        </c:ser>
        <c:dLbls>
          <c:dLblPos val="ctr"/>
          <c:showLegendKey val="0"/>
          <c:showVal val="1"/>
          <c:showCatName val="0"/>
          <c:showSerName val="0"/>
          <c:showPercent val="0"/>
          <c:showBubbleSize val="0"/>
        </c:dLbls>
        <c:gapWidth val="77"/>
        <c:overlap val="100"/>
        <c:axId val="926829439"/>
        <c:axId val="926831359"/>
      </c:barChart>
      <c:catAx>
        <c:axId val="926829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crossAx val="926831359"/>
        <c:crosses val="autoZero"/>
        <c:auto val="1"/>
        <c:lblAlgn val="ctr"/>
        <c:lblOffset val="100"/>
        <c:noMultiLvlLbl val="0"/>
      </c:catAx>
      <c:valAx>
        <c:axId val="926831359"/>
        <c:scaling>
          <c:orientation val="minMax"/>
          <c:max val="1"/>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crossAx val="926829439"/>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3790778137209829"/>
          <c:y val="2.9322738259412468E-2"/>
          <c:w val="3.6856226305045203E-2"/>
          <c:h val="6.1313601603974706E-2"/>
        </c:manualLayout>
      </c:layout>
      <c:barChart>
        <c:barDir val="col"/>
        <c:grouping val="percentStacked"/>
        <c:varyColors val="0"/>
        <c:ser>
          <c:idx val="0"/>
          <c:order val="0"/>
          <c:tx>
            <c:strRef>
              <c:f>Sheet1!$A$2</c:f>
              <c:strCache>
                <c:ptCount val="1"/>
                <c:pt idx="0">
                  <c:v>Izglītība</c:v>
                </c:pt>
              </c:strCache>
            </c:strRef>
          </c:tx>
          <c:invertIfNegative val="0"/>
          <c:val>
            <c:numRef>
              <c:f>(Sheet1!$B$2;Sheet1!$D$2;Sheet1!$G$2)</c:f>
              <c:numCache>
                <c:formatCode>0.0</c:formatCode>
                <c:ptCount val="3"/>
                <c:pt idx="0">
                  <c:v>10.314439387670667</c:v>
                </c:pt>
                <c:pt idx="1">
                  <c:v>8.3104162742512706</c:v>
                </c:pt>
                <c:pt idx="2">
                  <c:v>7.487274409995373</c:v>
                </c:pt>
              </c:numCache>
            </c:numRef>
          </c:val>
          <c:extLst>
            <c:ext xmlns:c15="http://schemas.microsoft.com/office/drawing/2012/chart" uri="{02D57815-91ED-43cb-92C2-25804820EDAC}">
              <c15:filteredCategoryTitle>
                <c15:cat>
                  <c:numRef>
                    <c:extLst>
                      <c:ext uri="{02D57815-91ED-43cb-92C2-25804820EDAC}">
                        <c15:formulaRef>
                          <c15:sqref>(Sheet1!$B$1;Sheet1!$D$1;Sheet1!$G$1)</c15:sqref>
                        </c15:formulaRef>
                      </c:ext>
                    </c:extLst>
                    <c:numCache>
                      <c:formatCode>General</c:formatCode>
                      <c:ptCount val="3"/>
                      <c:pt idx="0">
                        <c:v>2008</c:v>
                      </c:pt>
                      <c:pt idx="1">
                        <c:v>2010</c:v>
                      </c:pt>
                      <c:pt idx="2">
                        <c:v>2013</c:v>
                      </c:pt>
                    </c:numCache>
                  </c:numRef>
                </c15:cat>
              </c15:filteredCategoryTitle>
            </c:ext>
            <c:ext xmlns:c16="http://schemas.microsoft.com/office/drawing/2014/chart" uri="{C3380CC4-5D6E-409C-BE32-E72D297353CC}">
              <c16:uniqueId val="{00000000-8991-42AD-A02F-7B9DF58BDDCB}"/>
            </c:ext>
          </c:extLst>
        </c:ser>
        <c:ser>
          <c:idx val="1"/>
          <c:order val="1"/>
          <c:tx>
            <c:strRef>
              <c:f>Sheet1!$A$3</c:f>
              <c:strCache>
                <c:ptCount val="1"/>
                <c:pt idx="0">
                  <c:v>Humanitārās zinātnes un māksla</c:v>
                </c:pt>
              </c:strCache>
            </c:strRef>
          </c:tx>
          <c:invertIfNegative val="0"/>
          <c:val>
            <c:numRef>
              <c:f>(Sheet1!$B$3;Sheet1!$D$3;Sheet1!$G$3)</c:f>
              <c:numCache>
                <c:formatCode>0.0</c:formatCode>
                <c:ptCount val="3"/>
                <c:pt idx="0">
                  <c:v>7.1452213487794793</c:v>
                </c:pt>
                <c:pt idx="1">
                  <c:v>7.2216990016952352</c:v>
                </c:pt>
                <c:pt idx="2">
                  <c:v>8.2415548357242017</c:v>
                </c:pt>
              </c:numCache>
            </c:numRef>
          </c:val>
          <c:extLst>
            <c:ext xmlns:c15="http://schemas.microsoft.com/office/drawing/2012/chart" uri="{02D57815-91ED-43cb-92C2-25804820EDAC}">
              <c15:filteredCategoryTitle>
                <c15:cat>
                  <c:numRef>
                    <c:extLst>
                      <c:ext uri="{02D57815-91ED-43cb-92C2-25804820EDAC}">
                        <c15:formulaRef>
                          <c15:sqref>(Sheet1!$B$1;Sheet1!$D$1;Sheet1!$G$1)</c15:sqref>
                        </c15:formulaRef>
                      </c:ext>
                    </c:extLst>
                    <c:numCache>
                      <c:formatCode>General</c:formatCode>
                      <c:ptCount val="3"/>
                      <c:pt idx="0">
                        <c:v>2008</c:v>
                      </c:pt>
                      <c:pt idx="1">
                        <c:v>2010</c:v>
                      </c:pt>
                      <c:pt idx="2">
                        <c:v>2013</c:v>
                      </c:pt>
                    </c:numCache>
                  </c:numRef>
                </c15:cat>
              </c15:filteredCategoryTitle>
            </c:ext>
            <c:ext xmlns:c16="http://schemas.microsoft.com/office/drawing/2014/chart" uri="{C3380CC4-5D6E-409C-BE32-E72D297353CC}">
              <c16:uniqueId val="{00000001-8991-42AD-A02F-7B9DF58BDDCB}"/>
            </c:ext>
          </c:extLst>
        </c:ser>
        <c:ser>
          <c:idx val="2"/>
          <c:order val="2"/>
          <c:tx>
            <c:strRef>
              <c:f>Sheet1!$A$4</c:f>
              <c:strCache>
                <c:ptCount val="1"/>
                <c:pt idx="0">
                  <c:v>Sociālās zinātnes, komerczinības un tiesības</c:v>
                </c:pt>
              </c:strCache>
            </c:strRef>
          </c:tx>
          <c:invertIfNegative val="0"/>
          <c:val>
            <c:numRef>
              <c:f>(Sheet1!$B$4;Sheet1!$D$4;Sheet1!$G$4)</c:f>
              <c:numCache>
                <c:formatCode>0.0</c:formatCode>
                <c:ptCount val="3"/>
                <c:pt idx="0">
                  <c:v>55.035167563094745</c:v>
                </c:pt>
                <c:pt idx="1">
                  <c:v>54.311546430589566</c:v>
                </c:pt>
                <c:pt idx="2">
                  <c:v>39.861175381767701</c:v>
                </c:pt>
              </c:numCache>
            </c:numRef>
          </c:val>
          <c:extLst>
            <c:ext xmlns:c15="http://schemas.microsoft.com/office/drawing/2012/chart" uri="{02D57815-91ED-43cb-92C2-25804820EDAC}">
              <c15:filteredCategoryTitle>
                <c15:cat>
                  <c:numRef>
                    <c:extLst>
                      <c:ext uri="{02D57815-91ED-43cb-92C2-25804820EDAC}">
                        <c15:formulaRef>
                          <c15:sqref>(Sheet1!$B$1;Sheet1!$D$1;Sheet1!$G$1)</c15:sqref>
                        </c15:formulaRef>
                      </c:ext>
                    </c:extLst>
                    <c:numCache>
                      <c:formatCode>General</c:formatCode>
                      <c:ptCount val="3"/>
                      <c:pt idx="0">
                        <c:v>2008</c:v>
                      </c:pt>
                      <c:pt idx="1">
                        <c:v>2010</c:v>
                      </c:pt>
                      <c:pt idx="2">
                        <c:v>2013</c:v>
                      </c:pt>
                    </c:numCache>
                  </c:numRef>
                </c15:cat>
              </c15:filteredCategoryTitle>
            </c:ext>
            <c:ext xmlns:c16="http://schemas.microsoft.com/office/drawing/2014/chart" uri="{C3380CC4-5D6E-409C-BE32-E72D297353CC}">
              <c16:uniqueId val="{00000002-8991-42AD-A02F-7B9DF58BDDCB}"/>
            </c:ext>
          </c:extLst>
        </c:ser>
        <c:ser>
          <c:idx val="3"/>
          <c:order val="3"/>
          <c:tx>
            <c:strRef>
              <c:f>Sheet1!$A$5</c:f>
              <c:strCache>
                <c:ptCount val="1"/>
                <c:pt idx="0">
                  <c:v>Dabas zinātnes, matemātika un informācijas tehnoloģijas</c:v>
                </c:pt>
              </c:strCache>
            </c:strRef>
          </c:tx>
          <c:invertIfNegative val="0"/>
          <c:val>
            <c:numRef>
              <c:f>(Sheet1!$B$5;Sheet1!$D$5;Sheet1!$G$5)</c:f>
              <c:numCache>
                <c:formatCode>0.0</c:formatCode>
                <c:ptCount val="3"/>
                <c:pt idx="0">
                  <c:v>5.0682664460074474</c:v>
                </c:pt>
                <c:pt idx="1">
                  <c:v>5.0329628932002262</c:v>
                </c:pt>
                <c:pt idx="2">
                  <c:v>5.9602036094400743</c:v>
                </c:pt>
              </c:numCache>
            </c:numRef>
          </c:val>
          <c:extLst>
            <c:ext xmlns:c15="http://schemas.microsoft.com/office/drawing/2012/chart" uri="{02D57815-91ED-43cb-92C2-25804820EDAC}">
              <c15:filteredCategoryTitle>
                <c15:cat>
                  <c:numRef>
                    <c:extLst>
                      <c:ext uri="{02D57815-91ED-43cb-92C2-25804820EDAC}">
                        <c15:formulaRef>
                          <c15:sqref>(Sheet1!$B$1;Sheet1!$D$1;Sheet1!$G$1)</c15:sqref>
                        </c15:formulaRef>
                      </c:ext>
                    </c:extLst>
                    <c:numCache>
                      <c:formatCode>General</c:formatCode>
                      <c:ptCount val="3"/>
                      <c:pt idx="0">
                        <c:v>2008</c:v>
                      </c:pt>
                      <c:pt idx="1">
                        <c:v>2010</c:v>
                      </c:pt>
                      <c:pt idx="2">
                        <c:v>2013</c:v>
                      </c:pt>
                    </c:numCache>
                  </c:numRef>
                </c15:cat>
              </c15:filteredCategoryTitle>
            </c:ext>
            <c:ext xmlns:c16="http://schemas.microsoft.com/office/drawing/2014/chart" uri="{C3380CC4-5D6E-409C-BE32-E72D297353CC}">
              <c16:uniqueId val="{00000003-8991-42AD-A02F-7B9DF58BDDCB}"/>
            </c:ext>
          </c:extLst>
        </c:ser>
        <c:ser>
          <c:idx val="4"/>
          <c:order val="4"/>
          <c:tx>
            <c:strRef>
              <c:f>Sheet1!$A$6</c:f>
              <c:strCache>
                <c:ptCount val="1"/>
                <c:pt idx="0">
                  <c:v>Inženierzinātnes, ražošana  un būvniecība</c:v>
                </c:pt>
              </c:strCache>
            </c:strRef>
          </c:tx>
          <c:invertIfNegative val="0"/>
          <c:val>
            <c:numRef>
              <c:f>(Sheet1!$B$6;Sheet1!$D$6;Sheet1!$G$6)</c:f>
              <c:numCache>
                <c:formatCode>0.0</c:formatCode>
                <c:ptCount val="3"/>
                <c:pt idx="0">
                  <c:v>7.5879189077368636</c:v>
                </c:pt>
                <c:pt idx="1">
                  <c:v>9.2861179129779625</c:v>
                </c:pt>
                <c:pt idx="2">
                  <c:v>11.943544655252198</c:v>
                </c:pt>
              </c:numCache>
            </c:numRef>
          </c:val>
          <c:extLst>
            <c:ext xmlns:c15="http://schemas.microsoft.com/office/drawing/2012/chart" uri="{02D57815-91ED-43cb-92C2-25804820EDAC}">
              <c15:filteredCategoryTitle>
                <c15:cat>
                  <c:numRef>
                    <c:extLst>
                      <c:ext uri="{02D57815-91ED-43cb-92C2-25804820EDAC}">
                        <c15:formulaRef>
                          <c15:sqref>(Sheet1!$B$1;Sheet1!$D$1;Sheet1!$G$1)</c15:sqref>
                        </c15:formulaRef>
                      </c:ext>
                    </c:extLst>
                    <c:numCache>
                      <c:formatCode>General</c:formatCode>
                      <c:ptCount val="3"/>
                      <c:pt idx="0">
                        <c:v>2008</c:v>
                      </c:pt>
                      <c:pt idx="1">
                        <c:v>2010</c:v>
                      </c:pt>
                      <c:pt idx="2">
                        <c:v>2013</c:v>
                      </c:pt>
                    </c:numCache>
                  </c:numRef>
                </c15:cat>
              </c15:filteredCategoryTitle>
            </c:ext>
            <c:ext xmlns:c16="http://schemas.microsoft.com/office/drawing/2014/chart" uri="{C3380CC4-5D6E-409C-BE32-E72D297353CC}">
              <c16:uniqueId val="{00000004-8991-42AD-A02F-7B9DF58BDDCB}"/>
            </c:ext>
          </c:extLst>
        </c:ser>
        <c:ser>
          <c:idx val="5"/>
          <c:order val="5"/>
          <c:tx>
            <c:strRef>
              <c:f>Sheet1!$A$7</c:f>
              <c:strCache>
                <c:ptCount val="1"/>
                <c:pt idx="0">
                  <c:v>Lauksaimniecība</c:v>
                </c:pt>
              </c:strCache>
            </c:strRef>
          </c:tx>
          <c:invertIfNegative val="0"/>
          <c:val>
            <c:numRef>
              <c:f>(Sheet1!$B$7;Sheet1!$D$7;Sheet1!$G$7)</c:f>
              <c:numCache>
                <c:formatCode>0.0</c:formatCode>
                <c:ptCount val="3"/>
                <c:pt idx="0">
                  <c:v>0.74472486553578821</c:v>
                </c:pt>
                <c:pt idx="1">
                  <c:v>0.86268600489734415</c:v>
                </c:pt>
                <c:pt idx="2">
                  <c:v>1.073577047663119</c:v>
                </c:pt>
              </c:numCache>
            </c:numRef>
          </c:val>
          <c:extLst>
            <c:ext xmlns:c15="http://schemas.microsoft.com/office/drawing/2012/chart" uri="{02D57815-91ED-43cb-92C2-25804820EDAC}">
              <c15:filteredCategoryTitle>
                <c15:cat>
                  <c:numRef>
                    <c:extLst>
                      <c:ext uri="{02D57815-91ED-43cb-92C2-25804820EDAC}">
                        <c15:formulaRef>
                          <c15:sqref>(Sheet1!$B$1;Sheet1!$D$1;Sheet1!$G$1)</c15:sqref>
                        </c15:formulaRef>
                      </c:ext>
                    </c:extLst>
                    <c:numCache>
                      <c:formatCode>General</c:formatCode>
                      <c:ptCount val="3"/>
                      <c:pt idx="0">
                        <c:v>2008</c:v>
                      </c:pt>
                      <c:pt idx="1">
                        <c:v>2010</c:v>
                      </c:pt>
                      <c:pt idx="2">
                        <c:v>2013</c:v>
                      </c:pt>
                    </c:numCache>
                  </c:numRef>
                </c15:cat>
              </c15:filteredCategoryTitle>
            </c:ext>
            <c:ext xmlns:c16="http://schemas.microsoft.com/office/drawing/2014/chart" uri="{C3380CC4-5D6E-409C-BE32-E72D297353CC}">
              <c16:uniqueId val="{00000005-8991-42AD-A02F-7B9DF58BDDCB}"/>
            </c:ext>
          </c:extLst>
        </c:ser>
        <c:ser>
          <c:idx val="6"/>
          <c:order val="6"/>
          <c:tx>
            <c:strRef>
              <c:f>Sheet1!$A$8</c:f>
              <c:strCache>
                <c:ptCount val="1"/>
                <c:pt idx="0">
                  <c:v>Veselības aprūpe un sociālā labklājība</c:v>
                </c:pt>
              </c:strCache>
            </c:strRef>
          </c:tx>
          <c:spPr>
            <a:solidFill>
              <a:schemeClr val="bg2">
                <a:lumMod val="75000"/>
              </a:schemeClr>
            </a:solidFill>
          </c:spPr>
          <c:invertIfNegative val="0"/>
          <c:val>
            <c:numRef>
              <c:f>(Sheet1!$B$8;Sheet1!$D$8;Sheet1!$G$8)</c:f>
              <c:numCache>
                <c:formatCode>0.0</c:formatCode>
                <c:ptCount val="3"/>
                <c:pt idx="0">
                  <c:v>7.9313198179561439</c:v>
                </c:pt>
                <c:pt idx="1">
                  <c:v>9.2522132228291589</c:v>
                </c:pt>
                <c:pt idx="2">
                  <c:v>18.232299861175385</c:v>
                </c:pt>
              </c:numCache>
            </c:numRef>
          </c:val>
          <c:extLst>
            <c:ext xmlns:c15="http://schemas.microsoft.com/office/drawing/2012/chart" uri="{02D57815-91ED-43cb-92C2-25804820EDAC}">
              <c15:filteredCategoryTitle>
                <c15:cat>
                  <c:numRef>
                    <c:extLst>
                      <c:ext uri="{02D57815-91ED-43cb-92C2-25804820EDAC}">
                        <c15:formulaRef>
                          <c15:sqref>(Sheet1!$B$1;Sheet1!$D$1;Sheet1!$G$1)</c15:sqref>
                        </c15:formulaRef>
                      </c:ext>
                    </c:extLst>
                    <c:numCache>
                      <c:formatCode>General</c:formatCode>
                      <c:ptCount val="3"/>
                      <c:pt idx="0">
                        <c:v>2008</c:v>
                      </c:pt>
                      <c:pt idx="1">
                        <c:v>2010</c:v>
                      </c:pt>
                      <c:pt idx="2">
                        <c:v>2013</c:v>
                      </c:pt>
                    </c:numCache>
                  </c:numRef>
                </c15:cat>
              </c15:filteredCategoryTitle>
            </c:ext>
            <c:ext xmlns:c16="http://schemas.microsoft.com/office/drawing/2014/chart" uri="{C3380CC4-5D6E-409C-BE32-E72D297353CC}">
              <c16:uniqueId val="{00000006-8991-42AD-A02F-7B9DF58BDDCB}"/>
            </c:ext>
          </c:extLst>
        </c:ser>
        <c:ser>
          <c:idx val="7"/>
          <c:order val="7"/>
          <c:tx>
            <c:strRef>
              <c:f>Sheet1!$A$9</c:f>
              <c:strCache>
                <c:ptCount val="1"/>
                <c:pt idx="0">
                  <c:v>Pakalpojumi</c:v>
                </c:pt>
              </c:strCache>
            </c:strRef>
          </c:tx>
          <c:invertIfNegative val="0"/>
          <c:val>
            <c:numRef>
              <c:f>(Sheet1!$B$9;Sheet1!$D$9;Sheet1!$G$9)</c:f>
              <c:numCache>
                <c:formatCode>0.0</c:formatCode>
                <c:ptCount val="3"/>
                <c:pt idx="0">
                  <c:v>6.0322714108398845</c:v>
                </c:pt>
                <c:pt idx="1">
                  <c:v>5.6507816914673192</c:v>
                </c:pt>
                <c:pt idx="2">
                  <c:v>7.2003701989819522</c:v>
                </c:pt>
              </c:numCache>
            </c:numRef>
          </c:val>
          <c:extLst>
            <c:ext xmlns:c15="http://schemas.microsoft.com/office/drawing/2012/chart" uri="{02D57815-91ED-43cb-92C2-25804820EDAC}">
              <c15:filteredCategoryTitle>
                <c15:cat>
                  <c:numRef>
                    <c:extLst>
                      <c:ext uri="{02D57815-91ED-43cb-92C2-25804820EDAC}">
                        <c15:formulaRef>
                          <c15:sqref>(Sheet1!$B$1;Sheet1!$D$1;Sheet1!$G$1)</c15:sqref>
                        </c15:formulaRef>
                      </c:ext>
                    </c:extLst>
                    <c:numCache>
                      <c:formatCode>General</c:formatCode>
                      <c:ptCount val="3"/>
                      <c:pt idx="0">
                        <c:v>2008</c:v>
                      </c:pt>
                      <c:pt idx="1">
                        <c:v>2010</c:v>
                      </c:pt>
                      <c:pt idx="2">
                        <c:v>2013</c:v>
                      </c:pt>
                    </c:numCache>
                  </c:numRef>
                </c15:cat>
              </c15:filteredCategoryTitle>
            </c:ext>
            <c:ext xmlns:c16="http://schemas.microsoft.com/office/drawing/2014/chart" uri="{C3380CC4-5D6E-409C-BE32-E72D297353CC}">
              <c16:uniqueId val="{00000007-8991-42AD-A02F-7B9DF58BDDCB}"/>
            </c:ext>
          </c:extLst>
        </c:ser>
        <c:dLbls>
          <c:showLegendKey val="0"/>
          <c:showVal val="0"/>
          <c:showCatName val="0"/>
          <c:showSerName val="0"/>
          <c:showPercent val="0"/>
          <c:showBubbleSize val="0"/>
        </c:dLbls>
        <c:gapWidth val="40"/>
        <c:overlap val="100"/>
        <c:axId val="742095384"/>
        <c:axId val="742089896"/>
      </c:barChart>
      <c:catAx>
        <c:axId val="742095384"/>
        <c:scaling>
          <c:orientation val="minMax"/>
        </c:scaling>
        <c:delete val="1"/>
        <c:axPos val="b"/>
        <c:numFmt formatCode="General" sourceLinked="1"/>
        <c:majorTickMark val="out"/>
        <c:minorTickMark val="none"/>
        <c:tickLblPos val="nextTo"/>
        <c:crossAx val="742089896"/>
        <c:crosses val="autoZero"/>
        <c:auto val="1"/>
        <c:lblAlgn val="ctr"/>
        <c:lblOffset val="100"/>
        <c:noMultiLvlLbl val="0"/>
      </c:catAx>
      <c:valAx>
        <c:axId val="742089896"/>
        <c:scaling>
          <c:orientation val="minMax"/>
        </c:scaling>
        <c:delete val="1"/>
        <c:axPos val="l"/>
        <c:numFmt formatCode="0%" sourceLinked="1"/>
        <c:majorTickMark val="out"/>
        <c:minorTickMark val="none"/>
        <c:tickLblPos val="nextTo"/>
        <c:crossAx val="742095384"/>
        <c:crosses val="autoZero"/>
        <c:crossBetween val="between"/>
        <c:majorUnit val="0.2"/>
      </c:valAx>
    </c:plotArea>
    <c:legend>
      <c:legendPos val="r"/>
      <c:layout>
        <c:manualLayout>
          <c:xMode val="edge"/>
          <c:yMode val="edge"/>
          <c:x val="1.1177419070439032E-2"/>
          <c:y val="5.5276440126200517E-3"/>
          <c:w val="0.98661750386451774"/>
          <c:h val="0.95432585315324792"/>
        </c:manualLayout>
      </c:layout>
      <c:overlay val="0"/>
      <c:spPr>
        <a:solidFill>
          <a:schemeClr val="bg1"/>
        </a:solidFill>
      </c:spPr>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4077040085898354"/>
          <c:y val="3.3982594280978037E-2"/>
          <c:w val="0.42696303587051615"/>
          <c:h val="0.84898281422555189"/>
        </c:manualLayout>
      </c:layout>
      <c:barChart>
        <c:barDir val="bar"/>
        <c:grouping val="stacked"/>
        <c:varyColors val="0"/>
        <c:ser>
          <c:idx val="0"/>
          <c:order val="0"/>
          <c:tx>
            <c:strRef>
              <c:f>Sheet1!$C$1</c:f>
              <c:strCache>
                <c:ptCount val="1"/>
                <c:pt idx="0">
                  <c:v>Par budžeta līdzekļiem</c:v>
                </c:pt>
              </c:strCache>
            </c:strRef>
          </c:tx>
          <c:spPr>
            <a:solidFill>
              <a:srgbClr val="4BACC6">
                <a:lumMod val="50000"/>
              </a:srgbClr>
            </a:solidFill>
            <a:ln>
              <a:noFill/>
            </a:ln>
          </c:spPr>
          <c:invertIfNegative val="0"/>
          <c:cat>
            <c:strRef>
              <c:f>Sheet1!$B$2:$B$9</c:f>
              <c:strCache>
                <c:ptCount val="8"/>
                <c:pt idx="0">
                  <c:v>Pakalpojumi</c:v>
                </c:pt>
                <c:pt idx="1">
                  <c:v>Veselības aprūpe un sociālā labklājība</c:v>
                </c:pt>
                <c:pt idx="2">
                  <c:v>Lauksaimniecība</c:v>
                </c:pt>
                <c:pt idx="3">
                  <c:v>Inženierzinātnes, ražošana un būvniecība</c:v>
                </c:pt>
                <c:pt idx="4">
                  <c:v>Dabaszinātnes, matemātika un informācijas tehnoloģijas</c:v>
                </c:pt>
                <c:pt idx="5">
                  <c:v>Sociālās zinātnes, komerczinības un tiesības</c:v>
                </c:pt>
                <c:pt idx="6">
                  <c:v>Humanitārās zinātnes un mākslas</c:v>
                </c:pt>
                <c:pt idx="7">
                  <c:v>Izglītība</c:v>
                </c:pt>
              </c:strCache>
            </c:strRef>
          </c:cat>
          <c:val>
            <c:numRef>
              <c:f>Sheet1!$C$2:$C$9</c:f>
              <c:numCache>
                <c:formatCode>General</c:formatCode>
                <c:ptCount val="8"/>
                <c:pt idx="0">
                  <c:v>1.909</c:v>
                </c:pt>
                <c:pt idx="1">
                  <c:v>7.4050000000000002</c:v>
                </c:pt>
                <c:pt idx="2">
                  <c:v>0.76800000000000002</c:v>
                </c:pt>
                <c:pt idx="3">
                  <c:v>6.2220000000000004</c:v>
                </c:pt>
                <c:pt idx="4">
                  <c:v>4.7969999999999997</c:v>
                </c:pt>
                <c:pt idx="5">
                  <c:v>4.3049999999999997</c:v>
                </c:pt>
                <c:pt idx="6">
                  <c:v>3.34</c:v>
                </c:pt>
                <c:pt idx="7">
                  <c:v>2.8889999999999998</c:v>
                </c:pt>
              </c:numCache>
            </c:numRef>
          </c:val>
          <c:extLst>
            <c:ext xmlns:c16="http://schemas.microsoft.com/office/drawing/2014/chart" uri="{C3380CC4-5D6E-409C-BE32-E72D297353CC}">
              <c16:uniqueId val="{00000000-D46E-40DB-88B9-5A312A4772A3}"/>
            </c:ext>
          </c:extLst>
        </c:ser>
        <c:ser>
          <c:idx val="1"/>
          <c:order val="1"/>
          <c:tx>
            <c:strRef>
              <c:f>Sheet1!$D$1</c:f>
              <c:strCache>
                <c:ptCount val="1"/>
                <c:pt idx="0">
                  <c:v>Par maksu</c:v>
                </c:pt>
              </c:strCache>
            </c:strRef>
          </c:tx>
          <c:spPr>
            <a:solidFill>
              <a:srgbClr val="4BACC6">
                <a:lumMod val="40000"/>
                <a:lumOff val="60000"/>
              </a:srgbClr>
            </a:solidFill>
          </c:spPr>
          <c:invertIfNegative val="0"/>
          <c:val>
            <c:numRef>
              <c:f>Sheet1!$D$2:$D$9</c:f>
              <c:numCache>
                <c:formatCode>General</c:formatCode>
                <c:ptCount val="8"/>
                <c:pt idx="0">
                  <c:v>3.0249999999999999</c:v>
                </c:pt>
                <c:pt idx="1">
                  <c:v>7.1050000000000004</c:v>
                </c:pt>
                <c:pt idx="2">
                  <c:v>0.65700000000000003</c:v>
                </c:pt>
                <c:pt idx="3">
                  <c:v>3.3980000000000001</c:v>
                </c:pt>
                <c:pt idx="4">
                  <c:v>4.0449999999999999</c:v>
                </c:pt>
                <c:pt idx="5">
                  <c:v>22.138000000000002</c:v>
                </c:pt>
                <c:pt idx="6">
                  <c:v>2.1779999999999999</c:v>
                </c:pt>
                <c:pt idx="7">
                  <c:v>2.2029999999999998</c:v>
                </c:pt>
              </c:numCache>
            </c:numRef>
          </c:val>
          <c:extLst>
            <c:ext xmlns:c16="http://schemas.microsoft.com/office/drawing/2014/chart" uri="{C3380CC4-5D6E-409C-BE32-E72D297353CC}">
              <c16:uniqueId val="{00000001-D46E-40DB-88B9-5A312A4772A3}"/>
            </c:ext>
          </c:extLst>
        </c:ser>
        <c:dLbls>
          <c:showLegendKey val="0"/>
          <c:showVal val="0"/>
          <c:showCatName val="0"/>
          <c:showSerName val="0"/>
          <c:showPercent val="0"/>
          <c:showBubbleSize val="0"/>
        </c:dLbls>
        <c:gapWidth val="40"/>
        <c:overlap val="100"/>
        <c:axId val="742090288"/>
        <c:axId val="742087152"/>
      </c:barChart>
      <c:catAx>
        <c:axId val="742090288"/>
        <c:scaling>
          <c:orientation val="minMax"/>
        </c:scaling>
        <c:delete val="0"/>
        <c:axPos val="l"/>
        <c:numFmt formatCode="General" sourceLinked="1"/>
        <c:majorTickMark val="out"/>
        <c:minorTickMark val="none"/>
        <c:tickLblPos val="nextTo"/>
        <c:spPr>
          <a:ln w="3175"/>
        </c:spPr>
        <c:txPr>
          <a:bodyPr rot="0" vert="horz"/>
          <a:lstStyle/>
          <a:p>
            <a:pPr>
              <a:defRPr sz="800"/>
            </a:pPr>
            <a:endParaRPr lang="en-US"/>
          </a:p>
        </c:txPr>
        <c:crossAx val="742087152"/>
        <c:crosses val="autoZero"/>
        <c:auto val="1"/>
        <c:lblAlgn val="ctr"/>
        <c:lblOffset val="100"/>
        <c:noMultiLvlLbl val="0"/>
      </c:catAx>
      <c:valAx>
        <c:axId val="742087152"/>
        <c:scaling>
          <c:orientation val="minMax"/>
          <c:max val="28"/>
          <c:min val="0"/>
        </c:scaling>
        <c:delete val="0"/>
        <c:axPos val="b"/>
        <c:numFmt formatCode="#,##0" sourceLinked="0"/>
        <c:majorTickMark val="out"/>
        <c:minorTickMark val="none"/>
        <c:tickLblPos val="nextTo"/>
        <c:spPr>
          <a:ln>
            <a:noFill/>
          </a:ln>
        </c:spPr>
        <c:crossAx val="742090288"/>
        <c:crosses val="autoZero"/>
        <c:crossBetween val="between"/>
        <c:majorUnit val="5"/>
      </c:valAx>
      <c:spPr>
        <a:ln w="25400">
          <a:noFill/>
        </a:ln>
      </c:spPr>
    </c:plotArea>
    <c:legend>
      <c:legendPos val="r"/>
      <c:layout>
        <c:manualLayout>
          <c:xMode val="edge"/>
          <c:yMode val="edge"/>
          <c:x val="0.6857705996977651"/>
          <c:y val="5.1391091550192509E-2"/>
          <c:w val="0.31084193311063391"/>
          <c:h val="0.16525385076644897"/>
        </c:manualLayout>
      </c:layout>
      <c:overlay val="0"/>
    </c:legend>
    <c:plotVisOnly val="1"/>
    <c:dispBlanksAs val="gap"/>
    <c:showDLblsOverMax val="0"/>
  </c:chart>
  <c:spPr>
    <a:noFill/>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33204956294676"/>
          <c:y val="4.2275661488259911E-2"/>
          <c:w val="0.78947896397713413"/>
          <c:h val="0.8600463585932685"/>
        </c:manualLayout>
      </c:layout>
      <c:barChart>
        <c:barDir val="bar"/>
        <c:grouping val="clustered"/>
        <c:varyColors val="0"/>
        <c:ser>
          <c:idx val="0"/>
          <c:order val="0"/>
          <c:tx>
            <c:strRef>
              <c:f>Sheet1!$B$1</c:f>
              <c:strCache>
                <c:ptCount val="1"/>
                <c:pt idx="0">
                  <c:v>Kopā </c:v>
                </c:pt>
              </c:strCache>
            </c:strRef>
          </c:tx>
          <c:spPr>
            <a:solidFill>
              <a:srgbClr val="4F81BD">
                <a:lumMod val="40000"/>
                <a:lumOff val="60000"/>
              </a:srgbClr>
            </a:solidFill>
            <a:ln>
              <a:noFill/>
            </a:ln>
          </c:spPr>
          <c:invertIfNegative val="0"/>
          <c:dPt>
            <c:idx val="3"/>
            <c:invertIfNegative val="0"/>
            <c:bubble3D val="0"/>
            <c:spPr>
              <a:solidFill>
                <a:srgbClr val="B9CDE5"/>
              </a:solidFill>
              <a:ln>
                <a:noFill/>
              </a:ln>
            </c:spPr>
            <c:extLst>
              <c:ext xmlns:c16="http://schemas.microsoft.com/office/drawing/2014/chart" uri="{C3380CC4-5D6E-409C-BE32-E72D297353CC}">
                <c16:uniqueId val="{00000001-08FC-493C-90F1-98FE545770EA}"/>
              </c:ext>
            </c:extLst>
          </c:dPt>
          <c:dPt>
            <c:idx val="4"/>
            <c:invertIfNegative val="0"/>
            <c:bubble3D val="0"/>
            <c:spPr>
              <a:solidFill>
                <a:srgbClr val="C0504D"/>
              </a:solidFill>
              <a:ln>
                <a:noFill/>
              </a:ln>
            </c:spPr>
            <c:extLst>
              <c:ext xmlns:c16="http://schemas.microsoft.com/office/drawing/2014/chart" uri="{C3380CC4-5D6E-409C-BE32-E72D297353CC}">
                <c16:uniqueId val="{00000003-08FC-493C-90F1-98FE545770EA}"/>
              </c:ext>
            </c:extLst>
          </c:dPt>
          <c:dLbls>
            <c:numFmt formatCode="#,##0" sourceLinked="0"/>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8"/>
              </c:numCache>
            </c:numRef>
          </c:cat>
          <c:val>
            <c:numRef>
              <c:f>Sheet1!$B$2:$B$9</c:f>
              <c:numCache>
                <c:formatCode>0.0</c:formatCode>
                <c:ptCount val="8"/>
                <c:pt idx="0">
                  <c:v>24</c:v>
                </c:pt>
                <c:pt idx="1">
                  <c:v>13</c:v>
                </c:pt>
                <c:pt idx="2">
                  <c:v>15</c:v>
                </c:pt>
                <c:pt idx="3">
                  <c:v>19</c:v>
                </c:pt>
                <c:pt idx="4">
                  <c:v>22</c:v>
                </c:pt>
                <c:pt idx="5">
                  <c:v>19</c:v>
                </c:pt>
                <c:pt idx="6">
                  <c:v>14</c:v>
                </c:pt>
                <c:pt idx="7">
                  <c:v>16</c:v>
                </c:pt>
              </c:numCache>
            </c:numRef>
          </c:val>
          <c:extLst>
            <c:ext xmlns:c16="http://schemas.microsoft.com/office/drawing/2014/chart" uri="{C3380CC4-5D6E-409C-BE32-E72D297353CC}">
              <c16:uniqueId val="{00000004-08FC-493C-90F1-98FE545770EA}"/>
            </c:ext>
          </c:extLst>
        </c:ser>
        <c:dLbls>
          <c:showLegendKey val="0"/>
          <c:showVal val="0"/>
          <c:showCatName val="0"/>
          <c:showSerName val="0"/>
          <c:showPercent val="0"/>
          <c:showBubbleSize val="0"/>
        </c:dLbls>
        <c:gapWidth val="40"/>
        <c:overlap val="100"/>
        <c:axId val="742092248"/>
        <c:axId val="742096168"/>
      </c:barChart>
      <c:catAx>
        <c:axId val="742092248"/>
        <c:scaling>
          <c:orientation val="minMax"/>
        </c:scaling>
        <c:delete val="0"/>
        <c:axPos val="l"/>
        <c:numFmt formatCode="General" sourceLinked="1"/>
        <c:majorTickMark val="out"/>
        <c:minorTickMark val="none"/>
        <c:tickLblPos val="nextTo"/>
        <c:spPr>
          <a:ln w="3175"/>
        </c:spPr>
        <c:txPr>
          <a:bodyPr rot="0" vert="horz"/>
          <a:lstStyle/>
          <a:p>
            <a:pPr>
              <a:defRPr/>
            </a:pPr>
            <a:endParaRPr lang="en-US"/>
          </a:p>
        </c:txPr>
        <c:crossAx val="742096168"/>
        <c:crosses val="autoZero"/>
        <c:auto val="1"/>
        <c:lblAlgn val="ctr"/>
        <c:lblOffset val="100"/>
        <c:tickLblSkip val="1"/>
        <c:noMultiLvlLbl val="0"/>
      </c:catAx>
      <c:valAx>
        <c:axId val="742096168"/>
        <c:scaling>
          <c:orientation val="minMax"/>
          <c:max val="40"/>
          <c:min val="0"/>
        </c:scaling>
        <c:delete val="0"/>
        <c:axPos val="b"/>
        <c:numFmt formatCode="#,##0" sourceLinked="0"/>
        <c:majorTickMark val="out"/>
        <c:minorTickMark val="none"/>
        <c:tickLblPos val="nextTo"/>
        <c:spPr>
          <a:ln>
            <a:noFill/>
          </a:ln>
        </c:spPr>
        <c:crossAx val="742092248"/>
        <c:crosses val="autoZero"/>
        <c:crossBetween val="between"/>
        <c:majorUnit val="10"/>
      </c:valAx>
      <c:spPr>
        <a:ln w="25400">
          <a:noFill/>
        </a:ln>
      </c:spPr>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84060454363734338"/>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(Sheet1!$B$2,Sheet1!$F$2,Sheet1!$I$2,Sheet1!$L$2,Sheet1!$O$2,Sheet1!$P$2,Sheet1!$Q$2:$S$2)</c:f>
              <c:numCache>
                <c:formatCode>0</c:formatCode>
                <c:ptCount val="9"/>
                <c:pt idx="0">
                  <c:v>2.4850536627530073</c:v>
                </c:pt>
                <c:pt idx="1">
                  <c:v>1.3813126869611121</c:v>
                </c:pt>
                <c:pt idx="2">
                  <c:v>0.91793647879566731</c:v>
                </c:pt>
                <c:pt idx="3">
                  <c:v>0</c:v>
                </c:pt>
                <c:pt idx="4">
                  <c:v>0</c:v>
                </c:pt>
                <c:pt idx="5">
                  <c:v>0</c:v>
                </c:pt>
                <c:pt idx="6">
                  <c:v>0</c:v>
                </c:pt>
                <c:pt idx="7">
                  <c:v>0</c:v>
                </c:pt>
                <c:pt idx="8">
                  <c:v>0</c:v>
                </c:pt>
              </c:numCache>
            </c:numRef>
          </c:val>
          <c:extLst>
            <c:ext xmlns:c16="http://schemas.microsoft.com/office/drawing/2014/chart" uri="{C3380CC4-5D6E-409C-BE32-E72D297353CC}">
              <c16:uniqueId val="{00000000-7D1C-426C-994B-25FDCF1707BF}"/>
            </c:ext>
          </c:extLst>
        </c:ser>
        <c:ser>
          <c:idx val="1"/>
          <c:order val="1"/>
          <c:tx>
            <c:strRef>
              <c:f>Sheet1!$A$3</c:f>
              <c:strCache>
                <c:ptCount val="1"/>
                <c:pt idx="0">
                  <c:v>Humanitārās zinātnes un māksla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(Sheet1!$B$3,Sheet1!$F$3,Sheet1!$I$3,Sheet1!$L$3,Sheet1!$O$3,Sheet1!$P$3,Sheet1!$Q$3:$S$3)</c:f>
              <c:numCache>
                <c:formatCode>0</c:formatCode>
                <c:ptCount val="9"/>
                <c:pt idx="0">
                  <c:v>7.2462724195058712</c:v>
                </c:pt>
                <c:pt idx="1">
                  <c:v>8.5254267112440605</c:v>
                </c:pt>
                <c:pt idx="2">
                  <c:v>9.4455663668074177</c:v>
                </c:pt>
                <c:pt idx="3">
                  <c:v>12.799657534246576</c:v>
                </c:pt>
                <c:pt idx="4">
                  <c:v>12.449652142072502</c:v>
                </c:pt>
                <c:pt idx="5">
                  <c:v>12.316522393677079</c:v>
                </c:pt>
                <c:pt idx="6">
                  <c:v>13.056947608200456</c:v>
                </c:pt>
                <c:pt idx="7">
                  <c:v>12.015503875968992</c:v>
                </c:pt>
                <c:pt idx="8">
                  <c:v>12.029268292682927</c:v>
                </c:pt>
              </c:numCache>
            </c:numRef>
          </c:val>
          <c:extLst>
            <c:ext xmlns:c16="http://schemas.microsoft.com/office/drawing/2014/chart" uri="{C3380CC4-5D6E-409C-BE32-E72D297353CC}">
              <c16:uniqueId val="{00000001-7D1C-426C-994B-25FDCF1707BF}"/>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(Sheet1!$B$4,Sheet1!$F$4,Sheet1!$I$4,Sheet1!$L$4,Sheet1!$O$4,Sheet1!$P$4,Sheet1!$Q$4:$S$4)</c:f>
              <c:numCache>
                <c:formatCode>0</c:formatCode>
                <c:ptCount val="9"/>
                <c:pt idx="0">
                  <c:v>14.852697543758552</c:v>
                </c:pt>
                <c:pt idx="1">
                  <c:v>12.757346471933836</c:v>
                </c:pt>
                <c:pt idx="2">
                  <c:v>11.465026620157886</c:v>
                </c:pt>
                <c:pt idx="3">
                  <c:v>10.736301369863014</c:v>
                </c:pt>
                <c:pt idx="4">
                  <c:v>9.9414134016843647</c:v>
                </c:pt>
                <c:pt idx="5">
                  <c:v>7.7154685735792246</c:v>
                </c:pt>
                <c:pt idx="6">
                  <c:v>6.7608200455580869</c:v>
                </c:pt>
                <c:pt idx="7">
                  <c:v>5.5278700627537836</c:v>
                </c:pt>
                <c:pt idx="8">
                  <c:v>5.0146341463414634</c:v>
                </c:pt>
              </c:numCache>
            </c:numRef>
          </c:val>
          <c:extLst>
            <c:ext xmlns:c16="http://schemas.microsoft.com/office/drawing/2014/chart" uri="{C3380CC4-5D6E-409C-BE32-E72D297353CC}">
              <c16:uniqueId val="{00000002-7D1C-426C-994B-25FDCF1707BF}"/>
            </c:ext>
          </c:extLst>
        </c:ser>
        <c:ser>
          <c:idx val="3"/>
          <c:order val="3"/>
          <c:tx>
            <c:strRef>
              <c:f>Sheet1!$A$5</c:f>
              <c:strCache>
                <c:ptCount val="1"/>
                <c:pt idx="0">
                  <c:v>Dabas zinātnes, matemātika un informācijas tehnoloģijas</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7D1C-426C-994B-25FDCF1707BF}"/>
                </c:ext>
              </c:extLst>
            </c:dLbl>
            <c:dLbl>
              <c:idx val="1"/>
              <c:delete val="1"/>
              <c:extLst>
                <c:ext xmlns:c15="http://schemas.microsoft.com/office/drawing/2012/chart" uri="{CE6537A1-D6FC-4f65-9D91-7224C49458BB}"/>
                <c:ext xmlns:c16="http://schemas.microsoft.com/office/drawing/2014/chart" uri="{C3380CC4-5D6E-409C-BE32-E72D297353CC}">
                  <c16:uniqueId val="{00000004-7D1C-426C-994B-25FDCF1707B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(Sheet1!$B$5,Sheet1!$F$5,Sheet1!$I$5,Sheet1!$L$5,Sheet1!$O$5,Sheet1!$P$5,Sheet1!$Q$5:$S$5)</c:f>
              <c:numCache>
                <c:formatCode>0</c:formatCode>
                <c:ptCount val="9"/>
                <c:pt idx="0">
                  <c:v>5.3662753007275086</c:v>
                </c:pt>
                <c:pt idx="1">
                  <c:v>5.1469294386767555</c:v>
                </c:pt>
                <c:pt idx="2">
                  <c:v>6.3429410684780612</c:v>
                </c:pt>
                <c:pt idx="3">
                  <c:v>6.9606164383561637</c:v>
                </c:pt>
                <c:pt idx="4">
                  <c:v>9.3921640424752848</c:v>
                </c:pt>
                <c:pt idx="5">
                  <c:v>9.9266089574708332</c:v>
                </c:pt>
                <c:pt idx="6">
                  <c:v>9.5216400911161738</c:v>
                </c:pt>
                <c:pt idx="7">
                  <c:v>9.5145810262089334</c:v>
                </c:pt>
                <c:pt idx="8">
                  <c:v>9.3268292682926823</c:v>
                </c:pt>
              </c:numCache>
            </c:numRef>
          </c:val>
          <c:extLst>
            <c:ext xmlns:c16="http://schemas.microsoft.com/office/drawing/2014/chart" uri="{C3380CC4-5D6E-409C-BE32-E72D297353CC}">
              <c16:uniqueId val="{00000005-7D1C-426C-994B-25FDCF1707BF}"/>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(Sheet1!$B$6,Sheet1!$F$6,Sheet1!$I$6,Sheet1!$L$6,Sheet1!$O$6,Sheet1!$P$6,Sheet1!$Q$6:$S$6)</c:f>
              <c:numCache>
                <c:formatCode>0</c:formatCode>
                <c:ptCount val="9"/>
                <c:pt idx="0">
                  <c:v>41.813729021104947</c:v>
                </c:pt>
                <c:pt idx="1">
                  <c:v>37.594580327291922</c:v>
                </c:pt>
                <c:pt idx="2">
                  <c:v>33.853497337984209</c:v>
                </c:pt>
                <c:pt idx="3">
                  <c:v>32.859589041095887</c:v>
                </c:pt>
                <c:pt idx="4">
                  <c:v>33.147198828268031</c:v>
                </c:pt>
                <c:pt idx="5">
                  <c:v>38.23861497929996</c:v>
                </c:pt>
                <c:pt idx="6">
                  <c:v>38.195899772209572</c:v>
                </c:pt>
                <c:pt idx="7">
                  <c:v>39.396456256921375</c:v>
                </c:pt>
                <c:pt idx="8">
                  <c:v>39.560975609756099</c:v>
                </c:pt>
              </c:numCache>
            </c:numRef>
          </c:val>
          <c:extLst>
            <c:ext xmlns:c16="http://schemas.microsoft.com/office/drawing/2014/chart" uri="{C3380CC4-5D6E-409C-BE32-E72D297353CC}">
              <c16:uniqueId val="{00000006-7D1C-426C-994B-25FDCF1707BF}"/>
            </c:ext>
          </c:extLst>
        </c:ser>
        <c:ser>
          <c:idx val="5"/>
          <c:order val="5"/>
          <c:tx>
            <c:strRef>
              <c:f>Sheet1!$A$7</c:f>
              <c:strCache>
                <c:ptCount val="1"/>
                <c:pt idx="0">
                  <c:v>Lauksaimniecība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(Sheet1!$B$7,Sheet1!$F$7,Sheet1!$I$7,Sheet1!$L$7,Sheet1!$O$7,Sheet1!$P$7,Sheet1!$Q$7:$S$7)</c:f>
              <c:numCache>
                <c:formatCode>0</c:formatCode>
                <c:ptCount val="9"/>
                <c:pt idx="0">
                  <c:v>2.593099474177051</c:v>
                </c:pt>
                <c:pt idx="1">
                  <c:v>2.5338729544254797</c:v>
                </c:pt>
                <c:pt idx="2">
                  <c:v>3.8369744813658895</c:v>
                </c:pt>
                <c:pt idx="3">
                  <c:v>3.4160958904109591</c:v>
                </c:pt>
                <c:pt idx="4">
                  <c:v>6.6184547784694248</c:v>
                </c:pt>
                <c:pt idx="5">
                  <c:v>5.8336469702672185</c:v>
                </c:pt>
                <c:pt idx="6">
                  <c:v>5.548974943052392</c:v>
                </c:pt>
                <c:pt idx="7">
                  <c:v>6.284606866002215</c:v>
                </c:pt>
                <c:pt idx="8">
                  <c:v>5.5804878048780493</c:v>
                </c:pt>
              </c:numCache>
            </c:numRef>
          </c:val>
          <c:extLst>
            <c:ext xmlns:c16="http://schemas.microsoft.com/office/drawing/2014/chart" uri="{C3380CC4-5D6E-409C-BE32-E72D297353CC}">
              <c16:uniqueId val="{00000007-7D1C-426C-994B-25FDCF1707BF}"/>
            </c:ext>
          </c:extLst>
        </c:ser>
        <c:ser>
          <c:idx val="6"/>
          <c:order val="6"/>
          <c:tx>
            <c:strRef>
              <c:f>Sheet1!$A$8</c:f>
              <c:strCache>
                <c:ptCount val="1"/>
                <c:pt idx="0">
                  <c:v>Veselības aprūpe un sociālā labklājība</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7D1C-426C-994B-25FDCF1707B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(Sheet1!$B$8,Sheet1!$F$8,Sheet1!$I$8,Sheet1!$L$8,Sheet1!$O$8,Sheet1!$P$8,Sheet1!$Q$8:$S$8)</c:f>
              <c:numCache>
                <c:formatCode>0</c:formatCode>
                <c:ptCount val="9"/>
                <c:pt idx="0">
                  <c:v>3.6015270474681262</c:v>
                </c:pt>
                <c:pt idx="1">
                  <c:v>5.8595812071089215</c:v>
                </c:pt>
                <c:pt idx="2">
                  <c:v>6.8386267670277228</c:v>
                </c:pt>
                <c:pt idx="3">
                  <c:v>6.6523972602739718</c:v>
                </c:pt>
                <c:pt idx="4">
                  <c:v>5.6938850238008056</c:v>
                </c:pt>
                <c:pt idx="5">
                  <c:v>6.369966127211141</c:v>
                </c:pt>
                <c:pt idx="6">
                  <c:v>5.9407744874715265</c:v>
                </c:pt>
                <c:pt idx="7">
                  <c:v>6.0262089331856776</c:v>
                </c:pt>
                <c:pt idx="8">
                  <c:v>6.6341463414634152</c:v>
                </c:pt>
              </c:numCache>
            </c:numRef>
          </c:val>
          <c:extLst>
            <c:ext xmlns:c16="http://schemas.microsoft.com/office/drawing/2014/chart" uri="{C3380CC4-5D6E-409C-BE32-E72D297353CC}">
              <c16:uniqueId val="{00000009-7D1C-426C-994B-25FDCF1707BF}"/>
            </c:ext>
          </c:extLst>
        </c:ser>
        <c:ser>
          <c:idx val="7"/>
          <c:order val="7"/>
          <c:tx>
            <c:strRef>
              <c:f>Sheet1!$A$9</c:f>
              <c:strCache>
                <c:ptCount val="1"/>
                <c:pt idx="0">
                  <c:v>Pakalpojumi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(Sheet1!$B$9,Sheet1!$F$9,Sheet1!$I$9,Sheet1!$L$9,Sheet1!$O$9,Sheet1!$P$9,Sheet1!$Q$9:$S$9)</c:f>
              <c:numCache>
                <c:formatCode>0</c:formatCode>
                <c:ptCount val="9"/>
                <c:pt idx="0">
                  <c:v>22.041345530504934</c:v>
                </c:pt>
                <c:pt idx="1">
                  <c:v>26.200950202357909</c:v>
                </c:pt>
                <c:pt idx="2">
                  <c:v>27.299430879383145</c:v>
                </c:pt>
                <c:pt idx="3">
                  <c:v>26.575342465753426</c:v>
                </c:pt>
                <c:pt idx="4">
                  <c:v>19.855364335408275</c:v>
                </c:pt>
                <c:pt idx="5">
                  <c:v>19.599171998494544</c:v>
                </c:pt>
                <c:pt idx="6">
                  <c:v>20.974943052391801</c:v>
                </c:pt>
                <c:pt idx="7">
                  <c:v>21.234772978959025</c:v>
                </c:pt>
                <c:pt idx="8">
                  <c:v>21.853658536585368</c:v>
                </c:pt>
              </c:numCache>
            </c:numRef>
          </c:val>
          <c:extLst>
            <c:ext xmlns:c16="http://schemas.microsoft.com/office/drawing/2014/chart" uri="{C3380CC4-5D6E-409C-BE32-E72D297353CC}">
              <c16:uniqueId val="{0000000A-7D1C-426C-994B-25FDCF1707BF}"/>
            </c:ext>
          </c:extLst>
        </c:ser>
        <c:dLbls>
          <c:showLegendKey val="0"/>
          <c:showVal val="0"/>
          <c:showCatName val="0"/>
          <c:showSerName val="0"/>
          <c:showPercent val="0"/>
          <c:showBubbleSize val="0"/>
        </c:dLbls>
        <c:gapWidth val="50"/>
        <c:overlap val="100"/>
        <c:axId val="742094992"/>
        <c:axId val="742085976"/>
      </c:barChart>
      <c:catAx>
        <c:axId val="742094992"/>
        <c:scaling>
          <c:orientation val="minMax"/>
        </c:scaling>
        <c:delete val="0"/>
        <c:axPos val="b"/>
        <c:numFmt formatCode="General" sourceLinked="1"/>
        <c:majorTickMark val="out"/>
        <c:minorTickMark val="none"/>
        <c:tickLblPos val="nextTo"/>
        <c:txPr>
          <a:bodyPr rot="0" vert="horz"/>
          <a:lstStyle/>
          <a:p>
            <a:pPr>
              <a:defRPr/>
            </a:pPr>
            <a:endParaRPr lang="en-US"/>
          </a:p>
        </c:txPr>
        <c:crossAx val="742085976"/>
        <c:crosses val="autoZero"/>
        <c:auto val="1"/>
        <c:lblAlgn val="ctr"/>
        <c:lblOffset val="100"/>
        <c:noMultiLvlLbl val="0"/>
      </c:catAx>
      <c:valAx>
        <c:axId val="742085976"/>
        <c:scaling>
          <c:orientation val="minMax"/>
        </c:scaling>
        <c:delete val="0"/>
        <c:axPos val="l"/>
        <c:numFmt formatCode="0%" sourceLinked="1"/>
        <c:majorTickMark val="out"/>
        <c:minorTickMark val="none"/>
        <c:tickLblPos val="nextTo"/>
        <c:spPr>
          <a:ln>
            <a:noFill/>
          </a:ln>
        </c:spPr>
        <c:txPr>
          <a:bodyPr rot="0" vert="horz"/>
          <a:lstStyle/>
          <a:p>
            <a:pPr>
              <a:defRPr/>
            </a:pPr>
            <a:endParaRPr lang="en-US"/>
          </a:p>
        </c:txPr>
        <c:crossAx val="742094992"/>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84376040743251468"/>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(Sheet1!$B$2,Sheet1!$F$2,Sheet1!$I$2,Sheet1!$L$2,Sheet1!$O$2,Sheet1!$P$2,Sheet1!$Q$2:$S$2)</c:f>
              <c:numCache>
                <c:formatCode>0</c:formatCode>
                <c:ptCount val="9"/>
                <c:pt idx="0">
                  <c:v>2.9065200314218385</c:v>
                </c:pt>
                <c:pt idx="1">
                  <c:v>1.3300960624934024</c:v>
                </c:pt>
                <c:pt idx="2">
                  <c:v>1.4632361907084501</c:v>
                </c:pt>
                <c:pt idx="3">
                  <c:v>0</c:v>
                </c:pt>
                <c:pt idx="4">
                  <c:v>0</c:v>
                </c:pt>
                <c:pt idx="5">
                  <c:v>0</c:v>
                </c:pt>
                <c:pt idx="6">
                  <c:v>0</c:v>
                </c:pt>
                <c:pt idx="7">
                  <c:v>0</c:v>
                </c:pt>
                <c:pt idx="8">
                  <c:v>0</c:v>
                </c:pt>
              </c:numCache>
            </c:numRef>
          </c:val>
          <c:extLst>
            <c:ext xmlns:c16="http://schemas.microsoft.com/office/drawing/2014/chart" uri="{C3380CC4-5D6E-409C-BE32-E72D297353CC}">
              <c16:uniqueId val="{00000000-A501-4D46-AC48-8D5BD201DF69}"/>
            </c:ext>
          </c:extLst>
        </c:ser>
        <c:ser>
          <c:idx val="1"/>
          <c:order val="1"/>
          <c:tx>
            <c:strRef>
              <c:f>Sheet1!$A$3</c:f>
              <c:strCache>
                <c:ptCount val="1"/>
                <c:pt idx="0">
                  <c:v>Humanitārās zinātnes un māksla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(Sheet1!$B$3,Sheet1!$F$3,Sheet1!$I$3,Sheet1!$L$3,Sheet1!$O$3,Sheet1!$P$3,Sheet1!$Q$3:$S$3)</c:f>
              <c:numCache>
                <c:formatCode>0</c:formatCode>
                <c:ptCount val="9"/>
                <c:pt idx="0">
                  <c:v>6.1945909549994393</c:v>
                </c:pt>
                <c:pt idx="1">
                  <c:v>7.0516203948062923</c:v>
                </c:pt>
                <c:pt idx="2">
                  <c:v>8.1819290330447512</c:v>
                </c:pt>
                <c:pt idx="3">
                  <c:v>8.6048020765736535</c:v>
                </c:pt>
                <c:pt idx="4">
                  <c:v>13.4</c:v>
                </c:pt>
                <c:pt idx="5">
                  <c:v>14.78463329452852</c:v>
                </c:pt>
                <c:pt idx="6">
                  <c:v>15.357203461734262</c:v>
                </c:pt>
                <c:pt idx="7">
                  <c:v>16.577919772807952</c:v>
                </c:pt>
                <c:pt idx="8">
                  <c:v>15.562378797672915</c:v>
                </c:pt>
              </c:numCache>
            </c:numRef>
          </c:val>
          <c:extLst>
            <c:ext xmlns:c16="http://schemas.microsoft.com/office/drawing/2014/chart" uri="{C3380CC4-5D6E-409C-BE32-E72D297353CC}">
              <c16:uniqueId val="{00000001-A501-4D46-AC48-8D5BD201DF69}"/>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(Sheet1!$B$4,Sheet1!$F$4,Sheet1!$I$4,Sheet1!$L$4,Sheet1!$O$4,Sheet1!$P$4,Sheet1!$Q$4:$S$4)</c:f>
              <c:numCache>
                <c:formatCode>0</c:formatCode>
                <c:ptCount val="9"/>
                <c:pt idx="0">
                  <c:v>15.318146111547525</c:v>
                </c:pt>
                <c:pt idx="1">
                  <c:v>15.581125303494142</c:v>
                </c:pt>
                <c:pt idx="2">
                  <c:v>13.034995732227777</c:v>
                </c:pt>
                <c:pt idx="3">
                  <c:v>12.134977287475666</c:v>
                </c:pt>
                <c:pt idx="4">
                  <c:v>11.716666666666667</c:v>
                </c:pt>
                <c:pt idx="5">
                  <c:v>10.31099284882754</c:v>
                </c:pt>
                <c:pt idx="6">
                  <c:v>7.0252842355336842</c:v>
                </c:pt>
                <c:pt idx="7">
                  <c:v>6.6560170394036211</c:v>
                </c:pt>
                <c:pt idx="8">
                  <c:v>6.6418875242404658</c:v>
                </c:pt>
              </c:numCache>
            </c:numRef>
          </c:val>
          <c:extLst>
            <c:ext xmlns:c16="http://schemas.microsoft.com/office/drawing/2014/chart" uri="{C3380CC4-5D6E-409C-BE32-E72D297353CC}">
              <c16:uniqueId val="{00000002-A501-4D46-AC48-8D5BD201DF69}"/>
            </c:ext>
          </c:extLst>
        </c:ser>
        <c:ser>
          <c:idx val="3"/>
          <c:order val="3"/>
          <c:tx>
            <c:strRef>
              <c:f>Sheet1!$A$5</c:f>
              <c:strCache>
                <c:ptCount val="1"/>
                <c:pt idx="0">
                  <c:v>Dabas zinātnes, matemātika un informācijas tehnoloģijas</c:v>
                </c:pt>
              </c:strCache>
            </c:strRef>
          </c:tx>
          <c:invertIfNegative val="0"/>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(Sheet1!$B$5,Sheet1!$F$5,Sheet1!$I$5,Sheet1!$L$5,Sheet1!$O$5,Sheet1!$P$5,Sheet1!$Q$5:$S$5)</c:f>
              <c:numCache>
                <c:formatCode>0</c:formatCode>
                <c:ptCount val="9"/>
                <c:pt idx="0">
                  <c:v>5.7344854673998427</c:v>
                </c:pt>
                <c:pt idx="1">
                  <c:v>5.6265174707062178</c:v>
                </c:pt>
                <c:pt idx="2">
                  <c:v>4.523838556273625</c:v>
                </c:pt>
                <c:pt idx="3">
                  <c:v>4.4776119402985071</c:v>
                </c:pt>
                <c:pt idx="4">
                  <c:v>6.7833333333333332</c:v>
                </c:pt>
                <c:pt idx="5">
                  <c:v>7.2343256278064194</c:v>
                </c:pt>
                <c:pt idx="6">
                  <c:v>8.0434413711182771</c:v>
                </c:pt>
                <c:pt idx="7">
                  <c:v>9.7976570820021305</c:v>
                </c:pt>
                <c:pt idx="8">
                  <c:v>11.877828054298641</c:v>
                </c:pt>
              </c:numCache>
            </c:numRef>
          </c:val>
          <c:extLst>
            <c:ext xmlns:c16="http://schemas.microsoft.com/office/drawing/2014/chart" uri="{C3380CC4-5D6E-409C-BE32-E72D297353CC}">
              <c16:uniqueId val="{00000003-A501-4D46-AC48-8D5BD201DF69}"/>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(Sheet1!$B$6,Sheet1!$F$6,Sheet1!$I$6,Sheet1!$L$6,Sheet1!$O$6,Sheet1!$P$6,Sheet1!$Q$6:$S$6)</c:f>
              <c:numCache>
                <c:formatCode>0</c:formatCode>
                <c:ptCount val="9"/>
                <c:pt idx="0">
                  <c:v>41.263606778139376</c:v>
                </c:pt>
                <c:pt idx="1">
                  <c:v>39.322284387205741</c:v>
                </c:pt>
                <c:pt idx="2">
                  <c:v>33.288623338617242</c:v>
                </c:pt>
                <c:pt idx="3">
                  <c:v>33.510707332900715</c:v>
                </c:pt>
                <c:pt idx="4">
                  <c:v>36.06666666666667</c:v>
                </c:pt>
                <c:pt idx="5">
                  <c:v>32.246798603026775</c:v>
                </c:pt>
                <c:pt idx="6">
                  <c:v>32.954352621754623</c:v>
                </c:pt>
                <c:pt idx="7">
                  <c:v>32.72985445509407</c:v>
                </c:pt>
                <c:pt idx="8">
                  <c:v>32.336780866192633</c:v>
                </c:pt>
              </c:numCache>
            </c:numRef>
          </c:val>
          <c:extLst>
            <c:ext xmlns:c16="http://schemas.microsoft.com/office/drawing/2014/chart" uri="{C3380CC4-5D6E-409C-BE32-E72D297353CC}">
              <c16:uniqueId val="{00000004-A501-4D46-AC48-8D5BD201DF69}"/>
            </c:ext>
          </c:extLst>
        </c:ser>
        <c:ser>
          <c:idx val="5"/>
          <c:order val="5"/>
          <c:tx>
            <c:strRef>
              <c:f>Sheet1!$A$7</c:f>
              <c:strCache>
                <c:ptCount val="1"/>
                <c:pt idx="0">
                  <c:v>Lauksaimniecība</c:v>
                </c:pt>
              </c:strCache>
            </c:strRef>
          </c:tx>
          <c:invertIfNegative val="0"/>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(Sheet1!$B$7,Sheet1!$F$7,Sheet1!$I$7,Sheet1!$L$7,Sheet1!$O$7,Sheet1!$P$7,Sheet1!$Q$7:$S$7)</c:f>
              <c:numCache>
                <c:formatCode>0</c:formatCode>
                <c:ptCount val="9"/>
                <c:pt idx="0">
                  <c:v>1.7843115250813602</c:v>
                </c:pt>
                <c:pt idx="1">
                  <c:v>1.8473556423519475</c:v>
                </c:pt>
                <c:pt idx="2">
                  <c:v>4.2677722228996462</c:v>
                </c:pt>
                <c:pt idx="3">
                  <c:v>5.2693056456846206</c:v>
                </c:pt>
                <c:pt idx="4">
                  <c:v>4.55</c:v>
                </c:pt>
                <c:pt idx="5">
                  <c:v>5.4382171960751711</c:v>
                </c:pt>
                <c:pt idx="6">
                  <c:v>5.1756321058883419</c:v>
                </c:pt>
                <c:pt idx="7">
                  <c:v>5.999290024849131</c:v>
                </c:pt>
                <c:pt idx="8">
                  <c:v>6.1247575953458302</c:v>
                </c:pt>
              </c:numCache>
            </c:numRef>
          </c:val>
          <c:extLst>
            <c:ext xmlns:c16="http://schemas.microsoft.com/office/drawing/2014/chart" uri="{C3380CC4-5D6E-409C-BE32-E72D297353CC}">
              <c16:uniqueId val="{00000005-A501-4D46-AC48-8D5BD201DF69}"/>
            </c:ext>
          </c:extLst>
        </c:ser>
        <c:ser>
          <c:idx val="6"/>
          <c:order val="6"/>
          <c:tx>
            <c:strRef>
              <c:f>Sheet1!$A$8</c:f>
              <c:strCache>
                <c:ptCount val="1"/>
                <c:pt idx="0">
                  <c:v>Veselības aprūpe un sociālā labklājība</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501-4D46-AC48-8D5BD201DF69}"/>
                </c:ext>
              </c:extLst>
            </c:dLbl>
            <c:dLbl>
              <c:idx val="1"/>
              <c:delete val="1"/>
              <c:extLst>
                <c:ext xmlns:c15="http://schemas.microsoft.com/office/drawing/2012/chart" uri="{CE6537A1-D6FC-4f65-9D91-7224C49458BB}"/>
                <c:ext xmlns:c16="http://schemas.microsoft.com/office/drawing/2014/chart" uri="{C3380CC4-5D6E-409C-BE32-E72D297353CC}">
                  <c16:uniqueId val="{00000007-A501-4D46-AC48-8D5BD201DF6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(Sheet1!$B$8,Sheet1!$F$8,Sheet1!$I$8,Sheet1!$L$8,Sheet1!$O$8,Sheet1!$P$8,Sheet1!$Q$8:$S$8)</c:f>
              <c:numCache>
                <c:formatCode>0</c:formatCode>
                <c:ptCount val="9"/>
                <c:pt idx="0">
                  <c:v>4.1858377286499833</c:v>
                </c:pt>
                <c:pt idx="1">
                  <c:v>5.1303705267602657</c:v>
                </c:pt>
                <c:pt idx="2">
                  <c:v>7.7429581758322152</c:v>
                </c:pt>
                <c:pt idx="3">
                  <c:v>8.9811810512654127</c:v>
                </c:pt>
                <c:pt idx="4">
                  <c:v>8.35</c:v>
                </c:pt>
                <c:pt idx="5">
                  <c:v>7.4505238649592549</c:v>
                </c:pt>
                <c:pt idx="6">
                  <c:v>8.0264720855251994</c:v>
                </c:pt>
                <c:pt idx="7">
                  <c:v>7.8807241746538876</c:v>
                </c:pt>
                <c:pt idx="8">
                  <c:v>8.2902391725921127</c:v>
                </c:pt>
              </c:numCache>
            </c:numRef>
          </c:val>
          <c:extLst>
            <c:ext xmlns:c16="http://schemas.microsoft.com/office/drawing/2014/chart" uri="{C3380CC4-5D6E-409C-BE32-E72D297353CC}">
              <c16:uniqueId val="{00000008-A501-4D46-AC48-8D5BD201DF69}"/>
            </c:ext>
          </c:extLst>
        </c:ser>
        <c:ser>
          <c:idx val="7"/>
          <c:order val="7"/>
          <c:tx>
            <c:strRef>
              <c:f>Sheet1!$A$9</c:f>
              <c:strCache>
                <c:ptCount val="1"/>
                <c:pt idx="0">
                  <c:v>Pakalpojumi</c:v>
                </c:pt>
              </c:strCache>
            </c:strRef>
          </c:tx>
          <c:invertIfNegative val="0"/>
          <c:dLbls>
            <c:dLbl>
              <c:idx val="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501-4D46-AC48-8D5BD201DF6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(Sheet1!$B$1,Sheet1!$F$1,Sheet1!$I$1,Sheet1!$L$1,Sheet1!$O$1,Sheet1!$P$1,Sheet1!$Q$1:$S$1)</c:f>
              <c:numCache>
                <c:formatCode>General</c:formatCode>
                <c:ptCount val="9"/>
                <c:pt idx="0">
                  <c:v>2008</c:v>
                </c:pt>
                <c:pt idx="1">
                  <c:v>2012</c:v>
                </c:pt>
                <c:pt idx="2">
                  <c:v>2015</c:v>
                </c:pt>
                <c:pt idx="3">
                  <c:v>2018</c:v>
                </c:pt>
                <c:pt idx="4">
                  <c:v>2021</c:v>
                </c:pt>
                <c:pt idx="5">
                  <c:v>2022</c:v>
                </c:pt>
                <c:pt idx="6">
                  <c:v>2023</c:v>
                </c:pt>
                <c:pt idx="7">
                  <c:v>2024</c:v>
                </c:pt>
                <c:pt idx="8">
                  <c:v>2025</c:v>
                </c:pt>
              </c:numCache>
            </c:numRef>
          </c:cat>
          <c:val>
            <c:numRef>
              <c:f>(Sheet1!$B$9,Sheet1!$F$9,Sheet1!$I$9,Sheet1!$L$9,Sheet1!$O$9,Sheet1!$P$9,Sheet1!$Q$9:$S$9)</c:f>
              <c:numCache>
                <c:formatCode>0</c:formatCode>
                <c:ptCount val="9"/>
                <c:pt idx="0">
                  <c:v>22.612501402760632</c:v>
                </c:pt>
                <c:pt idx="1">
                  <c:v>24.110630212181992</c:v>
                </c:pt>
                <c:pt idx="2">
                  <c:v>27.496646750396291</c:v>
                </c:pt>
                <c:pt idx="3">
                  <c:v>27.02141466580143</c:v>
                </c:pt>
                <c:pt idx="4">
                  <c:v>24.416666666666668</c:v>
                </c:pt>
                <c:pt idx="5">
                  <c:v>22.534508564776317</c:v>
                </c:pt>
                <c:pt idx="6">
                  <c:v>23.417614118445613</c:v>
                </c:pt>
                <c:pt idx="7">
                  <c:v>20.358537451189207</c:v>
                </c:pt>
                <c:pt idx="8">
                  <c:v>19.166127989657404</c:v>
                </c:pt>
              </c:numCache>
            </c:numRef>
          </c:val>
          <c:extLst>
            <c:ext xmlns:c16="http://schemas.microsoft.com/office/drawing/2014/chart" uri="{C3380CC4-5D6E-409C-BE32-E72D297353CC}">
              <c16:uniqueId val="{0000000A-A501-4D46-AC48-8D5BD201DF69}"/>
            </c:ext>
          </c:extLst>
        </c:ser>
        <c:dLbls>
          <c:showLegendKey val="0"/>
          <c:showVal val="0"/>
          <c:showCatName val="0"/>
          <c:showSerName val="0"/>
          <c:showPercent val="0"/>
          <c:showBubbleSize val="0"/>
        </c:dLbls>
        <c:gapWidth val="50"/>
        <c:overlap val="100"/>
        <c:axId val="742091856"/>
        <c:axId val="742087936"/>
      </c:barChart>
      <c:catAx>
        <c:axId val="742091856"/>
        <c:scaling>
          <c:orientation val="minMax"/>
        </c:scaling>
        <c:delete val="0"/>
        <c:axPos val="b"/>
        <c:numFmt formatCode="General" sourceLinked="1"/>
        <c:majorTickMark val="out"/>
        <c:minorTickMark val="none"/>
        <c:tickLblPos val="nextTo"/>
        <c:txPr>
          <a:bodyPr rot="0" vert="horz"/>
          <a:lstStyle/>
          <a:p>
            <a:pPr>
              <a:defRPr/>
            </a:pPr>
            <a:endParaRPr lang="en-US"/>
          </a:p>
        </c:txPr>
        <c:crossAx val="742087936"/>
        <c:crosses val="autoZero"/>
        <c:auto val="1"/>
        <c:lblAlgn val="ctr"/>
        <c:lblOffset val="100"/>
        <c:noMultiLvlLbl val="0"/>
      </c:catAx>
      <c:valAx>
        <c:axId val="742087936"/>
        <c:scaling>
          <c:orientation val="minMax"/>
        </c:scaling>
        <c:delete val="0"/>
        <c:axPos val="l"/>
        <c:numFmt formatCode="0%" sourceLinked="1"/>
        <c:majorTickMark val="out"/>
        <c:minorTickMark val="none"/>
        <c:tickLblPos val="nextTo"/>
        <c:spPr>
          <a:ln>
            <a:noFill/>
          </a:ln>
        </c:spPr>
        <c:txPr>
          <a:bodyPr rot="0" vert="horz"/>
          <a:lstStyle/>
          <a:p>
            <a:pPr>
              <a:defRPr/>
            </a:pPr>
            <a:endParaRPr lang="en-US"/>
          </a:p>
        </c:txPr>
        <c:crossAx val="742091856"/>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96869835714978E-2"/>
          <c:y val="4.7032080353913347E-2"/>
          <c:w val="0.88071080003888402"/>
          <c:h val="0.85388271629233659"/>
        </c:manualLayout>
      </c:layout>
      <c:lineChart>
        <c:grouping val="standard"/>
        <c:varyColors val="0"/>
        <c:ser>
          <c:idx val="2"/>
          <c:order val="0"/>
          <c:tx>
            <c:strRef>
              <c:f>Sheet1!$A$2</c:f>
              <c:strCache>
                <c:ptCount val="1"/>
                <c:pt idx="0">
                  <c:v>Ekonomiskās aktivitātes līmenis</c:v>
                </c:pt>
              </c:strCache>
            </c:strRef>
          </c:tx>
          <c:spPr>
            <a:ln>
              <a:solidFill>
                <a:srgbClr val="92B7C4"/>
              </a:solidFill>
            </a:ln>
          </c:spPr>
          <c:marker>
            <c:symbol val="square"/>
            <c:size val="5"/>
            <c:spPr>
              <a:solidFill>
                <a:srgbClr val="003E4C"/>
              </a:solidFill>
              <a:ln>
                <a:noFill/>
              </a:ln>
            </c:spPr>
          </c:marker>
          <c:dLbls>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Sheet1!$B$1:$Q$1</c:f>
              <c:strCache>
                <c:ptCount val="11"/>
                <c:pt idx="0">
                  <c:v>2010</c:v>
                </c:pt>
                <c:pt idx="1">
                  <c:v>2012</c:v>
                </c:pt>
                <c:pt idx="2">
                  <c:v>2014</c:v>
                </c:pt>
                <c:pt idx="3">
                  <c:v>2016</c:v>
                </c:pt>
                <c:pt idx="4">
                  <c:v>2019</c:v>
                </c:pt>
                <c:pt idx="5">
                  <c:v>2020</c:v>
                </c:pt>
                <c:pt idx="6">
                  <c:v>2021</c:v>
                </c:pt>
                <c:pt idx="7">
                  <c:v>2022</c:v>
                </c:pt>
                <c:pt idx="8">
                  <c:v>2023</c:v>
                </c:pt>
                <c:pt idx="9">
                  <c:v>2024</c:v>
                </c:pt>
                <c:pt idx="10">
                  <c:v>2025</c:v>
                </c:pt>
              </c:strCache>
            </c:strRef>
          </c:cat>
          <c:val>
            <c:numRef>
              <c:f>Sheet1!$B$2:$Q$2</c:f>
              <c:numCache>
                <c:formatCode>0</c:formatCode>
                <c:ptCount val="11"/>
                <c:pt idx="0">
                  <c:v>64.599999999999994</c:v>
                </c:pt>
                <c:pt idx="1">
                  <c:v>66.099999999999994</c:v>
                </c:pt>
                <c:pt idx="2">
                  <c:v>66.3</c:v>
                </c:pt>
                <c:pt idx="3">
                  <c:v>68.2</c:v>
                </c:pt>
                <c:pt idx="4">
                  <c:v>69.40416349599333</c:v>
                </c:pt>
                <c:pt idx="5">
                  <c:v>69.900000000000006</c:v>
                </c:pt>
                <c:pt idx="6">
                  <c:v>67.7</c:v>
                </c:pt>
                <c:pt idx="7">
                  <c:v>68.599999999999994</c:v>
                </c:pt>
                <c:pt idx="8">
                  <c:v>68.599999999999994</c:v>
                </c:pt>
                <c:pt idx="9" formatCode="0.0">
                  <c:v>68.7</c:v>
                </c:pt>
                <c:pt idx="10">
                  <c:v>69.3</c:v>
                </c:pt>
              </c:numCache>
            </c:numRef>
          </c:val>
          <c:smooth val="0"/>
          <c:extLst>
            <c:ext xmlns:c16="http://schemas.microsoft.com/office/drawing/2014/chart" uri="{C3380CC4-5D6E-409C-BE32-E72D297353CC}">
              <c16:uniqueId val="{00000000-08C8-4FF9-90DF-6A29FA0D020B}"/>
            </c:ext>
          </c:extLst>
        </c:ser>
        <c:ser>
          <c:idx val="3"/>
          <c:order val="1"/>
          <c:tx>
            <c:strRef>
              <c:f>Sheet1!$A$3</c:f>
              <c:strCache>
                <c:ptCount val="1"/>
                <c:pt idx="0">
                  <c:v>Nodarbinātības līmenis</c:v>
                </c:pt>
              </c:strCache>
            </c:strRef>
          </c:tx>
          <c:spPr>
            <a:ln>
              <a:solidFill>
                <a:srgbClr val="0E5A69"/>
              </a:solidFill>
            </a:ln>
          </c:spPr>
          <c:marker>
            <c:symbol val="triangle"/>
            <c:size val="5"/>
          </c:marker>
          <c:dLbls>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Sheet1!$B$1:$Q$1</c:f>
              <c:strCache>
                <c:ptCount val="11"/>
                <c:pt idx="0">
                  <c:v>2010</c:v>
                </c:pt>
                <c:pt idx="1">
                  <c:v>2012</c:v>
                </c:pt>
                <c:pt idx="2">
                  <c:v>2014</c:v>
                </c:pt>
                <c:pt idx="3">
                  <c:v>2016</c:v>
                </c:pt>
                <c:pt idx="4">
                  <c:v>2019</c:v>
                </c:pt>
                <c:pt idx="5">
                  <c:v>2020</c:v>
                </c:pt>
                <c:pt idx="6">
                  <c:v>2021</c:v>
                </c:pt>
                <c:pt idx="7">
                  <c:v>2022</c:v>
                </c:pt>
                <c:pt idx="8">
                  <c:v>2023</c:v>
                </c:pt>
                <c:pt idx="9">
                  <c:v>2024</c:v>
                </c:pt>
                <c:pt idx="10">
                  <c:v>2025</c:v>
                </c:pt>
              </c:strCache>
            </c:strRef>
          </c:cat>
          <c:val>
            <c:numRef>
              <c:f>Sheet1!$B$3:$Q$3</c:f>
              <c:numCache>
                <c:formatCode>0</c:formatCode>
                <c:ptCount val="11"/>
                <c:pt idx="0">
                  <c:v>52</c:v>
                </c:pt>
                <c:pt idx="1">
                  <c:v>56.1</c:v>
                </c:pt>
                <c:pt idx="2">
                  <c:v>59.1</c:v>
                </c:pt>
                <c:pt idx="3">
                  <c:v>61.6</c:v>
                </c:pt>
                <c:pt idx="4">
                  <c:v>65</c:v>
                </c:pt>
                <c:pt idx="5">
                  <c:v>64.2</c:v>
                </c:pt>
                <c:pt idx="6">
                  <c:v>62.5</c:v>
                </c:pt>
                <c:pt idx="7">
                  <c:v>63.9</c:v>
                </c:pt>
                <c:pt idx="8">
                  <c:v>64.2</c:v>
                </c:pt>
                <c:pt idx="9" formatCode="0.0">
                  <c:v>64</c:v>
                </c:pt>
                <c:pt idx="10" formatCode="0.0">
                  <c:v>64.5</c:v>
                </c:pt>
              </c:numCache>
            </c:numRef>
          </c:val>
          <c:smooth val="0"/>
          <c:extLst>
            <c:ext xmlns:c16="http://schemas.microsoft.com/office/drawing/2014/chart" uri="{C3380CC4-5D6E-409C-BE32-E72D297353CC}">
              <c16:uniqueId val="{00000001-08C8-4FF9-90DF-6A29FA0D020B}"/>
            </c:ext>
          </c:extLst>
        </c:ser>
        <c:dLbls>
          <c:showLegendKey val="0"/>
          <c:showVal val="0"/>
          <c:showCatName val="0"/>
          <c:showSerName val="0"/>
          <c:showPercent val="0"/>
          <c:showBubbleSize val="0"/>
        </c:dLbls>
        <c:marker val="1"/>
        <c:smooth val="0"/>
        <c:axId val="742141248"/>
        <c:axId val="742147912"/>
      </c:lineChart>
      <c:catAx>
        <c:axId val="742141248"/>
        <c:scaling>
          <c:orientation val="minMax"/>
        </c:scaling>
        <c:delete val="0"/>
        <c:axPos val="b"/>
        <c:numFmt formatCode="General" sourceLinked="1"/>
        <c:majorTickMark val="out"/>
        <c:minorTickMark val="none"/>
        <c:tickLblPos val="low"/>
        <c:txPr>
          <a:bodyPr rot="0" vert="horz"/>
          <a:lstStyle/>
          <a:p>
            <a:pPr>
              <a:defRPr/>
            </a:pPr>
            <a:endParaRPr lang="en-US"/>
          </a:p>
        </c:txPr>
        <c:crossAx val="742147912"/>
        <c:crosses val="autoZero"/>
        <c:auto val="0"/>
        <c:lblAlgn val="ctr"/>
        <c:lblOffset val="0"/>
        <c:noMultiLvlLbl val="1"/>
      </c:catAx>
      <c:valAx>
        <c:axId val="742147912"/>
        <c:scaling>
          <c:orientation val="minMax"/>
          <c:min val="50"/>
        </c:scaling>
        <c:delete val="0"/>
        <c:axPos val="l"/>
        <c:numFmt formatCode="0" sourceLinked="0"/>
        <c:majorTickMark val="out"/>
        <c:minorTickMark val="none"/>
        <c:tickLblPos val="nextTo"/>
        <c:spPr>
          <a:ln w="3175">
            <a:noFill/>
          </a:ln>
        </c:spPr>
        <c:txPr>
          <a:bodyPr rot="0" vert="horz"/>
          <a:lstStyle/>
          <a:p>
            <a:pPr>
              <a:defRPr/>
            </a:pPr>
            <a:endParaRPr lang="en-US"/>
          </a:p>
        </c:txPr>
        <c:crossAx val="742141248"/>
        <c:crosses val="autoZero"/>
        <c:crossBetween val="between"/>
        <c:majorUnit val="5"/>
      </c:valAx>
      <c:spPr>
        <a:noFill/>
        <a:ln w="24631">
          <a:noFill/>
        </a:ln>
      </c:spPr>
    </c:plotArea>
    <c:legend>
      <c:legendPos val="l"/>
      <c:layout>
        <c:manualLayout>
          <c:xMode val="edge"/>
          <c:yMode val="edge"/>
          <c:x val="0.28644177737694676"/>
          <c:y val="0.67714405443512449"/>
          <c:w val="0.68671904435319342"/>
          <c:h val="0.1881882818161402"/>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en-US"/>
    </a:p>
  </c:tx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2408868202444777"/>
          <c:y val="2.9322738259412468E-2"/>
          <c:w val="2.4619779670398335E-2"/>
          <c:h val="6.2573160428212302E-2"/>
        </c:manualLayout>
      </c:layout>
      <c:barChart>
        <c:barDir val="col"/>
        <c:grouping val="percentStacked"/>
        <c:varyColors val="0"/>
        <c:ser>
          <c:idx val="0"/>
          <c:order val="0"/>
          <c:tx>
            <c:strRef>
              <c:f>Sheet1!$A$2</c:f>
              <c:strCache>
                <c:ptCount val="1"/>
                <c:pt idx="0">
                  <c:v>Izglītība</c:v>
                </c:pt>
              </c:strCache>
            </c:strRef>
          </c:tx>
          <c:invertIfNegative val="0"/>
          <c:cat>
            <c:numRef>
              <c:f>(Sheet1!$B$1;Sheet1!$D$1;Sheet1!$G$1)</c:f>
              <c:numCache>
                <c:formatCode>General</c:formatCode>
                <c:ptCount val="3"/>
                <c:pt idx="0">
                  <c:v>2008</c:v>
                </c:pt>
                <c:pt idx="1">
                  <c:v>2010</c:v>
                </c:pt>
                <c:pt idx="2">
                  <c:v>2013</c:v>
                </c:pt>
              </c:numCache>
            </c:numRef>
          </c:cat>
          <c:val>
            <c:numRef>
              <c:f>(Sheet1!$B$2;Sheet1!$D$2;Sheet1!$G$2)</c:f>
              <c:numCache>
                <c:formatCode>0.0</c:formatCode>
                <c:ptCount val="3"/>
                <c:pt idx="0">
                  <c:v>10.314439387670667</c:v>
                </c:pt>
                <c:pt idx="1">
                  <c:v>8.3104162742512706</c:v>
                </c:pt>
                <c:pt idx="2">
                  <c:v>7.487274409995373</c:v>
                </c:pt>
              </c:numCache>
            </c:numRef>
          </c:val>
          <c:extLst>
            <c:ext xmlns:c16="http://schemas.microsoft.com/office/drawing/2014/chart" uri="{C3380CC4-5D6E-409C-BE32-E72D297353CC}">
              <c16:uniqueId val="{00000000-8379-4640-A79A-B0D5FA3DF10A}"/>
            </c:ext>
          </c:extLst>
        </c:ser>
        <c:ser>
          <c:idx val="1"/>
          <c:order val="1"/>
          <c:tx>
            <c:strRef>
              <c:f>Sheet1!$A$3</c:f>
              <c:strCache>
                <c:ptCount val="1"/>
                <c:pt idx="0">
                  <c:v>Humanitārās zinātnes un māksla</c:v>
                </c:pt>
              </c:strCache>
            </c:strRef>
          </c:tx>
          <c:invertIfNegative val="0"/>
          <c:cat>
            <c:numRef>
              <c:f>(Sheet1!$B$1;Sheet1!$D$1;Sheet1!$G$1)</c:f>
              <c:numCache>
                <c:formatCode>General</c:formatCode>
                <c:ptCount val="3"/>
                <c:pt idx="0">
                  <c:v>2008</c:v>
                </c:pt>
                <c:pt idx="1">
                  <c:v>2010</c:v>
                </c:pt>
                <c:pt idx="2">
                  <c:v>2013</c:v>
                </c:pt>
              </c:numCache>
            </c:numRef>
          </c:cat>
          <c:val>
            <c:numRef>
              <c:f>(Sheet1!$B$3;Sheet1!$D$3;Sheet1!$G$3)</c:f>
              <c:numCache>
                <c:formatCode>0.0</c:formatCode>
                <c:ptCount val="3"/>
                <c:pt idx="0">
                  <c:v>7.1452213487794793</c:v>
                </c:pt>
                <c:pt idx="1">
                  <c:v>7.2216990016952352</c:v>
                </c:pt>
                <c:pt idx="2">
                  <c:v>8.2415548357242017</c:v>
                </c:pt>
              </c:numCache>
            </c:numRef>
          </c:val>
          <c:extLst>
            <c:ext xmlns:c16="http://schemas.microsoft.com/office/drawing/2014/chart" uri="{C3380CC4-5D6E-409C-BE32-E72D297353CC}">
              <c16:uniqueId val="{00000001-8379-4640-A79A-B0D5FA3DF10A}"/>
            </c:ext>
          </c:extLst>
        </c:ser>
        <c:ser>
          <c:idx val="2"/>
          <c:order val="2"/>
          <c:tx>
            <c:strRef>
              <c:f>Sheet1!$A$4</c:f>
              <c:strCache>
                <c:ptCount val="1"/>
                <c:pt idx="0">
                  <c:v>Sociālās zinātnes, komerczinības un tiesības</c:v>
                </c:pt>
              </c:strCache>
            </c:strRef>
          </c:tx>
          <c:invertIfNegative val="0"/>
          <c:cat>
            <c:numRef>
              <c:f>(Sheet1!$B$1;Sheet1!$D$1;Sheet1!$G$1)</c:f>
              <c:numCache>
                <c:formatCode>General</c:formatCode>
                <c:ptCount val="3"/>
                <c:pt idx="0">
                  <c:v>2008</c:v>
                </c:pt>
                <c:pt idx="1">
                  <c:v>2010</c:v>
                </c:pt>
                <c:pt idx="2">
                  <c:v>2013</c:v>
                </c:pt>
              </c:numCache>
            </c:numRef>
          </c:cat>
          <c:val>
            <c:numRef>
              <c:f>(Sheet1!$B$4;Sheet1!$D$4;Sheet1!$G$4)</c:f>
              <c:numCache>
                <c:formatCode>0.0</c:formatCode>
                <c:ptCount val="3"/>
                <c:pt idx="0">
                  <c:v>55.035167563094745</c:v>
                </c:pt>
                <c:pt idx="1">
                  <c:v>54.311546430589566</c:v>
                </c:pt>
                <c:pt idx="2">
                  <c:v>39.861175381767701</c:v>
                </c:pt>
              </c:numCache>
            </c:numRef>
          </c:val>
          <c:extLst>
            <c:ext xmlns:c16="http://schemas.microsoft.com/office/drawing/2014/chart" uri="{C3380CC4-5D6E-409C-BE32-E72D297353CC}">
              <c16:uniqueId val="{00000002-8379-4640-A79A-B0D5FA3DF10A}"/>
            </c:ext>
          </c:extLst>
        </c:ser>
        <c:ser>
          <c:idx val="3"/>
          <c:order val="3"/>
          <c:tx>
            <c:strRef>
              <c:f>Sheet1!$A$5</c:f>
              <c:strCache>
                <c:ptCount val="1"/>
                <c:pt idx="0">
                  <c:v>Dabas zinātnes, matemātika un informācijas tehnoloģijas</c:v>
                </c:pt>
              </c:strCache>
            </c:strRef>
          </c:tx>
          <c:invertIfNegative val="0"/>
          <c:cat>
            <c:numRef>
              <c:f>(Sheet1!$B$1;Sheet1!$D$1;Sheet1!$G$1)</c:f>
              <c:numCache>
                <c:formatCode>General</c:formatCode>
                <c:ptCount val="3"/>
                <c:pt idx="0">
                  <c:v>2008</c:v>
                </c:pt>
                <c:pt idx="1">
                  <c:v>2010</c:v>
                </c:pt>
                <c:pt idx="2">
                  <c:v>2013</c:v>
                </c:pt>
              </c:numCache>
            </c:numRef>
          </c:cat>
          <c:val>
            <c:numRef>
              <c:f>(Sheet1!$B$5;Sheet1!$D$5;Sheet1!$G$5)</c:f>
              <c:numCache>
                <c:formatCode>0.0</c:formatCode>
                <c:ptCount val="3"/>
                <c:pt idx="0">
                  <c:v>5.0682664460074474</c:v>
                </c:pt>
                <c:pt idx="1">
                  <c:v>5.0329628932002262</c:v>
                </c:pt>
                <c:pt idx="2">
                  <c:v>5.9602036094400743</c:v>
                </c:pt>
              </c:numCache>
            </c:numRef>
          </c:val>
          <c:extLst>
            <c:ext xmlns:c16="http://schemas.microsoft.com/office/drawing/2014/chart" uri="{C3380CC4-5D6E-409C-BE32-E72D297353CC}">
              <c16:uniqueId val="{00000003-8379-4640-A79A-B0D5FA3DF10A}"/>
            </c:ext>
          </c:extLst>
        </c:ser>
        <c:ser>
          <c:idx val="4"/>
          <c:order val="4"/>
          <c:tx>
            <c:strRef>
              <c:f>Sheet1!$A$6</c:f>
              <c:strCache>
                <c:ptCount val="1"/>
                <c:pt idx="0">
                  <c:v>Inženierzinātnes, ražošana  un būvniecība</c:v>
                </c:pt>
              </c:strCache>
            </c:strRef>
          </c:tx>
          <c:invertIfNegative val="0"/>
          <c:cat>
            <c:numRef>
              <c:f>(Sheet1!$B$1;Sheet1!$D$1;Sheet1!$G$1)</c:f>
              <c:numCache>
                <c:formatCode>General</c:formatCode>
                <c:ptCount val="3"/>
                <c:pt idx="0">
                  <c:v>2008</c:v>
                </c:pt>
                <c:pt idx="1">
                  <c:v>2010</c:v>
                </c:pt>
                <c:pt idx="2">
                  <c:v>2013</c:v>
                </c:pt>
              </c:numCache>
            </c:numRef>
          </c:cat>
          <c:val>
            <c:numRef>
              <c:f>(Sheet1!$B$6;Sheet1!$D$6;Sheet1!$G$6)</c:f>
              <c:numCache>
                <c:formatCode>0.0</c:formatCode>
                <c:ptCount val="3"/>
                <c:pt idx="0">
                  <c:v>7.5879189077368636</c:v>
                </c:pt>
                <c:pt idx="1">
                  <c:v>9.2861179129779625</c:v>
                </c:pt>
                <c:pt idx="2">
                  <c:v>11.943544655252198</c:v>
                </c:pt>
              </c:numCache>
            </c:numRef>
          </c:val>
          <c:extLst>
            <c:ext xmlns:c16="http://schemas.microsoft.com/office/drawing/2014/chart" uri="{C3380CC4-5D6E-409C-BE32-E72D297353CC}">
              <c16:uniqueId val="{00000004-8379-4640-A79A-B0D5FA3DF10A}"/>
            </c:ext>
          </c:extLst>
        </c:ser>
        <c:ser>
          <c:idx val="5"/>
          <c:order val="5"/>
          <c:tx>
            <c:strRef>
              <c:f>Sheet1!$A$7</c:f>
              <c:strCache>
                <c:ptCount val="1"/>
                <c:pt idx="0">
                  <c:v>Lauksaimniecība</c:v>
                </c:pt>
              </c:strCache>
            </c:strRef>
          </c:tx>
          <c:invertIfNegative val="0"/>
          <c:cat>
            <c:numRef>
              <c:f>(Sheet1!$B$1;Sheet1!$D$1;Sheet1!$G$1)</c:f>
              <c:numCache>
                <c:formatCode>General</c:formatCode>
                <c:ptCount val="3"/>
                <c:pt idx="0">
                  <c:v>2008</c:v>
                </c:pt>
                <c:pt idx="1">
                  <c:v>2010</c:v>
                </c:pt>
                <c:pt idx="2">
                  <c:v>2013</c:v>
                </c:pt>
              </c:numCache>
            </c:numRef>
          </c:cat>
          <c:val>
            <c:numRef>
              <c:f>(Sheet1!$B$7;Sheet1!$D$7;Sheet1!$G$7)</c:f>
              <c:numCache>
                <c:formatCode>0.0</c:formatCode>
                <c:ptCount val="3"/>
                <c:pt idx="0">
                  <c:v>0.74472486553578821</c:v>
                </c:pt>
                <c:pt idx="1">
                  <c:v>0.86268600489734415</c:v>
                </c:pt>
                <c:pt idx="2">
                  <c:v>1.073577047663119</c:v>
                </c:pt>
              </c:numCache>
            </c:numRef>
          </c:val>
          <c:extLst>
            <c:ext xmlns:c16="http://schemas.microsoft.com/office/drawing/2014/chart" uri="{C3380CC4-5D6E-409C-BE32-E72D297353CC}">
              <c16:uniqueId val="{00000005-8379-4640-A79A-B0D5FA3DF10A}"/>
            </c:ext>
          </c:extLst>
        </c:ser>
        <c:ser>
          <c:idx val="6"/>
          <c:order val="6"/>
          <c:tx>
            <c:strRef>
              <c:f>Sheet1!$A$8</c:f>
              <c:strCache>
                <c:ptCount val="1"/>
                <c:pt idx="0">
                  <c:v>Veselības aprūpe un sociālā labklājība</c:v>
                </c:pt>
              </c:strCache>
            </c:strRef>
          </c:tx>
          <c:invertIfNegative val="0"/>
          <c:cat>
            <c:numRef>
              <c:f>(Sheet1!$B$1;Sheet1!$D$1;Sheet1!$G$1)</c:f>
              <c:numCache>
                <c:formatCode>General</c:formatCode>
                <c:ptCount val="3"/>
                <c:pt idx="0">
                  <c:v>2008</c:v>
                </c:pt>
                <c:pt idx="1">
                  <c:v>2010</c:v>
                </c:pt>
                <c:pt idx="2">
                  <c:v>2013</c:v>
                </c:pt>
              </c:numCache>
            </c:numRef>
          </c:cat>
          <c:val>
            <c:numRef>
              <c:f>(Sheet1!$B$8;Sheet1!$D$8;Sheet1!$G$8)</c:f>
              <c:numCache>
                <c:formatCode>0.0</c:formatCode>
                <c:ptCount val="3"/>
                <c:pt idx="0">
                  <c:v>7.9313198179561439</c:v>
                </c:pt>
                <c:pt idx="1">
                  <c:v>9.2522132228291589</c:v>
                </c:pt>
                <c:pt idx="2">
                  <c:v>18.232299861175385</c:v>
                </c:pt>
              </c:numCache>
            </c:numRef>
          </c:val>
          <c:extLst>
            <c:ext xmlns:c16="http://schemas.microsoft.com/office/drawing/2014/chart" uri="{C3380CC4-5D6E-409C-BE32-E72D297353CC}">
              <c16:uniqueId val="{00000006-8379-4640-A79A-B0D5FA3DF10A}"/>
            </c:ext>
          </c:extLst>
        </c:ser>
        <c:ser>
          <c:idx val="7"/>
          <c:order val="7"/>
          <c:tx>
            <c:strRef>
              <c:f>Sheet1!$A$9</c:f>
              <c:strCache>
                <c:ptCount val="1"/>
                <c:pt idx="0">
                  <c:v>Pakalpojumi</c:v>
                </c:pt>
              </c:strCache>
            </c:strRef>
          </c:tx>
          <c:invertIfNegative val="0"/>
          <c:cat>
            <c:numRef>
              <c:f>(Sheet1!$B$1;Sheet1!$D$1;Sheet1!$G$1)</c:f>
              <c:numCache>
                <c:formatCode>General</c:formatCode>
                <c:ptCount val="3"/>
                <c:pt idx="0">
                  <c:v>2008</c:v>
                </c:pt>
                <c:pt idx="1">
                  <c:v>2010</c:v>
                </c:pt>
                <c:pt idx="2">
                  <c:v>2013</c:v>
                </c:pt>
              </c:numCache>
            </c:numRef>
          </c:cat>
          <c:val>
            <c:numRef>
              <c:f>(Sheet1!$B$9;Sheet1!$D$9;Sheet1!$G$9)</c:f>
              <c:numCache>
                <c:formatCode>0.0</c:formatCode>
                <c:ptCount val="3"/>
                <c:pt idx="0">
                  <c:v>6.0322714108398845</c:v>
                </c:pt>
                <c:pt idx="1">
                  <c:v>5.6507816914673192</c:v>
                </c:pt>
                <c:pt idx="2">
                  <c:v>7.2003701989819522</c:v>
                </c:pt>
              </c:numCache>
            </c:numRef>
          </c:val>
          <c:extLst>
            <c:ext xmlns:c16="http://schemas.microsoft.com/office/drawing/2014/chart" uri="{C3380CC4-5D6E-409C-BE32-E72D297353CC}">
              <c16:uniqueId val="{00000007-8379-4640-A79A-B0D5FA3DF10A}"/>
            </c:ext>
          </c:extLst>
        </c:ser>
        <c:dLbls>
          <c:showLegendKey val="0"/>
          <c:showVal val="0"/>
          <c:showCatName val="0"/>
          <c:showSerName val="0"/>
          <c:showPercent val="0"/>
          <c:showBubbleSize val="0"/>
        </c:dLbls>
        <c:gapWidth val="40"/>
        <c:overlap val="100"/>
        <c:axId val="742087544"/>
        <c:axId val="742088328"/>
      </c:barChart>
      <c:catAx>
        <c:axId val="742087544"/>
        <c:scaling>
          <c:orientation val="minMax"/>
        </c:scaling>
        <c:delete val="1"/>
        <c:axPos val="b"/>
        <c:numFmt formatCode="General" sourceLinked="1"/>
        <c:majorTickMark val="out"/>
        <c:minorTickMark val="none"/>
        <c:tickLblPos val="nextTo"/>
        <c:crossAx val="742088328"/>
        <c:crosses val="autoZero"/>
        <c:auto val="1"/>
        <c:lblAlgn val="ctr"/>
        <c:lblOffset val="100"/>
        <c:noMultiLvlLbl val="0"/>
      </c:catAx>
      <c:valAx>
        <c:axId val="742088328"/>
        <c:scaling>
          <c:orientation val="minMax"/>
        </c:scaling>
        <c:delete val="1"/>
        <c:axPos val="l"/>
        <c:numFmt formatCode="0%" sourceLinked="1"/>
        <c:majorTickMark val="out"/>
        <c:minorTickMark val="none"/>
        <c:tickLblPos val="nextTo"/>
        <c:crossAx val="742087544"/>
        <c:crosses val="autoZero"/>
        <c:crossBetween val="between"/>
        <c:majorUnit val="0.2"/>
      </c:valAx>
    </c:plotArea>
    <c:legend>
      <c:legendPos val="r"/>
      <c:layout>
        <c:manualLayout>
          <c:xMode val="edge"/>
          <c:yMode val="edge"/>
          <c:x val="7.5237739714729718E-2"/>
          <c:y val="4.535377473226263E-3"/>
          <c:w val="0.92368993567094082"/>
          <c:h val="0.97590163097317117"/>
        </c:manualLayout>
      </c:layout>
      <c:overlay val="0"/>
      <c:spPr>
        <a:solidFill>
          <a:schemeClr val="bg1"/>
        </a:solidFill>
      </c:spPr>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1"/>
          <c:tx>
            <c:strRef>
              <c:f>Sheet1!$C$1</c:f>
              <c:strCache>
                <c:ptCount val="1"/>
                <c:pt idx="0">
                  <c:v>2025</c:v>
                </c:pt>
              </c:strCache>
            </c:strRef>
          </c:tx>
          <c:spPr>
            <a:solidFill>
              <a:srgbClr val="4BACC6">
                <a:lumMod val="75000"/>
              </a:srgbClr>
            </a:solidFill>
            <a:ln w="6350">
              <a:noFill/>
            </a:ln>
          </c:spPr>
          <c:invertIfNegative val="0"/>
          <c:dPt>
            <c:idx val="3"/>
            <c:invertIfNegative val="0"/>
            <c:bubble3D val="0"/>
            <c:spPr>
              <a:solidFill>
                <a:srgbClr val="31859C"/>
              </a:solidFill>
              <a:ln w="6350">
                <a:noFill/>
              </a:ln>
            </c:spPr>
            <c:extLst>
              <c:ext xmlns:c16="http://schemas.microsoft.com/office/drawing/2014/chart" uri="{C3380CC4-5D6E-409C-BE32-E72D297353CC}">
                <c16:uniqueId val="{00000001-9792-421E-B735-B226FE87099F}"/>
              </c:ext>
            </c:extLst>
          </c:dPt>
          <c:dPt>
            <c:idx val="6"/>
            <c:invertIfNegative val="0"/>
            <c:bubble3D val="0"/>
            <c:spPr>
              <a:solidFill>
                <a:srgbClr val="31859C"/>
              </a:solidFill>
              <a:ln w="6350">
                <a:noFill/>
              </a:ln>
            </c:spPr>
            <c:extLst>
              <c:ext xmlns:c16="http://schemas.microsoft.com/office/drawing/2014/chart" uri="{C3380CC4-5D6E-409C-BE32-E72D297353CC}">
                <c16:uniqueId val="{00000003-9792-421E-B735-B226FE87099F}"/>
              </c:ext>
            </c:extLst>
          </c:dPt>
          <c:dPt>
            <c:idx val="7"/>
            <c:invertIfNegative val="0"/>
            <c:bubble3D val="0"/>
            <c:spPr>
              <a:solidFill>
                <a:srgbClr val="31859C"/>
              </a:solidFill>
              <a:ln w="6350">
                <a:noFill/>
              </a:ln>
            </c:spPr>
            <c:extLst>
              <c:ext xmlns:c16="http://schemas.microsoft.com/office/drawing/2014/chart" uri="{C3380CC4-5D6E-409C-BE32-E72D297353CC}">
                <c16:uniqueId val="{00000005-9792-421E-B735-B226FE87099F}"/>
              </c:ext>
            </c:extLst>
          </c:dPt>
          <c:dPt>
            <c:idx val="8"/>
            <c:invertIfNegative val="0"/>
            <c:bubble3D val="0"/>
            <c:extLst>
              <c:ext xmlns:c16="http://schemas.microsoft.com/office/drawing/2014/chart" uri="{C3380CC4-5D6E-409C-BE32-E72D297353CC}">
                <c16:uniqueId val="{00000006-9792-421E-B735-B226FE87099F}"/>
              </c:ext>
            </c:extLst>
          </c:dPt>
          <c:dPt>
            <c:idx val="14"/>
            <c:invertIfNegative val="0"/>
            <c:bubble3D val="0"/>
            <c:spPr>
              <a:solidFill>
                <a:srgbClr val="156082">
                  <a:lumMod val="75000"/>
                </a:srgbClr>
              </a:solidFill>
              <a:ln w="6350">
                <a:noFill/>
              </a:ln>
            </c:spPr>
            <c:extLst>
              <c:ext xmlns:c16="http://schemas.microsoft.com/office/drawing/2014/chart" uri="{C3380CC4-5D6E-409C-BE32-E72D297353CC}">
                <c16:uniqueId val="{00000008-9792-421E-B735-B226FE87099F}"/>
              </c:ext>
            </c:extLst>
          </c:dPt>
          <c:dPt>
            <c:idx val="17"/>
            <c:invertIfNegative val="0"/>
            <c:bubble3D val="0"/>
            <c:spPr>
              <a:solidFill>
                <a:srgbClr val="C00000"/>
              </a:solidFill>
              <a:ln w="6350">
                <a:noFill/>
              </a:ln>
            </c:spPr>
            <c:extLst>
              <c:ext xmlns:c16="http://schemas.microsoft.com/office/drawing/2014/chart" uri="{C3380CC4-5D6E-409C-BE32-E72D297353CC}">
                <c16:uniqueId val="{0000000A-9792-421E-B735-B226FE87099F}"/>
              </c:ext>
            </c:extLst>
          </c:dPt>
          <c:dPt>
            <c:idx val="18"/>
            <c:invertIfNegative val="0"/>
            <c:bubble3D val="0"/>
            <c:extLst>
              <c:ext xmlns:c16="http://schemas.microsoft.com/office/drawing/2014/chart" uri="{C3380CC4-5D6E-409C-BE32-E72D297353CC}">
                <c16:uniqueId val="{0000000B-9792-421E-B735-B226FE87099F}"/>
              </c:ext>
            </c:extLst>
          </c:dPt>
          <c:dPt>
            <c:idx val="19"/>
            <c:invertIfNegative val="0"/>
            <c:bubble3D val="0"/>
            <c:extLst>
              <c:ext xmlns:c16="http://schemas.microsoft.com/office/drawing/2014/chart" uri="{C3380CC4-5D6E-409C-BE32-E72D297353CC}">
                <c16:uniqueId val="{0000000C-9792-421E-B735-B226FE87099F}"/>
              </c:ext>
            </c:extLst>
          </c:dPt>
          <c:dPt>
            <c:idx val="21"/>
            <c:invertIfNegative val="0"/>
            <c:bubble3D val="0"/>
            <c:spPr>
              <a:solidFill>
                <a:srgbClr val="31859C"/>
              </a:solidFill>
              <a:ln w="6350">
                <a:noFill/>
              </a:ln>
            </c:spPr>
            <c:extLst>
              <c:ext xmlns:c16="http://schemas.microsoft.com/office/drawing/2014/chart" uri="{C3380CC4-5D6E-409C-BE32-E72D297353CC}">
                <c16:uniqueId val="{0000000E-9792-421E-B735-B226FE87099F}"/>
              </c:ext>
            </c:extLst>
          </c:dPt>
          <c:dPt>
            <c:idx val="24"/>
            <c:invertIfNegative val="0"/>
            <c:bubble3D val="0"/>
            <c:extLst>
              <c:ext xmlns:c16="http://schemas.microsoft.com/office/drawing/2014/chart" uri="{C3380CC4-5D6E-409C-BE32-E72D297353CC}">
                <c16:uniqueId val="{0000000F-9792-421E-B735-B226FE87099F}"/>
              </c:ext>
            </c:extLst>
          </c:dPt>
          <c:dPt>
            <c:idx val="25"/>
            <c:invertIfNegative val="0"/>
            <c:bubble3D val="0"/>
            <c:extLst>
              <c:ext xmlns:c16="http://schemas.microsoft.com/office/drawing/2014/chart" uri="{C3380CC4-5D6E-409C-BE32-E72D297353CC}">
                <c16:uniqueId val="{00000010-9792-421E-B735-B226FE87099F}"/>
              </c:ext>
            </c:extLst>
          </c:dPt>
          <c:dPt>
            <c:idx val="27"/>
            <c:invertIfNegative val="0"/>
            <c:bubble3D val="0"/>
            <c:extLst>
              <c:ext xmlns:c16="http://schemas.microsoft.com/office/drawing/2014/chart" uri="{C3380CC4-5D6E-409C-BE32-E72D297353CC}">
                <c16:uniqueId val="{00000011-9792-421E-B735-B226FE87099F}"/>
              </c:ext>
            </c:extLst>
          </c:dPt>
          <c:dLbls>
            <c:dLbl>
              <c:idx val="2"/>
              <c:layout>
                <c:manualLayout>
                  <c:x val="-2.0210695124626601E-17"/>
                  <c:y val="0.44161064795130267"/>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4625730349465327E-2"/>
                      <c:h val="0.11377333814134477"/>
                    </c:manualLayout>
                  </c15:layout>
                </c:ext>
                <c:ext xmlns:c16="http://schemas.microsoft.com/office/drawing/2014/chart" uri="{C3380CC4-5D6E-409C-BE32-E72D297353CC}">
                  <c16:uniqueId val="{00000012-9792-421E-B735-B226FE87099F}"/>
                </c:ext>
              </c:extLst>
            </c:dLbl>
            <c:numFmt formatCode="#,##0" sourceLinked="0"/>
            <c:spPr>
              <a:noFill/>
              <a:ln>
                <a:noFill/>
              </a:ln>
              <a:effectLst/>
            </c:spPr>
            <c:txPr>
              <a:bodyPr/>
              <a:lstStyle/>
              <a:p>
                <a:pPr>
                  <a:defRPr>
                    <a:solidFill>
                      <a:schemeClr val="bg1"/>
                    </a:solidFill>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Zviedrija</c:v>
                </c:pt>
                <c:pt idx="1">
                  <c:v>Dānija</c:v>
                </c:pt>
                <c:pt idx="2">
                  <c:v>Somija</c:v>
                </c:pt>
                <c:pt idx="3">
                  <c:v>Nīderlande</c:v>
                </c:pt>
                <c:pt idx="4">
                  <c:v>Igaunija</c:v>
                </c:pt>
                <c:pt idx="5">
                  <c:v>Slovēnija</c:v>
                </c:pt>
                <c:pt idx="6">
                  <c:v>Malta</c:v>
                </c:pt>
                <c:pt idx="7">
                  <c:v>Beļģija</c:v>
                </c:pt>
                <c:pt idx="8">
                  <c:v>Luksemburga</c:v>
                </c:pt>
                <c:pt idx="9">
                  <c:v>Portugāle</c:v>
                </c:pt>
                <c:pt idx="10">
                  <c:v>Austrija</c:v>
                </c:pt>
                <c:pt idx="11">
                  <c:v>Spānija</c:v>
                </c:pt>
                <c:pt idx="12">
                  <c:v>Francija</c:v>
                </c:pt>
                <c:pt idx="13">
                  <c:v>Īrija</c:v>
                </c:pt>
                <c:pt idx="14">
                  <c:v>ES27</c:v>
                </c:pt>
                <c:pt idx="15">
                  <c:v>Kipra</c:v>
                </c:pt>
                <c:pt idx="16">
                  <c:v>Slovākija</c:v>
                </c:pt>
                <c:pt idx="17">
                  <c:v>Latvija</c:v>
                </c:pt>
                <c:pt idx="18">
                  <c:v>Čehija</c:v>
                </c:pt>
                <c:pt idx="19">
                  <c:v>Itālija</c:v>
                </c:pt>
                <c:pt idx="20">
                  <c:v>Ungārija</c:v>
                </c:pt>
                <c:pt idx="21">
                  <c:v>Lietuva</c:v>
                </c:pt>
                <c:pt idx="22">
                  <c:v>Rumānija</c:v>
                </c:pt>
                <c:pt idx="23">
                  <c:v>Vācija</c:v>
                </c:pt>
                <c:pt idx="24">
                  <c:v>Polija</c:v>
                </c:pt>
                <c:pt idx="25">
                  <c:v>Horvātija</c:v>
                </c:pt>
                <c:pt idx="26">
                  <c:v>Bulgārija</c:v>
                </c:pt>
                <c:pt idx="27">
                  <c:v>Grieķija</c:v>
                </c:pt>
              </c:strCache>
            </c:strRef>
          </c:cat>
          <c:val>
            <c:numRef>
              <c:f>Sheet1!$C$2:$C$29</c:f>
              <c:numCache>
                <c:formatCode>#\ ##0.0</c:formatCode>
                <c:ptCount val="28"/>
                <c:pt idx="0" formatCode="#\ ##0.##########">
                  <c:v>38.200000000000003</c:v>
                </c:pt>
                <c:pt idx="1">
                  <c:v>31</c:v>
                </c:pt>
                <c:pt idx="2" formatCode="#\ ##0.##########">
                  <c:v>28.1</c:v>
                </c:pt>
                <c:pt idx="3" formatCode="#\ ##0.##########">
                  <c:v>25.9</c:v>
                </c:pt>
                <c:pt idx="4" formatCode="#\ ##0.##########">
                  <c:v>23.8</c:v>
                </c:pt>
                <c:pt idx="5" formatCode="#\ ##0.##########">
                  <c:v>22.8</c:v>
                </c:pt>
                <c:pt idx="6" formatCode="#\ ##0.##########">
                  <c:v>19.7</c:v>
                </c:pt>
                <c:pt idx="7">
                  <c:v>18</c:v>
                </c:pt>
                <c:pt idx="8" formatCode="#\ ##0.##########">
                  <c:v>17.399999999999999</c:v>
                </c:pt>
                <c:pt idx="9" formatCode="#\ ##0.##########">
                  <c:v>16.899999999999999</c:v>
                </c:pt>
                <c:pt idx="10" formatCode="#\ ##0.##########">
                  <c:v>16.100000000000001</c:v>
                </c:pt>
                <c:pt idx="11" formatCode="#\ ##0.##########">
                  <c:v>15.8</c:v>
                </c:pt>
                <c:pt idx="12" formatCode="#\ ##0.##########">
                  <c:v>15.5</c:v>
                </c:pt>
                <c:pt idx="13" formatCode="#\ ##0.##########">
                  <c:v>14.6</c:v>
                </c:pt>
                <c:pt idx="14" formatCode="#\ ##0.##########">
                  <c:v>13.7</c:v>
                </c:pt>
                <c:pt idx="15">
                  <c:v>12</c:v>
                </c:pt>
                <c:pt idx="16" formatCode="#\ ##0.##########">
                  <c:v>11.9</c:v>
                </c:pt>
                <c:pt idx="17" formatCode="#\ ##0.##########">
                  <c:v>11.4</c:v>
                </c:pt>
                <c:pt idx="18" formatCode="#\ ##0.##########">
                  <c:v>11.1</c:v>
                </c:pt>
                <c:pt idx="19" formatCode="#\ ##0.##########">
                  <c:v>10.8</c:v>
                </c:pt>
                <c:pt idx="20" formatCode="#\ ##0.##########">
                  <c:v>10.6</c:v>
                </c:pt>
                <c:pt idx="21" formatCode="#\ ##0.##########">
                  <c:v>10.4</c:v>
                </c:pt>
                <c:pt idx="22" formatCode="#\ ##0.##########">
                  <c:v>10.199999999999999</c:v>
                </c:pt>
                <c:pt idx="23" formatCode="#\ ##0.##########">
                  <c:v>9.3000000000000007</c:v>
                </c:pt>
                <c:pt idx="24" formatCode="#\ ##0.##########">
                  <c:v>8.8000000000000007</c:v>
                </c:pt>
                <c:pt idx="25" formatCode="#\ ##0.##########">
                  <c:v>6.5</c:v>
                </c:pt>
                <c:pt idx="26" formatCode="#\ ##0.##########">
                  <c:v>6.1</c:v>
                </c:pt>
                <c:pt idx="27" formatCode="#\ ##0.##########">
                  <c:v>5.2</c:v>
                </c:pt>
              </c:numCache>
            </c:numRef>
          </c:val>
          <c:extLst>
            <c:ext xmlns:c16="http://schemas.microsoft.com/office/drawing/2014/chart" uri="{C3380CC4-5D6E-409C-BE32-E72D297353CC}">
              <c16:uniqueId val="{00000013-9792-421E-B735-B226FE87099F}"/>
            </c:ext>
          </c:extLst>
        </c:ser>
        <c:dLbls>
          <c:showLegendKey val="0"/>
          <c:showVal val="0"/>
          <c:showCatName val="0"/>
          <c:showSerName val="0"/>
          <c:showPercent val="0"/>
          <c:showBubbleSize val="0"/>
        </c:dLbls>
        <c:gapWidth val="40"/>
        <c:axId val="742093816"/>
        <c:axId val="742098912"/>
      </c:barChart>
      <c:lineChart>
        <c:grouping val="stacked"/>
        <c:varyColors val="0"/>
        <c:ser>
          <c:idx val="1"/>
          <c:order val="0"/>
          <c:tx>
            <c:strRef>
              <c:f>Sheet1!$B$1</c:f>
              <c:strCache>
                <c:ptCount val="1"/>
                <c:pt idx="0">
                  <c:v>2010</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Zviedrija</c:v>
                </c:pt>
                <c:pt idx="1">
                  <c:v>Dānija</c:v>
                </c:pt>
                <c:pt idx="2">
                  <c:v>Somija</c:v>
                </c:pt>
                <c:pt idx="3">
                  <c:v>Nīderlande</c:v>
                </c:pt>
                <c:pt idx="4">
                  <c:v>Igaunija</c:v>
                </c:pt>
                <c:pt idx="5">
                  <c:v>Slovēnija</c:v>
                </c:pt>
                <c:pt idx="6">
                  <c:v>Malta</c:v>
                </c:pt>
                <c:pt idx="7">
                  <c:v>Beļģija</c:v>
                </c:pt>
                <c:pt idx="8">
                  <c:v>Luksemburga</c:v>
                </c:pt>
                <c:pt idx="9">
                  <c:v>Portugāle</c:v>
                </c:pt>
                <c:pt idx="10">
                  <c:v>Austrija</c:v>
                </c:pt>
                <c:pt idx="11">
                  <c:v>Spānija</c:v>
                </c:pt>
                <c:pt idx="12">
                  <c:v>Francija</c:v>
                </c:pt>
                <c:pt idx="13">
                  <c:v>Īrija</c:v>
                </c:pt>
                <c:pt idx="14">
                  <c:v>ES27</c:v>
                </c:pt>
                <c:pt idx="15">
                  <c:v>Kipra</c:v>
                </c:pt>
                <c:pt idx="16">
                  <c:v>Slovākija</c:v>
                </c:pt>
                <c:pt idx="17">
                  <c:v>Latvija</c:v>
                </c:pt>
                <c:pt idx="18">
                  <c:v>Čehija</c:v>
                </c:pt>
                <c:pt idx="19">
                  <c:v>Itālija</c:v>
                </c:pt>
                <c:pt idx="20">
                  <c:v>Ungārija</c:v>
                </c:pt>
                <c:pt idx="21">
                  <c:v>Lietuva</c:v>
                </c:pt>
                <c:pt idx="22">
                  <c:v>Rumānija</c:v>
                </c:pt>
                <c:pt idx="23">
                  <c:v>Vācija</c:v>
                </c:pt>
                <c:pt idx="24">
                  <c:v>Polija</c:v>
                </c:pt>
                <c:pt idx="25">
                  <c:v>Horvātija</c:v>
                </c:pt>
                <c:pt idx="26">
                  <c:v>Bulgārija</c:v>
                </c:pt>
                <c:pt idx="27">
                  <c:v>Grieķija</c:v>
                </c:pt>
              </c:strCache>
            </c:strRef>
          </c:cat>
          <c:val>
            <c:numRef>
              <c:f>Sheet1!$B$2:$B$29</c:f>
              <c:numCache>
                <c:formatCode>#\ ##0.##########</c:formatCode>
                <c:ptCount val="28"/>
                <c:pt idx="0">
                  <c:v>24.7</c:v>
                </c:pt>
                <c:pt idx="1">
                  <c:v>32.700000000000003</c:v>
                </c:pt>
                <c:pt idx="2" formatCode="#\ ##0.0">
                  <c:v>23</c:v>
                </c:pt>
                <c:pt idx="3" formatCode="#\ ##0.0">
                  <c:v>17</c:v>
                </c:pt>
                <c:pt idx="4" formatCode="#\ ##0.0">
                  <c:v>11</c:v>
                </c:pt>
                <c:pt idx="5">
                  <c:v>16.399999999999999</c:v>
                </c:pt>
                <c:pt idx="6">
                  <c:v>6.2</c:v>
                </c:pt>
                <c:pt idx="7">
                  <c:v>7.4</c:v>
                </c:pt>
                <c:pt idx="8">
                  <c:v>13.5</c:v>
                </c:pt>
                <c:pt idx="9">
                  <c:v>5.7</c:v>
                </c:pt>
                <c:pt idx="10">
                  <c:v>13.8</c:v>
                </c:pt>
                <c:pt idx="11">
                  <c:v>11.2</c:v>
                </c:pt>
                <c:pt idx="12" formatCode="#\ ##0.0">
                  <c:v>5</c:v>
                </c:pt>
                <c:pt idx="13">
                  <c:v>7.1</c:v>
                </c:pt>
                <c:pt idx="14">
                  <c:v>7.8</c:v>
                </c:pt>
                <c:pt idx="15">
                  <c:v>8.1</c:v>
                </c:pt>
                <c:pt idx="16">
                  <c:v>3.1</c:v>
                </c:pt>
                <c:pt idx="17">
                  <c:v>5.4</c:v>
                </c:pt>
                <c:pt idx="18">
                  <c:v>7.8</c:v>
                </c:pt>
                <c:pt idx="19">
                  <c:v>6.2</c:v>
                </c:pt>
                <c:pt idx="20" formatCode="#\ ##0.0">
                  <c:v>3</c:v>
                </c:pt>
                <c:pt idx="21">
                  <c:v>4.4000000000000004</c:v>
                </c:pt>
                <c:pt idx="22">
                  <c:v>1.4</c:v>
                </c:pt>
                <c:pt idx="23">
                  <c:v>7.8</c:v>
                </c:pt>
                <c:pt idx="24">
                  <c:v>5.2</c:v>
                </c:pt>
                <c:pt idx="25" formatCode="#\ ##0.0">
                  <c:v>3</c:v>
                </c:pt>
                <c:pt idx="26">
                  <c:v>1.6</c:v>
                </c:pt>
                <c:pt idx="27">
                  <c:v>3.3</c:v>
                </c:pt>
              </c:numCache>
            </c:numRef>
          </c:val>
          <c:smooth val="0"/>
          <c:extLst>
            <c:ext xmlns:c16="http://schemas.microsoft.com/office/drawing/2014/chart" uri="{C3380CC4-5D6E-409C-BE32-E72D297353CC}">
              <c16:uniqueId val="{00000014-9792-421E-B735-B226FE87099F}"/>
            </c:ext>
          </c:extLst>
        </c:ser>
        <c:dLbls>
          <c:showLegendKey val="0"/>
          <c:showVal val="0"/>
          <c:showCatName val="0"/>
          <c:showSerName val="0"/>
          <c:showPercent val="0"/>
          <c:showBubbleSize val="0"/>
        </c:dLbls>
        <c:marker val="1"/>
        <c:smooth val="0"/>
        <c:axId val="742093816"/>
        <c:axId val="742098912"/>
      </c:lineChart>
      <c:catAx>
        <c:axId val="742093816"/>
        <c:scaling>
          <c:orientation val="minMax"/>
        </c:scaling>
        <c:delete val="0"/>
        <c:axPos val="b"/>
        <c:numFmt formatCode="General" sourceLinked="1"/>
        <c:majorTickMark val="out"/>
        <c:minorTickMark val="none"/>
        <c:tickLblPos val="low"/>
        <c:spPr>
          <a:ln/>
        </c:spPr>
        <c:txPr>
          <a:bodyPr rot="-5400000" vert="horz"/>
          <a:lstStyle/>
          <a:p>
            <a:pPr>
              <a:defRPr/>
            </a:pPr>
            <a:endParaRPr lang="en-US"/>
          </a:p>
        </c:txPr>
        <c:crossAx val="742098912"/>
        <c:crosses val="autoZero"/>
        <c:auto val="0"/>
        <c:lblAlgn val="ctr"/>
        <c:lblOffset val="100"/>
        <c:tickLblSkip val="1"/>
        <c:noMultiLvlLbl val="0"/>
      </c:catAx>
      <c:valAx>
        <c:axId val="742098912"/>
        <c:scaling>
          <c:orientation val="minMax"/>
          <c:max val="40"/>
        </c:scaling>
        <c:delete val="0"/>
        <c:axPos val="l"/>
        <c:numFmt formatCode="#,##0" sourceLinked="0"/>
        <c:majorTickMark val="out"/>
        <c:minorTickMark val="none"/>
        <c:tickLblPos val="nextTo"/>
        <c:spPr>
          <a:ln w="6350">
            <a:noFill/>
          </a:ln>
        </c:spPr>
        <c:txPr>
          <a:bodyPr rot="0" vert="horz"/>
          <a:lstStyle/>
          <a:p>
            <a:pPr>
              <a:defRPr/>
            </a:pPr>
            <a:endParaRPr lang="en-US"/>
          </a:p>
        </c:txPr>
        <c:crossAx val="742093816"/>
        <c:crosses val="autoZero"/>
        <c:crossBetween val="between"/>
        <c:majorUnit val="10"/>
      </c:valAx>
      <c:spPr>
        <a:noFill/>
        <a:ln w="6350">
          <a:noFill/>
        </a:ln>
      </c:spPr>
    </c:plotArea>
    <c:legend>
      <c:legendPos val="t"/>
      <c:layout>
        <c:manualLayout>
          <c:xMode val="edge"/>
          <c:yMode val="edge"/>
          <c:x val="0.71870945543571763"/>
          <c:y val="6.8432397141183571E-2"/>
          <c:w val="9.6429867435258595E-2"/>
          <c:h val="0.19250984541369259"/>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en-US"/>
    </a:p>
  </c:txPr>
  <c:externalData r:id="rId2">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72394933544002"/>
          <c:y val="3.7561889096960975E-2"/>
          <c:w val="0.84976447403831967"/>
          <c:h val="0.81015008974266356"/>
        </c:manualLayout>
      </c:layout>
      <c:lineChart>
        <c:grouping val="standard"/>
        <c:varyColors val="0"/>
        <c:ser>
          <c:idx val="0"/>
          <c:order val="0"/>
          <c:tx>
            <c:strRef>
              <c:f>Sheet1!$B$1</c:f>
              <c:strCache>
                <c:ptCount val="1"/>
                <c:pt idx="0">
                  <c:v>Series 1</c:v>
                </c:pt>
              </c:strCache>
            </c:strRef>
          </c:tx>
          <c:spPr>
            <a:ln w="9525" cap="rnd">
              <a:solidFill>
                <a:schemeClr val="accent5">
                  <a:lumMod val="60000"/>
                  <a:lumOff val="40000"/>
                </a:schemeClr>
              </a:solidFill>
              <a:round/>
            </a:ln>
            <a:effectLst/>
          </c:spPr>
          <c:marker>
            <c:symbol val="none"/>
          </c:marker>
          <c:dLbls>
            <c:spPr>
              <a:solidFill>
                <a:schemeClr val="bg1">
                  <a:lumMod val="95000"/>
                </a:schemeClr>
              </a:solidFill>
              <a:ln w="12700">
                <a:solidFill>
                  <a:schemeClr val="bg1">
                    <a:lumMod val="85000"/>
                  </a:schemeClr>
                </a:solid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Sheet1!$B$2:$B$10</c:f>
              <c:numCache>
                <c:formatCode>0.0</c:formatCode>
                <c:ptCount val="9"/>
                <c:pt idx="0">
                  <c:v>19.396000000000001</c:v>
                </c:pt>
                <c:pt idx="1">
                  <c:v>23.8</c:v>
                </c:pt>
                <c:pt idx="2">
                  <c:v>34.085999999999999</c:v>
                </c:pt>
                <c:pt idx="3">
                  <c:v>32.668999999999997</c:v>
                </c:pt>
                <c:pt idx="4">
                  <c:v>22.395</c:v>
                </c:pt>
                <c:pt idx="5">
                  <c:v>34.643000000000001</c:v>
                </c:pt>
                <c:pt idx="6">
                  <c:v>34.076999999999998</c:v>
                </c:pt>
                <c:pt idx="7" formatCode="General">
                  <c:v>41</c:v>
                </c:pt>
                <c:pt idx="8" formatCode="General">
                  <c:v>13.8</c:v>
                </c:pt>
              </c:numCache>
            </c:numRef>
          </c:val>
          <c:smooth val="0"/>
          <c:extLst>
            <c:ext xmlns:c16="http://schemas.microsoft.com/office/drawing/2014/chart" uri="{C3380CC4-5D6E-409C-BE32-E72D297353CC}">
              <c16:uniqueId val="{00000000-994C-47B5-82DF-6A8AA7334CEF}"/>
            </c:ext>
          </c:extLst>
        </c:ser>
        <c:dLbls>
          <c:showLegendKey val="0"/>
          <c:showVal val="0"/>
          <c:showCatName val="0"/>
          <c:showSerName val="0"/>
          <c:showPercent val="0"/>
          <c:showBubbleSize val="0"/>
        </c:dLbls>
        <c:smooth val="0"/>
        <c:axId val="756053743"/>
        <c:axId val="758067935"/>
      </c:lineChart>
      <c:catAx>
        <c:axId val="75605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en-US"/>
          </a:p>
        </c:txPr>
        <c:crossAx val="758067935"/>
        <c:crosses val="autoZero"/>
        <c:auto val="1"/>
        <c:lblAlgn val="ctr"/>
        <c:lblOffset val="100"/>
        <c:noMultiLvlLbl val="0"/>
      </c:catAx>
      <c:valAx>
        <c:axId val="758067935"/>
        <c:scaling>
          <c:orientation val="minMax"/>
          <c:max val="45"/>
          <c:min val="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en-US"/>
          </a:p>
        </c:txPr>
        <c:crossAx val="756053743"/>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595355069227336E-2"/>
          <c:y val="3.5286126206055229E-2"/>
          <c:w val="0.90174184903974985"/>
          <c:h val="0.81540684266971919"/>
        </c:manualLayout>
      </c:layout>
      <c:barChart>
        <c:barDir val="col"/>
        <c:grouping val="clustered"/>
        <c:varyColors val="0"/>
        <c:ser>
          <c:idx val="0"/>
          <c:order val="0"/>
          <c:tx>
            <c:strRef>
              <c:f>Sheet1!$B$1</c:f>
              <c:strCache>
                <c:ptCount val="1"/>
                <c:pt idx="0">
                  <c:v>Series 1</c:v>
                </c:pt>
              </c:strCache>
            </c:strRef>
          </c:tx>
          <c:spPr>
            <a:solidFill>
              <a:srgbClr val="3288A0"/>
            </a:solidFill>
            <a:ln w="9525">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 reizi</c:v>
                </c:pt>
                <c:pt idx="1">
                  <c:v>2 reizes</c:v>
                </c:pt>
                <c:pt idx="2">
                  <c:v>3 reizes</c:v>
                </c:pt>
                <c:pt idx="3">
                  <c:v>Vairāk nekā 3 reizes</c:v>
                </c:pt>
              </c:strCache>
            </c:strRef>
          </c:cat>
          <c:val>
            <c:numRef>
              <c:f>Sheet1!$B$2:$B$5</c:f>
              <c:numCache>
                <c:formatCode>0.0</c:formatCode>
                <c:ptCount val="4"/>
                <c:pt idx="0">
                  <c:v>117.1</c:v>
                </c:pt>
                <c:pt idx="1">
                  <c:v>35.700000000000003</c:v>
                </c:pt>
                <c:pt idx="2">
                  <c:v>10.6</c:v>
                </c:pt>
                <c:pt idx="3">
                  <c:v>6.9</c:v>
                </c:pt>
              </c:numCache>
            </c:numRef>
          </c:val>
          <c:extLst>
            <c:ext xmlns:c16="http://schemas.microsoft.com/office/drawing/2014/chart" uri="{C3380CC4-5D6E-409C-BE32-E72D297353CC}">
              <c16:uniqueId val="{00000000-E3C8-4D78-9D10-AF279A22ADEF}"/>
            </c:ext>
          </c:extLst>
        </c:ser>
        <c:dLbls>
          <c:showLegendKey val="0"/>
          <c:showVal val="0"/>
          <c:showCatName val="0"/>
          <c:showSerName val="0"/>
          <c:showPercent val="0"/>
          <c:showBubbleSize val="0"/>
        </c:dLbls>
        <c:gapWidth val="50"/>
        <c:overlap val="44"/>
        <c:axId val="756053743"/>
        <c:axId val="758067935"/>
      </c:barChart>
      <c:catAx>
        <c:axId val="75605374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58067935"/>
        <c:crosses val="autoZero"/>
        <c:auto val="1"/>
        <c:lblAlgn val="ctr"/>
        <c:lblOffset val="100"/>
        <c:noMultiLvlLbl val="0"/>
      </c:catAx>
      <c:valAx>
        <c:axId val="758067935"/>
        <c:scaling>
          <c:orientation val="minMax"/>
          <c:min val="0"/>
        </c:scaling>
        <c:delete val="1"/>
        <c:axPos val="l"/>
        <c:numFmt formatCode="0.0" sourceLinked="1"/>
        <c:majorTickMark val="out"/>
        <c:minorTickMark val="none"/>
        <c:tickLblPos val="nextTo"/>
        <c:crossAx val="756053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686856806821527E-2"/>
          <c:y val="2.3818347857186676E-2"/>
          <c:w val="0.91179064980887969"/>
          <c:h val="0.56471959452812037"/>
        </c:manualLayout>
      </c:layout>
      <c:barChart>
        <c:barDir val="col"/>
        <c:grouping val="clustered"/>
        <c:varyColors val="0"/>
        <c:ser>
          <c:idx val="0"/>
          <c:order val="0"/>
          <c:tx>
            <c:strRef>
              <c:f>Sheet1!$B$1</c:f>
              <c:strCache>
                <c:ptCount val="1"/>
                <c:pt idx="0">
                  <c:v>Series 1</c:v>
                </c:pt>
              </c:strCache>
            </c:strRef>
          </c:tx>
          <c:spPr>
            <a:solidFill>
              <a:srgbClr val="3288A0"/>
            </a:solidFill>
            <a:ln w="9525">
              <a:noFill/>
            </a:ln>
            <a:effectLst/>
          </c:spPr>
          <c:invertIfNegative val="0"/>
          <c:dPt>
            <c:idx val="5"/>
            <c:invertIfNegative val="0"/>
            <c:bubble3D val="0"/>
            <c:spPr>
              <a:solidFill>
                <a:schemeClr val="bg1">
                  <a:lumMod val="50000"/>
                </a:schemeClr>
              </a:solidFill>
              <a:ln w="9525">
                <a:noFill/>
              </a:ln>
              <a:effectLst/>
            </c:spPr>
            <c:extLst>
              <c:ext xmlns:c16="http://schemas.microsoft.com/office/drawing/2014/chart" uri="{C3380CC4-5D6E-409C-BE32-E72D297353CC}">
                <c16:uniqueId val="{00000001-1662-4F46-A986-8AEBDACFA523}"/>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Neformālā izglītības programma</c:v>
                </c:pt>
                <c:pt idx="1">
                  <c:v>Profesionālās pilnveides izglītība</c:v>
                </c:pt>
                <c:pt idx="2">
                  <c:v>Profesionālā tālākizglītība</c:v>
                </c:pt>
                <c:pt idx="3">
                  <c:v>Studiju kurss vai modulis</c:v>
                </c:pt>
                <c:pt idx="4">
                  <c:v>Modulis vai kopa no profesionālās izglītības programmas</c:v>
                </c:pt>
                <c:pt idx="5">
                  <c:v>Nav norādīts</c:v>
                </c:pt>
              </c:strCache>
            </c:strRef>
          </c:cat>
          <c:val>
            <c:numRef>
              <c:f>Sheet1!$B$2:$B$7</c:f>
              <c:numCache>
                <c:formatCode>0.0</c:formatCode>
                <c:ptCount val="6"/>
                <c:pt idx="0">
                  <c:v>134.80000000000001</c:v>
                </c:pt>
                <c:pt idx="1">
                  <c:v>49.1</c:v>
                </c:pt>
                <c:pt idx="2">
                  <c:v>23.2</c:v>
                </c:pt>
                <c:pt idx="3">
                  <c:v>9.8000000000000007</c:v>
                </c:pt>
                <c:pt idx="4">
                  <c:v>3.7</c:v>
                </c:pt>
                <c:pt idx="5">
                  <c:v>35.1</c:v>
                </c:pt>
              </c:numCache>
            </c:numRef>
          </c:val>
          <c:extLst>
            <c:ext xmlns:c16="http://schemas.microsoft.com/office/drawing/2014/chart" uri="{C3380CC4-5D6E-409C-BE32-E72D297353CC}">
              <c16:uniqueId val="{00000002-1662-4F46-A986-8AEBDACFA523}"/>
            </c:ext>
          </c:extLst>
        </c:ser>
        <c:dLbls>
          <c:showLegendKey val="0"/>
          <c:showVal val="0"/>
          <c:showCatName val="0"/>
          <c:showSerName val="0"/>
          <c:showPercent val="0"/>
          <c:showBubbleSize val="0"/>
        </c:dLbls>
        <c:gapWidth val="50"/>
        <c:overlap val="44"/>
        <c:axId val="756053743"/>
        <c:axId val="758067935"/>
      </c:barChart>
      <c:catAx>
        <c:axId val="756053743"/>
        <c:scaling>
          <c:orientation val="minMax"/>
        </c:scaling>
        <c:delete val="0"/>
        <c:axPos val="b"/>
        <c:numFmt formatCode="General" sourceLinked="1"/>
        <c:majorTickMark val="none"/>
        <c:minorTickMark val="none"/>
        <c:tickLblPos val="nextTo"/>
        <c:spPr>
          <a:noFill/>
          <a:ln w="6350" cap="flat" cmpd="sng" algn="ctr">
            <a:solidFill>
              <a:schemeClr val="bg1">
                <a:lumMod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58067935"/>
        <c:crosses val="autoZero"/>
        <c:auto val="1"/>
        <c:lblAlgn val="ctr"/>
        <c:lblOffset val="100"/>
        <c:noMultiLvlLbl val="0"/>
      </c:catAx>
      <c:valAx>
        <c:axId val="758067935"/>
        <c:scaling>
          <c:orientation val="minMax"/>
          <c:min val="0"/>
        </c:scaling>
        <c:delete val="1"/>
        <c:axPos val="l"/>
        <c:numFmt formatCode="0.0" sourceLinked="1"/>
        <c:majorTickMark val="out"/>
        <c:minorTickMark val="none"/>
        <c:tickLblPos val="nextTo"/>
        <c:crossAx val="756053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8F22-4067-BFA8-B530C396A14A}"/>
              </c:ext>
            </c:extLst>
          </c:dPt>
          <c:dPt>
            <c:idx val="1"/>
            <c:bubble3D val="0"/>
            <c:spPr>
              <a:solidFill>
                <a:schemeClr val="accent2"/>
              </a:solidFill>
              <a:ln w="19050">
                <a:noFill/>
              </a:ln>
              <a:effectLst/>
            </c:spPr>
            <c:extLst>
              <c:ext xmlns:c16="http://schemas.microsoft.com/office/drawing/2014/chart" uri="{C3380CC4-5D6E-409C-BE32-E72D297353CC}">
                <c16:uniqueId val="{00000003-8F22-4067-BFA8-B530C396A14A}"/>
              </c:ext>
            </c:extLst>
          </c:dPt>
          <c:dPt>
            <c:idx val="2"/>
            <c:bubble3D val="0"/>
            <c:spPr>
              <a:solidFill>
                <a:schemeClr val="accent3"/>
              </a:solidFill>
              <a:ln w="19050">
                <a:noFill/>
              </a:ln>
              <a:effectLst/>
            </c:spPr>
            <c:extLst>
              <c:ext xmlns:c16="http://schemas.microsoft.com/office/drawing/2014/chart" uri="{C3380CC4-5D6E-409C-BE32-E72D297353CC}">
                <c16:uniqueId val="{00000005-8F22-4067-BFA8-B530C396A14A}"/>
              </c:ext>
            </c:extLst>
          </c:dPt>
          <c:dPt>
            <c:idx val="3"/>
            <c:bubble3D val="0"/>
            <c:spPr>
              <a:solidFill>
                <a:schemeClr val="accent4"/>
              </a:solidFill>
              <a:ln w="19050">
                <a:noFill/>
              </a:ln>
              <a:effectLst/>
            </c:spPr>
            <c:extLst>
              <c:ext xmlns:c16="http://schemas.microsoft.com/office/drawing/2014/chart" uri="{C3380CC4-5D6E-409C-BE32-E72D297353CC}">
                <c16:uniqueId val="{00000007-8F22-4067-BFA8-B530C396A14A}"/>
              </c:ext>
            </c:extLst>
          </c:dPt>
          <c:dLbls>
            <c:dLbl>
              <c:idx val="0"/>
              <c:layout>
                <c:manualLayout>
                  <c:x val="0.1592039800995024"/>
                  <c:y val="0.06"/>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8F22-4067-BFA8-B530C396A14A}"/>
                </c:ext>
              </c:extLst>
            </c:dLbl>
            <c:dLbl>
              <c:idx val="1"/>
              <c:layout>
                <c:manualLayout>
                  <c:x val="-0.14925373134328362"/>
                  <c:y val="0.18"/>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8F22-4067-BFA8-B530C396A14A}"/>
                </c:ext>
              </c:extLst>
            </c:dLbl>
            <c:dLbl>
              <c:idx val="2"/>
              <c:layout>
                <c:manualLayout>
                  <c:x val="-0.20669569151638303"/>
                  <c:y val="-9.3723848209870023E-2"/>
                </c:manualLayout>
              </c:layout>
              <c:numFmt formatCode="0%" sourceLinked="0"/>
              <c:spPr>
                <a:noFill/>
                <a:ln>
                  <a:noFill/>
                </a:ln>
                <a:effectLst/>
              </c:spPr>
              <c:txPr>
                <a:bodyPr rot="0" spcFirstLastPara="1" vertOverflow="ellipsis" vert="horz" wrap="square" lIns="0" tIns="19050" rIns="0" bIns="19050" anchor="ctr" anchorCtr="1">
                  <a:no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15:layout>
                    <c:manualLayout>
                      <c:w val="0.31783162941325882"/>
                      <c:h val="0.24864608049611298"/>
                    </c:manualLayout>
                  </c15:layout>
                </c:ext>
                <c:ext xmlns:c16="http://schemas.microsoft.com/office/drawing/2014/chart" uri="{C3380CC4-5D6E-409C-BE32-E72D297353CC}">
                  <c16:uniqueId val="{00000005-8F22-4067-BFA8-B530C396A14A}"/>
                </c:ext>
              </c:extLst>
            </c:dLbl>
            <c:numFmt formatCode="0%" sourceLinked="0"/>
            <c:spPr>
              <a:noFill/>
              <a:ln>
                <a:noFill/>
              </a:ln>
              <a:effectLst/>
            </c:spPr>
            <c:txPr>
              <a:bodyPr rot="0" spcFirstLastPara="1" vertOverflow="ellipsis" vert="horz" wrap="square" lIns="0" tIns="19050" rIns="0" bIns="1905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showLegendKey val="0"/>
            <c:showVal val="1"/>
            <c:showCatName val="1"/>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ext>
            </c:extLst>
          </c:dLbls>
          <c:cat>
            <c:strRef>
              <c:f>Sheet1!$A$2:$A$5</c:f>
              <c:strCache>
                <c:ptCount val="3"/>
                <c:pt idx="0">
                  <c:v>Augstākā izglītība</c:v>
                </c:pt>
                <c:pt idx="1">
                  <c:v>Vidējā, vidējā prof. vai arodizglītība</c:v>
                </c:pt>
                <c:pt idx="2">
                  <c:v>Pamatskolas izglītība un zemāka</c:v>
                </c:pt>
              </c:strCache>
            </c:strRef>
          </c:cat>
          <c:val>
            <c:numRef>
              <c:f>Sheet1!$B$2:$B$5</c:f>
              <c:numCache>
                <c:formatCode>General</c:formatCode>
                <c:ptCount val="4"/>
                <c:pt idx="0">
                  <c:v>0.51900000000000002</c:v>
                </c:pt>
                <c:pt idx="1">
                  <c:v>0.42799999999999999</c:v>
                </c:pt>
                <c:pt idx="2">
                  <c:v>5.2999999999999999E-2</c:v>
                </c:pt>
              </c:numCache>
            </c:numRef>
          </c:val>
          <c:extLst>
            <c:ext xmlns:c16="http://schemas.microsoft.com/office/drawing/2014/chart" uri="{C3380CC4-5D6E-409C-BE32-E72D297353CC}">
              <c16:uniqueId val="{00000008-8F22-4067-BFA8-B530C396A14A}"/>
            </c:ext>
          </c:extLst>
        </c:ser>
        <c:dLbls>
          <c:showLegendKey val="0"/>
          <c:showVal val="0"/>
          <c:showCatName val="0"/>
          <c:showSerName val="0"/>
          <c:showPercent val="0"/>
          <c:showBubbleSize val="0"/>
          <c:showLeaderLines val="0"/>
        </c:dLbls>
        <c:firstSliceAng val="0"/>
        <c:holeSize val="5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rgbClr val="3288A0"/>
            </a:solidFill>
            <a:ln w="9525">
              <a:noFill/>
            </a:ln>
            <a:effectLst/>
          </c:spPr>
          <c:invertIfNegative val="0"/>
          <c:dPt>
            <c:idx val="5"/>
            <c:invertIfNegative val="0"/>
            <c:bubble3D val="0"/>
            <c:spPr>
              <a:solidFill>
                <a:srgbClr val="3288A0"/>
              </a:solidFill>
              <a:ln w="9525">
                <a:noFill/>
              </a:ln>
              <a:effectLst/>
            </c:spPr>
            <c:extLst>
              <c:ext xmlns:c16="http://schemas.microsoft.com/office/drawing/2014/chart" uri="{C3380CC4-5D6E-409C-BE32-E72D297353CC}">
                <c16:uniqueId val="{00000001-608A-4E01-B340-60B90CCF395C}"/>
              </c:ext>
            </c:extLst>
          </c:dPt>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c:v>
                </c:pt>
              </c:strCache>
            </c:strRef>
          </c:cat>
          <c:val>
            <c:numRef>
              <c:f>Sheet1!$B$2:$B$13</c:f>
              <c:numCache>
                <c:formatCode>General</c:formatCode>
                <c:ptCount val="12"/>
                <c:pt idx="0">
                  <c:v>3.8999999999999999E-4</c:v>
                </c:pt>
                <c:pt idx="1">
                  <c:v>8.8900000000000003E-3</c:v>
                </c:pt>
                <c:pt idx="2">
                  <c:v>4.233E-2</c:v>
                </c:pt>
                <c:pt idx="3">
                  <c:v>0.12470000000000001</c:v>
                </c:pt>
                <c:pt idx="4">
                  <c:v>0.16963</c:v>
                </c:pt>
                <c:pt idx="5">
                  <c:v>0.15307000000000001</c:v>
                </c:pt>
                <c:pt idx="6">
                  <c:v>0.12797</c:v>
                </c:pt>
                <c:pt idx="7">
                  <c:v>0.12216</c:v>
                </c:pt>
                <c:pt idx="8">
                  <c:v>0.10179000000000001</c:v>
                </c:pt>
                <c:pt idx="9">
                  <c:v>9.1389999999999999E-2</c:v>
                </c:pt>
                <c:pt idx="10">
                  <c:v>5.1159999999999997E-2</c:v>
                </c:pt>
                <c:pt idx="11">
                  <c:v>6.5300000000000002E-3</c:v>
                </c:pt>
              </c:numCache>
            </c:numRef>
          </c:val>
          <c:extLst>
            <c:ext xmlns:c16="http://schemas.microsoft.com/office/drawing/2014/chart" uri="{C3380CC4-5D6E-409C-BE32-E72D297353CC}">
              <c16:uniqueId val="{00000002-608A-4E01-B340-60B90CCF395C}"/>
            </c:ext>
          </c:extLst>
        </c:ser>
        <c:dLbls>
          <c:showLegendKey val="0"/>
          <c:showVal val="0"/>
          <c:showCatName val="0"/>
          <c:showSerName val="0"/>
          <c:showPercent val="0"/>
          <c:showBubbleSize val="0"/>
        </c:dLbls>
        <c:gapWidth val="60"/>
        <c:overlap val="44"/>
        <c:axId val="756053743"/>
        <c:axId val="758067935"/>
      </c:barChart>
      <c:catAx>
        <c:axId val="756053743"/>
        <c:scaling>
          <c:orientation val="minMax"/>
        </c:scaling>
        <c:delete val="0"/>
        <c:axPos val="b"/>
        <c:numFmt formatCode="General" sourceLinked="1"/>
        <c:majorTickMark val="none"/>
        <c:minorTickMark val="none"/>
        <c:tickLblPos val="nextTo"/>
        <c:spPr>
          <a:noFill/>
          <a:ln w="6350" cap="flat" cmpd="sng" algn="ctr">
            <a:solidFill>
              <a:schemeClr val="bg1">
                <a:lumMod val="7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txPr>
        <c:crossAx val="758067935"/>
        <c:crosses val="autoZero"/>
        <c:auto val="1"/>
        <c:lblAlgn val="ctr"/>
        <c:lblOffset val="100"/>
        <c:noMultiLvlLbl val="0"/>
      </c:catAx>
      <c:valAx>
        <c:axId val="758067935"/>
        <c:scaling>
          <c:orientation val="minMax"/>
          <c:min val="0"/>
        </c:scaling>
        <c:delete val="1"/>
        <c:axPos val="l"/>
        <c:numFmt formatCode="General" sourceLinked="1"/>
        <c:majorTickMark val="out"/>
        <c:minorTickMark val="none"/>
        <c:tickLblPos val="nextTo"/>
        <c:crossAx val="756053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347385601055654E-2"/>
          <c:y val="6.5185089147008643E-2"/>
          <c:w val="0.94736285582824753"/>
          <c:h val="0.83369534260345124"/>
        </c:manualLayout>
      </c:layout>
      <c:barChart>
        <c:barDir val="col"/>
        <c:grouping val="clustered"/>
        <c:varyColors val="0"/>
        <c:ser>
          <c:idx val="1"/>
          <c:order val="0"/>
          <c:tx>
            <c:strRef>
              <c:f>Sheet1!$A$2</c:f>
              <c:strCache>
                <c:ptCount val="1"/>
                <c:pt idx="0">
                  <c:v>IEDZĪVOTĀJI MŪŽIZGLĪTĪBĀ </c:v>
                </c:pt>
              </c:strCache>
            </c:strRef>
          </c:tx>
          <c:spPr>
            <a:solidFill>
              <a:srgbClr val="92B7C4"/>
            </a:solidFill>
            <a:ln>
              <a:noFill/>
            </a:ln>
            <a:effectLst/>
          </c:spPr>
          <c:invertIfNegative val="0"/>
          <c:dPt>
            <c:idx val="8"/>
            <c:invertIfNegative val="0"/>
            <c:bubble3D val="0"/>
            <c:extLst>
              <c:ext xmlns:c16="http://schemas.microsoft.com/office/drawing/2014/chart" uri="{C3380CC4-5D6E-409C-BE32-E72D297353CC}">
                <c16:uniqueId val="{00000000-8A96-4D87-A088-69C7E5E66F64}"/>
              </c:ext>
            </c:extLst>
          </c:dPt>
          <c:dPt>
            <c:idx val="16"/>
            <c:invertIfNegative val="0"/>
            <c:bubble3D val="0"/>
            <c:spPr>
              <a:solidFill>
                <a:srgbClr val="92B7C4"/>
              </a:solidFill>
              <a:ln>
                <a:noFill/>
              </a:ln>
              <a:effectLst/>
            </c:spPr>
            <c:extLst>
              <c:ext xmlns:c16="http://schemas.microsoft.com/office/drawing/2014/chart" uri="{C3380CC4-5D6E-409C-BE32-E72D297353CC}">
                <c16:uniqueId val="{00000002-8A96-4D87-A088-69C7E5E66F64}"/>
              </c:ext>
            </c:extLst>
          </c:dPt>
          <c:dLbls>
            <c:dLbl>
              <c:idx val="14"/>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Segoe UI Light" panose="020B0502040204020203" pitchFamily="34" charset="0"/>
                        <a:ea typeface="+mn-ea"/>
                        <a:cs typeface="Segoe UI Semilight" panose="020B0402040204020203" pitchFamily="34" charset="0"/>
                      </a:defRPr>
                    </a:pPr>
                    <a:fld id="{26283ABE-212C-47FD-BAEB-D01EBA05145D}" type="VALUE">
                      <a:rPr lang="en-US" sz="900" b="0">
                        <a:solidFill>
                          <a:sysClr val="windowText" lastClr="000000"/>
                        </a:solidFill>
                      </a:rPr>
                      <a:pPr>
                        <a:defRPr sz="900">
                          <a:solidFill>
                            <a:sysClr val="windowText" lastClr="000000"/>
                          </a:solidFill>
                        </a:defRPr>
                      </a:pPr>
                      <a:t>[VALUE]</a:t>
                    </a:fld>
                    <a:endParaRPr lang="lv-LV"/>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Segoe UI Light" panose="020B0502040204020203" pitchFamily="34" charset="0"/>
                      <a:ea typeface="+mn-ea"/>
                      <a:cs typeface="Segoe UI Semilight" panose="020B04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A96-4D87-A088-69C7E5E66F6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Sheet1!$B$1:$S$1</c:f>
              <c:strCach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strCache>
            </c:strRef>
          </c:cat>
          <c:val>
            <c:numRef>
              <c:f>Sheet1!$B$2:$S$2</c:f>
              <c:numCache>
                <c:formatCode>0.0</c:formatCode>
                <c:ptCount val="18"/>
                <c:pt idx="0">
                  <c:v>6.9</c:v>
                </c:pt>
                <c:pt idx="1">
                  <c:v>5.6</c:v>
                </c:pt>
                <c:pt idx="2">
                  <c:v>5.4</c:v>
                </c:pt>
                <c:pt idx="3">
                  <c:v>5.4</c:v>
                </c:pt>
                <c:pt idx="4">
                  <c:v>7.2</c:v>
                </c:pt>
                <c:pt idx="5">
                  <c:v>6.8</c:v>
                </c:pt>
                <c:pt idx="6">
                  <c:v>5.6</c:v>
                </c:pt>
                <c:pt idx="7">
                  <c:v>5.7</c:v>
                </c:pt>
                <c:pt idx="8">
                  <c:v>7.3</c:v>
                </c:pt>
                <c:pt idx="9">
                  <c:v>7.5</c:v>
                </c:pt>
                <c:pt idx="10">
                  <c:v>6.7</c:v>
                </c:pt>
                <c:pt idx="11">
                  <c:v>7.4</c:v>
                </c:pt>
                <c:pt idx="12">
                  <c:v>6.6</c:v>
                </c:pt>
                <c:pt idx="13">
                  <c:v>8.6</c:v>
                </c:pt>
                <c:pt idx="14">
                  <c:v>9.6999999999999993</c:v>
                </c:pt>
                <c:pt idx="15">
                  <c:v>10.7</c:v>
                </c:pt>
                <c:pt idx="16">
                  <c:v>11</c:v>
                </c:pt>
                <c:pt idx="17">
                  <c:v>11.4</c:v>
                </c:pt>
              </c:numCache>
            </c:numRef>
          </c:val>
          <c:extLst>
            <c:ext xmlns:c16="http://schemas.microsoft.com/office/drawing/2014/chart" uri="{C3380CC4-5D6E-409C-BE32-E72D297353CC}">
              <c16:uniqueId val="{00000004-8A96-4D87-A088-69C7E5E66F64}"/>
            </c:ext>
          </c:extLst>
        </c:ser>
        <c:dLbls>
          <c:showLegendKey val="0"/>
          <c:showVal val="0"/>
          <c:showCatName val="0"/>
          <c:showSerName val="0"/>
          <c:showPercent val="0"/>
          <c:showBubbleSize val="0"/>
        </c:dLbls>
        <c:gapWidth val="60"/>
        <c:axId val="742089112"/>
        <c:axId val="742090680"/>
      </c:barChart>
      <c:catAx>
        <c:axId val="742089112"/>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en-US"/>
          </a:p>
        </c:txPr>
        <c:crossAx val="742090680"/>
        <c:crosses val="autoZero"/>
        <c:auto val="1"/>
        <c:lblAlgn val="ctr"/>
        <c:lblOffset val="100"/>
        <c:tickLblSkip val="1"/>
        <c:noMultiLvlLbl val="1"/>
      </c:catAx>
      <c:valAx>
        <c:axId val="742090680"/>
        <c:scaling>
          <c:orientation val="minMax"/>
          <c:max val="12"/>
          <c:min val="0"/>
        </c:scaling>
        <c:delete val="0"/>
        <c:axPos val="l"/>
        <c:numFmt formatCode="0" sourceLinked="0"/>
        <c:majorTickMark val="out"/>
        <c:minorTickMark val="none"/>
        <c:tickLblPos val="nextTo"/>
        <c:spPr>
          <a:noFill/>
          <a:ln w="3175" cap="flat" cmpd="sng" algn="ctr">
            <a:no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en-US"/>
          </a:p>
        </c:txPr>
        <c:crossAx val="742089112"/>
        <c:crosses val="autoZero"/>
        <c:crossBetween val="between"/>
        <c:majorUnit val="3"/>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sz="800" baseline="0">
          <a:latin typeface="Segoe UI Light" panose="020B0502040204020203" pitchFamily="34" charset="0"/>
          <a:cs typeface="Segoe UI Semilight" panose="020B0402040204020203" pitchFamily="34" charset="0"/>
        </a:defRPr>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588235294117646E-2"/>
          <c:y val="3.9136096360048007E-2"/>
          <c:w val="0.8"/>
          <c:h val="0.86766973895704902"/>
        </c:manualLayout>
      </c:layout>
      <c:barChart>
        <c:barDir val="col"/>
        <c:grouping val="clustered"/>
        <c:varyColors val="0"/>
        <c:ser>
          <c:idx val="0"/>
          <c:order val="0"/>
          <c:tx>
            <c:strRef>
              <c:f>Sheet1!$B$1</c:f>
              <c:strCache>
                <c:ptCount val="1"/>
                <c:pt idx="0">
                  <c:v>IKP</c:v>
                </c:pt>
              </c:strCache>
            </c:strRef>
          </c:tx>
          <c:spPr>
            <a:solidFill>
              <a:srgbClr val="227B8B">
                <a:alpha val="30000"/>
              </a:srgbClr>
            </a:solidFill>
            <a:ln>
              <a:noFill/>
            </a:ln>
            <a:effectLst/>
          </c:spPr>
          <c:invertIfNegative val="0"/>
          <c:dPt>
            <c:idx val="0"/>
            <c:invertIfNegative val="0"/>
            <c:bubble3D val="0"/>
            <c:spPr>
              <a:solidFill>
                <a:srgbClr val="9BBB59">
                  <a:lumMod val="20000"/>
                  <a:lumOff val="80000"/>
                </a:srgbClr>
              </a:solidFill>
              <a:ln>
                <a:noFill/>
              </a:ln>
              <a:effectLst/>
            </c:spPr>
            <c:extLst>
              <c:ext xmlns:c16="http://schemas.microsoft.com/office/drawing/2014/chart" uri="{C3380CC4-5D6E-409C-BE32-E72D297353CC}">
                <c16:uniqueId val="{00000002-18DC-436E-8D54-FBE27553C24F}"/>
              </c:ext>
            </c:extLst>
          </c:dPt>
          <c:dPt>
            <c:idx val="1"/>
            <c:invertIfNegative val="0"/>
            <c:bubble3D val="0"/>
            <c:spPr>
              <a:solidFill>
                <a:srgbClr val="9BBB59">
                  <a:lumMod val="60000"/>
                  <a:lumOff val="40000"/>
                </a:srgbClr>
              </a:solidFill>
              <a:ln>
                <a:noFill/>
              </a:ln>
              <a:effectLst/>
            </c:spPr>
            <c:extLst>
              <c:ext xmlns:c16="http://schemas.microsoft.com/office/drawing/2014/chart" uri="{C3380CC4-5D6E-409C-BE32-E72D297353CC}">
                <c16:uniqueId val="{00000001-18DC-436E-8D54-FBE27553C24F}"/>
              </c:ext>
            </c:extLst>
          </c:dPt>
          <c:dPt>
            <c:idx val="2"/>
            <c:invertIfNegative val="0"/>
            <c:bubble3D val="0"/>
            <c:spPr>
              <a:solidFill>
                <a:srgbClr val="00B050"/>
              </a:solidFill>
              <a:ln>
                <a:noFill/>
              </a:ln>
              <a:effectLst/>
            </c:spPr>
            <c:extLst>
              <c:ext xmlns:c16="http://schemas.microsoft.com/office/drawing/2014/chart" uri="{C3380CC4-5D6E-409C-BE32-E72D297353CC}">
                <c16:uniqueId val="{00000000-18DC-436E-8D54-FBE27553C24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2025</c:v>
                </c:pt>
                <c:pt idx="1">
                  <c:v>2030</c:v>
                </c:pt>
                <c:pt idx="2">
                  <c:v>2035</c:v>
                </c:pt>
              </c:numCache>
            </c:numRef>
          </c:cat>
          <c:val>
            <c:numRef>
              <c:f>Sheet1!$B$2:$B$4</c:f>
              <c:numCache>
                <c:formatCode>0.0</c:formatCode>
                <c:ptCount val="3"/>
                <c:pt idx="0">
                  <c:v>43.026188999999995</c:v>
                </c:pt>
                <c:pt idx="1">
                  <c:v>59.807231348433362</c:v>
                </c:pt>
                <c:pt idx="2">
                  <c:v>84.024175576029137</c:v>
                </c:pt>
              </c:numCache>
            </c:numRef>
          </c:val>
          <c:extLst>
            <c:ext xmlns:c16="http://schemas.microsoft.com/office/drawing/2014/chart" uri="{C3380CC4-5D6E-409C-BE32-E72D297353CC}">
              <c16:uniqueId val="{00000000-8D1B-4161-9BF7-0CC72DB319EE}"/>
            </c:ext>
          </c:extLst>
        </c:ser>
        <c:dLbls>
          <c:showLegendKey val="0"/>
          <c:showVal val="0"/>
          <c:showCatName val="0"/>
          <c:showSerName val="0"/>
          <c:showPercent val="0"/>
          <c:showBubbleSize val="0"/>
        </c:dLbls>
        <c:gapWidth val="40"/>
        <c:overlap val="-27"/>
        <c:axId val="828781055"/>
        <c:axId val="942552159"/>
      </c:barChart>
      <c:catAx>
        <c:axId val="82878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552159"/>
        <c:crosses val="autoZero"/>
        <c:auto val="1"/>
        <c:lblAlgn val="ctr"/>
        <c:lblOffset val="100"/>
        <c:noMultiLvlLbl val="0"/>
      </c:catAx>
      <c:valAx>
        <c:axId val="942552159"/>
        <c:scaling>
          <c:orientation val="minMax"/>
        </c:scaling>
        <c:delete val="1"/>
        <c:axPos val="l"/>
        <c:numFmt formatCode="0.0" sourceLinked="1"/>
        <c:majorTickMark val="none"/>
        <c:minorTickMark val="none"/>
        <c:tickLblPos val="nextTo"/>
        <c:crossAx val="8287810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014280877514359E-2"/>
          <c:y val="4.3650793650793648E-2"/>
          <c:w val="0.93275312746876871"/>
          <c:h val="0.72833552055993001"/>
        </c:manualLayout>
      </c:layout>
      <c:lineChart>
        <c:grouping val="standard"/>
        <c:varyColors val="0"/>
        <c:ser>
          <c:idx val="0"/>
          <c:order val="0"/>
          <c:tx>
            <c:strRef>
              <c:f>Sheet1!$B$1</c:f>
              <c:strCache>
                <c:ptCount val="1"/>
                <c:pt idx="0">
                  <c:v>Fakts</c:v>
                </c:pt>
              </c:strCache>
            </c:strRef>
          </c:tx>
          <c:spPr>
            <a:ln w="28575" cap="rnd">
              <a:solidFill>
                <a:srgbClr val="BBD2DA"/>
              </a:solidFill>
              <a:round/>
            </a:ln>
            <a:effectLst/>
          </c:spPr>
          <c:marker>
            <c:symbol val="none"/>
          </c:marker>
          <c:cat>
            <c:numRef>
              <c:f>Sheet1!$A$2:$A$38</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Sheet1!$B$2:$B$38</c:f>
              <c:numCache>
                <c:formatCode>0.0</c:formatCode>
                <c:ptCount val="37"/>
                <c:pt idx="0">
                  <c:v>100</c:v>
                </c:pt>
                <c:pt idx="1">
                  <c:v>111.6153178557457</c:v>
                </c:pt>
                <c:pt idx="2">
                  <c:v>125.93000229062486</c:v>
                </c:pt>
                <c:pt idx="3">
                  <c:v>139.04502932496933</c:v>
                </c:pt>
                <c:pt idx="4">
                  <c:v>134.33318725341849</c:v>
                </c:pt>
                <c:pt idx="5">
                  <c:v>112.78611778094671</c:v>
                </c:pt>
                <c:pt idx="6">
                  <c:v>108.65672634910733</c:v>
                </c:pt>
                <c:pt idx="7">
                  <c:v>111.95591923845713</c:v>
                </c:pt>
                <c:pt idx="8">
                  <c:v>120.13456847343051</c:v>
                </c:pt>
                <c:pt idx="9">
                  <c:v>122.65269748799913</c:v>
                </c:pt>
                <c:pt idx="10">
                  <c:v>125.22222215848757</c:v>
                </c:pt>
                <c:pt idx="11">
                  <c:v>129.95983853962917</c:v>
                </c:pt>
                <c:pt idx="12">
                  <c:v>133.27600557092202</c:v>
                </c:pt>
                <c:pt idx="13">
                  <c:v>137.80598866465752</c:v>
                </c:pt>
                <c:pt idx="14">
                  <c:v>143.74503108404684</c:v>
                </c:pt>
                <c:pt idx="15">
                  <c:v>144.71584588492499</c:v>
                </c:pt>
                <c:pt idx="16">
                  <c:v>139.69532873143362</c:v>
                </c:pt>
                <c:pt idx="17">
                  <c:v>149.39372533228402</c:v>
                </c:pt>
                <c:pt idx="18">
                  <c:v>152.2449605297424</c:v>
                </c:pt>
                <c:pt idx="19">
                  <c:v>150.81141752201816</c:v>
                </c:pt>
                <c:pt idx="20">
                  <c:v>150.75552379018492</c:v>
                </c:pt>
                <c:pt idx="21">
                  <c:v>153.97848361400187</c:v>
                </c:pt>
              </c:numCache>
            </c:numRef>
          </c:val>
          <c:smooth val="0"/>
          <c:extLst>
            <c:ext xmlns:c16="http://schemas.microsoft.com/office/drawing/2014/chart" uri="{C3380CC4-5D6E-409C-BE32-E72D297353CC}">
              <c16:uniqueId val="{00000000-2698-4F17-B620-DB0D9F60E198}"/>
            </c:ext>
          </c:extLst>
        </c:ser>
        <c:ser>
          <c:idx val="1"/>
          <c:order val="1"/>
          <c:tx>
            <c:strRef>
              <c:f>Sheet1!$C$1</c:f>
              <c:strCache>
                <c:ptCount val="1"/>
                <c:pt idx="0">
                  <c:v>Bāzes scenārijs</c:v>
                </c:pt>
              </c:strCache>
            </c:strRef>
          </c:tx>
          <c:spPr>
            <a:ln w="28575" cap="rnd">
              <a:solidFill>
                <a:srgbClr val="92B7C4"/>
              </a:solidFill>
              <a:prstDash val="solid"/>
              <a:round/>
            </a:ln>
            <a:effectLst/>
          </c:spPr>
          <c:marker>
            <c:symbol val="none"/>
          </c:marker>
          <c:cat>
            <c:numRef>
              <c:f>Sheet1!$A$2:$A$38</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Sheet1!$C$2:$C$38</c:f>
              <c:numCache>
                <c:formatCode>General</c:formatCode>
                <c:ptCount val="37"/>
                <c:pt idx="21" formatCode="0.0">
                  <c:v>153.97848361400187</c:v>
                </c:pt>
                <c:pt idx="22" formatCode="0.0">
                  <c:v>157.03273773424971</c:v>
                </c:pt>
                <c:pt idx="23" formatCode="0.0">
                  <c:v>160.89442483953641</c:v>
                </c:pt>
                <c:pt idx="24" formatCode="0.0">
                  <c:v>164.74902764792228</c:v>
                </c:pt>
                <c:pt idx="25" formatCode="0.0">
                  <c:v>168.47834242579449</c:v>
                </c:pt>
                <c:pt idx="26" formatCode="0.0">
                  <c:v>172.29773896596456</c:v>
                </c:pt>
                <c:pt idx="27" formatCode="0.0">
                  <c:v>176.20330811603139</c:v>
                </c:pt>
                <c:pt idx="28" formatCode="0.0">
                  <c:v>180.13067248649202</c:v>
                </c:pt>
                <c:pt idx="29" formatCode="0.0">
                  <c:v>184.09998293024879</c:v>
                </c:pt>
                <c:pt idx="30" formatCode="0.0">
                  <c:v>188.15721063797446</c:v>
                </c:pt>
                <c:pt idx="31" formatCode="0.0">
                  <c:v>192.19523351526661</c:v>
                </c:pt>
                <c:pt idx="32" formatCode="0.0">
                  <c:v>196.22888313314741</c:v>
                </c:pt>
                <c:pt idx="33" formatCode="0.0">
                  <c:v>200.24248645510798</c:v>
                </c:pt>
                <c:pt idx="34" formatCode="0.0">
                  <c:v>204.25781433240479</c:v>
                </c:pt>
                <c:pt idx="35" formatCode="0.0">
                  <c:v>208.18811027714506</c:v>
                </c:pt>
                <c:pt idx="36" formatCode="0.0">
                  <c:v>212.07388299577704</c:v>
                </c:pt>
              </c:numCache>
            </c:numRef>
          </c:val>
          <c:smooth val="0"/>
          <c:extLst>
            <c:ext xmlns:c16="http://schemas.microsoft.com/office/drawing/2014/chart" uri="{C3380CC4-5D6E-409C-BE32-E72D297353CC}">
              <c16:uniqueId val="{00000003-2698-4F17-B620-DB0D9F60E198}"/>
            </c:ext>
          </c:extLst>
        </c:ser>
        <c:ser>
          <c:idx val="2"/>
          <c:order val="2"/>
          <c:tx>
            <c:strRef>
              <c:f>Sheet1!$D$1</c:f>
              <c:strCache>
                <c:ptCount val="1"/>
                <c:pt idx="0">
                  <c:v>Mērķa scenārijs</c:v>
                </c:pt>
              </c:strCache>
            </c:strRef>
          </c:tx>
          <c:spPr>
            <a:ln w="28575" cap="rnd">
              <a:solidFill>
                <a:srgbClr val="0E5A69"/>
              </a:solidFill>
              <a:prstDash val="solid"/>
              <a:round/>
            </a:ln>
            <a:effectLst/>
          </c:spPr>
          <c:marker>
            <c:symbol val="none"/>
          </c:marker>
          <c:cat>
            <c:numRef>
              <c:f>Sheet1!$A$2:$A$38</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Sheet1!$D$2:$D$38</c:f>
              <c:numCache>
                <c:formatCode>General</c:formatCode>
                <c:ptCount val="37"/>
                <c:pt idx="21" formatCode="0.0">
                  <c:v>153.97848361400187</c:v>
                </c:pt>
                <c:pt idx="22" formatCode="0.0">
                  <c:v>157.80440308163244</c:v>
                </c:pt>
                <c:pt idx="23" formatCode="0.0">
                  <c:v>162.53951184123579</c:v>
                </c:pt>
                <c:pt idx="24" formatCode="0.0">
                  <c:v>169.04185529649158</c:v>
                </c:pt>
                <c:pt idx="25" formatCode="0.0">
                  <c:v>176.98789327814438</c:v>
                </c:pt>
                <c:pt idx="26" formatCode="0.0">
                  <c:v>185.83947726022913</c:v>
                </c:pt>
                <c:pt idx="27" formatCode="0.0">
                  <c:v>195.12180198212954</c:v>
                </c:pt>
                <c:pt idx="28" formatCode="0.0">
                  <c:v>204.68667258824999</c:v>
                </c:pt>
                <c:pt idx="29" formatCode="0.0">
                  <c:v>214.49263438490462</c:v>
                </c:pt>
                <c:pt idx="30" formatCode="0.0">
                  <c:v>224.55622413815303</c:v>
                </c:pt>
                <c:pt idx="31" formatCode="0.0">
                  <c:v>234.88328053633288</c:v>
                </c:pt>
                <c:pt idx="32" formatCode="0.0">
                  <c:v>244.25156361320956</c:v>
                </c:pt>
                <c:pt idx="33" formatCode="0.0">
                  <c:v>253.53539892010747</c:v>
                </c:pt>
                <c:pt idx="34" formatCode="0.0">
                  <c:v>262.66513556865664</c:v>
                </c:pt>
                <c:pt idx="35" formatCode="0.0">
                  <c:v>271.86033003214737</c:v>
                </c:pt>
                <c:pt idx="36" formatCode="0.0">
                  <c:v>280.83588295720972</c:v>
                </c:pt>
              </c:numCache>
            </c:numRef>
          </c:val>
          <c:smooth val="0"/>
          <c:extLst>
            <c:ext xmlns:c16="http://schemas.microsoft.com/office/drawing/2014/chart" uri="{C3380CC4-5D6E-409C-BE32-E72D297353CC}">
              <c16:uniqueId val="{00000004-2698-4F17-B620-DB0D9F60E198}"/>
            </c:ext>
          </c:extLst>
        </c:ser>
        <c:dLbls>
          <c:showLegendKey val="0"/>
          <c:showVal val="0"/>
          <c:showCatName val="0"/>
          <c:showSerName val="0"/>
          <c:showPercent val="0"/>
          <c:showBubbleSize val="0"/>
        </c:dLbls>
        <c:smooth val="0"/>
        <c:axId val="1415913727"/>
        <c:axId val="1415911327"/>
      </c:lineChart>
      <c:catAx>
        <c:axId val="1415913727"/>
        <c:scaling>
          <c:orientation val="minMax"/>
        </c:scaling>
        <c:delete val="1"/>
        <c:axPos val="b"/>
        <c:numFmt formatCode="General" sourceLinked="1"/>
        <c:majorTickMark val="none"/>
        <c:minorTickMark val="none"/>
        <c:tickLblPos val="nextTo"/>
        <c:crossAx val="1415911327"/>
        <c:crosses val="autoZero"/>
        <c:auto val="1"/>
        <c:lblAlgn val="ctr"/>
        <c:lblOffset val="100"/>
        <c:noMultiLvlLbl val="0"/>
      </c:catAx>
      <c:valAx>
        <c:axId val="1415911327"/>
        <c:scaling>
          <c:orientation val="minMax"/>
          <c:min val="1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crossAx val="1415913727"/>
        <c:crosses val="autoZero"/>
        <c:crossBetween val="between"/>
        <c:majorUnit val="40"/>
      </c:valAx>
      <c:spPr>
        <a:noFill/>
        <a:ln>
          <a:noFill/>
        </a:ln>
        <a:effectLst/>
      </c:spPr>
    </c:plotArea>
    <c:legend>
      <c:legendPos val="b"/>
      <c:layout>
        <c:manualLayout>
          <c:xMode val="edge"/>
          <c:yMode val="edge"/>
          <c:x val="9.7594233012540124E-2"/>
          <c:y val="0.10367016622922133"/>
          <c:w val="0.2446263487897346"/>
          <c:h val="0.176317183064355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Segoe UI Light" panose="020B0502040204020203" pitchFamily="34" charset="0"/>
          <a:cs typeface="Segoe UI Light" panose="020B0502040204020203" pitchFamily="34" charset="0"/>
        </a:defRPr>
      </a:pPr>
      <a:endParaRPr lang="lv-LV"/>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1"/>
          <c:tx>
            <c:strRef>
              <c:f>Sheet1!$C$1</c:f>
              <c:strCache>
                <c:ptCount val="1"/>
                <c:pt idx="0">
                  <c:v>2025</c:v>
                </c:pt>
              </c:strCache>
            </c:strRef>
          </c:tx>
          <c:spPr>
            <a:solidFill>
              <a:srgbClr val="4BACC6">
                <a:lumMod val="75000"/>
              </a:srgbClr>
            </a:solidFill>
            <a:ln w="6350">
              <a:noFill/>
            </a:ln>
          </c:spPr>
          <c:invertIfNegative val="0"/>
          <c:dPt>
            <c:idx val="5"/>
            <c:invertIfNegative val="0"/>
            <c:bubble3D val="0"/>
            <c:extLst>
              <c:ext xmlns:c16="http://schemas.microsoft.com/office/drawing/2014/chart" uri="{C3380CC4-5D6E-409C-BE32-E72D297353CC}">
                <c16:uniqueId val="{00000000-FA72-4839-8C88-0FE1FD5EE713}"/>
              </c:ext>
            </c:extLst>
          </c:dPt>
          <c:dPt>
            <c:idx val="8"/>
            <c:invertIfNegative val="0"/>
            <c:bubble3D val="0"/>
            <c:extLst>
              <c:ext xmlns:c16="http://schemas.microsoft.com/office/drawing/2014/chart" uri="{C3380CC4-5D6E-409C-BE32-E72D297353CC}">
                <c16:uniqueId val="{00000001-FA72-4839-8C88-0FE1FD5EE713}"/>
              </c:ext>
            </c:extLst>
          </c:dPt>
          <c:dPt>
            <c:idx val="9"/>
            <c:invertIfNegative val="0"/>
            <c:bubble3D val="0"/>
            <c:extLst>
              <c:ext xmlns:c16="http://schemas.microsoft.com/office/drawing/2014/chart" uri="{C3380CC4-5D6E-409C-BE32-E72D297353CC}">
                <c16:uniqueId val="{00000002-FA72-4839-8C88-0FE1FD5EE713}"/>
              </c:ext>
            </c:extLst>
          </c:dPt>
          <c:dPt>
            <c:idx val="12"/>
            <c:invertIfNegative val="0"/>
            <c:bubble3D val="0"/>
            <c:spPr>
              <a:solidFill>
                <a:srgbClr val="C0504D">
                  <a:lumMod val="75000"/>
                </a:srgbClr>
              </a:solidFill>
              <a:ln w="6350">
                <a:noFill/>
              </a:ln>
            </c:spPr>
            <c:extLst>
              <c:ext xmlns:c16="http://schemas.microsoft.com/office/drawing/2014/chart" uri="{C3380CC4-5D6E-409C-BE32-E72D297353CC}">
                <c16:uniqueId val="{00000004-FA72-4839-8C88-0FE1FD5EE713}"/>
              </c:ext>
            </c:extLst>
          </c:dPt>
          <c:dPt>
            <c:idx val="13"/>
            <c:invertIfNegative val="0"/>
            <c:bubble3D val="0"/>
            <c:extLst>
              <c:ext xmlns:c16="http://schemas.microsoft.com/office/drawing/2014/chart" uri="{C3380CC4-5D6E-409C-BE32-E72D297353CC}">
                <c16:uniqueId val="{00000005-FA72-4839-8C88-0FE1FD5EE713}"/>
              </c:ext>
            </c:extLst>
          </c:dPt>
          <c:dPt>
            <c:idx val="15"/>
            <c:invertIfNegative val="0"/>
            <c:bubble3D val="0"/>
            <c:extLst>
              <c:ext xmlns:c16="http://schemas.microsoft.com/office/drawing/2014/chart" uri="{C3380CC4-5D6E-409C-BE32-E72D297353CC}">
                <c16:uniqueId val="{00000006-FA72-4839-8C88-0FE1FD5EE713}"/>
              </c:ext>
            </c:extLst>
          </c:dPt>
          <c:dPt>
            <c:idx val="16"/>
            <c:invertIfNegative val="0"/>
            <c:bubble3D val="0"/>
            <c:extLst>
              <c:ext xmlns:c16="http://schemas.microsoft.com/office/drawing/2014/chart" uri="{C3380CC4-5D6E-409C-BE32-E72D297353CC}">
                <c16:uniqueId val="{00000007-FA72-4839-8C88-0FE1FD5EE713}"/>
              </c:ext>
            </c:extLst>
          </c:dPt>
          <c:dPt>
            <c:idx val="17"/>
            <c:invertIfNegative val="0"/>
            <c:bubble3D val="0"/>
            <c:extLst>
              <c:ext xmlns:c16="http://schemas.microsoft.com/office/drawing/2014/chart" uri="{C3380CC4-5D6E-409C-BE32-E72D297353CC}">
                <c16:uniqueId val="{00000008-FA72-4839-8C88-0FE1FD5EE713}"/>
              </c:ext>
            </c:extLst>
          </c:dPt>
          <c:dPt>
            <c:idx val="18"/>
            <c:invertIfNegative val="0"/>
            <c:bubble3D val="0"/>
            <c:extLst>
              <c:ext xmlns:c16="http://schemas.microsoft.com/office/drawing/2014/chart" uri="{C3380CC4-5D6E-409C-BE32-E72D297353CC}">
                <c16:uniqueId val="{00000009-FA72-4839-8C88-0FE1FD5EE713}"/>
              </c:ext>
            </c:extLst>
          </c:dPt>
          <c:dPt>
            <c:idx val="19"/>
            <c:invertIfNegative val="0"/>
            <c:bubble3D val="0"/>
            <c:spPr>
              <a:solidFill>
                <a:srgbClr val="4F81BD">
                  <a:lumMod val="75000"/>
                </a:srgbClr>
              </a:solidFill>
              <a:ln w="6350">
                <a:noFill/>
              </a:ln>
            </c:spPr>
            <c:extLst>
              <c:ext xmlns:c16="http://schemas.microsoft.com/office/drawing/2014/chart" uri="{C3380CC4-5D6E-409C-BE32-E72D297353CC}">
                <c16:uniqueId val="{0000000B-FA72-4839-8C88-0FE1FD5EE713}"/>
              </c:ext>
            </c:extLst>
          </c:dPt>
          <c:dLbls>
            <c:numFmt formatCode="#,##0" sourceLinked="0"/>
            <c:spPr>
              <a:noFill/>
              <a:ln>
                <a:noFill/>
              </a:ln>
              <a:effectLst/>
            </c:spPr>
            <c:txPr>
              <a:bodyPr/>
              <a:lstStyle/>
              <a:p>
                <a:pPr>
                  <a:defRPr>
                    <a:solidFill>
                      <a:schemeClr val="bg1"/>
                    </a:solidFill>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Nīderlande</c:v>
                </c:pt>
                <c:pt idx="1">
                  <c:v>Malta</c:v>
                </c:pt>
                <c:pt idx="2">
                  <c:v>Dānija</c:v>
                </c:pt>
                <c:pt idx="3">
                  <c:v>Zviedrija</c:v>
                </c:pt>
                <c:pt idx="4">
                  <c:v>Kipra</c:v>
                </c:pt>
                <c:pt idx="5">
                  <c:v>Igaunija</c:v>
                </c:pt>
                <c:pt idx="6">
                  <c:v>Īrija</c:v>
                </c:pt>
                <c:pt idx="7">
                  <c:v>Vācija</c:v>
                </c:pt>
                <c:pt idx="8">
                  <c:v>Čehija</c:v>
                </c:pt>
                <c:pt idx="9">
                  <c:v>Lietuva</c:v>
                </c:pt>
                <c:pt idx="10">
                  <c:v>Austrija</c:v>
                </c:pt>
                <c:pt idx="11">
                  <c:v>Ungārija</c:v>
                </c:pt>
                <c:pt idx="12">
                  <c:v>Latvija</c:v>
                </c:pt>
                <c:pt idx="13">
                  <c:v>Portugāle</c:v>
                </c:pt>
                <c:pt idx="14">
                  <c:v>Luksemburga</c:v>
                </c:pt>
                <c:pt idx="15">
                  <c:v>Slovākija</c:v>
                </c:pt>
                <c:pt idx="16">
                  <c:v>Slovēnija</c:v>
                </c:pt>
                <c:pt idx="17">
                  <c:v>Somija</c:v>
                </c:pt>
                <c:pt idx="18">
                  <c:v>Polija</c:v>
                </c:pt>
                <c:pt idx="19">
                  <c:v>ES-27</c:v>
                </c:pt>
                <c:pt idx="20">
                  <c:v>Bulgārija</c:v>
                </c:pt>
                <c:pt idx="21">
                  <c:v>Francija</c:v>
                </c:pt>
                <c:pt idx="22">
                  <c:v>Beļģija</c:v>
                </c:pt>
                <c:pt idx="23">
                  <c:v>Spānija</c:v>
                </c:pt>
                <c:pt idx="24">
                  <c:v>Horvātija</c:v>
                </c:pt>
                <c:pt idx="25">
                  <c:v>Grieķija</c:v>
                </c:pt>
                <c:pt idx="26">
                  <c:v>Itālija</c:v>
                </c:pt>
                <c:pt idx="27">
                  <c:v>Rumānija</c:v>
                </c:pt>
              </c:strCache>
            </c:strRef>
          </c:cat>
          <c:val>
            <c:numRef>
              <c:f>Sheet1!$C$2:$C$29</c:f>
              <c:numCache>
                <c:formatCode>#\ ##0.##########</c:formatCode>
                <c:ptCount val="28"/>
                <c:pt idx="0">
                  <c:v>73.2</c:v>
                </c:pt>
                <c:pt idx="1">
                  <c:v>71.5</c:v>
                </c:pt>
                <c:pt idx="2">
                  <c:v>69.3</c:v>
                </c:pt>
                <c:pt idx="3" formatCode="#\ ##0.0">
                  <c:v>69</c:v>
                </c:pt>
                <c:pt idx="4">
                  <c:v>68.8</c:v>
                </c:pt>
                <c:pt idx="5">
                  <c:v>68.5</c:v>
                </c:pt>
                <c:pt idx="6">
                  <c:v>68.5</c:v>
                </c:pt>
                <c:pt idx="7">
                  <c:v>67.599999999999994</c:v>
                </c:pt>
                <c:pt idx="8">
                  <c:v>66.400000000000006</c:v>
                </c:pt>
                <c:pt idx="9">
                  <c:v>65.900000000000006</c:v>
                </c:pt>
                <c:pt idx="10">
                  <c:v>65.3</c:v>
                </c:pt>
                <c:pt idx="11">
                  <c:v>65.2</c:v>
                </c:pt>
                <c:pt idx="12">
                  <c:v>64.5</c:v>
                </c:pt>
                <c:pt idx="13">
                  <c:v>64.400000000000006</c:v>
                </c:pt>
                <c:pt idx="14" formatCode="#\ ##0.0">
                  <c:v>63</c:v>
                </c:pt>
                <c:pt idx="15">
                  <c:v>62.9</c:v>
                </c:pt>
                <c:pt idx="16">
                  <c:v>62.8</c:v>
                </c:pt>
                <c:pt idx="17">
                  <c:v>62.5</c:v>
                </c:pt>
                <c:pt idx="18">
                  <c:v>62.3</c:v>
                </c:pt>
                <c:pt idx="19">
                  <c:v>61.9</c:v>
                </c:pt>
                <c:pt idx="20">
                  <c:v>60.6</c:v>
                </c:pt>
                <c:pt idx="21">
                  <c:v>59.9</c:v>
                </c:pt>
                <c:pt idx="22">
                  <c:v>58.8</c:v>
                </c:pt>
                <c:pt idx="23">
                  <c:v>58.7</c:v>
                </c:pt>
                <c:pt idx="24">
                  <c:v>57.7</c:v>
                </c:pt>
                <c:pt idx="25">
                  <c:v>55.9</c:v>
                </c:pt>
                <c:pt idx="26">
                  <c:v>54.5</c:v>
                </c:pt>
                <c:pt idx="27">
                  <c:v>53.5</c:v>
                </c:pt>
              </c:numCache>
            </c:numRef>
          </c:val>
          <c:extLst>
            <c:ext xmlns:c16="http://schemas.microsoft.com/office/drawing/2014/chart" uri="{C3380CC4-5D6E-409C-BE32-E72D297353CC}">
              <c16:uniqueId val="{0000000C-FA72-4839-8C88-0FE1FD5EE713}"/>
            </c:ext>
          </c:extLst>
        </c:ser>
        <c:dLbls>
          <c:showLegendKey val="0"/>
          <c:showVal val="0"/>
          <c:showCatName val="0"/>
          <c:showSerName val="0"/>
          <c:showPercent val="0"/>
          <c:showBubbleSize val="0"/>
        </c:dLbls>
        <c:gapWidth val="40"/>
        <c:axId val="742136936"/>
        <c:axId val="742137720"/>
      </c:barChart>
      <c:lineChart>
        <c:grouping val="stacked"/>
        <c:varyColors val="0"/>
        <c:ser>
          <c:idx val="1"/>
          <c:order val="0"/>
          <c:tx>
            <c:strRef>
              <c:f>Sheet1!$B$1</c:f>
              <c:strCache>
                <c:ptCount val="1"/>
                <c:pt idx="0">
                  <c:v>2010</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Nīderlande</c:v>
                </c:pt>
                <c:pt idx="1">
                  <c:v>Malta</c:v>
                </c:pt>
                <c:pt idx="2">
                  <c:v>Dānija</c:v>
                </c:pt>
                <c:pt idx="3">
                  <c:v>Zviedrija</c:v>
                </c:pt>
                <c:pt idx="4">
                  <c:v>Kipra</c:v>
                </c:pt>
                <c:pt idx="5">
                  <c:v>Igaunija</c:v>
                </c:pt>
                <c:pt idx="6">
                  <c:v>Īrija</c:v>
                </c:pt>
                <c:pt idx="7">
                  <c:v>Vācija</c:v>
                </c:pt>
                <c:pt idx="8">
                  <c:v>Čehija</c:v>
                </c:pt>
                <c:pt idx="9">
                  <c:v>Lietuva</c:v>
                </c:pt>
                <c:pt idx="10">
                  <c:v>Austrija</c:v>
                </c:pt>
                <c:pt idx="11">
                  <c:v>Ungārija</c:v>
                </c:pt>
                <c:pt idx="12">
                  <c:v>Latvija</c:v>
                </c:pt>
                <c:pt idx="13">
                  <c:v>Portugāle</c:v>
                </c:pt>
                <c:pt idx="14">
                  <c:v>Luksemburga</c:v>
                </c:pt>
                <c:pt idx="15">
                  <c:v>Slovākija</c:v>
                </c:pt>
                <c:pt idx="16">
                  <c:v>Slovēnija</c:v>
                </c:pt>
                <c:pt idx="17">
                  <c:v>Somija</c:v>
                </c:pt>
                <c:pt idx="18">
                  <c:v>Polija</c:v>
                </c:pt>
                <c:pt idx="19">
                  <c:v>ES-27</c:v>
                </c:pt>
                <c:pt idx="20">
                  <c:v>Bulgārija</c:v>
                </c:pt>
                <c:pt idx="21">
                  <c:v>Francija</c:v>
                </c:pt>
                <c:pt idx="22">
                  <c:v>Beļģija</c:v>
                </c:pt>
                <c:pt idx="23">
                  <c:v>Spānija</c:v>
                </c:pt>
                <c:pt idx="24">
                  <c:v>Horvātija</c:v>
                </c:pt>
                <c:pt idx="25">
                  <c:v>Grieķija</c:v>
                </c:pt>
                <c:pt idx="26">
                  <c:v>Itālija</c:v>
                </c:pt>
                <c:pt idx="27">
                  <c:v>Rumānija</c:v>
                </c:pt>
              </c:strCache>
            </c:strRef>
          </c:cat>
          <c:val>
            <c:numRef>
              <c:f>Sheet1!$B$2:$B$29</c:f>
              <c:numCache>
                <c:formatCode>#\ ##0.##########</c:formatCode>
                <c:ptCount val="28"/>
                <c:pt idx="0">
                  <c:v>66.7</c:v>
                </c:pt>
                <c:pt idx="1">
                  <c:v>50.6</c:v>
                </c:pt>
                <c:pt idx="2">
                  <c:v>64.099999999999994</c:v>
                </c:pt>
                <c:pt idx="3">
                  <c:v>64.5</c:v>
                </c:pt>
                <c:pt idx="4">
                  <c:v>63.7</c:v>
                </c:pt>
                <c:pt idx="5">
                  <c:v>55.5</c:v>
                </c:pt>
                <c:pt idx="6">
                  <c:v>56.8</c:v>
                </c:pt>
                <c:pt idx="7">
                  <c:v>61.2</c:v>
                </c:pt>
                <c:pt idx="8">
                  <c:v>58.5</c:v>
                </c:pt>
                <c:pt idx="9">
                  <c:v>51.4</c:v>
                </c:pt>
                <c:pt idx="10">
                  <c:v>62.9</c:v>
                </c:pt>
                <c:pt idx="11">
                  <c:v>48.7</c:v>
                </c:pt>
                <c:pt idx="12" formatCode="#\ ##0.0">
                  <c:v>52</c:v>
                </c:pt>
                <c:pt idx="13">
                  <c:v>59.7</c:v>
                </c:pt>
                <c:pt idx="14">
                  <c:v>58.3</c:v>
                </c:pt>
                <c:pt idx="15">
                  <c:v>53.8</c:v>
                </c:pt>
                <c:pt idx="16">
                  <c:v>59.6</c:v>
                </c:pt>
                <c:pt idx="17">
                  <c:v>60.8</c:v>
                </c:pt>
                <c:pt idx="18">
                  <c:v>53.9</c:v>
                </c:pt>
                <c:pt idx="19">
                  <c:v>56.4</c:v>
                </c:pt>
                <c:pt idx="20">
                  <c:v>52.7</c:v>
                </c:pt>
                <c:pt idx="21">
                  <c:v>57.3</c:v>
                </c:pt>
                <c:pt idx="22">
                  <c:v>55.3</c:v>
                </c:pt>
                <c:pt idx="23">
                  <c:v>52.9</c:v>
                </c:pt>
                <c:pt idx="24">
                  <c:v>50.9</c:v>
                </c:pt>
                <c:pt idx="25">
                  <c:v>52.3</c:v>
                </c:pt>
                <c:pt idx="26">
                  <c:v>49.7</c:v>
                </c:pt>
                <c:pt idx="27">
                  <c:v>55.8</c:v>
                </c:pt>
              </c:numCache>
            </c:numRef>
          </c:val>
          <c:smooth val="0"/>
          <c:extLst>
            <c:ext xmlns:c16="http://schemas.microsoft.com/office/drawing/2014/chart" uri="{C3380CC4-5D6E-409C-BE32-E72D297353CC}">
              <c16:uniqueId val="{0000000D-FA72-4839-8C88-0FE1FD5EE713}"/>
            </c:ext>
          </c:extLst>
        </c:ser>
        <c:dLbls>
          <c:showLegendKey val="0"/>
          <c:showVal val="0"/>
          <c:showCatName val="0"/>
          <c:showSerName val="0"/>
          <c:showPercent val="0"/>
          <c:showBubbleSize val="0"/>
        </c:dLbls>
        <c:marker val="1"/>
        <c:smooth val="0"/>
        <c:axId val="742136936"/>
        <c:axId val="742137720"/>
      </c:lineChart>
      <c:catAx>
        <c:axId val="742136936"/>
        <c:scaling>
          <c:orientation val="minMax"/>
        </c:scaling>
        <c:delete val="0"/>
        <c:axPos val="b"/>
        <c:numFmt formatCode="General" sourceLinked="1"/>
        <c:majorTickMark val="out"/>
        <c:minorTickMark val="none"/>
        <c:tickLblPos val="low"/>
        <c:spPr>
          <a:ln/>
        </c:spPr>
        <c:txPr>
          <a:bodyPr rot="-5400000" vert="horz"/>
          <a:lstStyle/>
          <a:p>
            <a:pPr>
              <a:defRPr>
                <a:solidFill>
                  <a:sysClr val="windowText" lastClr="000000"/>
                </a:solidFill>
              </a:defRPr>
            </a:pPr>
            <a:endParaRPr lang="en-US"/>
          </a:p>
        </c:txPr>
        <c:crossAx val="742137720"/>
        <c:crosses val="autoZero"/>
        <c:auto val="0"/>
        <c:lblAlgn val="ctr"/>
        <c:lblOffset val="0"/>
        <c:tickLblSkip val="1"/>
        <c:noMultiLvlLbl val="0"/>
      </c:catAx>
      <c:valAx>
        <c:axId val="742137720"/>
        <c:scaling>
          <c:orientation val="minMax"/>
          <c:min val="42"/>
        </c:scaling>
        <c:delete val="0"/>
        <c:axPos val="l"/>
        <c:numFmt formatCode="#,##0" sourceLinked="0"/>
        <c:majorTickMark val="out"/>
        <c:minorTickMark val="none"/>
        <c:tickLblPos val="nextTo"/>
        <c:spPr>
          <a:ln w="6350">
            <a:noFill/>
          </a:ln>
        </c:spPr>
        <c:txPr>
          <a:bodyPr rot="0" vert="horz"/>
          <a:lstStyle/>
          <a:p>
            <a:pPr>
              <a:defRPr/>
            </a:pPr>
            <a:endParaRPr lang="en-US"/>
          </a:p>
        </c:txPr>
        <c:crossAx val="742136936"/>
        <c:crosses val="autoZero"/>
        <c:crossBetween val="between"/>
        <c:majorUnit val="7"/>
      </c:valAx>
      <c:spPr>
        <a:noFill/>
        <a:ln w="6350">
          <a:noFill/>
        </a:ln>
      </c:spPr>
    </c:plotArea>
    <c:legend>
      <c:legendPos val="t"/>
      <c:layout>
        <c:manualLayout>
          <c:xMode val="edge"/>
          <c:yMode val="edge"/>
          <c:x val="0.77163114533505806"/>
          <c:y val="3.9029280410810163E-2"/>
          <c:w val="0.10304508242974592"/>
          <c:h val="0.20427109210584196"/>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en-US"/>
    </a:p>
  </c:txPr>
  <c:externalData r:id="rId2">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8921511602670394E-2"/>
          <c:y val="3.1299733519784594E-2"/>
          <c:w val="0.92090603202251642"/>
          <c:h val="0.83285084135199106"/>
        </c:manualLayout>
      </c:layout>
      <c:lineChart>
        <c:grouping val="standard"/>
        <c:varyColors val="0"/>
        <c:ser>
          <c:idx val="0"/>
          <c:order val="0"/>
          <c:tx>
            <c:strRef>
              <c:f>Sheet1!$A$2</c:f>
              <c:strCache>
                <c:ptCount val="1"/>
                <c:pt idx="0">
                  <c:v>Iedzīvotāju skaits</c:v>
                </c:pt>
              </c:strCache>
            </c:strRef>
          </c:tx>
          <c:spPr>
            <a:ln>
              <a:solidFill>
                <a:srgbClr val="BBD2DA"/>
              </a:solidFill>
            </a:ln>
          </c:spPr>
          <c:marker>
            <c:symbol val="none"/>
          </c:marker>
          <c:dLbls>
            <c:dLbl>
              <c:idx val="0"/>
              <c:layout>
                <c:manualLayout>
                  <c:x val="-4.410143329658215E-2"/>
                  <c:y val="-5.65463709634847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E0-4072-AE93-7B7DB247964E}"/>
                </c:ext>
              </c:extLst>
            </c:dLbl>
            <c:dLbl>
              <c:idx val="1"/>
              <c:delete val="1"/>
              <c:extLst>
                <c:ext xmlns:c15="http://schemas.microsoft.com/office/drawing/2012/chart" uri="{CE6537A1-D6FC-4f65-9D91-7224C49458BB}"/>
                <c:ext xmlns:c16="http://schemas.microsoft.com/office/drawing/2014/chart" uri="{C3380CC4-5D6E-409C-BE32-E72D297353CC}">
                  <c16:uniqueId val="{00000001-68E0-4072-AE93-7B7DB247964E}"/>
                </c:ext>
              </c:extLst>
            </c:dLbl>
            <c:dLbl>
              <c:idx val="2"/>
              <c:delete val="1"/>
              <c:extLst>
                <c:ext xmlns:c15="http://schemas.microsoft.com/office/drawing/2012/chart" uri="{CE6537A1-D6FC-4f65-9D91-7224C49458BB}"/>
                <c:ext xmlns:c16="http://schemas.microsoft.com/office/drawing/2014/chart" uri="{C3380CC4-5D6E-409C-BE32-E72D297353CC}">
                  <c16:uniqueId val="{00000002-68E0-4072-AE93-7B7DB247964E}"/>
                </c:ext>
              </c:extLst>
            </c:dLbl>
            <c:dLbl>
              <c:idx val="3"/>
              <c:delete val="1"/>
              <c:extLst>
                <c:ext xmlns:c15="http://schemas.microsoft.com/office/drawing/2012/chart" uri="{CE6537A1-D6FC-4f65-9D91-7224C49458BB}"/>
                <c:ext xmlns:c16="http://schemas.microsoft.com/office/drawing/2014/chart" uri="{C3380CC4-5D6E-409C-BE32-E72D297353CC}">
                  <c16:uniqueId val="{00000003-68E0-4072-AE93-7B7DB247964E}"/>
                </c:ext>
              </c:extLst>
            </c:dLbl>
            <c:dLbl>
              <c:idx val="4"/>
              <c:delete val="1"/>
              <c:extLst>
                <c:ext xmlns:c15="http://schemas.microsoft.com/office/drawing/2012/chart" uri="{CE6537A1-D6FC-4f65-9D91-7224C49458BB}"/>
                <c:ext xmlns:c16="http://schemas.microsoft.com/office/drawing/2014/chart" uri="{C3380CC4-5D6E-409C-BE32-E72D297353CC}">
                  <c16:uniqueId val="{00000004-68E0-4072-AE93-7B7DB247964E}"/>
                </c:ext>
              </c:extLst>
            </c:dLbl>
            <c:dLbl>
              <c:idx val="5"/>
              <c:delete val="1"/>
              <c:extLst>
                <c:ext xmlns:c15="http://schemas.microsoft.com/office/drawing/2012/chart" uri="{CE6537A1-D6FC-4f65-9D91-7224C49458BB}"/>
                <c:ext xmlns:c16="http://schemas.microsoft.com/office/drawing/2014/chart" uri="{C3380CC4-5D6E-409C-BE32-E72D297353CC}">
                  <c16:uniqueId val="{00000005-68E0-4072-AE93-7B7DB247964E}"/>
                </c:ext>
              </c:extLst>
            </c:dLbl>
            <c:dLbl>
              <c:idx val="6"/>
              <c:delete val="1"/>
              <c:extLst>
                <c:ext xmlns:c15="http://schemas.microsoft.com/office/drawing/2012/chart" uri="{CE6537A1-D6FC-4f65-9D91-7224C49458BB}"/>
                <c:ext xmlns:c16="http://schemas.microsoft.com/office/drawing/2014/chart" uri="{C3380CC4-5D6E-409C-BE32-E72D297353CC}">
                  <c16:uniqueId val="{00000006-68E0-4072-AE93-7B7DB247964E}"/>
                </c:ext>
              </c:extLst>
            </c:dLbl>
            <c:dLbl>
              <c:idx val="7"/>
              <c:delete val="1"/>
              <c:extLst>
                <c:ext xmlns:c15="http://schemas.microsoft.com/office/drawing/2012/chart" uri="{CE6537A1-D6FC-4f65-9D91-7224C49458BB}"/>
                <c:ext xmlns:c16="http://schemas.microsoft.com/office/drawing/2014/chart" uri="{C3380CC4-5D6E-409C-BE32-E72D297353CC}">
                  <c16:uniqueId val="{00000007-68E0-4072-AE93-7B7DB247964E}"/>
                </c:ext>
              </c:extLst>
            </c:dLbl>
            <c:dLbl>
              <c:idx val="8"/>
              <c:delete val="1"/>
              <c:extLst>
                <c:ext xmlns:c15="http://schemas.microsoft.com/office/drawing/2012/chart" uri="{CE6537A1-D6FC-4f65-9D91-7224C49458BB}"/>
                <c:ext xmlns:c16="http://schemas.microsoft.com/office/drawing/2014/chart" uri="{C3380CC4-5D6E-409C-BE32-E72D297353CC}">
                  <c16:uniqueId val="{00000008-68E0-4072-AE93-7B7DB247964E}"/>
                </c:ext>
              </c:extLst>
            </c:dLbl>
            <c:dLbl>
              <c:idx val="9"/>
              <c:delete val="1"/>
              <c:extLst>
                <c:ext xmlns:c15="http://schemas.microsoft.com/office/drawing/2012/chart" uri="{CE6537A1-D6FC-4f65-9D91-7224C49458BB}"/>
                <c:ext xmlns:c16="http://schemas.microsoft.com/office/drawing/2014/chart" uri="{C3380CC4-5D6E-409C-BE32-E72D297353CC}">
                  <c16:uniqueId val="{00000009-68E0-4072-AE93-7B7DB247964E}"/>
                </c:ext>
              </c:extLst>
            </c:dLbl>
            <c:dLbl>
              <c:idx val="10"/>
              <c:delete val="1"/>
              <c:extLst>
                <c:ext xmlns:c15="http://schemas.microsoft.com/office/drawing/2012/chart" uri="{CE6537A1-D6FC-4f65-9D91-7224C49458BB}"/>
                <c:ext xmlns:c16="http://schemas.microsoft.com/office/drawing/2014/chart" uri="{C3380CC4-5D6E-409C-BE32-E72D297353CC}">
                  <c16:uniqueId val="{0000000A-68E0-4072-AE93-7B7DB247964E}"/>
                </c:ext>
              </c:extLst>
            </c:dLbl>
            <c:dLbl>
              <c:idx val="11"/>
              <c:delete val="1"/>
              <c:extLst>
                <c:ext xmlns:c15="http://schemas.microsoft.com/office/drawing/2012/chart" uri="{CE6537A1-D6FC-4f65-9D91-7224C49458BB}"/>
                <c:ext xmlns:c16="http://schemas.microsoft.com/office/drawing/2014/chart" uri="{C3380CC4-5D6E-409C-BE32-E72D297353CC}">
                  <c16:uniqueId val="{0000000B-68E0-4072-AE93-7B7DB247964E}"/>
                </c:ext>
              </c:extLst>
            </c:dLbl>
            <c:dLbl>
              <c:idx val="12"/>
              <c:delete val="1"/>
              <c:extLst>
                <c:ext xmlns:c15="http://schemas.microsoft.com/office/drawing/2012/chart" uri="{CE6537A1-D6FC-4f65-9D91-7224C49458BB}"/>
                <c:ext xmlns:c16="http://schemas.microsoft.com/office/drawing/2014/chart" uri="{C3380CC4-5D6E-409C-BE32-E72D297353CC}">
                  <c16:uniqueId val="{0000000C-68E0-4072-AE93-7B7DB247964E}"/>
                </c:ext>
              </c:extLst>
            </c:dLbl>
            <c:dLbl>
              <c:idx val="13"/>
              <c:delete val="1"/>
              <c:extLst>
                <c:ext xmlns:c15="http://schemas.microsoft.com/office/drawing/2012/chart" uri="{CE6537A1-D6FC-4f65-9D91-7224C49458BB}"/>
                <c:ext xmlns:c16="http://schemas.microsoft.com/office/drawing/2014/chart" uri="{C3380CC4-5D6E-409C-BE32-E72D297353CC}">
                  <c16:uniqueId val="{0000000D-68E0-4072-AE93-7B7DB247964E}"/>
                </c:ext>
              </c:extLst>
            </c:dLbl>
            <c:dLbl>
              <c:idx val="14"/>
              <c:delete val="1"/>
              <c:extLst>
                <c:ext xmlns:c15="http://schemas.microsoft.com/office/drawing/2012/chart" uri="{CE6537A1-D6FC-4f65-9D91-7224C49458BB}"/>
                <c:ext xmlns:c16="http://schemas.microsoft.com/office/drawing/2014/chart" uri="{C3380CC4-5D6E-409C-BE32-E72D297353CC}">
                  <c16:uniqueId val="{0000000E-68E0-4072-AE93-7B7DB247964E}"/>
                </c:ext>
              </c:extLst>
            </c:dLbl>
            <c:dLbl>
              <c:idx val="15"/>
              <c:delete val="1"/>
              <c:extLst>
                <c:ext xmlns:c15="http://schemas.microsoft.com/office/drawing/2012/chart" uri="{CE6537A1-D6FC-4f65-9D91-7224C49458BB}"/>
                <c:ext xmlns:c16="http://schemas.microsoft.com/office/drawing/2014/chart" uri="{C3380CC4-5D6E-409C-BE32-E72D297353CC}">
                  <c16:uniqueId val="{0000000F-68E0-4072-AE93-7B7DB247964E}"/>
                </c:ext>
              </c:extLst>
            </c:dLbl>
            <c:dLbl>
              <c:idx val="16"/>
              <c:delete val="1"/>
              <c:extLst>
                <c:ext xmlns:c15="http://schemas.microsoft.com/office/drawing/2012/chart" uri="{CE6537A1-D6FC-4f65-9D91-7224C49458BB}"/>
                <c:ext xmlns:c16="http://schemas.microsoft.com/office/drawing/2014/chart" uri="{C3380CC4-5D6E-409C-BE32-E72D297353CC}">
                  <c16:uniqueId val="{00000010-68E0-4072-AE93-7B7DB247964E}"/>
                </c:ext>
              </c:extLst>
            </c:dLbl>
            <c:dLbl>
              <c:idx val="17"/>
              <c:delete val="1"/>
              <c:extLst>
                <c:ext xmlns:c15="http://schemas.microsoft.com/office/drawing/2012/chart" uri="{CE6537A1-D6FC-4f65-9D91-7224C49458BB}"/>
                <c:ext xmlns:c16="http://schemas.microsoft.com/office/drawing/2014/chart" uri="{C3380CC4-5D6E-409C-BE32-E72D297353CC}">
                  <c16:uniqueId val="{00000011-68E0-4072-AE93-7B7DB247964E}"/>
                </c:ext>
              </c:extLst>
            </c:dLbl>
            <c:dLbl>
              <c:idx val="18"/>
              <c:delete val="1"/>
              <c:extLst>
                <c:ext xmlns:c15="http://schemas.microsoft.com/office/drawing/2012/chart" uri="{CE6537A1-D6FC-4f65-9D91-7224C49458BB}"/>
                <c:ext xmlns:c16="http://schemas.microsoft.com/office/drawing/2014/chart" uri="{C3380CC4-5D6E-409C-BE32-E72D297353CC}">
                  <c16:uniqueId val="{00000012-68E0-4072-AE93-7B7DB247964E}"/>
                </c:ext>
              </c:extLst>
            </c:dLbl>
            <c:dLbl>
              <c:idx val="19"/>
              <c:delete val="1"/>
              <c:extLst>
                <c:ext xmlns:c15="http://schemas.microsoft.com/office/drawing/2012/chart" uri="{CE6537A1-D6FC-4f65-9D91-7224C49458BB}"/>
                <c:ext xmlns:c16="http://schemas.microsoft.com/office/drawing/2014/chart" uri="{C3380CC4-5D6E-409C-BE32-E72D297353CC}">
                  <c16:uniqueId val="{00000013-68E0-4072-AE93-7B7DB247964E}"/>
                </c:ext>
              </c:extLst>
            </c:dLbl>
            <c:dLbl>
              <c:idx val="20"/>
              <c:delete val="1"/>
              <c:extLst>
                <c:ext xmlns:c15="http://schemas.microsoft.com/office/drawing/2012/chart" uri="{CE6537A1-D6FC-4f65-9D91-7224C49458BB}"/>
                <c:ext xmlns:c16="http://schemas.microsoft.com/office/drawing/2014/chart" uri="{C3380CC4-5D6E-409C-BE32-E72D297353CC}">
                  <c16:uniqueId val="{00000014-68E0-4072-AE93-7B7DB247964E}"/>
                </c:ext>
              </c:extLst>
            </c:dLbl>
            <c:dLbl>
              <c:idx val="21"/>
              <c:delete val="1"/>
              <c:extLst>
                <c:ext xmlns:c15="http://schemas.microsoft.com/office/drawing/2012/chart" uri="{CE6537A1-D6FC-4f65-9D91-7224C49458BB}"/>
                <c:ext xmlns:c16="http://schemas.microsoft.com/office/drawing/2014/chart" uri="{C3380CC4-5D6E-409C-BE32-E72D297353CC}">
                  <c16:uniqueId val="{00000015-68E0-4072-AE93-7B7DB247964E}"/>
                </c:ext>
              </c:extLst>
            </c:dLbl>
            <c:dLbl>
              <c:idx val="22"/>
              <c:layout>
                <c:manualLayout>
                  <c:x val="2.2050716648290988E-2"/>
                  <c:y val="-0.335195530726257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8E0-4072-AE93-7B7DB247964E}"/>
                </c:ext>
              </c:extLst>
            </c:dLbl>
            <c:dLbl>
              <c:idx val="23"/>
              <c:delete val="1"/>
              <c:extLst>
                <c:ext xmlns:c15="http://schemas.microsoft.com/office/drawing/2012/chart" uri="{CE6537A1-D6FC-4f65-9D91-7224C49458BB}"/>
                <c:ext xmlns:c16="http://schemas.microsoft.com/office/drawing/2014/chart" uri="{C3380CC4-5D6E-409C-BE32-E72D297353CC}">
                  <c16:uniqueId val="{00000017-68E0-4072-AE93-7B7DB247964E}"/>
                </c:ext>
              </c:extLst>
            </c:dLbl>
            <c:dLbl>
              <c:idx val="24"/>
              <c:delete val="1"/>
              <c:extLst>
                <c:ext xmlns:c15="http://schemas.microsoft.com/office/drawing/2012/chart" uri="{CE6537A1-D6FC-4f65-9D91-7224C49458BB}"/>
                <c:ext xmlns:c16="http://schemas.microsoft.com/office/drawing/2014/chart" uri="{C3380CC4-5D6E-409C-BE32-E72D297353CC}">
                  <c16:uniqueId val="{00000018-68E0-4072-AE93-7B7DB247964E}"/>
                </c:ext>
              </c:extLst>
            </c:dLbl>
            <c:dLbl>
              <c:idx val="25"/>
              <c:delete val="1"/>
              <c:extLst>
                <c:ext xmlns:c15="http://schemas.microsoft.com/office/drawing/2012/chart" uri="{CE6537A1-D6FC-4f65-9D91-7224C49458BB}"/>
                <c:ext xmlns:c16="http://schemas.microsoft.com/office/drawing/2014/chart" uri="{C3380CC4-5D6E-409C-BE32-E72D297353CC}">
                  <c16:uniqueId val="{00000019-68E0-4072-AE93-7B7DB247964E}"/>
                </c:ext>
              </c:extLst>
            </c:dLbl>
            <c:dLbl>
              <c:idx val="26"/>
              <c:layout>
                <c:manualLayout>
                  <c:x val="8.8202866593164279E-3"/>
                  <c:y val="-0.341076154072331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8E0-4072-AE93-7B7DB247964E}"/>
                </c:ext>
              </c:extLst>
            </c:dLbl>
            <c:dLbl>
              <c:idx val="27"/>
              <c:delete val="1"/>
              <c:extLst>
                <c:ext xmlns:c15="http://schemas.microsoft.com/office/drawing/2012/chart" uri="{CE6537A1-D6FC-4f65-9D91-7224C49458BB}"/>
                <c:ext xmlns:c16="http://schemas.microsoft.com/office/drawing/2014/chart" uri="{C3380CC4-5D6E-409C-BE32-E72D297353CC}">
                  <c16:uniqueId val="{0000001B-68E0-4072-AE93-7B7DB247964E}"/>
                </c:ext>
              </c:extLst>
            </c:dLbl>
            <c:dLbl>
              <c:idx val="28"/>
              <c:delete val="1"/>
              <c:extLst>
                <c:ext xmlns:c15="http://schemas.microsoft.com/office/drawing/2012/chart" uri="{CE6537A1-D6FC-4f65-9D91-7224C49458BB}"/>
                <c:ext xmlns:c16="http://schemas.microsoft.com/office/drawing/2014/chart" uri="{C3380CC4-5D6E-409C-BE32-E72D297353CC}">
                  <c16:uniqueId val="{0000001C-68E0-4072-AE93-7B7DB247964E}"/>
                </c:ext>
              </c:extLst>
            </c:dLbl>
            <c:dLbl>
              <c:idx val="29"/>
              <c:delete val="1"/>
              <c:extLst>
                <c:ext xmlns:c15="http://schemas.microsoft.com/office/drawing/2012/chart" uri="{CE6537A1-D6FC-4f65-9D91-7224C49458BB}"/>
                <c:ext xmlns:c16="http://schemas.microsoft.com/office/drawing/2014/chart" uri="{C3380CC4-5D6E-409C-BE32-E72D297353CC}">
                  <c16:uniqueId val="{0000001D-68E0-4072-AE93-7B7DB247964E}"/>
                </c:ext>
              </c:extLst>
            </c:dLbl>
            <c:dLbl>
              <c:idx val="30"/>
              <c:delete val="1"/>
              <c:extLst>
                <c:ext xmlns:c15="http://schemas.microsoft.com/office/drawing/2012/chart" uri="{CE6537A1-D6FC-4f65-9D91-7224C49458BB}"/>
                <c:ext xmlns:c16="http://schemas.microsoft.com/office/drawing/2014/chart" uri="{C3380CC4-5D6E-409C-BE32-E72D297353CC}">
                  <c16:uniqueId val="{0000001E-68E0-4072-AE93-7B7DB247964E}"/>
                </c:ext>
              </c:extLst>
            </c:dLbl>
            <c:dLbl>
              <c:idx val="31"/>
              <c:delete val="1"/>
              <c:extLst>
                <c:ext xmlns:c15="http://schemas.microsoft.com/office/drawing/2012/chart" uri="{CE6537A1-D6FC-4f65-9D91-7224C49458BB}"/>
                <c:ext xmlns:c16="http://schemas.microsoft.com/office/drawing/2014/chart" uri="{C3380CC4-5D6E-409C-BE32-E72D297353CC}">
                  <c16:uniqueId val="{0000001F-68E0-4072-AE93-7B7DB247964E}"/>
                </c:ext>
              </c:extLst>
            </c:dLbl>
            <c:dLbl>
              <c:idx val="32"/>
              <c:delete val="1"/>
              <c:extLst>
                <c:ext xmlns:c15="http://schemas.microsoft.com/office/drawing/2012/chart" uri="{CE6537A1-D6FC-4f65-9D91-7224C49458BB}"/>
                <c:ext xmlns:c16="http://schemas.microsoft.com/office/drawing/2014/chart" uri="{C3380CC4-5D6E-409C-BE32-E72D297353CC}">
                  <c16:uniqueId val="{00000020-68E0-4072-AE93-7B7DB247964E}"/>
                </c:ext>
              </c:extLst>
            </c:dLbl>
            <c:dLbl>
              <c:idx val="33"/>
              <c:delete val="1"/>
              <c:extLst>
                <c:ext xmlns:c15="http://schemas.microsoft.com/office/drawing/2012/chart" uri="{CE6537A1-D6FC-4f65-9D91-7224C49458BB}"/>
                <c:ext xmlns:c16="http://schemas.microsoft.com/office/drawing/2014/chart" uri="{C3380CC4-5D6E-409C-BE32-E72D297353CC}">
                  <c16:uniqueId val="{00000021-68E0-4072-AE93-7B7DB247964E}"/>
                </c:ext>
              </c:extLst>
            </c:dLbl>
            <c:dLbl>
              <c:idx val="34"/>
              <c:delete val="1"/>
              <c:extLst>
                <c:ext xmlns:c15="http://schemas.microsoft.com/office/drawing/2012/chart" uri="{CE6537A1-D6FC-4f65-9D91-7224C49458BB}"/>
                <c:ext xmlns:c16="http://schemas.microsoft.com/office/drawing/2014/chart" uri="{C3380CC4-5D6E-409C-BE32-E72D297353CC}">
                  <c16:uniqueId val="{00000022-68E0-4072-AE93-7B7DB247964E}"/>
                </c:ext>
              </c:extLst>
            </c:dLbl>
            <c:dLbl>
              <c:idx val="35"/>
              <c:delete val="1"/>
              <c:extLst>
                <c:ext xmlns:c15="http://schemas.microsoft.com/office/drawing/2012/chart" uri="{CE6537A1-D6FC-4f65-9D91-7224C49458BB}"/>
                <c:ext xmlns:c16="http://schemas.microsoft.com/office/drawing/2014/chart" uri="{C3380CC4-5D6E-409C-BE32-E72D297353CC}">
                  <c16:uniqueId val="{00000023-68E0-4072-AE93-7B7DB247964E}"/>
                </c:ext>
              </c:extLst>
            </c:dLbl>
            <c:dLbl>
              <c:idx val="36"/>
              <c:layout>
                <c:manualLayout>
                  <c:x val="1.1025358324145534E-2"/>
                  <c:y val="-0.423404880917377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68E0-4072-AE93-7B7DB247964E}"/>
                </c:ext>
              </c:extLst>
            </c:dLbl>
            <c:spPr>
              <a:noFill/>
              <a:ln>
                <a:noFill/>
              </a:ln>
              <a:effectLst/>
            </c:spPr>
            <c:txPr>
              <a:bodyPr wrap="square" lIns="38100" tIns="19050" rIns="38100" bIns="19050" anchor="t" anchorCtr="0">
                <a:spAutoFit/>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Sheet1!$R$1:$AL$1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Sheet1!$R$2:$AL$2</c:f>
              <c:numCache>
                <c:formatCode>0</c:formatCode>
                <c:ptCount val="21"/>
                <c:pt idx="0">
                  <c:v>1907.675</c:v>
                </c:pt>
                <c:pt idx="1">
                  <c:v>1893.223</c:v>
                </c:pt>
                <c:pt idx="2">
                  <c:v>1875.7570000000001</c:v>
                </c:pt>
                <c:pt idx="3">
                  <c:v>1895.239</c:v>
                </c:pt>
                <c:pt idx="4">
                  <c:v>1878.575</c:v>
                </c:pt>
                <c:pt idx="5">
                  <c:v>1860.5650000000001</c:v>
                </c:pt>
                <c:pt idx="6">
                  <c:v>1845.096</c:v>
                </c:pt>
              </c:numCache>
            </c:numRef>
          </c:val>
          <c:smooth val="0"/>
          <c:extLst>
            <c:ext xmlns:c16="http://schemas.microsoft.com/office/drawing/2014/chart" uri="{C3380CC4-5D6E-409C-BE32-E72D297353CC}">
              <c16:uniqueId val="{00000025-68E0-4072-AE93-7B7DB247964E}"/>
            </c:ext>
          </c:extLst>
        </c:ser>
        <c:ser>
          <c:idx val="1"/>
          <c:order val="1"/>
          <c:tx>
            <c:strRef>
              <c:f>Sheet1!$A$3</c:f>
              <c:strCache>
                <c:ptCount val="1"/>
                <c:pt idx="0">
                  <c:v>Mērķa scenārijs</c:v>
                </c:pt>
              </c:strCache>
            </c:strRef>
          </c:tx>
          <c:spPr>
            <a:ln>
              <a:solidFill>
                <a:srgbClr val="006666"/>
              </a:solidFill>
              <a:prstDash val="solid"/>
            </a:ln>
          </c:spPr>
          <c:marker>
            <c:symbol val="none"/>
          </c:marker>
          <c:dLbls>
            <c:dLbl>
              <c:idx val="6"/>
              <c:delete val="1"/>
              <c:extLst>
                <c:ext xmlns:c15="http://schemas.microsoft.com/office/drawing/2012/chart" uri="{CE6537A1-D6FC-4f65-9D91-7224C49458BB}"/>
                <c:ext xmlns:c16="http://schemas.microsoft.com/office/drawing/2014/chart" uri="{C3380CC4-5D6E-409C-BE32-E72D297353CC}">
                  <c16:uniqueId val="{00000026-68E0-4072-AE93-7B7DB247964E}"/>
                </c:ext>
              </c:extLst>
            </c:dLbl>
            <c:dLbl>
              <c:idx val="7"/>
              <c:delete val="1"/>
              <c:extLst>
                <c:ext xmlns:c15="http://schemas.microsoft.com/office/drawing/2012/chart" uri="{CE6537A1-D6FC-4f65-9D91-7224C49458BB}"/>
                <c:ext xmlns:c16="http://schemas.microsoft.com/office/drawing/2014/chart" uri="{C3380CC4-5D6E-409C-BE32-E72D297353CC}">
                  <c16:uniqueId val="{00000027-68E0-4072-AE93-7B7DB247964E}"/>
                </c:ext>
              </c:extLst>
            </c:dLbl>
            <c:dLbl>
              <c:idx val="8"/>
              <c:delete val="1"/>
              <c:extLst>
                <c:ext xmlns:c15="http://schemas.microsoft.com/office/drawing/2012/chart" uri="{CE6537A1-D6FC-4f65-9D91-7224C49458BB}"/>
                <c:ext xmlns:c16="http://schemas.microsoft.com/office/drawing/2014/chart" uri="{C3380CC4-5D6E-409C-BE32-E72D297353CC}">
                  <c16:uniqueId val="{00000028-68E0-4072-AE93-7B7DB247964E}"/>
                </c:ext>
              </c:extLst>
            </c:dLbl>
            <c:dLbl>
              <c:idx val="9"/>
              <c:delete val="1"/>
              <c:extLst>
                <c:ext xmlns:c15="http://schemas.microsoft.com/office/drawing/2012/chart" uri="{CE6537A1-D6FC-4f65-9D91-7224C49458BB}"/>
                <c:ext xmlns:c16="http://schemas.microsoft.com/office/drawing/2014/chart" uri="{C3380CC4-5D6E-409C-BE32-E72D297353CC}">
                  <c16:uniqueId val="{00000029-68E0-4072-AE93-7B7DB247964E}"/>
                </c:ext>
              </c:extLst>
            </c:dLbl>
            <c:dLbl>
              <c:idx val="11"/>
              <c:delete val="1"/>
              <c:extLst>
                <c:ext xmlns:c15="http://schemas.microsoft.com/office/drawing/2012/chart" uri="{CE6537A1-D6FC-4f65-9D91-7224C49458BB}"/>
                <c:ext xmlns:c16="http://schemas.microsoft.com/office/drawing/2014/chart" uri="{C3380CC4-5D6E-409C-BE32-E72D297353CC}">
                  <c16:uniqueId val="{0000002B-68E0-4072-AE93-7B7DB247964E}"/>
                </c:ext>
              </c:extLst>
            </c:dLbl>
            <c:dLbl>
              <c:idx val="12"/>
              <c:delete val="1"/>
              <c:extLst>
                <c:ext xmlns:c15="http://schemas.microsoft.com/office/drawing/2012/chart" uri="{CE6537A1-D6FC-4f65-9D91-7224C49458BB}"/>
                <c:ext xmlns:c16="http://schemas.microsoft.com/office/drawing/2014/chart" uri="{C3380CC4-5D6E-409C-BE32-E72D297353CC}">
                  <c16:uniqueId val="{0000002C-68E0-4072-AE93-7B7DB247964E}"/>
                </c:ext>
              </c:extLst>
            </c:dLbl>
            <c:dLbl>
              <c:idx val="13"/>
              <c:delete val="1"/>
              <c:extLst>
                <c:ext xmlns:c15="http://schemas.microsoft.com/office/drawing/2012/chart" uri="{CE6537A1-D6FC-4f65-9D91-7224C49458BB}"/>
                <c:ext xmlns:c16="http://schemas.microsoft.com/office/drawing/2014/chart" uri="{C3380CC4-5D6E-409C-BE32-E72D297353CC}">
                  <c16:uniqueId val="{0000002D-68E0-4072-AE93-7B7DB247964E}"/>
                </c:ext>
              </c:extLst>
            </c:dLbl>
            <c:dLbl>
              <c:idx val="14"/>
              <c:delete val="1"/>
              <c:extLst>
                <c:ext xmlns:c15="http://schemas.microsoft.com/office/drawing/2012/chart" uri="{CE6537A1-D6FC-4f65-9D91-7224C49458BB}"/>
                <c:ext xmlns:c16="http://schemas.microsoft.com/office/drawing/2014/chart" uri="{C3380CC4-5D6E-409C-BE32-E72D297353CC}">
                  <c16:uniqueId val="{0000002E-68E0-4072-AE93-7B7DB247964E}"/>
                </c:ext>
              </c:extLst>
            </c:dLbl>
            <c:dLbl>
              <c:idx val="16"/>
              <c:delete val="1"/>
              <c:extLst>
                <c:ext xmlns:c15="http://schemas.microsoft.com/office/drawing/2012/chart" uri="{CE6537A1-D6FC-4f65-9D91-7224C49458BB}"/>
                <c:ext xmlns:c16="http://schemas.microsoft.com/office/drawing/2014/chart" uri="{C3380CC4-5D6E-409C-BE32-E72D297353CC}">
                  <c16:uniqueId val="{00000030-68E0-4072-AE93-7B7DB247964E}"/>
                </c:ext>
              </c:extLst>
            </c:dLbl>
            <c:dLbl>
              <c:idx val="17"/>
              <c:delete val="1"/>
              <c:extLst>
                <c:ext xmlns:c15="http://schemas.microsoft.com/office/drawing/2012/chart" uri="{CE6537A1-D6FC-4f65-9D91-7224C49458BB}"/>
                <c:ext xmlns:c16="http://schemas.microsoft.com/office/drawing/2014/chart" uri="{C3380CC4-5D6E-409C-BE32-E72D297353CC}">
                  <c16:uniqueId val="{00000031-68E0-4072-AE93-7B7DB247964E}"/>
                </c:ext>
              </c:extLst>
            </c:dLbl>
            <c:dLbl>
              <c:idx val="18"/>
              <c:delete val="1"/>
              <c:extLst>
                <c:ext xmlns:c15="http://schemas.microsoft.com/office/drawing/2012/chart" uri="{CE6537A1-D6FC-4f65-9D91-7224C49458BB}"/>
                <c:ext xmlns:c16="http://schemas.microsoft.com/office/drawing/2014/chart" uri="{C3380CC4-5D6E-409C-BE32-E72D297353CC}">
                  <c16:uniqueId val="{00000032-68E0-4072-AE93-7B7DB247964E}"/>
                </c:ext>
              </c:extLst>
            </c:dLbl>
            <c:dLbl>
              <c:idx val="19"/>
              <c:delete val="1"/>
              <c:extLst>
                <c:ext xmlns:c15="http://schemas.microsoft.com/office/drawing/2012/chart" uri="{CE6537A1-D6FC-4f65-9D91-7224C49458BB}"/>
                <c:ext xmlns:c16="http://schemas.microsoft.com/office/drawing/2014/chart" uri="{C3380CC4-5D6E-409C-BE32-E72D297353CC}">
                  <c16:uniqueId val="{00000033-68E0-4072-AE93-7B7DB247964E}"/>
                </c:ext>
              </c:extLst>
            </c:dLbl>
            <c:spPr>
              <a:noFill/>
              <a:ln>
                <a:noFill/>
              </a:ln>
              <a:effectLst/>
            </c:spPr>
            <c:txPr>
              <a:bodyPr wrap="square" lIns="38100" tIns="19050" rIns="38100" bIns="19050" anchor="ctr">
                <a:spAutoFit/>
              </a:bodyPr>
              <a:lstStyle/>
              <a:p>
                <a:pPr>
                  <a:defRPr b="1"/>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Sheet1!$R$1:$AL$1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Sheet1!$R$3:$AL$3</c:f>
              <c:numCache>
                <c:formatCode>General</c:formatCode>
                <c:ptCount val="21"/>
                <c:pt idx="6" formatCode="0">
                  <c:v>1845.096</c:v>
                </c:pt>
                <c:pt idx="7" formatCode="0">
                  <c:v>1830.338</c:v>
                </c:pt>
                <c:pt idx="8" formatCode="0">
                  <c:v>1816.732</c:v>
                </c:pt>
                <c:pt idx="9" formatCode="0">
                  <c:v>1804.3489999999999</c:v>
                </c:pt>
                <c:pt idx="10" formatCode="0">
                  <c:v>1793.425</c:v>
                </c:pt>
                <c:pt idx="11" formatCode="0">
                  <c:v>1783.9929999999999</c:v>
                </c:pt>
                <c:pt idx="12" formatCode="0">
                  <c:v>1775.701</c:v>
                </c:pt>
                <c:pt idx="13" formatCode="0">
                  <c:v>1768.771</c:v>
                </c:pt>
                <c:pt idx="14" formatCode="0">
                  <c:v>1763.2360000000001</c:v>
                </c:pt>
                <c:pt idx="15" formatCode="0">
                  <c:v>1758.771</c:v>
                </c:pt>
                <c:pt idx="16" formatCode="0">
                  <c:v>1755.346</c:v>
                </c:pt>
                <c:pt idx="17" formatCode="0">
                  <c:v>1752.92</c:v>
                </c:pt>
                <c:pt idx="18" formatCode="0">
                  <c:v>1751.366</c:v>
                </c:pt>
                <c:pt idx="19" formatCode="0">
                  <c:v>1750.627</c:v>
                </c:pt>
                <c:pt idx="20" formatCode="0">
                  <c:v>1750.557</c:v>
                </c:pt>
              </c:numCache>
            </c:numRef>
          </c:val>
          <c:smooth val="0"/>
          <c:extLst>
            <c:ext xmlns:c16="http://schemas.microsoft.com/office/drawing/2014/chart" uri="{C3380CC4-5D6E-409C-BE32-E72D297353CC}">
              <c16:uniqueId val="{00000034-68E0-4072-AE93-7B7DB247964E}"/>
            </c:ext>
          </c:extLst>
        </c:ser>
        <c:ser>
          <c:idx val="2"/>
          <c:order val="2"/>
          <c:tx>
            <c:strRef>
              <c:f>Sheet1!$A$4</c:f>
              <c:strCache>
                <c:ptCount val="1"/>
                <c:pt idx="0">
                  <c:v>Bāzes scenārijs</c:v>
                </c:pt>
              </c:strCache>
            </c:strRef>
          </c:tx>
          <c:spPr>
            <a:ln>
              <a:solidFill>
                <a:srgbClr val="92B7C4"/>
              </a:solidFill>
              <a:prstDash val="solid"/>
            </a:ln>
          </c:spPr>
          <c:marker>
            <c:symbol val="none"/>
          </c:marker>
          <c:dLbls>
            <c:dLbl>
              <c:idx val="6"/>
              <c:layout>
                <c:manualLayout>
                  <c:x val="-4.4101433296582547E-3"/>
                  <c:y val="-4.2906945561812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68E0-4072-AE93-7B7DB247964E}"/>
                </c:ext>
              </c:extLst>
            </c:dLbl>
            <c:dLbl>
              <c:idx val="7"/>
              <c:delete val="1"/>
              <c:extLst>
                <c:ext xmlns:c15="http://schemas.microsoft.com/office/drawing/2012/chart" uri="{CE6537A1-D6FC-4f65-9D91-7224C49458BB}"/>
                <c:ext xmlns:c16="http://schemas.microsoft.com/office/drawing/2014/chart" uri="{C3380CC4-5D6E-409C-BE32-E72D297353CC}">
                  <c16:uniqueId val="{00000036-68E0-4072-AE93-7B7DB247964E}"/>
                </c:ext>
              </c:extLst>
            </c:dLbl>
            <c:dLbl>
              <c:idx val="8"/>
              <c:delete val="1"/>
              <c:extLst>
                <c:ext xmlns:c15="http://schemas.microsoft.com/office/drawing/2012/chart" uri="{CE6537A1-D6FC-4f65-9D91-7224C49458BB}"/>
                <c:ext xmlns:c16="http://schemas.microsoft.com/office/drawing/2014/chart" uri="{C3380CC4-5D6E-409C-BE32-E72D297353CC}">
                  <c16:uniqueId val="{00000037-68E0-4072-AE93-7B7DB247964E}"/>
                </c:ext>
              </c:extLst>
            </c:dLbl>
            <c:dLbl>
              <c:idx val="9"/>
              <c:delete val="1"/>
              <c:extLst>
                <c:ext xmlns:c15="http://schemas.microsoft.com/office/drawing/2012/chart" uri="{CE6537A1-D6FC-4f65-9D91-7224C49458BB}"/>
                <c:ext xmlns:c16="http://schemas.microsoft.com/office/drawing/2014/chart" uri="{C3380CC4-5D6E-409C-BE32-E72D297353CC}">
                  <c16:uniqueId val="{00000038-68E0-4072-AE93-7B7DB247964E}"/>
                </c:ext>
              </c:extLst>
            </c:dLbl>
            <c:dLbl>
              <c:idx val="11"/>
              <c:delete val="1"/>
              <c:extLst>
                <c:ext xmlns:c15="http://schemas.microsoft.com/office/drawing/2012/chart" uri="{CE6537A1-D6FC-4f65-9D91-7224C49458BB}"/>
                <c:ext xmlns:c16="http://schemas.microsoft.com/office/drawing/2014/chart" uri="{C3380CC4-5D6E-409C-BE32-E72D297353CC}">
                  <c16:uniqueId val="{0000003A-68E0-4072-AE93-7B7DB247964E}"/>
                </c:ext>
              </c:extLst>
            </c:dLbl>
            <c:dLbl>
              <c:idx val="12"/>
              <c:delete val="1"/>
              <c:extLst>
                <c:ext xmlns:c15="http://schemas.microsoft.com/office/drawing/2012/chart" uri="{CE6537A1-D6FC-4f65-9D91-7224C49458BB}"/>
                <c:ext xmlns:c16="http://schemas.microsoft.com/office/drawing/2014/chart" uri="{C3380CC4-5D6E-409C-BE32-E72D297353CC}">
                  <c16:uniqueId val="{0000003B-68E0-4072-AE93-7B7DB247964E}"/>
                </c:ext>
              </c:extLst>
            </c:dLbl>
            <c:dLbl>
              <c:idx val="13"/>
              <c:delete val="1"/>
              <c:extLst>
                <c:ext xmlns:c15="http://schemas.microsoft.com/office/drawing/2012/chart" uri="{CE6537A1-D6FC-4f65-9D91-7224C49458BB}"/>
                <c:ext xmlns:c16="http://schemas.microsoft.com/office/drawing/2014/chart" uri="{C3380CC4-5D6E-409C-BE32-E72D297353CC}">
                  <c16:uniqueId val="{0000003C-68E0-4072-AE93-7B7DB247964E}"/>
                </c:ext>
              </c:extLst>
            </c:dLbl>
            <c:dLbl>
              <c:idx val="14"/>
              <c:delete val="1"/>
              <c:extLst>
                <c:ext xmlns:c15="http://schemas.microsoft.com/office/drawing/2012/chart" uri="{CE6537A1-D6FC-4f65-9D91-7224C49458BB}"/>
                <c:ext xmlns:c16="http://schemas.microsoft.com/office/drawing/2014/chart" uri="{C3380CC4-5D6E-409C-BE32-E72D297353CC}">
                  <c16:uniqueId val="{0000003D-68E0-4072-AE93-7B7DB247964E}"/>
                </c:ext>
              </c:extLst>
            </c:dLbl>
            <c:dLbl>
              <c:idx val="16"/>
              <c:delete val="1"/>
              <c:extLst>
                <c:ext xmlns:c15="http://schemas.microsoft.com/office/drawing/2012/chart" uri="{CE6537A1-D6FC-4f65-9D91-7224C49458BB}"/>
                <c:ext xmlns:c16="http://schemas.microsoft.com/office/drawing/2014/chart" uri="{C3380CC4-5D6E-409C-BE32-E72D297353CC}">
                  <c16:uniqueId val="{0000003F-68E0-4072-AE93-7B7DB247964E}"/>
                </c:ext>
              </c:extLst>
            </c:dLbl>
            <c:dLbl>
              <c:idx val="17"/>
              <c:delete val="1"/>
              <c:extLst>
                <c:ext xmlns:c15="http://schemas.microsoft.com/office/drawing/2012/chart" uri="{CE6537A1-D6FC-4f65-9D91-7224C49458BB}"/>
                <c:ext xmlns:c16="http://schemas.microsoft.com/office/drawing/2014/chart" uri="{C3380CC4-5D6E-409C-BE32-E72D297353CC}">
                  <c16:uniqueId val="{00000040-68E0-4072-AE93-7B7DB247964E}"/>
                </c:ext>
              </c:extLst>
            </c:dLbl>
            <c:dLbl>
              <c:idx val="18"/>
              <c:delete val="1"/>
              <c:extLst>
                <c:ext xmlns:c15="http://schemas.microsoft.com/office/drawing/2012/chart" uri="{CE6537A1-D6FC-4f65-9D91-7224C49458BB}"/>
                <c:ext xmlns:c16="http://schemas.microsoft.com/office/drawing/2014/chart" uri="{C3380CC4-5D6E-409C-BE32-E72D297353CC}">
                  <c16:uniqueId val="{00000041-68E0-4072-AE93-7B7DB247964E}"/>
                </c:ext>
              </c:extLst>
            </c:dLbl>
            <c:dLbl>
              <c:idx val="19"/>
              <c:delete val="1"/>
              <c:extLst>
                <c:ext xmlns:c15="http://schemas.microsoft.com/office/drawing/2012/chart" uri="{CE6537A1-D6FC-4f65-9D91-7224C49458BB}"/>
                <c:ext xmlns:c16="http://schemas.microsoft.com/office/drawing/2014/chart" uri="{C3380CC4-5D6E-409C-BE32-E72D297353CC}">
                  <c16:uniqueId val="{00000042-68E0-4072-AE93-7B7DB247964E}"/>
                </c:ext>
              </c:extLst>
            </c:dLbl>
            <c:spPr>
              <a:noFill/>
              <a:ln>
                <a:noFill/>
              </a:ln>
              <a:effectLst/>
            </c:spPr>
            <c:txPr>
              <a:bodyPr wrap="square" lIns="38100" tIns="19050" rIns="38100" bIns="19050" anchor="ctr">
                <a:spAutoFit/>
              </a:bodyPr>
              <a:lstStyle/>
              <a:p>
                <a:pPr>
                  <a:defRPr b="1"/>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Sheet1!$R$1:$AL$1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Sheet1!$R$4:$AL$4</c:f>
              <c:numCache>
                <c:formatCode>General</c:formatCode>
                <c:ptCount val="21"/>
                <c:pt idx="6" formatCode="0">
                  <c:v>1845.096</c:v>
                </c:pt>
                <c:pt idx="7" formatCode="0">
                  <c:v>1829.636</c:v>
                </c:pt>
                <c:pt idx="8" formatCode="0">
                  <c:v>1816.242</c:v>
                </c:pt>
                <c:pt idx="9" formatCode="0">
                  <c:v>1803.981</c:v>
                </c:pt>
                <c:pt idx="10" formatCode="0">
                  <c:v>1792.9880000000001</c:v>
                </c:pt>
                <c:pt idx="11" formatCode="0">
                  <c:v>1783.104</c:v>
                </c:pt>
                <c:pt idx="12" formatCode="0">
                  <c:v>1773.8630000000001</c:v>
                </c:pt>
                <c:pt idx="13" formatCode="0">
                  <c:v>1765.444</c:v>
                </c:pt>
                <c:pt idx="14" formatCode="0">
                  <c:v>1757.903</c:v>
                </c:pt>
                <c:pt idx="15" formatCode="0">
                  <c:v>1750.894</c:v>
                </c:pt>
                <c:pt idx="16" formatCode="0">
                  <c:v>1744.366</c:v>
                </c:pt>
                <c:pt idx="17" formatCode="0">
                  <c:v>1738.3050000000001</c:v>
                </c:pt>
                <c:pt idx="18" formatCode="0">
                  <c:v>1732.624</c:v>
                </c:pt>
                <c:pt idx="19" formatCode="0">
                  <c:v>1727.271</c:v>
                </c:pt>
                <c:pt idx="20" formatCode="0">
                  <c:v>1722.2149999999999</c:v>
                </c:pt>
              </c:numCache>
            </c:numRef>
          </c:val>
          <c:smooth val="0"/>
          <c:extLst>
            <c:ext xmlns:c16="http://schemas.microsoft.com/office/drawing/2014/chart" uri="{C3380CC4-5D6E-409C-BE32-E72D297353CC}">
              <c16:uniqueId val="{00000043-68E0-4072-AE93-7B7DB247964E}"/>
            </c:ext>
          </c:extLst>
        </c:ser>
        <c:dLbls>
          <c:showLegendKey val="0"/>
          <c:showVal val="1"/>
          <c:showCatName val="0"/>
          <c:showSerName val="0"/>
          <c:showPercent val="0"/>
          <c:showBubbleSize val="0"/>
        </c:dLbls>
        <c:smooth val="0"/>
        <c:axId val="742107536"/>
        <c:axId val="742121648"/>
      </c:lineChart>
      <c:catAx>
        <c:axId val="742107536"/>
        <c:scaling>
          <c:orientation val="minMax"/>
        </c:scaling>
        <c:delete val="0"/>
        <c:axPos val="b"/>
        <c:numFmt formatCode="General" sourceLinked="1"/>
        <c:majorTickMark val="out"/>
        <c:minorTickMark val="none"/>
        <c:tickLblPos val="nextTo"/>
        <c:txPr>
          <a:bodyPr rot="0" vert="horz"/>
          <a:lstStyle/>
          <a:p>
            <a:pPr>
              <a:defRPr/>
            </a:pPr>
            <a:endParaRPr lang="en-US"/>
          </a:p>
        </c:txPr>
        <c:crossAx val="742121648"/>
        <c:crosses val="autoZero"/>
        <c:auto val="1"/>
        <c:lblAlgn val="ctr"/>
        <c:lblOffset val="100"/>
        <c:noMultiLvlLbl val="0"/>
      </c:catAx>
      <c:valAx>
        <c:axId val="742121648"/>
        <c:scaling>
          <c:orientation val="minMax"/>
          <c:min val="1650"/>
        </c:scaling>
        <c:delete val="0"/>
        <c:axPos val="l"/>
        <c:minorGridlines>
          <c:spPr>
            <a:ln>
              <a:noFill/>
            </a:ln>
          </c:spPr>
        </c:minorGridlines>
        <c:numFmt formatCode="0" sourceLinked="0"/>
        <c:majorTickMark val="out"/>
        <c:minorTickMark val="none"/>
        <c:tickLblPos val="nextTo"/>
        <c:spPr>
          <a:ln>
            <a:noFill/>
          </a:ln>
        </c:spPr>
        <c:txPr>
          <a:bodyPr rot="0" vert="horz"/>
          <a:lstStyle/>
          <a:p>
            <a:pPr>
              <a:defRPr/>
            </a:pPr>
            <a:endParaRPr lang="en-US"/>
          </a:p>
        </c:txPr>
        <c:crossAx val="742107536"/>
        <c:crosses val="autoZero"/>
        <c:crossBetween val="between"/>
        <c:majorUnit val="100"/>
      </c:valAx>
      <c:spPr>
        <a:ln>
          <a:noFill/>
        </a:ln>
      </c:spPr>
    </c:plotArea>
    <c:legend>
      <c:legendPos val="r"/>
      <c:legendEntry>
        <c:idx val="0"/>
        <c:delete val="1"/>
      </c:legendEntry>
      <c:layout>
        <c:manualLayout>
          <c:xMode val="edge"/>
          <c:yMode val="edge"/>
          <c:x val="0.72547916901787501"/>
          <c:y val="9.3415093024876286E-2"/>
          <c:w val="0.19513825104827717"/>
          <c:h val="0.17740417202475595"/>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2">
    <c:autoUpdate val="0"/>
  </c:externalData>
  <c:userShapes r:id="rId3"/>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618326193710171E-2"/>
          <c:y val="2.1372768895361129E-2"/>
          <c:w val="0.92596150924856147"/>
          <c:h val="0.87967114915486722"/>
        </c:manualLayout>
      </c:layout>
      <c:areaChart>
        <c:grouping val="stacked"/>
        <c:varyColors val="0"/>
        <c:ser>
          <c:idx val="0"/>
          <c:order val="0"/>
          <c:tx>
            <c:strRef>
              <c:f>Sheet1!$A$2</c:f>
              <c:strCache>
                <c:ptCount val="1"/>
                <c:pt idx="0">
                  <c:v>0-14</c:v>
                </c:pt>
              </c:strCache>
            </c:strRef>
          </c:tx>
          <c:spPr>
            <a:solidFill>
              <a:srgbClr val="006666"/>
            </a:solidFill>
            <a:ln>
              <a:noFill/>
            </a:ln>
            <a:effectLst/>
          </c:spPr>
          <c:dLbls>
            <c:dLbl>
              <c:idx val="0"/>
              <c:layout>
                <c:manualLayout>
                  <c:x val="2.2050716648291075E-2"/>
                  <c:y val="-1.7062002370915579E-16"/>
                </c:manualLayout>
              </c:layout>
              <c:tx>
                <c:rich>
                  <a:bodyPr/>
                  <a:lstStyle/>
                  <a:p>
                    <a:fld id="{D307EFFE-A726-4AC1-893A-572FF14E15C9}"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46E2-4FEC-A178-261876CD76D1}"/>
                </c:ext>
              </c:extLst>
            </c:dLbl>
            <c:dLbl>
              <c:idx val="1"/>
              <c:tx>
                <c:rich>
                  <a:bodyPr/>
                  <a:lstStyle/>
                  <a:p>
                    <a:fld id="{CB3EDCAD-2E3F-4ED9-BAD3-1FD4BF24CE3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46E2-4FEC-A178-261876CD76D1}"/>
                </c:ext>
              </c:extLst>
            </c:dLbl>
            <c:dLbl>
              <c:idx val="2"/>
              <c:tx>
                <c:rich>
                  <a:bodyPr/>
                  <a:lstStyle/>
                  <a:p>
                    <a:fld id="{96718907-2A38-4987-9AD0-EFBABA4F1A4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46E2-4FEC-A178-261876CD76D1}"/>
                </c:ext>
              </c:extLst>
            </c:dLbl>
            <c:dLbl>
              <c:idx val="3"/>
              <c:tx>
                <c:rich>
                  <a:bodyPr/>
                  <a:lstStyle/>
                  <a:p>
                    <a:fld id="{3CAC7F71-C776-4895-98CC-8C02996DA80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46E2-4FEC-A178-261876CD76D1}"/>
                </c:ext>
              </c:extLst>
            </c:dLbl>
            <c:dLbl>
              <c:idx val="4"/>
              <c:tx>
                <c:rich>
                  <a:bodyPr/>
                  <a:lstStyle/>
                  <a:p>
                    <a:fld id="{8837A2C9-4164-4F7E-AC5D-46E31055789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46E2-4FEC-A178-261876CD76D1}"/>
                </c:ext>
              </c:extLst>
            </c:dLbl>
            <c:dLbl>
              <c:idx val="5"/>
              <c:tx>
                <c:rich>
                  <a:bodyPr/>
                  <a:lstStyle/>
                  <a:p>
                    <a:fld id="{E1F2C074-E437-4E50-BEF0-E77E95F9143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46E2-4FEC-A178-261876CD76D1}"/>
                </c:ext>
              </c:extLst>
            </c:dLbl>
            <c:dLbl>
              <c:idx val="6"/>
              <c:tx>
                <c:rich>
                  <a:bodyPr/>
                  <a:lstStyle/>
                  <a:p>
                    <a:fld id="{7A656533-2573-4FC8-A9E1-A9DE29CF0F59}"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46E2-4FEC-A178-261876CD76D1}"/>
                </c:ext>
              </c:extLst>
            </c:dLbl>
            <c:dLbl>
              <c:idx val="7"/>
              <c:tx>
                <c:rich>
                  <a:bodyPr/>
                  <a:lstStyle/>
                  <a:p>
                    <a:fld id="{43F7D915-C780-4160-9753-D9F19D598C0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46E2-4FEC-A178-261876CD76D1}"/>
                </c:ext>
              </c:extLst>
            </c:dLbl>
            <c:dLbl>
              <c:idx val="8"/>
              <c:tx>
                <c:rich>
                  <a:bodyPr/>
                  <a:lstStyle/>
                  <a:p>
                    <a:fld id="{FDF4DC21-AB5A-4F0F-9651-E3CD96E0AD8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46E2-4FEC-A178-261876CD76D1}"/>
                </c:ext>
              </c:extLst>
            </c:dLbl>
            <c:dLbl>
              <c:idx val="9"/>
              <c:tx>
                <c:rich>
                  <a:bodyPr/>
                  <a:lstStyle/>
                  <a:p>
                    <a:fld id="{19126D34-1260-447A-B109-2022FC23453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6E2-4FEC-A178-261876CD76D1}"/>
                </c:ext>
              </c:extLst>
            </c:dLbl>
            <c:dLbl>
              <c:idx val="10"/>
              <c:tx>
                <c:rich>
                  <a:bodyPr/>
                  <a:lstStyle/>
                  <a:p>
                    <a:fld id="{35AE014D-AAF9-45F8-A811-E8771032944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46E2-4FEC-A178-261876CD76D1}"/>
                </c:ext>
              </c:extLst>
            </c:dLbl>
            <c:dLbl>
              <c:idx val="11"/>
              <c:tx>
                <c:rich>
                  <a:bodyPr/>
                  <a:lstStyle/>
                  <a:p>
                    <a:fld id="{062C8C42-84F6-4E45-BA7F-372D952022F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46E2-4FEC-A178-261876CD76D1}"/>
                </c:ext>
              </c:extLst>
            </c:dLbl>
            <c:dLbl>
              <c:idx val="12"/>
              <c:tx>
                <c:rich>
                  <a:bodyPr/>
                  <a:lstStyle/>
                  <a:p>
                    <a:fld id="{99CAD81D-08F6-419C-8794-2B7EBE758FC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46E2-4FEC-A178-261876CD76D1}"/>
                </c:ext>
              </c:extLst>
            </c:dLbl>
            <c:dLbl>
              <c:idx val="13"/>
              <c:tx>
                <c:rich>
                  <a:bodyPr/>
                  <a:lstStyle/>
                  <a:p>
                    <a:fld id="{5EED08CB-2DAD-4297-947B-A3A5C811493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46E2-4FEC-A178-261876CD76D1}"/>
                </c:ext>
              </c:extLst>
            </c:dLbl>
            <c:dLbl>
              <c:idx val="14"/>
              <c:tx>
                <c:rich>
                  <a:bodyPr/>
                  <a:lstStyle/>
                  <a:p>
                    <a:fld id="{BD1E8D21-FD28-4937-9FFB-4A527CB87C9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46E2-4FEC-A178-261876CD76D1}"/>
                </c:ext>
              </c:extLst>
            </c:dLbl>
            <c:dLbl>
              <c:idx val="15"/>
              <c:tx>
                <c:rich>
                  <a:bodyPr/>
                  <a:lstStyle/>
                  <a:p>
                    <a:fld id="{130DB304-2E75-4578-9BCC-7AF3A1F07C9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46E2-4FEC-A178-261876CD76D1}"/>
                </c:ext>
              </c:extLst>
            </c:dLbl>
            <c:dLbl>
              <c:idx val="16"/>
              <c:tx>
                <c:rich>
                  <a:bodyPr/>
                  <a:lstStyle/>
                  <a:p>
                    <a:fld id="{1A0D0550-9D5F-42F9-BB0A-4E4796DA2799}"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46E2-4FEC-A178-261876CD76D1}"/>
                </c:ext>
              </c:extLst>
            </c:dLbl>
            <c:dLbl>
              <c:idx val="17"/>
              <c:tx>
                <c:rich>
                  <a:bodyPr/>
                  <a:lstStyle/>
                  <a:p>
                    <a:fld id="{E1EDC901-3608-43D7-A2E0-41853C02113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46E2-4FEC-A178-261876CD76D1}"/>
                </c:ext>
              </c:extLst>
            </c:dLbl>
            <c:dLbl>
              <c:idx val="18"/>
              <c:tx>
                <c:rich>
                  <a:bodyPr/>
                  <a:lstStyle/>
                  <a:p>
                    <a:fld id="{0A24B686-6469-436B-9C5B-1066E172CC9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46E2-4FEC-A178-261876CD76D1}"/>
                </c:ext>
              </c:extLst>
            </c:dLbl>
            <c:dLbl>
              <c:idx val="19"/>
              <c:layout>
                <c:manualLayout>
                  <c:x val="-1.9845644983462044E-2"/>
                  <c:y val="0"/>
                </c:manualLayout>
              </c:layout>
              <c:tx>
                <c:rich>
                  <a:bodyPr/>
                  <a:lstStyle/>
                  <a:p>
                    <a:fld id="{2A60B849-5C93-4DE0-875D-51F2B7AF8760}"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46E2-4FEC-A178-261876CD76D1}"/>
                </c:ext>
              </c:extLst>
            </c:dLbl>
            <c:dLbl>
              <c:idx val="20"/>
              <c:tx>
                <c:rich>
                  <a:bodyPr/>
                  <a:lstStyle/>
                  <a:p>
                    <a:fld id="{4BD810AF-0681-4C27-A832-B218ABBF025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46E2-4FEC-A178-261876CD76D1}"/>
                </c:ext>
              </c:extLst>
            </c:dLbl>
            <c:dLbl>
              <c:idx val="21"/>
              <c:tx>
                <c:rich>
                  <a:bodyPr/>
                  <a:lstStyle/>
                  <a:p>
                    <a:fld id="{07A296E5-4BBE-4A75-9D79-70340D1C986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46E2-4FEC-A178-261876CD76D1}"/>
                </c:ext>
              </c:extLst>
            </c:dLbl>
            <c:dLbl>
              <c:idx val="22"/>
              <c:layout>
                <c:manualLayout>
                  <c:x val="-2.2050716648291151E-2"/>
                  <c:y val="0"/>
                </c:manualLayout>
              </c:layout>
              <c:tx>
                <c:rich>
                  <a:bodyPr/>
                  <a:lstStyle/>
                  <a:p>
                    <a:fld id="{6B140D3A-4919-4205-B450-734AD88B618C}"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46E2-4FEC-A178-261876CD76D1}"/>
                </c:ext>
              </c:extLst>
            </c:dLbl>
            <c:dLbl>
              <c:idx val="23"/>
              <c:tx>
                <c:rich>
                  <a:bodyPr/>
                  <a:lstStyle/>
                  <a:p>
                    <a:fld id="{54784B68-1D97-4B3C-9F96-2F33C5AA478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46E2-4FEC-A178-261876CD76D1}"/>
                </c:ext>
              </c:extLst>
            </c:dLbl>
            <c:dLbl>
              <c:idx val="24"/>
              <c:tx>
                <c:rich>
                  <a:bodyPr/>
                  <a:lstStyle/>
                  <a:p>
                    <a:fld id="{83C2C6F3-C136-4EC8-9552-E6AA6AB7BE6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46E2-4FEC-A178-261876CD76D1}"/>
                </c:ext>
              </c:extLst>
            </c:dLbl>
            <c:dLbl>
              <c:idx val="25"/>
              <c:tx>
                <c:rich>
                  <a:bodyPr/>
                  <a:lstStyle/>
                  <a:p>
                    <a:fld id="{8D151830-5F10-47F1-A0AE-9E4DF806C51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46E2-4FEC-A178-261876CD76D1}"/>
                </c:ext>
              </c:extLst>
            </c:dLbl>
            <c:dLbl>
              <c:idx val="26"/>
              <c:tx>
                <c:rich>
                  <a:bodyPr/>
                  <a:lstStyle/>
                  <a:p>
                    <a:fld id="{B743F2AA-B96B-4CFB-A399-48AB8CEFA7B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46E2-4FEC-A178-261876CD76D1}"/>
                </c:ext>
              </c:extLst>
            </c:dLbl>
            <c:dLbl>
              <c:idx val="27"/>
              <c:tx>
                <c:rich>
                  <a:bodyPr/>
                  <a:lstStyle/>
                  <a:p>
                    <a:fld id="{DAC32CEA-E5DC-49F5-8F93-0CA23743CC5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46E2-4FEC-A178-261876CD76D1}"/>
                </c:ext>
              </c:extLst>
            </c:dLbl>
            <c:dLbl>
              <c:idx val="28"/>
              <c:tx>
                <c:rich>
                  <a:bodyPr/>
                  <a:lstStyle/>
                  <a:p>
                    <a:fld id="{AF90EB91-F124-4E7D-B139-8356F1F12D2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46E2-4FEC-A178-261876CD76D1}"/>
                </c:ext>
              </c:extLst>
            </c:dLbl>
            <c:dLbl>
              <c:idx val="29"/>
              <c:tx>
                <c:rich>
                  <a:bodyPr/>
                  <a:lstStyle/>
                  <a:p>
                    <a:fld id="{BE396696-57D3-48DD-9172-B3525913DE6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46E2-4FEC-A178-261876CD76D1}"/>
                </c:ext>
              </c:extLst>
            </c:dLbl>
            <c:dLbl>
              <c:idx val="30"/>
              <c:tx>
                <c:rich>
                  <a:bodyPr/>
                  <a:lstStyle/>
                  <a:p>
                    <a:fld id="{499AC833-F82D-482A-A244-6A775080711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46E2-4FEC-A178-261876CD76D1}"/>
                </c:ext>
              </c:extLst>
            </c:dLbl>
            <c:dLbl>
              <c:idx val="31"/>
              <c:tx>
                <c:rich>
                  <a:bodyPr/>
                  <a:lstStyle/>
                  <a:p>
                    <a:fld id="{2CF53BF5-B734-4987-ACED-30DA9CA2B69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46E2-4FEC-A178-261876CD76D1}"/>
                </c:ext>
              </c:extLst>
            </c:dLbl>
            <c:dLbl>
              <c:idx val="32"/>
              <c:tx>
                <c:rich>
                  <a:bodyPr/>
                  <a:lstStyle/>
                  <a:p>
                    <a:fld id="{8E00CDE9-945F-4FC2-ADC2-DC32BA195E4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46E2-4FEC-A178-261876CD76D1}"/>
                </c:ext>
              </c:extLst>
            </c:dLbl>
            <c:dLbl>
              <c:idx val="33"/>
              <c:tx>
                <c:rich>
                  <a:bodyPr/>
                  <a:lstStyle/>
                  <a:p>
                    <a:fld id="{73506C32-E10E-48EE-9D3C-52761E3DEAD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46E2-4FEC-A178-261876CD76D1}"/>
                </c:ext>
              </c:extLst>
            </c:dLbl>
            <c:dLbl>
              <c:idx val="34"/>
              <c:tx>
                <c:rich>
                  <a:bodyPr/>
                  <a:lstStyle/>
                  <a:p>
                    <a:fld id="{AA75CDD6-56D5-410D-AB4E-171E984E519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46E2-4FEC-A178-261876CD76D1}"/>
                </c:ext>
              </c:extLst>
            </c:dLbl>
            <c:dLbl>
              <c:idx val="35"/>
              <c:tx>
                <c:rich>
                  <a:bodyPr/>
                  <a:lstStyle/>
                  <a:p>
                    <a:fld id="{EC6FC3E2-A6D7-47E0-8DBC-B9D002F1AB5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3-46E2-4FEC-A178-261876CD76D1}"/>
                </c:ext>
              </c:extLst>
            </c:dLbl>
            <c:dLbl>
              <c:idx val="36"/>
              <c:layout>
                <c:manualLayout>
                  <c:x val="-2.2050716648291068E-2"/>
                  <c:y val="0"/>
                </c:manualLayout>
              </c:layout>
              <c:tx>
                <c:rich>
                  <a:bodyPr/>
                  <a:lstStyle/>
                  <a:p>
                    <a:fld id="{2412D9F9-1854-4AC9-A45C-DA0AF67008B5}"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46E2-4FEC-A178-261876CD76D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Segoe UI Light" panose="020B0502040204020203" pitchFamily="34" charset="0"/>
                    <a:ea typeface="Segoe UI Symbol" panose="020B0502040204020203" pitchFamily="34" charset="0"/>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Sheet1!$B$1:$BU$1</c:f>
              <c:strCach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strCache>
            </c:strRef>
          </c:cat>
          <c:val>
            <c:numRef>
              <c:f>Sheet1!$B$2:$BU$2</c:f>
              <c:numCache>
                <c:formatCode>General</c:formatCode>
                <c:ptCount val="37"/>
                <c:pt idx="0">
                  <c:v>0.35264200000000001</c:v>
                </c:pt>
                <c:pt idx="1">
                  <c:v>0.33675699999999997</c:v>
                </c:pt>
                <c:pt idx="2">
                  <c:v>0.32358199999999998</c:v>
                </c:pt>
                <c:pt idx="3">
                  <c:v>0.31381199999999998</c:v>
                </c:pt>
                <c:pt idx="4">
                  <c:v>0.30707400000000001</c:v>
                </c:pt>
                <c:pt idx="5">
                  <c:v>0.30458299999999999</c:v>
                </c:pt>
                <c:pt idx="6">
                  <c:v>0.30029400000000001</c:v>
                </c:pt>
                <c:pt idx="7">
                  <c:v>0.294543</c:v>
                </c:pt>
                <c:pt idx="8">
                  <c:v>0.29216199999999998</c:v>
                </c:pt>
                <c:pt idx="9">
                  <c:v>0.29231600000000002</c:v>
                </c:pt>
                <c:pt idx="10">
                  <c:v>0.29438399999999998</c:v>
                </c:pt>
                <c:pt idx="11">
                  <c:v>0.29771999999999998</c:v>
                </c:pt>
                <c:pt idx="12">
                  <c:v>0.30026000000000003</c:v>
                </c:pt>
                <c:pt idx="13">
                  <c:v>0.303587</c:v>
                </c:pt>
                <c:pt idx="14">
                  <c:v>0.30529099999999998</c:v>
                </c:pt>
                <c:pt idx="15">
                  <c:v>0.30508000000000002</c:v>
                </c:pt>
                <c:pt idx="16">
                  <c:v>0.30518800000000001</c:v>
                </c:pt>
                <c:pt idx="17">
                  <c:v>0.30297800000000003</c:v>
                </c:pt>
                <c:pt idx="18">
                  <c:v>0.29999199999999998</c:v>
                </c:pt>
                <c:pt idx="19">
                  <c:v>0.298402</c:v>
                </c:pt>
                <c:pt idx="20">
                  <c:v>0.28908800000000001</c:v>
                </c:pt>
                <c:pt idx="21">
                  <c:v>0.28087800000000002</c:v>
                </c:pt>
                <c:pt idx="22">
                  <c:v>0.27396300000000001</c:v>
                </c:pt>
                <c:pt idx="23">
                  <c:v>0.26743600000000001</c:v>
                </c:pt>
                <c:pt idx="24">
                  <c:v>0.260268</c:v>
                </c:pt>
                <c:pt idx="25">
                  <c:v>0.25317600000000001</c:v>
                </c:pt>
                <c:pt idx="26">
                  <c:v>0.245731</c:v>
                </c:pt>
                <c:pt idx="27">
                  <c:v>0.23874200000000001</c:v>
                </c:pt>
                <c:pt idx="28">
                  <c:v>0.23216600000000001</c:v>
                </c:pt>
                <c:pt idx="29">
                  <c:v>0.22706999999999999</c:v>
                </c:pt>
                <c:pt idx="30">
                  <c:v>0.223944</c:v>
                </c:pt>
                <c:pt idx="31">
                  <c:v>0.22148499999999999</c:v>
                </c:pt>
                <c:pt idx="32">
                  <c:v>0.22026399999999999</c:v>
                </c:pt>
                <c:pt idx="33">
                  <c:v>0.219251</c:v>
                </c:pt>
                <c:pt idx="34">
                  <c:v>0.22004599999999999</c:v>
                </c:pt>
                <c:pt idx="35">
                  <c:v>0.222024</c:v>
                </c:pt>
                <c:pt idx="36">
                  <c:v>0.22566800000000001</c:v>
                </c:pt>
              </c:numCache>
            </c:numRef>
          </c:val>
          <c:extLst>
            <c:ext xmlns:c15="http://schemas.microsoft.com/office/drawing/2012/chart" uri="{02D57815-91ED-43cb-92C2-25804820EDAC}">
              <c15:datalabelsRange>
                <c15:f>Sheet1!$P$7:$AZ$7</c15:f>
                <c15:dlblRangeCache>
                  <c:ptCount val="37"/>
                  <c:pt idx="0">
                    <c:v>15%</c:v>
                  </c:pt>
                  <c:pt idx="22">
                    <c:v>15%</c:v>
                  </c:pt>
                  <c:pt idx="26">
                    <c:v>14%</c:v>
                  </c:pt>
                  <c:pt idx="36">
                    <c:v>13%</c:v>
                  </c:pt>
                </c15:dlblRangeCache>
              </c15:datalabelsRange>
            </c:ext>
            <c:ext xmlns:c16="http://schemas.microsoft.com/office/drawing/2014/chart" uri="{C3380CC4-5D6E-409C-BE32-E72D297353CC}">
              <c16:uniqueId val="{00000025-46E2-4FEC-A178-261876CD76D1}"/>
            </c:ext>
          </c:extLst>
        </c:ser>
        <c:ser>
          <c:idx val="1"/>
          <c:order val="1"/>
          <c:tx>
            <c:strRef>
              <c:f>Sheet1!$A$3</c:f>
              <c:strCache>
                <c:ptCount val="1"/>
                <c:pt idx="0">
                  <c:v>15-64</c:v>
                </c:pt>
              </c:strCache>
            </c:strRef>
          </c:tx>
          <c:spPr>
            <a:solidFill>
              <a:srgbClr val="92B7C4"/>
            </a:solidFill>
            <a:ln>
              <a:noFill/>
            </a:ln>
            <a:effectLst/>
          </c:spPr>
          <c:dLbls>
            <c:dLbl>
              <c:idx val="0"/>
              <c:layout>
                <c:manualLayout>
                  <c:x val="2.2050716648291068E-2"/>
                  <c:y val="0"/>
                </c:manualLayout>
              </c:layout>
              <c:tx>
                <c:rich>
                  <a:bodyPr/>
                  <a:lstStyle/>
                  <a:p>
                    <a:fld id="{CF5A983F-787F-4B57-BA02-C9727B2F86CA}"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46E2-4FEC-A178-261876CD76D1}"/>
                </c:ext>
              </c:extLst>
            </c:dLbl>
            <c:dLbl>
              <c:idx val="1"/>
              <c:tx>
                <c:rich>
                  <a:bodyPr/>
                  <a:lstStyle/>
                  <a:p>
                    <a:fld id="{50B71F90-27FD-4733-8014-863C9651C81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46E2-4FEC-A178-261876CD76D1}"/>
                </c:ext>
              </c:extLst>
            </c:dLbl>
            <c:dLbl>
              <c:idx val="2"/>
              <c:tx>
                <c:rich>
                  <a:bodyPr/>
                  <a:lstStyle/>
                  <a:p>
                    <a:fld id="{8D360911-CE89-4FC2-BD9A-CE303A830779}"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46E2-4FEC-A178-261876CD76D1}"/>
                </c:ext>
              </c:extLst>
            </c:dLbl>
            <c:dLbl>
              <c:idx val="3"/>
              <c:tx>
                <c:rich>
                  <a:bodyPr/>
                  <a:lstStyle/>
                  <a:p>
                    <a:fld id="{ECB04E4E-FACD-4F11-8ED7-72AFFBA20CD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9-46E2-4FEC-A178-261876CD76D1}"/>
                </c:ext>
              </c:extLst>
            </c:dLbl>
            <c:dLbl>
              <c:idx val="4"/>
              <c:tx>
                <c:rich>
                  <a:bodyPr/>
                  <a:lstStyle/>
                  <a:p>
                    <a:fld id="{83FA5332-CAC2-4A8F-AC7A-BF4EA86B1BE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46E2-4FEC-A178-261876CD76D1}"/>
                </c:ext>
              </c:extLst>
            </c:dLbl>
            <c:dLbl>
              <c:idx val="5"/>
              <c:tx>
                <c:rich>
                  <a:bodyPr/>
                  <a:lstStyle/>
                  <a:p>
                    <a:fld id="{966ED18A-D24B-48FD-B847-8DF76EF74A6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46E2-4FEC-A178-261876CD76D1}"/>
                </c:ext>
              </c:extLst>
            </c:dLbl>
            <c:dLbl>
              <c:idx val="6"/>
              <c:tx>
                <c:rich>
                  <a:bodyPr/>
                  <a:lstStyle/>
                  <a:p>
                    <a:fld id="{E437A562-B09A-491C-B8C4-D008EBE49AD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46E2-4FEC-A178-261876CD76D1}"/>
                </c:ext>
              </c:extLst>
            </c:dLbl>
            <c:dLbl>
              <c:idx val="7"/>
              <c:tx>
                <c:rich>
                  <a:bodyPr/>
                  <a:lstStyle/>
                  <a:p>
                    <a:fld id="{026A21F5-4EB5-4581-83BC-FC726F40846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46E2-4FEC-A178-261876CD76D1}"/>
                </c:ext>
              </c:extLst>
            </c:dLbl>
            <c:dLbl>
              <c:idx val="8"/>
              <c:tx>
                <c:rich>
                  <a:bodyPr/>
                  <a:lstStyle/>
                  <a:p>
                    <a:fld id="{E83103A8-84F4-48B0-8918-EB75B99772E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E-46E2-4FEC-A178-261876CD76D1}"/>
                </c:ext>
              </c:extLst>
            </c:dLbl>
            <c:dLbl>
              <c:idx val="9"/>
              <c:tx>
                <c:rich>
                  <a:bodyPr/>
                  <a:lstStyle/>
                  <a:p>
                    <a:fld id="{6665F229-DD95-4440-BC3B-EA3B3BCCCBC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F-46E2-4FEC-A178-261876CD76D1}"/>
                </c:ext>
              </c:extLst>
            </c:dLbl>
            <c:dLbl>
              <c:idx val="10"/>
              <c:tx>
                <c:rich>
                  <a:bodyPr/>
                  <a:lstStyle/>
                  <a:p>
                    <a:fld id="{671242A8-51D7-4768-9998-339D168586B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0-46E2-4FEC-A178-261876CD76D1}"/>
                </c:ext>
              </c:extLst>
            </c:dLbl>
            <c:dLbl>
              <c:idx val="11"/>
              <c:tx>
                <c:rich>
                  <a:bodyPr/>
                  <a:lstStyle/>
                  <a:p>
                    <a:fld id="{D2AE58DE-2D90-4E05-B415-9460F14FE31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1-46E2-4FEC-A178-261876CD76D1}"/>
                </c:ext>
              </c:extLst>
            </c:dLbl>
            <c:dLbl>
              <c:idx val="12"/>
              <c:tx>
                <c:rich>
                  <a:bodyPr/>
                  <a:lstStyle/>
                  <a:p>
                    <a:fld id="{B80C32BD-0709-4E51-B867-E95E5D27169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2-46E2-4FEC-A178-261876CD76D1}"/>
                </c:ext>
              </c:extLst>
            </c:dLbl>
            <c:dLbl>
              <c:idx val="13"/>
              <c:tx>
                <c:rich>
                  <a:bodyPr/>
                  <a:lstStyle/>
                  <a:p>
                    <a:fld id="{B50D407F-34A1-41CD-A09E-1607C8D468E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3-46E2-4FEC-A178-261876CD76D1}"/>
                </c:ext>
              </c:extLst>
            </c:dLbl>
            <c:dLbl>
              <c:idx val="14"/>
              <c:tx>
                <c:rich>
                  <a:bodyPr/>
                  <a:lstStyle/>
                  <a:p>
                    <a:fld id="{BC44B044-BED2-4E38-9BB1-27A3845389F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4-46E2-4FEC-A178-261876CD76D1}"/>
                </c:ext>
              </c:extLst>
            </c:dLbl>
            <c:dLbl>
              <c:idx val="15"/>
              <c:tx>
                <c:rich>
                  <a:bodyPr/>
                  <a:lstStyle/>
                  <a:p>
                    <a:fld id="{A8706A48-B93D-40C2-B4C8-3BC49B0B3AE9}"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5-46E2-4FEC-A178-261876CD76D1}"/>
                </c:ext>
              </c:extLst>
            </c:dLbl>
            <c:dLbl>
              <c:idx val="16"/>
              <c:tx>
                <c:rich>
                  <a:bodyPr/>
                  <a:lstStyle/>
                  <a:p>
                    <a:fld id="{F876996D-376A-491B-B096-B53DEF574B7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6-46E2-4FEC-A178-261876CD76D1}"/>
                </c:ext>
              </c:extLst>
            </c:dLbl>
            <c:dLbl>
              <c:idx val="17"/>
              <c:tx>
                <c:rich>
                  <a:bodyPr/>
                  <a:lstStyle/>
                  <a:p>
                    <a:fld id="{5637F8D2-CE30-4803-A75B-F849DE64685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7-46E2-4FEC-A178-261876CD76D1}"/>
                </c:ext>
              </c:extLst>
            </c:dLbl>
            <c:dLbl>
              <c:idx val="18"/>
              <c:tx>
                <c:rich>
                  <a:bodyPr/>
                  <a:lstStyle/>
                  <a:p>
                    <a:fld id="{99C307AE-0DDA-452B-9EB6-25C13951A6D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8-46E2-4FEC-A178-261876CD76D1}"/>
                </c:ext>
              </c:extLst>
            </c:dLbl>
            <c:dLbl>
              <c:idx val="19"/>
              <c:layout>
                <c:manualLayout>
                  <c:x val="-1.1025358324145616E-2"/>
                  <c:y val="0"/>
                </c:manualLayout>
              </c:layout>
              <c:tx>
                <c:rich>
                  <a:bodyPr/>
                  <a:lstStyle/>
                  <a:p>
                    <a:fld id="{57062F44-7C9C-414C-8306-DD0000027570}"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9-46E2-4FEC-A178-261876CD76D1}"/>
                </c:ext>
              </c:extLst>
            </c:dLbl>
            <c:dLbl>
              <c:idx val="20"/>
              <c:tx>
                <c:rich>
                  <a:bodyPr/>
                  <a:lstStyle/>
                  <a:p>
                    <a:fld id="{572C16E9-3F3A-429D-B536-9676865CA90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A-46E2-4FEC-A178-261876CD76D1}"/>
                </c:ext>
              </c:extLst>
            </c:dLbl>
            <c:dLbl>
              <c:idx val="21"/>
              <c:tx>
                <c:rich>
                  <a:bodyPr/>
                  <a:lstStyle/>
                  <a:p>
                    <a:fld id="{408324D8-B5C7-4BEB-BB8E-16B5CB36D12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B-46E2-4FEC-A178-261876CD76D1}"/>
                </c:ext>
              </c:extLst>
            </c:dLbl>
            <c:dLbl>
              <c:idx val="22"/>
              <c:layout>
                <c:manualLayout>
                  <c:x val="-1.9845644983462044E-2"/>
                  <c:y val="4.6533271288971617E-3"/>
                </c:manualLayout>
              </c:layout>
              <c:tx>
                <c:rich>
                  <a:bodyPr/>
                  <a:lstStyle/>
                  <a:p>
                    <a:fld id="{CA1FF790-EC97-4C6C-A57E-9F6FE4C1EEB0}"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C-46E2-4FEC-A178-261876CD76D1}"/>
                </c:ext>
              </c:extLst>
            </c:dLbl>
            <c:dLbl>
              <c:idx val="23"/>
              <c:tx>
                <c:rich>
                  <a:bodyPr/>
                  <a:lstStyle/>
                  <a:p>
                    <a:fld id="{4AAED0D2-B626-4D13-ACD7-D8CC1FC4374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D-46E2-4FEC-A178-261876CD76D1}"/>
                </c:ext>
              </c:extLst>
            </c:dLbl>
            <c:dLbl>
              <c:idx val="24"/>
              <c:tx>
                <c:rich>
                  <a:bodyPr/>
                  <a:lstStyle/>
                  <a:p>
                    <a:fld id="{4B037A12-5265-4DB5-8171-5C50F340AE8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E-46E2-4FEC-A178-261876CD76D1}"/>
                </c:ext>
              </c:extLst>
            </c:dLbl>
            <c:dLbl>
              <c:idx val="25"/>
              <c:tx>
                <c:rich>
                  <a:bodyPr/>
                  <a:lstStyle/>
                  <a:p>
                    <a:fld id="{51316579-F7AA-480E-BCC4-648D1C9BB83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F-46E2-4FEC-A178-261876CD76D1}"/>
                </c:ext>
              </c:extLst>
            </c:dLbl>
            <c:dLbl>
              <c:idx val="26"/>
              <c:tx>
                <c:rich>
                  <a:bodyPr/>
                  <a:lstStyle/>
                  <a:p>
                    <a:fld id="{98F74820-E0D7-4D71-81FC-AD2BB6CB444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0-46E2-4FEC-A178-261876CD76D1}"/>
                </c:ext>
              </c:extLst>
            </c:dLbl>
            <c:dLbl>
              <c:idx val="27"/>
              <c:tx>
                <c:rich>
                  <a:bodyPr/>
                  <a:lstStyle/>
                  <a:p>
                    <a:fld id="{F4617DF7-7791-4FDD-91FD-7782F3476B0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1-46E2-4FEC-A178-261876CD76D1}"/>
                </c:ext>
              </c:extLst>
            </c:dLbl>
            <c:dLbl>
              <c:idx val="28"/>
              <c:tx>
                <c:rich>
                  <a:bodyPr/>
                  <a:lstStyle/>
                  <a:p>
                    <a:fld id="{EBAE9226-CC2F-462E-8BD8-1F575DD99C8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2-46E2-4FEC-A178-261876CD76D1}"/>
                </c:ext>
              </c:extLst>
            </c:dLbl>
            <c:dLbl>
              <c:idx val="29"/>
              <c:tx>
                <c:rich>
                  <a:bodyPr/>
                  <a:lstStyle/>
                  <a:p>
                    <a:fld id="{4F2279D4-9A4D-4255-9386-291A96412F8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3-46E2-4FEC-A178-261876CD76D1}"/>
                </c:ext>
              </c:extLst>
            </c:dLbl>
            <c:dLbl>
              <c:idx val="30"/>
              <c:tx>
                <c:rich>
                  <a:bodyPr/>
                  <a:lstStyle/>
                  <a:p>
                    <a:fld id="{268E1454-9B36-4D22-BF3F-715DA37C172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4-46E2-4FEC-A178-261876CD76D1}"/>
                </c:ext>
              </c:extLst>
            </c:dLbl>
            <c:dLbl>
              <c:idx val="31"/>
              <c:tx>
                <c:rich>
                  <a:bodyPr/>
                  <a:lstStyle/>
                  <a:p>
                    <a:fld id="{53F595F6-28B3-4611-A23C-60DC5336C0B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5-46E2-4FEC-A178-261876CD76D1}"/>
                </c:ext>
              </c:extLst>
            </c:dLbl>
            <c:dLbl>
              <c:idx val="32"/>
              <c:tx>
                <c:rich>
                  <a:bodyPr/>
                  <a:lstStyle/>
                  <a:p>
                    <a:fld id="{827914A0-E8A0-476A-BDDF-E678D2AC587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6-46E2-4FEC-A178-261876CD76D1}"/>
                </c:ext>
              </c:extLst>
            </c:dLbl>
            <c:dLbl>
              <c:idx val="33"/>
              <c:tx>
                <c:rich>
                  <a:bodyPr/>
                  <a:lstStyle/>
                  <a:p>
                    <a:fld id="{BE4F8B3A-E22E-4690-8972-C9D41261110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7-46E2-4FEC-A178-261876CD76D1}"/>
                </c:ext>
              </c:extLst>
            </c:dLbl>
            <c:dLbl>
              <c:idx val="34"/>
              <c:tx>
                <c:rich>
                  <a:bodyPr/>
                  <a:lstStyle/>
                  <a:p>
                    <a:fld id="{864402E8-0E44-43FB-AA79-64EAFD27764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8-46E2-4FEC-A178-261876CD76D1}"/>
                </c:ext>
              </c:extLst>
            </c:dLbl>
            <c:dLbl>
              <c:idx val="35"/>
              <c:tx>
                <c:rich>
                  <a:bodyPr/>
                  <a:lstStyle/>
                  <a:p>
                    <a:fld id="{FABDC86A-848B-4B71-87F7-FB3D25962A3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9-46E2-4FEC-A178-261876CD76D1}"/>
                </c:ext>
              </c:extLst>
            </c:dLbl>
            <c:dLbl>
              <c:idx val="36"/>
              <c:layout>
                <c:manualLayout>
                  <c:x val="-1.9845644983462123E-2"/>
                  <c:y val="-8.5310011854577893E-17"/>
                </c:manualLayout>
              </c:layout>
              <c:tx>
                <c:rich>
                  <a:bodyPr/>
                  <a:lstStyle/>
                  <a:p>
                    <a:fld id="{8A85AB5D-B745-4B50-A4C0-5C56CFC8356F}"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A-46E2-4FEC-A178-261876CD76D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Sheet1!$B$1:$BU$1</c:f>
              <c:strCach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strCache>
            </c:strRef>
          </c:cat>
          <c:val>
            <c:numRef>
              <c:f>Sheet1!$B$3:$BU$3</c:f>
              <c:numCache>
                <c:formatCode>General</c:formatCode>
                <c:ptCount val="37"/>
                <c:pt idx="0">
                  <c:v>1.554128</c:v>
                </c:pt>
                <c:pt idx="1">
                  <c:v>1.5386280000000001</c:v>
                </c:pt>
                <c:pt idx="2">
                  <c:v>1.525552</c:v>
                </c:pt>
                <c:pt idx="3">
                  <c:v>1.51081</c:v>
                </c:pt>
                <c:pt idx="4">
                  <c:v>1.499061</c:v>
                </c:pt>
                <c:pt idx="5">
                  <c:v>1.47278</c:v>
                </c:pt>
                <c:pt idx="6">
                  <c:v>1.4360329999999999</c:v>
                </c:pt>
                <c:pt idx="7">
                  <c:v>1.398922</c:v>
                </c:pt>
                <c:pt idx="8">
                  <c:v>1.373105</c:v>
                </c:pt>
                <c:pt idx="9">
                  <c:v>1.3517250000000001</c:v>
                </c:pt>
                <c:pt idx="10">
                  <c:v>1.325469</c:v>
                </c:pt>
                <c:pt idx="11">
                  <c:v>1.3032999999999999</c:v>
                </c:pt>
                <c:pt idx="12">
                  <c:v>1.2821119999999999</c:v>
                </c:pt>
                <c:pt idx="13">
                  <c:v>1.2586200000000001</c:v>
                </c:pt>
                <c:pt idx="14">
                  <c:v>1.2402299999999999</c:v>
                </c:pt>
                <c:pt idx="15">
                  <c:v>1.2259089999999999</c:v>
                </c:pt>
                <c:pt idx="16">
                  <c:v>1.211074</c:v>
                </c:pt>
                <c:pt idx="17">
                  <c:v>1.196547</c:v>
                </c:pt>
                <c:pt idx="18">
                  <c:v>1.184142</c:v>
                </c:pt>
                <c:pt idx="19">
                  <c:v>1.199603</c:v>
                </c:pt>
                <c:pt idx="20">
                  <c:v>1.187398</c:v>
                </c:pt>
                <c:pt idx="21">
                  <c:v>1.17286</c:v>
                </c:pt>
                <c:pt idx="22">
                  <c:v>1.158166</c:v>
                </c:pt>
                <c:pt idx="23">
                  <c:v>1.1438649999999999</c:v>
                </c:pt>
                <c:pt idx="24">
                  <c:v>1.1319159999999999</c:v>
                </c:pt>
                <c:pt idx="25">
                  <c:v>1.121972</c:v>
                </c:pt>
                <c:pt idx="26">
                  <c:v>1.114412</c:v>
                </c:pt>
                <c:pt idx="27">
                  <c:v>1.1090549999999999</c:v>
                </c:pt>
                <c:pt idx="28">
                  <c:v>1.1037539999999999</c:v>
                </c:pt>
                <c:pt idx="29">
                  <c:v>1.0983160000000001</c:v>
                </c:pt>
                <c:pt idx="30">
                  <c:v>1.092141</c:v>
                </c:pt>
                <c:pt idx="31">
                  <c:v>1.0862480000000001</c:v>
                </c:pt>
                <c:pt idx="32">
                  <c:v>1.079515</c:v>
                </c:pt>
                <c:pt idx="33">
                  <c:v>1.0728800000000001</c:v>
                </c:pt>
                <c:pt idx="34">
                  <c:v>1.0655410000000001</c:v>
                </c:pt>
                <c:pt idx="35">
                  <c:v>1.0583119999999999</c:v>
                </c:pt>
                <c:pt idx="36">
                  <c:v>1.049995</c:v>
                </c:pt>
              </c:numCache>
            </c:numRef>
          </c:val>
          <c:extLst>
            <c:ext xmlns:c15="http://schemas.microsoft.com/office/drawing/2012/chart" uri="{02D57815-91ED-43cb-92C2-25804820EDAC}">
              <c15:datalabelsRange>
                <c15:f>Sheet1!$P$8:$AZ$8</c15:f>
                <c15:dlblRangeCache>
                  <c:ptCount val="37"/>
                  <c:pt idx="0">
                    <c:v>68%</c:v>
                  </c:pt>
                  <c:pt idx="22">
                    <c:v>63%</c:v>
                  </c:pt>
                  <c:pt idx="26">
                    <c:v>62%</c:v>
                  </c:pt>
                  <c:pt idx="36">
                    <c:v>60%</c:v>
                  </c:pt>
                </c15:dlblRangeCache>
              </c15:datalabelsRange>
            </c:ext>
            <c:ext xmlns:c16="http://schemas.microsoft.com/office/drawing/2014/chart" uri="{C3380CC4-5D6E-409C-BE32-E72D297353CC}">
              <c16:uniqueId val="{0000004B-46E2-4FEC-A178-261876CD76D1}"/>
            </c:ext>
          </c:extLst>
        </c:ser>
        <c:ser>
          <c:idx val="2"/>
          <c:order val="2"/>
          <c:tx>
            <c:strRef>
              <c:f>Sheet1!$A$4</c:f>
              <c:strCache>
                <c:ptCount val="1"/>
                <c:pt idx="0">
                  <c:v>65+</c:v>
                </c:pt>
              </c:strCache>
            </c:strRef>
          </c:tx>
          <c:spPr>
            <a:solidFill>
              <a:srgbClr val="DBDBDB"/>
            </a:solidFill>
            <a:ln w="25400">
              <a:noFill/>
            </a:ln>
            <a:effectLst/>
          </c:spPr>
          <c:dLbls>
            <c:dLbl>
              <c:idx val="0"/>
              <c:layout>
                <c:manualLayout>
                  <c:x val="2.2050716648291075E-2"/>
                  <c:y val="0"/>
                </c:manualLayout>
              </c:layout>
              <c:tx>
                <c:rich>
                  <a:bodyPr/>
                  <a:lstStyle/>
                  <a:p>
                    <a:fld id="{E2970D87-393D-4498-8982-E0CB939745D8}"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C-46E2-4FEC-A178-261876CD76D1}"/>
                </c:ext>
              </c:extLst>
            </c:dLbl>
            <c:dLbl>
              <c:idx val="1"/>
              <c:tx>
                <c:rich>
                  <a:bodyPr/>
                  <a:lstStyle/>
                  <a:p>
                    <a:fld id="{5B643B8D-75FD-4718-A46F-5B86D48616A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D-46E2-4FEC-A178-261876CD76D1}"/>
                </c:ext>
              </c:extLst>
            </c:dLbl>
            <c:dLbl>
              <c:idx val="2"/>
              <c:tx>
                <c:rich>
                  <a:bodyPr/>
                  <a:lstStyle/>
                  <a:p>
                    <a:fld id="{6CC8EA22-3832-4B45-800F-775869161BA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E-46E2-4FEC-A178-261876CD76D1}"/>
                </c:ext>
              </c:extLst>
            </c:dLbl>
            <c:dLbl>
              <c:idx val="3"/>
              <c:tx>
                <c:rich>
                  <a:bodyPr/>
                  <a:lstStyle/>
                  <a:p>
                    <a:fld id="{9A623EAF-B98F-4436-9A6D-94C7AF16A95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F-46E2-4FEC-A178-261876CD76D1}"/>
                </c:ext>
              </c:extLst>
            </c:dLbl>
            <c:dLbl>
              <c:idx val="4"/>
              <c:tx>
                <c:rich>
                  <a:bodyPr/>
                  <a:lstStyle/>
                  <a:p>
                    <a:fld id="{464382DF-2D33-4554-99A5-F30EB7C7983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0-46E2-4FEC-A178-261876CD76D1}"/>
                </c:ext>
              </c:extLst>
            </c:dLbl>
            <c:dLbl>
              <c:idx val="5"/>
              <c:tx>
                <c:rich>
                  <a:bodyPr/>
                  <a:lstStyle/>
                  <a:p>
                    <a:fld id="{5A7F4FED-1EC7-41BC-8C1A-EBB90AED1B3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1-46E2-4FEC-A178-261876CD76D1}"/>
                </c:ext>
              </c:extLst>
            </c:dLbl>
            <c:dLbl>
              <c:idx val="6"/>
              <c:tx>
                <c:rich>
                  <a:bodyPr/>
                  <a:lstStyle/>
                  <a:p>
                    <a:fld id="{7B2C84CC-8582-44D0-9F31-B9378596E24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2-46E2-4FEC-A178-261876CD76D1}"/>
                </c:ext>
              </c:extLst>
            </c:dLbl>
            <c:dLbl>
              <c:idx val="7"/>
              <c:tx>
                <c:rich>
                  <a:bodyPr/>
                  <a:lstStyle/>
                  <a:p>
                    <a:fld id="{88C6D56B-497B-4F52-84FE-F644992A21D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3-46E2-4FEC-A178-261876CD76D1}"/>
                </c:ext>
              </c:extLst>
            </c:dLbl>
            <c:dLbl>
              <c:idx val="8"/>
              <c:tx>
                <c:rich>
                  <a:bodyPr/>
                  <a:lstStyle/>
                  <a:p>
                    <a:fld id="{1D9578A3-4B95-4AA9-8DDE-0356EB31C89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4-46E2-4FEC-A178-261876CD76D1}"/>
                </c:ext>
              </c:extLst>
            </c:dLbl>
            <c:dLbl>
              <c:idx val="9"/>
              <c:tx>
                <c:rich>
                  <a:bodyPr/>
                  <a:lstStyle/>
                  <a:p>
                    <a:fld id="{9C605D28-7CCD-46F4-BDE8-3CCFAF417CD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5-46E2-4FEC-A178-261876CD76D1}"/>
                </c:ext>
              </c:extLst>
            </c:dLbl>
            <c:dLbl>
              <c:idx val="10"/>
              <c:tx>
                <c:rich>
                  <a:bodyPr/>
                  <a:lstStyle/>
                  <a:p>
                    <a:fld id="{6B3FC377-221B-4245-BB68-322863264299}"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6-46E2-4FEC-A178-261876CD76D1}"/>
                </c:ext>
              </c:extLst>
            </c:dLbl>
            <c:dLbl>
              <c:idx val="11"/>
              <c:tx>
                <c:rich>
                  <a:bodyPr/>
                  <a:lstStyle/>
                  <a:p>
                    <a:fld id="{BC0A2E6F-BF3B-4612-9A1A-CA115BCBA2A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7-46E2-4FEC-A178-261876CD76D1}"/>
                </c:ext>
              </c:extLst>
            </c:dLbl>
            <c:dLbl>
              <c:idx val="12"/>
              <c:tx>
                <c:rich>
                  <a:bodyPr/>
                  <a:lstStyle/>
                  <a:p>
                    <a:fld id="{00EB9836-E742-4E16-A555-F1263AAB230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8-46E2-4FEC-A178-261876CD76D1}"/>
                </c:ext>
              </c:extLst>
            </c:dLbl>
            <c:dLbl>
              <c:idx val="13"/>
              <c:tx>
                <c:rich>
                  <a:bodyPr/>
                  <a:lstStyle/>
                  <a:p>
                    <a:fld id="{FC944789-05D0-43C6-83B8-21FC7FE9C91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9-46E2-4FEC-A178-261876CD76D1}"/>
                </c:ext>
              </c:extLst>
            </c:dLbl>
            <c:dLbl>
              <c:idx val="14"/>
              <c:tx>
                <c:rich>
                  <a:bodyPr/>
                  <a:lstStyle/>
                  <a:p>
                    <a:fld id="{1F7E2A28-3FFE-4444-BB0D-572C1695915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A-46E2-4FEC-A178-261876CD76D1}"/>
                </c:ext>
              </c:extLst>
            </c:dLbl>
            <c:dLbl>
              <c:idx val="15"/>
              <c:tx>
                <c:rich>
                  <a:bodyPr/>
                  <a:lstStyle/>
                  <a:p>
                    <a:fld id="{C71ED741-20E8-4DE3-ADD4-564E4EA7E94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B-46E2-4FEC-A178-261876CD76D1}"/>
                </c:ext>
              </c:extLst>
            </c:dLbl>
            <c:dLbl>
              <c:idx val="16"/>
              <c:tx>
                <c:rich>
                  <a:bodyPr/>
                  <a:lstStyle/>
                  <a:p>
                    <a:fld id="{8BFE21C1-D71E-4718-90B7-884F0650CA1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C-46E2-4FEC-A178-261876CD76D1}"/>
                </c:ext>
              </c:extLst>
            </c:dLbl>
            <c:dLbl>
              <c:idx val="17"/>
              <c:tx>
                <c:rich>
                  <a:bodyPr/>
                  <a:lstStyle/>
                  <a:p>
                    <a:fld id="{D48FF3DE-DD39-4E77-9D65-8C80D4D848D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D-46E2-4FEC-A178-261876CD76D1}"/>
                </c:ext>
              </c:extLst>
            </c:dLbl>
            <c:dLbl>
              <c:idx val="18"/>
              <c:tx>
                <c:rich>
                  <a:bodyPr/>
                  <a:lstStyle/>
                  <a:p>
                    <a:fld id="{4BC11EDE-B07A-4CF1-AC91-7C7BA5DCCBB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E-46E2-4FEC-A178-261876CD76D1}"/>
                </c:ext>
              </c:extLst>
            </c:dLbl>
            <c:dLbl>
              <c:idx val="19"/>
              <c:layout>
                <c:manualLayout>
                  <c:x val="-1.1025358324145534E-2"/>
                  <c:y val="4.6533271288971617E-3"/>
                </c:manualLayout>
              </c:layout>
              <c:tx>
                <c:rich>
                  <a:bodyPr/>
                  <a:lstStyle/>
                  <a:p>
                    <a:fld id="{37633FD5-3897-4F6C-9A08-6FD75CEC3979}"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F-46E2-4FEC-A178-261876CD76D1}"/>
                </c:ext>
              </c:extLst>
            </c:dLbl>
            <c:dLbl>
              <c:idx val="20"/>
              <c:tx>
                <c:rich>
                  <a:bodyPr/>
                  <a:lstStyle/>
                  <a:p>
                    <a:fld id="{1A0966B7-CA62-41DF-BC96-C12FDE0DED1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0-46E2-4FEC-A178-261876CD76D1}"/>
                </c:ext>
              </c:extLst>
            </c:dLbl>
            <c:dLbl>
              <c:idx val="21"/>
              <c:tx>
                <c:rich>
                  <a:bodyPr/>
                  <a:lstStyle/>
                  <a:p>
                    <a:fld id="{68316858-C1CA-4089-9829-F86A1D009E9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1-46E2-4FEC-A178-261876CD76D1}"/>
                </c:ext>
              </c:extLst>
            </c:dLbl>
            <c:dLbl>
              <c:idx val="22"/>
              <c:layout>
                <c:manualLayout>
                  <c:x val="-1.9845644983462044E-2"/>
                  <c:y val="0"/>
                </c:manualLayout>
              </c:layout>
              <c:tx>
                <c:rich>
                  <a:bodyPr/>
                  <a:lstStyle/>
                  <a:p>
                    <a:fld id="{65BA03B2-3595-4631-A620-41A0D411EB85}"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2-46E2-4FEC-A178-261876CD76D1}"/>
                </c:ext>
              </c:extLst>
            </c:dLbl>
            <c:dLbl>
              <c:idx val="23"/>
              <c:tx>
                <c:rich>
                  <a:bodyPr/>
                  <a:lstStyle/>
                  <a:p>
                    <a:fld id="{AFC11922-AE8F-4D66-BE10-770FB943C2E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3-46E2-4FEC-A178-261876CD76D1}"/>
                </c:ext>
              </c:extLst>
            </c:dLbl>
            <c:dLbl>
              <c:idx val="24"/>
              <c:tx>
                <c:rich>
                  <a:bodyPr/>
                  <a:lstStyle/>
                  <a:p>
                    <a:fld id="{BCEA2041-CE9E-47A3-8DF4-749EC9E0294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4-46E2-4FEC-A178-261876CD76D1}"/>
                </c:ext>
              </c:extLst>
            </c:dLbl>
            <c:dLbl>
              <c:idx val="25"/>
              <c:tx>
                <c:rich>
                  <a:bodyPr/>
                  <a:lstStyle/>
                  <a:p>
                    <a:fld id="{7C605337-82DD-4A3E-BE69-AEE6BC14B85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5-46E2-4FEC-A178-261876CD76D1}"/>
                </c:ext>
              </c:extLst>
            </c:dLbl>
            <c:dLbl>
              <c:idx val="26"/>
              <c:tx>
                <c:rich>
                  <a:bodyPr/>
                  <a:lstStyle/>
                  <a:p>
                    <a:fld id="{93BD426E-CA47-435B-9537-C6B050267BE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46E2-4FEC-A178-261876CD76D1}"/>
                </c:ext>
              </c:extLst>
            </c:dLbl>
            <c:dLbl>
              <c:idx val="27"/>
              <c:tx>
                <c:rich>
                  <a:bodyPr/>
                  <a:lstStyle/>
                  <a:p>
                    <a:fld id="{98D1DF59-E82D-4435-B4A3-5872170714D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7-46E2-4FEC-A178-261876CD76D1}"/>
                </c:ext>
              </c:extLst>
            </c:dLbl>
            <c:dLbl>
              <c:idx val="28"/>
              <c:tx>
                <c:rich>
                  <a:bodyPr/>
                  <a:lstStyle/>
                  <a:p>
                    <a:fld id="{B7B591F8-BCC4-438E-817B-5B3D8CDF432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8-46E2-4FEC-A178-261876CD76D1}"/>
                </c:ext>
              </c:extLst>
            </c:dLbl>
            <c:dLbl>
              <c:idx val="29"/>
              <c:tx>
                <c:rich>
                  <a:bodyPr/>
                  <a:lstStyle/>
                  <a:p>
                    <a:fld id="{6C28A893-9267-42A5-9BD2-F9FAE15037F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9-46E2-4FEC-A178-261876CD76D1}"/>
                </c:ext>
              </c:extLst>
            </c:dLbl>
            <c:dLbl>
              <c:idx val="30"/>
              <c:tx>
                <c:rich>
                  <a:bodyPr/>
                  <a:lstStyle/>
                  <a:p>
                    <a:fld id="{0D7F46AE-0A5D-4072-9D3B-CBED60CAADD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A-46E2-4FEC-A178-261876CD76D1}"/>
                </c:ext>
              </c:extLst>
            </c:dLbl>
            <c:dLbl>
              <c:idx val="31"/>
              <c:tx>
                <c:rich>
                  <a:bodyPr/>
                  <a:lstStyle/>
                  <a:p>
                    <a:fld id="{800BFFEF-4C4D-4ABA-AD49-DCF2B78AE6D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B-46E2-4FEC-A178-261876CD76D1}"/>
                </c:ext>
              </c:extLst>
            </c:dLbl>
            <c:dLbl>
              <c:idx val="32"/>
              <c:tx>
                <c:rich>
                  <a:bodyPr/>
                  <a:lstStyle/>
                  <a:p>
                    <a:fld id="{E59FC15D-80FD-4A2D-8123-2AEC741029E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C-46E2-4FEC-A178-261876CD76D1}"/>
                </c:ext>
              </c:extLst>
            </c:dLbl>
            <c:dLbl>
              <c:idx val="33"/>
              <c:tx>
                <c:rich>
                  <a:bodyPr/>
                  <a:lstStyle/>
                  <a:p>
                    <a:fld id="{B7E8555A-92D0-4581-A888-39A73245369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D-46E2-4FEC-A178-261876CD76D1}"/>
                </c:ext>
              </c:extLst>
            </c:dLbl>
            <c:dLbl>
              <c:idx val="34"/>
              <c:tx>
                <c:rich>
                  <a:bodyPr/>
                  <a:lstStyle/>
                  <a:p>
                    <a:fld id="{360D2E01-DB67-4D12-9F85-31568089E59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E-46E2-4FEC-A178-261876CD76D1}"/>
                </c:ext>
              </c:extLst>
            </c:dLbl>
            <c:dLbl>
              <c:idx val="35"/>
              <c:tx>
                <c:rich>
                  <a:bodyPr/>
                  <a:lstStyle/>
                  <a:p>
                    <a:fld id="{65A579BD-3D82-4691-9A5A-D2E56249677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F-46E2-4FEC-A178-261876CD76D1}"/>
                </c:ext>
              </c:extLst>
            </c:dLbl>
            <c:dLbl>
              <c:idx val="36"/>
              <c:layout>
                <c:manualLayout>
                  <c:x val="-2.4255788313120339E-2"/>
                  <c:y val="-4.2655005927288946E-17"/>
                </c:manualLayout>
              </c:layout>
              <c:tx>
                <c:rich>
                  <a:bodyPr/>
                  <a:lstStyle/>
                  <a:p>
                    <a:fld id="{035EF63E-E0B9-4252-B121-04A10E47EB97}"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70-46E2-4FEC-A178-261876CD76D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Sheet1!$B$1:$BU$1</c:f>
              <c:strCach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strCache>
            </c:strRef>
          </c:cat>
          <c:val>
            <c:numRef>
              <c:f>Sheet1!$B$4:$BU$4</c:f>
              <c:numCache>
                <c:formatCode>General</c:formatCode>
                <c:ptCount val="37"/>
                <c:pt idx="0">
                  <c:v>0.36975000000000002</c:v>
                </c:pt>
                <c:pt idx="1">
                  <c:v>0.37433899999999998</c:v>
                </c:pt>
                <c:pt idx="2">
                  <c:v>0.37874000000000002</c:v>
                </c:pt>
                <c:pt idx="3">
                  <c:v>0.384218</c:v>
                </c:pt>
                <c:pt idx="4">
                  <c:v>0.38567499999999999</c:v>
                </c:pt>
                <c:pt idx="5">
                  <c:v>0.38547100000000001</c:v>
                </c:pt>
                <c:pt idx="6">
                  <c:v>0.38417699999999999</c:v>
                </c:pt>
                <c:pt idx="7">
                  <c:v>0.38113999999999998</c:v>
                </c:pt>
                <c:pt idx="8">
                  <c:v>0.37954599999999999</c:v>
                </c:pt>
                <c:pt idx="9">
                  <c:v>0.37978400000000001</c:v>
                </c:pt>
                <c:pt idx="10">
                  <c:v>0.38161499999999998</c:v>
                </c:pt>
                <c:pt idx="11">
                  <c:v>0.38507599999999997</c:v>
                </c:pt>
                <c:pt idx="12">
                  <c:v>0.38658500000000001</c:v>
                </c:pt>
                <c:pt idx="13">
                  <c:v>0.387909</c:v>
                </c:pt>
                <c:pt idx="14">
                  <c:v>0.38885799999999998</c:v>
                </c:pt>
                <c:pt idx="15">
                  <c:v>0.38897900000000002</c:v>
                </c:pt>
                <c:pt idx="16">
                  <c:v>0.39141300000000001</c:v>
                </c:pt>
                <c:pt idx="17">
                  <c:v>0.39369799999999999</c:v>
                </c:pt>
                <c:pt idx="18">
                  <c:v>0.391623</c:v>
                </c:pt>
                <c:pt idx="19">
                  <c:v>0.39723399999999998</c:v>
                </c:pt>
                <c:pt idx="20">
                  <c:v>0.40208899999999997</c:v>
                </c:pt>
                <c:pt idx="21">
                  <c:v>0.40682699999999999</c:v>
                </c:pt>
                <c:pt idx="22">
                  <c:v>0.41296699999999997</c:v>
                </c:pt>
                <c:pt idx="23">
                  <c:v>0.41903699999999999</c:v>
                </c:pt>
                <c:pt idx="24">
                  <c:v>0.42454799999999998</c:v>
                </c:pt>
                <c:pt idx="25">
                  <c:v>0.429201</c:v>
                </c:pt>
                <c:pt idx="26">
                  <c:v>0.433282</c:v>
                </c:pt>
                <c:pt idx="27">
                  <c:v>0.43619599999999997</c:v>
                </c:pt>
                <c:pt idx="28">
                  <c:v>0.43978099999999998</c:v>
                </c:pt>
                <c:pt idx="29">
                  <c:v>0.44338499999999997</c:v>
                </c:pt>
                <c:pt idx="30">
                  <c:v>0.44715100000000002</c:v>
                </c:pt>
                <c:pt idx="31">
                  <c:v>0.45103799999999999</c:v>
                </c:pt>
                <c:pt idx="32">
                  <c:v>0.455567</c:v>
                </c:pt>
                <c:pt idx="33">
                  <c:v>0.460789</c:v>
                </c:pt>
                <c:pt idx="34">
                  <c:v>0.465779</c:v>
                </c:pt>
                <c:pt idx="35">
                  <c:v>0.47029100000000001</c:v>
                </c:pt>
                <c:pt idx="36">
                  <c:v>0.47489399999999998</c:v>
                </c:pt>
              </c:numCache>
            </c:numRef>
          </c:val>
          <c:extLst>
            <c:ext xmlns:c15="http://schemas.microsoft.com/office/drawing/2012/chart" uri="{02D57815-91ED-43cb-92C2-25804820EDAC}">
              <c15:datalabelsRange>
                <c15:f>Sheet1!$P$9:$AZ$9</c15:f>
                <c15:dlblRangeCache>
                  <c:ptCount val="37"/>
                  <c:pt idx="0">
                    <c:v>16%</c:v>
                  </c:pt>
                  <c:pt idx="22">
                    <c:v>22%</c:v>
                  </c:pt>
                  <c:pt idx="26">
                    <c:v>24%</c:v>
                  </c:pt>
                  <c:pt idx="36">
                    <c:v>27%</c:v>
                  </c:pt>
                </c15:dlblRangeCache>
              </c15:datalabelsRange>
            </c:ext>
            <c:ext xmlns:c16="http://schemas.microsoft.com/office/drawing/2014/chart" uri="{C3380CC4-5D6E-409C-BE32-E72D297353CC}">
              <c16:uniqueId val="{00000071-46E2-4FEC-A178-261876CD76D1}"/>
            </c:ext>
          </c:extLst>
        </c:ser>
        <c:dLbls>
          <c:showLegendKey val="0"/>
          <c:showVal val="0"/>
          <c:showCatName val="0"/>
          <c:showSerName val="0"/>
          <c:showPercent val="0"/>
          <c:showBubbleSize val="0"/>
        </c:dLbls>
        <c:axId val="742105968"/>
        <c:axId val="742107144"/>
      </c:areaChart>
      <c:catAx>
        <c:axId val="742105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en-US"/>
          </a:p>
        </c:txPr>
        <c:crossAx val="742107144"/>
        <c:crosses val="autoZero"/>
        <c:auto val="1"/>
        <c:lblAlgn val="ctr"/>
        <c:lblOffset val="100"/>
        <c:tickLblSkip val="2"/>
        <c:tickMarkSkip val="2"/>
        <c:noMultiLvlLbl val="0"/>
      </c:catAx>
      <c:valAx>
        <c:axId val="742107144"/>
        <c:scaling>
          <c:orientation val="minMax"/>
          <c:max val="2.4"/>
          <c:min val="0"/>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en-US"/>
          </a:p>
        </c:txPr>
        <c:crossAx val="742105968"/>
        <c:crosses val="autoZero"/>
        <c:crossBetween val="midCat"/>
        <c:majorUnit val="0.60000000000000009"/>
      </c:valAx>
      <c:spPr>
        <a:noFill/>
        <a:ln>
          <a:noFill/>
        </a:ln>
        <a:effectLst/>
      </c:spPr>
    </c:plotArea>
    <c:legend>
      <c:legendPos val="b"/>
      <c:layout>
        <c:manualLayout>
          <c:xMode val="edge"/>
          <c:yMode val="edge"/>
          <c:x val="0.27922891942807043"/>
          <c:y val="3.6709254991334553E-2"/>
          <c:w val="0.22037382041688008"/>
          <c:h val="0.1174986426900614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en-US"/>
        </a:p>
      </c:txPr>
    </c:legend>
    <c:plotVisOnly val="1"/>
    <c:dispBlanksAs val="zero"/>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ea typeface="Segoe UI Symbol" panose="020B0502040204020203" pitchFamily="34" charset="0"/>
        </a:defRPr>
      </a:pPr>
      <a:endParaRPr lang="en-US"/>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71237032803596"/>
          <c:y val="4.1032354227984354E-2"/>
          <c:w val="0.79234712826522347"/>
          <c:h val="0.8847855263957497"/>
        </c:manualLayout>
      </c:layout>
      <c:barChart>
        <c:barDir val="bar"/>
        <c:grouping val="stacked"/>
        <c:varyColors val="0"/>
        <c:ser>
          <c:idx val="0"/>
          <c:order val="0"/>
          <c:tx>
            <c:strRef>
              <c:f>Sheet1!$B$2</c:f>
              <c:strCache>
                <c:ptCount val="1"/>
                <c:pt idx="0">
                  <c:v>Vīrieši</c:v>
                </c:pt>
              </c:strCache>
            </c:strRef>
          </c:tx>
          <c:spPr>
            <a:solidFill>
              <a:srgbClr val="4BACC6">
                <a:lumMod val="50000"/>
              </a:srgbClr>
            </a:solidFill>
          </c:spPr>
          <c:invertIfNegative val="0"/>
          <c:cat>
            <c:strRef>
              <c:f>Sheet1!$A$3:$A$103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Sheet1!$B$3:$B$103</c:f>
              <c:numCache>
                <c:formatCode>0.0</c:formatCode>
                <c:ptCount val="101"/>
                <c:pt idx="0">
                  <c:v>-6.1669999999999998</c:v>
                </c:pt>
                <c:pt idx="1">
                  <c:v>-6.5979999999999999</c:v>
                </c:pt>
                <c:pt idx="2">
                  <c:v>-7.4039999999999999</c:v>
                </c:pt>
                <c:pt idx="3">
                  <c:v>-8.0869999999999997</c:v>
                </c:pt>
                <c:pt idx="4">
                  <c:v>-9.0310000000000006</c:v>
                </c:pt>
                <c:pt idx="5">
                  <c:v>-9.0739999999999998</c:v>
                </c:pt>
                <c:pt idx="6">
                  <c:v>-9.6449999999999996</c:v>
                </c:pt>
                <c:pt idx="7">
                  <c:v>-10.077</c:v>
                </c:pt>
                <c:pt idx="8">
                  <c:v>-10.867000000000001</c:v>
                </c:pt>
                <c:pt idx="9">
                  <c:v>-11.394</c:v>
                </c:pt>
                <c:pt idx="10">
                  <c:v>-11.377000000000001</c:v>
                </c:pt>
                <c:pt idx="11">
                  <c:v>-11.21</c:v>
                </c:pt>
                <c:pt idx="12">
                  <c:v>-10.396000000000001</c:v>
                </c:pt>
                <c:pt idx="13">
                  <c:v>-10.204000000000001</c:v>
                </c:pt>
                <c:pt idx="14">
                  <c:v>-9.4670000000000005</c:v>
                </c:pt>
                <c:pt idx="15">
                  <c:v>-9.6669999999999998</c:v>
                </c:pt>
                <c:pt idx="16">
                  <c:v>-10.103</c:v>
                </c:pt>
                <c:pt idx="17">
                  <c:v>-11.068</c:v>
                </c:pt>
                <c:pt idx="18">
                  <c:v>-10.693</c:v>
                </c:pt>
                <c:pt idx="19">
                  <c:v>-10.039999999999999</c:v>
                </c:pt>
                <c:pt idx="20">
                  <c:v>-9.7430000000000003</c:v>
                </c:pt>
                <c:pt idx="21">
                  <c:v>-9.1029999999999998</c:v>
                </c:pt>
                <c:pt idx="22">
                  <c:v>-9.3759999999999994</c:v>
                </c:pt>
                <c:pt idx="23">
                  <c:v>-8.92</c:v>
                </c:pt>
                <c:pt idx="24">
                  <c:v>-8.5530000000000008</c:v>
                </c:pt>
                <c:pt idx="25">
                  <c:v>-8.7970000000000006</c:v>
                </c:pt>
                <c:pt idx="26">
                  <c:v>-8.298</c:v>
                </c:pt>
                <c:pt idx="27">
                  <c:v>-7.8369999999999997</c:v>
                </c:pt>
                <c:pt idx="28">
                  <c:v>-8.0559999999999992</c:v>
                </c:pt>
                <c:pt idx="29">
                  <c:v>-8.35</c:v>
                </c:pt>
                <c:pt idx="30">
                  <c:v>-9.1549999999999994</c:v>
                </c:pt>
                <c:pt idx="31">
                  <c:v>-9.7579999999999991</c:v>
                </c:pt>
                <c:pt idx="32">
                  <c:v>-10.592000000000001</c:v>
                </c:pt>
                <c:pt idx="33">
                  <c:v>-12.448</c:v>
                </c:pt>
                <c:pt idx="34">
                  <c:v>-13.1</c:v>
                </c:pt>
                <c:pt idx="35">
                  <c:v>-13.861000000000001</c:v>
                </c:pt>
                <c:pt idx="36">
                  <c:v>-14.317</c:v>
                </c:pt>
                <c:pt idx="37">
                  <c:v>-14.898999999999999</c:v>
                </c:pt>
                <c:pt idx="38">
                  <c:v>-15.207000000000001</c:v>
                </c:pt>
                <c:pt idx="39">
                  <c:v>-15.163</c:v>
                </c:pt>
                <c:pt idx="40">
                  <c:v>-14.724</c:v>
                </c:pt>
                <c:pt idx="41">
                  <c:v>-14.6</c:v>
                </c:pt>
                <c:pt idx="42">
                  <c:v>-14.786</c:v>
                </c:pt>
                <c:pt idx="43">
                  <c:v>-13.622</c:v>
                </c:pt>
                <c:pt idx="44">
                  <c:v>-13.138999999999999</c:v>
                </c:pt>
                <c:pt idx="45">
                  <c:v>-12.726000000000001</c:v>
                </c:pt>
                <c:pt idx="46">
                  <c:v>-12.143000000000001</c:v>
                </c:pt>
                <c:pt idx="47">
                  <c:v>-11.877000000000001</c:v>
                </c:pt>
                <c:pt idx="48">
                  <c:v>-11.625999999999999</c:v>
                </c:pt>
                <c:pt idx="49">
                  <c:v>-11.916</c:v>
                </c:pt>
                <c:pt idx="50">
                  <c:v>-12.01</c:v>
                </c:pt>
                <c:pt idx="51">
                  <c:v>-12.048</c:v>
                </c:pt>
                <c:pt idx="52">
                  <c:v>-12</c:v>
                </c:pt>
                <c:pt idx="53">
                  <c:v>-12.4</c:v>
                </c:pt>
                <c:pt idx="54">
                  <c:v>-12.239000000000001</c:v>
                </c:pt>
                <c:pt idx="55">
                  <c:v>-11.939</c:v>
                </c:pt>
                <c:pt idx="56">
                  <c:v>-11.583</c:v>
                </c:pt>
                <c:pt idx="57">
                  <c:v>-11.564</c:v>
                </c:pt>
                <c:pt idx="58">
                  <c:v>-11.260999999999999</c:v>
                </c:pt>
                <c:pt idx="59">
                  <c:v>-11.161</c:v>
                </c:pt>
                <c:pt idx="60">
                  <c:v>-10.952999999999999</c:v>
                </c:pt>
                <c:pt idx="61">
                  <c:v>-11.186</c:v>
                </c:pt>
                <c:pt idx="62">
                  <c:v>-11.32</c:v>
                </c:pt>
                <c:pt idx="63">
                  <c:v>-11.481999999999999</c:v>
                </c:pt>
                <c:pt idx="64">
                  <c:v>-11.579000000000001</c:v>
                </c:pt>
                <c:pt idx="65">
                  <c:v>-11.329000000000001</c:v>
                </c:pt>
                <c:pt idx="66">
                  <c:v>-10.827</c:v>
                </c:pt>
                <c:pt idx="67">
                  <c:v>-10.909000000000001</c:v>
                </c:pt>
                <c:pt idx="68">
                  <c:v>-10.085000000000001</c:v>
                </c:pt>
                <c:pt idx="69">
                  <c:v>-9.0359999999999996</c:v>
                </c:pt>
                <c:pt idx="70">
                  <c:v>-8.6790000000000003</c:v>
                </c:pt>
                <c:pt idx="71">
                  <c:v>-8.0220000000000002</c:v>
                </c:pt>
                <c:pt idx="72">
                  <c:v>-7.0839999999999996</c:v>
                </c:pt>
                <c:pt idx="73">
                  <c:v>-6.8230000000000004</c:v>
                </c:pt>
                <c:pt idx="74">
                  <c:v>-6.3849999999999998</c:v>
                </c:pt>
                <c:pt idx="75">
                  <c:v>-6.0620000000000003</c:v>
                </c:pt>
                <c:pt idx="76">
                  <c:v>-5.875</c:v>
                </c:pt>
                <c:pt idx="77">
                  <c:v>-5.258</c:v>
                </c:pt>
                <c:pt idx="78">
                  <c:v>-4.67</c:v>
                </c:pt>
                <c:pt idx="79">
                  <c:v>-3.6909999999999998</c:v>
                </c:pt>
                <c:pt idx="80">
                  <c:v>-3.1760000000000002</c:v>
                </c:pt>
                <c:pt idx="81">
                  <c:v>-3.1040000000000001</c:v>
                </c:pt>
                <c:pt idx="82">
                  <c:v>-3.044</c:v>
                </c:pt>
                <c:pt idx="83">
                  <c:v>-2.895</c:v>
                </c:pt>
                <c:pt idx="84">
                  <c:v>-3.0110000000000001</c:v>
                </c:pt>
                <c:pt idx="85">
                  <c:v>-2.5009999999999999</c:v>
                </c:pt>
                <c:pt idx="86">
                  <c:v>-2.3149999999999999</c:v>
                </c:pt>
                <c:pt idx="87">
                  <c:v>-1.889</c:v>
                </c:pt>
                <c:pt idx="88">
                  <c:v>-1.585</c:v>
                </c:pt>
                <c:pt idx="89">
                  <c:v>-1.1739999999999999</c:v>
                </c:pt>
                <c:pt idx="90">
                  <c:v>-0.90300000000000002</c:v>
                </c:pt>
                <c:pt idx="91">
                  <c:v>-0.58799999999999997</c:v>
                </c:pt>
                <c:pt idx="92">
                  <c:v>-0.48499999999999999</c:v>
                </c:pt>
                <c:pt idx="93">
                  <c:v>-0.38200000000000001</c:v>
                </c:pt>
                <c:pt idx="94">
                  <c:v>-0.28499999999999998</c:v>
                </c:pt>
                <c:pt idx="95">
                  <c:v>-0.20899999999999999</c:v>
                </c:pt>
                <c:pt idx="96">
                  <c:v>-0.123</c:v>
                </c:pt>
                <c:pt idx="97">
                  <c:v>-0.10199999999999999</c:v>
                </c:pt>
                <c:pt idx="98">
                  <c:v>-5.7000000000000002E-2</c:v>
                </c:pt>
                <c:pt idx="99">
                  <c:v>-1.9E-2</c:v>
                </c:pt>
                <c:pt idx="100">
                  <c:v>-3.1E-2</c:v>
                </c:pt>
              </c:numCache>
            </c:numRef>
          </c:val>
          <c:extLst>
            <c:ext xmlns:c16="http://schemas.microsoft.com/office/drawing/2014/chart" uri="{C3380CC4-5D6E-409C-BE32-E72D297353CC}">
              <c16:uniqueId val="{00000000-077A-44DB-AC06-03B7C008A5DB}"/>
            </c:ext>
          </c:extLst>
        </c:ser>
        <c:ser>
          <c:idx val="1"/>
          <c:order val="1"/>
          <c:tx>
            <c:strRef>
              <c:f>Sheet1!$C$2</c:f>
              <c:strCache>
                <c:ptCount val="1"/>
                <c:pt idx="0">
                  <c:v>Sievietes</c:v>
                </c:pt>
              </c:strCache>
            </c:strRef>
          </c:tx>
          <c:spPr>
            <a:solidFill>
              <a:srgbClr val="4BACC6">
                <a:lumMod val="40000"/>
                <a:lumOff val="60000"/>
              </a:srgbClr>
            </a:solidFill>
          </c:spPr>
          <c:invertIfNegative val="0"/>
          <c:cat>
            <c:strRef>
              <c:f>Sheet1!$A$3:$A$103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Sheet1!$C$3:$C$103</c:f>
              <c:numCache>
                <c:formatCode>0.0</c:formatCode>
                <c:ptCount val="101"/>
                <c:pt idx="0">
                  <c:v>5.6340000000000003</c:v>
                </c:pt>
                <c:pt idx="1">
                  <c:v>6.3280000000000003</c:v>
                </c:pt>
                <c:pt idx="2">
                  <c:v>7.0640000000000001</c:v>
                </c:pt>
                <c:pt idx="3">
                  <c:v>7.7539999999999996</c:v>
                </c:pt>
                <c:pt idx="4">
                  <c:v>8.5519999999999996</c:v>
                </c:pt>
                <c:pt idx="5">
                  <c:v>8.5960000000000001</c:v>
                </c:pt>
                <c:pt idx="6">
                  <c:v>9.2029999999999994</c:v>
                </c:pt>
                <c:pt idx="7">
                  <c:v>9.3919999999999995</c:v>
                </c:pt>
                <c:pt idx="8">
                  <c:v>10.134</c:v>
                </c:pt>
                <c:pt idx="9">
                  <c:v>10.593999999999999</c:v>
                </c:pt>
                <c:pt idx="10">
                  <c:v>10.6</c:v>
                </c:pt>
                <c:pt idx="11">
                  <c:v>10.487</c:v>
                </c:pt>
                <c:pt idx="12">
                  <c:v>10.105</c:v>
                </c:pt>
                <c:pt idx="13">
                  <c:v>9.5609999999999999</c:v>
                </c:pt>
                <c:pt idx="14">
                  <c:v>8.9610000000000003</c:v>
                </c:pt>
                <c:pt idx="15">
                  <c:v>8.9640000000000004</c:v>
                </c:pt>
                <c:pt idx="16">
                  <c:v>9.9380000000000006</c:v>
                </c:pt>
                <c:pt idx="17">
                  <c:v>10.619</c:v>
                </c:pt>
                <c:pt idx="18">
                  <c:v>10.291</c:v>
                </c:pt>
                <c:pt idx="19">
                  <c:v>9.8040000000000003</c:v>
                </c:pt>
                <c:pt idx="20">
                  <c:v>9.3369999999999997</c:v>
                </c:pt>
                <c:pt idx="21">
                  <c:v>8.6379999999999999</c:v>
                </c:pt>
                <c:pt idx="22">
                  <c:v>8.8119999999999994</c:v>
                </c:pt>
                <c:pt idx="23">
                  <c:v>8.5839999999999996</c:v>
                </c:pt>
                <c:pt idx="24">
                  <c:v>8.3360000000000003</c:v>
                </c:pt>
                <c:pt idx="25">
                  <c:v>8.5820000000000007</c:v>
                </c:pt>
                <c:pt idx="26">
                  <c:v>7.9589999999999996</c:v>
                </c:pt>
                <c:pt idx="27">
                  <c:v>7.5060000000000002</c:v>
                </c:pt>
                <c:pt idx="28">
                  <c:v>7.5659999999999998</c:v>
                </c:pt>
                <c:pt idx="29">
                  <c:v>7.782</c:v>
                </c:pt>
                <c:pt idx="30">
                  <c:v>8.5259999999999998</c:v>
                </c:pt>
                <c:pt idx="31">
                  <c:v>9.3740000000000006</c:v>
                </c:pt>
                <c:pt idx="32">
                  <c:v>10.178000000000001</c:v>
                </c:pt>
                <c:pt idx="33">
                  <c:v>11.58</c:v>
                </c:pt>
                <c:pt idx="34">
                  <c:v>12.153</c:v>
                </c:pt>
                <c:pt idx="35">
                  <c:v>13.112</c:v>
                </c:pt>
                <c:pt idx="36">
                  <c:v>13.11</c:v>
                </c:pt>
                <c:pt idx="37">
                  <c:v>13.72</c:v>
                </c:pt>
                <c:pt idx="38">
                  <c:v>14.291</c:v>
                </c:pt>
                <c:pt idx="39">
                  <c:v>14.185</c:v>
                </c:pt>
                <c:pt idx="40">
                  <c:v>13.528</c:v>
                </c:pt>
                <c:pt idx="41">
                  <c:v>13.791</c:v>
                </c:pt>
                <c:pt idx="42">
                  <c:v>13.667</c:v>
                </c:pt>
                <c:pt idx="43">
                  <c:v>12.801</c:v>
                </c:pt>
                <c:pt idx="44">
                  <c:v>12.443</c:v>
                </c:pt>
                <c:pt idx="45">
                  <c:v>12.172000000000001</c:v>
                </c:pt>
                <c:pt idx="46">
                  <c:v>12.26</c:v>
                </c:pt>
                <c:pt idx="47">
                  <c:v>12.172000000000001</c:v>
                </c:pt>
                <c:pt idx="48">
                  <c:v>12.342000000000001</c:v>
                </c:pt>
                <c:pt idx="49">
                  <c:v>12.696999999999999</c:v>
                </c:pt>
                <c:pt idx="50">
                  <c:v>12.992000000000001</c:v>
                </c:pt>
                <c:pt idx="51">
                  <c:v>13.098000000000001</c:v>
                </c:pt>
                <c:pt idx="52">
                  <c:v>13.084</c:v>
                </c:pt>
                <c:pt idx="53">
                  <c:v>13.321</c:v>
                </c:pt>
                <c:pt idx="54">
                  <c:v>13.888999999999999</c:v>
                </c:pt>
                <c:pt idx="55">
                  <c:v>13.592000000000001</c:v>
                </c:pt>
                <c:pt idx="56">
                  <c:v>13.244999999999999</c:v>
                </c:pt>
                <c:pt idx="57">
                  <c:v>13.215</c:v>
                </c:pt>
                <c:pt idx="58">
                  <c:v>13.324999999999999</c:v>
                </c:pt>
                <c:pt idx="59">
                  <c:v>13.462</c:v>
                </c:pt>
                <c:pt idx="60">
                  <c:v>12.984</c:v>
                </c:pt>
                <c:pt idx="61">
                  <c:v>13.852</c:v>
                </c:pt>
                <c:pt idx="62">
                  <c:v>14.256</c:v>
                </c:pt>
                <c:pt idx="63">
                  <c:v>14.833</c:v>
                </c:pt>
                <c:pt idx="64">
                  <c:v>15.21</c:v>
                </c:pt>
                <c:pt idx="65">
                  <c:v>15.292</c:v>
                </c:pt>
                <c:pt idx="66">
                  <c:v>15.145</c:v>
                </c:pt>
                <c:pt idx="67">
                  <c:v>14.635999999999999</c:v>
                </c:pt>
                <c:pt idx="68">
                  <c:v>14.188000000000001</c:v>
                </c:pt>
                <c:pt idx="69">
                  <c:v>13.68</c:v>
                </c:pt>
                <c:pt idx="70">
                  <c:v>13.433999999999999</c:v>
                </c:pt>
                <c:pt idx="71">
                  <c:v>13.002000000000001</c:v>
                </c:pt>
                <c:pt idx="72">
                  <c:v>11.811</c:v>
                </c:pt>
                <c:pt idx="73">
                  <c:v>12.012</c:v>
                </c:pt>
                <c:pt idx="74">
                  <c:v>11.86</c:v>
                </c:pt>
                <c:pt idx="75">
                  <c:v>11.154999999999999</c:v>
                </c:pt>
                <c:pt idx="76">
                  <c:v>11.888</c:v>
                </c:pt>
                <c:pt idx="77">
                  <c:v>10.689</c:v>
                </c:pt>
                <c:pt idx="78">
                  <c:v>9.657</c:v>
                </c:pt>
                <c:pt idx="79">
                  <c:v>8.4540000000000006</c:v>
                </c:pt>
                <c:pt idx="80">
                  <c:v>7.5720000000000001</c:v>
                </c:pt>
                <c:pt idx="81">
                  <c:v>7.8529999999999998</c:v>
                </c:pt>
                <c:pt idx="82">
                  <c:v>7.9059999999999997</c:v>
                </c:pt>
                <c:pt idx="83">
                  <c:v>8.282</c:v>
                </c:pt>
                <c:pt idx="84">
                  <c:v>8.2080000000000002</c:v>
                </c:pt>
                <c:pt idx="85">
                  <c:v>7.6420000000000003</c:v>
                </c:pt>
                <c:pt idx="86">
                  <c:v>7.0170000000000003</c:v>
                </c:pt>
                <c:pt idx="87">
                  <c:v>6.1840000000000002</c:v>
                </c:pt>
                <c:pt idx="88">
                  <c:v>5.2750000000000004</c:v>
                </c:pt>
                <c:pt idx="89">
                  <c:v>4.2270000000000003</c:v>
                </c:pt>
                <c:pt idx="90">
                  <c:v>3.1789999999999998</c:v>
                </c:pt>
                <c:pt idx="91">
                  <c:v>2.4569999999999999</c:v>
                </c:pt>
                <c:pt idx="92">
                  <c:v>2.0209999999999999</c:v>
                </c:pt>
                <c:pt idx="93">
                  <c:v>1.7070000000000001</c:v>
                </c:pt>
                <c:pt idx="94">
                  <c:v>1.232</c:v>
                </c:pt>
                <c:pt idx="95">
                  <c:v>0.94</c:v>
                </c:pt>
                <c:pt idx="96">
                  <c:v>0.60399999999999998</c:v>
                </c:pt>
                <c:pt idx="97">
                  <c:v>0.45100000000000001</c:v>
                </c:pt>
                <c:pt idx="98">
                  <c:v>0.28999999999999998</c:v>
                </c:pt>
                <c:pt idx="99">
                  <c:v>0.17799999999999999</c:v>
                </c:pt>
                <c:pt idx="100">
                  <c:v>0.22600000000000001</c:v>
                </c:pt>
              </c:numCache>
            </c:numRef>
          </c:val>
          <c:extLst>
            <c:ext xmlns:c16="http://schemas.microsoft.com/office/drawing/2014/chart" uri="{C3380CC4-5D6E-409C-BE32-E72D297353CC}">
              <c16:uniqueId val="{00000001-077A-44DB-AC06-03B7C008A5DB}"/>
            </c:ext>
          </c:extLst>
        </c:ser>
        <c:dLbls>
          <c:showLegendKey val="0"/>
          <c:showVal val="0"/>
          <c:showCatName val="0"/>
          <c:showSerName val="0"/>
          <c:showPercent val="0"/>
          <c:showBubbleSize val="0"/>
        </c:dLbls>
        <c:gapWidth val="0"/>
        <c:overlap val="100"/>
        <c:axId val="742072256"/>
        <c:axId val="742067552"/>
      </c:barChart>
      <c:catAx>
        <c:axId val="742072256"/>
        <c:scaling>
          <c:orientation val="minMax"/>
        </c:scaling>
        <c:delete val="0"/>
        <c:axPos val="l"/>
        <c:title>
          <c:tx>
            <c:rich>
              <a:bodyPr/>
              <a:lstStyle/>
              <a:p>
                <a:pPr>
                  <a:defRPr sz="900"/>
                </a:pPr>
                <a:r>
                  <a:rPr lang="lv-LV" sz="900" dirty="0"/>
                  <a:t>Vecums</a:t>
                </a:r>
                <a:endParaRPr lang="en-GB" sz="900" dirty="0"/>
              </a:p>
            </c:rich>
          </c:tx>
          <c:overlay val="0"/>
        </c:title>
        <c:numFmt formatCode="General" sourceLinked="0"/>
        <c:majorTickMark val="out"/>
        <c:minorTickMark val="none"/>
        <c:tickLblPos val="nextTo"/>
        <c:spPr>
          <a:ln w="3175">
            <a:noFill/>
          </a:ln>
        </c:spPr>
        <c:crossAx val="742067552"/>
        <c:crossesAt val="-120"/>
        <c:auto val="1"/>
        <c:lblAlgn val="ctr"/>
        <c:lblOffset val="100"/>
        <c:tickLblSkip val="20"/>
        <c:tickMarkSkip val="10"/>
        <c:noMultiLvlLbl val="0"/>
      </c:catAx>
      <c:valAx>
        <c:axId val="742067552"/>
        <c:scaling>
          <c:orientation val="minMax"/>
          <c:max val="18"/>
          <c:min val="-18"/>
        </c:scaling>
        <c:delete val="0"/>
        <c:axPos val="b"/>
        <c:numFmt formatCode="#,##0_ ;#,##0\ " sourceLinked="0"/>
        <c:majorTickMark val="out"/>
        <c:minorTickMark val="none"/>
        <c:tickLblPos val="nextTo"/>
        <c:spPr>
          <a:ln w="3175"/>
        </c:spPr>
        <c:crossAx val="742072256"/>
        <c:crosses val="autoZero"/>
        <c:crossBetween val="between"/>
        <c:majorUnit val="6"/>
      </c:valAx>
    </c:plotArea>
    <c:legend>
      <c:legendPos val="r"/>
      <c:legendEntry>
        <c:idx val="1"/>
        <c:txPr>
          <a:bodyPr/>
          <a:lstStyle/>
          <a:p>
            <a:pPr>
              <a:defRPr>
                <a:solidFill>
                  <a:schemeClr val="tx1"/>
                </a:solidFill>
              </a:defRPr>
            </a:pPr>
            <a:endParaRPr lang="en-US"/>
          </a:p>
        </c:txPr>
      </c:legendEntry>
      <c:layout>
        <c:manualLayout>
          <c:xMode val="edge"/>
          <c:yMode val="edge"/>
          <c:x val="0.22619982405246439"/>
          <c:y val="0.36222712314133598"/>
          <c:w val="0.65209400149484631"/>
          <c:h val="7.8203060243446934E-2"/>
        </c:manualLayout>
      </c:layout>
      <c:overlay val="0"/>
      <c:txPr>
        <a:bodyPr/>
        <a:lstStyle/>
        <a:p>
          <a:pPr>
            <a:defRPr>
              <a:solidFill>
                <a:schemeClr val="bg1"/>
              </a:solidFill>
            </a:defRPr>
          </a:pPr>
          <a:endParaRPr lang="en-US"/>
        </a:p>
      </c:txPr>
    </c:legend>
    <c:plotVisOnly val="1"/>
    <c:dispBlanksAs val="gap"/>
    <c:showDLblsOverMax val="0"/>
  </c:chart>
  <c:spPr>
    <a:ln>
      <a:noFill/>
    </a:ln>
  </c:spPr>
  <c:txPr>
    <a:bodyPr/>
    <a:lstStyle/>
    <a:p>
      <a:pPr>
        <a:defRPr sz="900">
          <a:latin typeface="Segoe UI Light" panose="020B0502040204020203" pitchFamily="34" charset="0"/>
          <a:cs typeface="Segoe UI Semilight" panose="020B0402040204020203" pitchFamily="34" charset="0"/>
        </a:defRPr>
      </a:pPr>
      <a:endParaRPr lang="en-US"/>
    </a:p>
  </c:txPr>
  <c:externalData r:id="rId2">
    <c:autoUpdate val="0"/>
  </c:externalData>
  <c:userShapes r:id="rId3"/>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71237032803596"/>
          <c:y val="4.1032354227984354E-2"/>
          <c:w val="0.79234712826522347"/>
          <c:h val="0.8847855263957497"/>
        </c:manualLayout>
      </c:layout>
      <c:barChart>
        <c:barDir val="bar"/>
        <c:grouping val="stacked"/>
        <c:varyColors val="0"/>
        <c:ser>
          <c:idx val="0"/>
          <c:order val="0"/>
          <c:tx>
            <c:strRef>
              <c:f>Sheet1!$B$2</c:f>
              <c:strCache>
                <c:ptCount val="1"/>
                <c:pt idx="0">
                  <c:v>Vīrieši</c:v>
                </c:pt>
              </c:strCache>
            </c:strRef>
          </c:tx>
          <c:spPr>
            <a:solidFill>
              <a:srgbClr val="215968"/>
            </a:solidFill>
          </c:spPr>
          <c:invertIfNegative val="0"/>
          <c:cat>
            <c:strRef>
              <c:f>Sheet1!$A$3:$A$103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Sheet1!$B$3:$B$103</c:f>
              <c:numCache>
                <c:formatCode>0.0</c:formatCode>
                <c:ptCount val="101"/>
                <c:pt idx="0">
                  <c:v>-8.9179999999999993</c:v>
                </c:pt>
                <c:pt idx="1">
                  <c:v>-8.7530000000000019</c:v>
                </c:pt>
                <c:pt idx="2">
                  <c:v>-8.7089999999999979</c:v>
                </c:pt>
                <c:pt idx="3">
                  <c:v>-8.5979999999999972</c:v>
                </c:pt>
                <c:pt idx="4">
                  <c:v>-8.5310000000000059</c:v>
                </c:pt>
                <c:pt idx="5">
                  <c:v>-8.4390000000000001</c:v>
                </c:pt>
                <c:pt idx="6">
                  <c:v>-8.3409999999999993</c:v>
                </c:pt>
                <c:pt idx="7">
                  <c:v>-8.081999999999999</c:v>
                </c:pt>
                <c:pt idx="8">
                  <c:v>-7.8890000000000038</c:v>
                </c:pt>
                <c:pt idx="9">
                  <c:v>-7.6970000000000001</c:v>
                </c:pt>
                <c:pt idx="10">
                  <c:v>-7.3840000000000012</c:v>
                </c:pt>
                <c:pt idx="11">
                  <c:v>-7.0560000000000009</c:v>
                </c:pt>
                <c:pt idx="12">
                  <c:v>-6.7450000000000019</c:v>
                </c:pt>
                <c:pt idx="13">
                  <c:v>-6.4950000000000001</c:v>
                </c:pt>
                <c:pt idx="14">
                  <c:v>-6.2439999999999971</c:v>
                </c:pt>
                <c:pt idx="15">
                  <c:v>-7.0360000000000023</c:v>
                </c:pt>
                <c:pt idx="16">
                  <c:v>-7.8309999999999951</c:v>
                </c:pt>
                <c:pt idx="17">
                  <c:v>-8.3270000000000053</c:v>
                </c:pt>
                <c:pt idx="18">
                  <c:v>-9.1869999999999976</c:v>
                </c:pt>
                <c:pt idx="19">
                  <c:v>-9.2069999999999919</c:v>
                </c:pt>
                <c:pt idx="20">
                  <c:v>-9.7140000000000111</c:v>
                </c:pt>
                <c:pt idx="21">
                  <c:v>-9.9719999999999995</c:v>
                </c:pt>
                <c:pt idx="22">
                  <c:v>-10.543000000000005</c:v>
                </c:pt>
                <c:pt idx="23">
                  <c:v>-10.858999999999993</c:v>
                </c:pt>
                <c:pt idx="24">
                  <c:v>-10.649000000000003</c:v>
                </c:pt>
                <c:pt idx="25">
                  <c:v>-10.32200000000001</c:v>
                </c:pt>
                <c:pt idx="26">
                  <c:v>-9.5429999999999939</c:v>
                </c:pt>
                <c:pt idx="27">
                  <c:v>-9.2960000000000029</c:v>
                </c:pt>
                <c:pt idx="28">
                  <c:v>-8.6109999999999971</c:v>
                </c:pt>
                <c:pt idx="29">
                  <c:v>-8.7120000000000033</c:v>
                </c:pt>
                <c:pt idx="30">
                  <c:v>-9.0870000000000033</c:v>
                </c:pt>
                <c:pt idx="31">
                  <c:v>-9.6499999999999986</c:v>
                </c:pt>
                <c:pt idx="32">
                  <c:v>-9.304000000000002</c:v>
                </c:pt>
                <c:pt idx="33">
                  <c:v>-8.7779999999999951</c:v>
                </c:pt>
                <c:pt idx="34">
                  <c:v>-8.7840000000000042</c:v>
                </c:pt>
                <c:pt idx="35">
                  <c:v>-8.3999999999999968</c:v>
                </c:pt>
                <c:pt idx="36">
                  <c:v>-8.76</c:v>
                </c:pt>
                <c:pt idx="37">
                  <c:v>-8.6029999999999944</c:v>
                </c:pt>
                <c:pt idx="38">
                  <c:v>-8.645999999999999</c:v>
                </c:pt>
                <c:pt idx="39">
                  <c:v>-8.9599999999999955</c:v>
                </c:pt>
                <c:pt idx="40">
                  <c:v>-8.641</c:v>
                </c:pt>
                <c:pt idx="41">
                  <c:v>-8.4540000000000024</c:v>
                </c:pt>
                <c:pt idx="42">
                  <c:v>-8.7239999999999984</c:v>
                </c:pt>
                <c:pt idx="43">
                  <c:v>-9.1080000000000059</c:v>
                </c:pt>
                <c:pt idx="44">
                  <c:v>-9.7489999999999952</c:v>
                </c:pt>
                <c:pt idx="45">
                  <c:v>-10.295</c:v>
                </c:pt>
                <c:pt idx="46">
                  <c:v>-10.938000000000006</c:v>
                </c:pt>
                <c:pt idx="47">
                  <c:v>-12.359000000000005</c:v>
                </c:pt>
                <c:pt idx="48">
                  <c:v>-12.859999999999994</c:v>
                </c:pt>
                <c:pt idx="49">
                  <c:v>-13.384999999999998</c:v>
                </c:pt>
                <c:pt idx="50">
                  <c:v>-13.820000000000006</c:v>
                </c:pt>
                <c:pt idx="51">
                  <c:v>-14.251000000000001</c:v>
                </c:pt>
                <c:pt idx="52">
                  <c:v>-14.505000000000001</c:v>
                </c:pt>
                <c:pt idx="53">
                  <c:v>-14.389999999999993</c:v>
                </c:pt>
                <c:pt idx="54">
                  <c:v>-13.96000000000001</c:v>
                </c:pt>
                <c:pt idx="55">
                  <c:v>-13.981</c:v>
                </c:pt>
                <c:pt idx="56">
                  <c:v>-14.042000000000003</c:v>
                </c:pt>
                <c:pt idx="57">
                  <c:v>-12.944999999999995</c:v>
                </c:pt>
                <c:pt idx="58">
                  <c:v>-12.518000000000001</c:v>
                </c:pt>
                <c:pt idx="59">
                  <c:v>-12.286000000000001</c:v>
                </c:pt>
                <c:pt idx="60">
                  <c:v>-11.652999999999992</c:v>
                </c:pt>
                <c:pt idx="61">
                  <c:v>-11.34</c:v>
                </c:pt>
                <c:pt idx="62">
                  <c:v>-11.054000000000011</c:v>
                </c:pt>
                <c:pt idx="63">
                  <c:v>-11.193000000000001</c:v>
                </c:pt>
                <c:pt idx="64">
                  <c:v>-11.105999999999996</c:v>
                </c:pt>
                <c:pt idx="65">
                  <c:v>-10.984</c:v>
                </c:pt>
                <c:pt idx="66">
                  <c:v>-10.75</c:v>
                </c:pt>
                <c:pt idx="67">
                  <c:v>-10.884000000000002</c:v>
                </c:pt>
                <c:pt idx="68">
                  <c:v>-10.535999999999996</c:v>
                </c:pt>
                <c:pt idx="69">
                  <c:v>-10.021000000000003</c:v>
                </c:pt>
                <c:pt idx="70">
                  <c:v>-9.5689999999999955</c:v>
                </c:pt>
                <c:pt idx="71">
                  <c:v>-9.2650000000000095</c:v>
                </c:pt>
                <c:pt idx="72">
                  <c:v>-8.8329999999999931</c:v>
                </c:pt>
                <c:pt idx="73">
                  <c:v>-8.4750000000000014</c:v>
                </c:pt>
                <c:pt idx="74">
                  <c:v>-8.0730000000000004</c:v>
                </c:pt>
                <c:pt idx="75">
                  <c:v>-8.0590000000000011</c:v>
                </c:pt>
                <c:pt idx="76">
                  <c:v>-7.8359999999999994</c:v>
                </c:pt>
                <c:pt idx="77">
                  <c:v>-7.7210000000000001</c:v>
                </c:pt>
                <c:pt idx="78">
                  <c:v>-7.4570000000000016</c:v>
                </c:pt>
                <c:pt idx="79">
                  <c:v>-6.9079999999999959</c:v>
                </c:pt>
                <c:pt idx="80">
                  <c:v>-6.3449999999999944</c:v>
                </c:pt>
                <c:pt idx="81">
                  <c:v>-6.1240000000000032</c:v>
                </c:pt>
                <c:pt idx="82">
                  <c:v>-5.1999999999999957</c:v>
                </c:pt>
                <c:pt idx="83">
                  <c:v>-4.3660000000000023</c:v>
                </c:pt>
                <c:pt idx="84">
                  <c:v>-4.0320000000000054</c:v>
                </c:pt>
                <c:pt idx="85">
                  <c:v>-3.4129999999999954</c:v>
                </c:pt>
                <c:pt idx="86">
                  <c:v>-2.730999999999999</c:v>
                </c:pt>
                <c:pt idx="87">
                  <c:v>-2.5490000000000004</c:v>
                </c:pt>
                <c:pt idx="88">
                  <c:v>-2.1050000000000031</c:v>
                </c:pt>
                <c:pt idx="89">
                  <c:v>-1.792999999999999</c:v>
                </c:pt>
                <c:pt idx="90">
                  <c:v>-1.6060000000000016</c:v>
                </c:pt>
                <c:pt idx="91">
                  <c:v>-1.1149999999999993</c:v>
                </c:pt>
                <c:pt idx="92">
                  <c:v>-0.84099999999999908</c:v>
                </c:pt>
                <c:pt idx="93">
                  <c:v>-0.41099999999999964</c:v>
                </c:pt>
                <c:pt idx="94">
                  <c:v>-0.38299999999999984</c:v>
                </c:pt>
                <c:pt idx="95">
                  <c:v>-0.31000000000000005</c:v>
                </c:pt>
                <c:pt idx="96">
                  <c:v>-0.20699999999999982</c:v>
                </c:pt>
                <c:pt idx="97">
                  <c:v>-0.11599999999999992</c:v>
                </c:pt>
                <c:pt idx="98">
                  <c:v>-0.12999999999999989</c:v>
                </c:pt>
                <c:pt idx="99">
                  <c:v>-9.0000000000001711E-3</c:v>
                </c:pt>
                <c:pt idx="100">
                  <c:v>-0.1009999999999994</c:v>
                </c:pt>
              </c:numCache>
            </c:numRef>
          </c:val>
          <c:extLst>
            <c:ext xmlns:c16="http://schemas.microsoft.com/office/drawing/2014/chart" uri="{C3380CC4-5D6E-409C-BE32-E72D297353CC}">
              <c16:uniqueId val="{00000000-3B53-44A0-9AA1-B2C2BD337093}"/>
            </c:ext>
          </c:extLst>
        </c:ser>
        <c:ser>
          <c:idx val="1"/>
          <c:order val="1"/>
          <c:tx>
            <c:strRef>
              <c:f>Sheet1!$C$2</c:f>
              <c:strCache>
                <c:ptCount val="1"/>
                <c:pt idx="0">
                  <c:v>Sievietes</c:v>
                </c:pt>
              </c:strCache>
            </c:strRef>
          </c:tx>
          <c:spPr>
            <a:solidFill>
              <a:srgbClr val="4BACC6">
                <a:lumMod val="40000"/>
                <a:lumOff val="60000"/>
              </a:srgbClr>
            </a:solidFill>
          </c:spPr>
          <c:invertIfNegative val="0"/>
          <c:cat>
            <c:strRef>
              <c:f>Sheet1!$A$3:$A$103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Sheet1!$C$3:$C$103</c:f>
              <c:numCache>
                <c:formatCode>0.0</c:formatCode>
                <c:ptCount val="101"/>
                <c:pt idx="0">
                  <c:v>8.1530000000000005</c:v>
                </c:pt>
                <c:pt idx="1">
                  <c:v>7.99</c:v>
                </c:pt>
                <c:pt idx="2">
                  <c:v>7.9530000000000003</c:v>
                </c:pt>
                <c:pt idx="3">
                  <c:v>7.846000000000001</c:v>
                </c:pt>
                <c:pt idx="4">
                  <c:v>7.788000000000002</c:v>
                </c:pt>
                <c:pt idx="5">
                  <c:v>7.7160000000000029</c:v>
                </c:pt>
                <c:pt idx="6">
                  <c:v>7.6429999999999989</c:v>
                </c:pt>
                <c:pt idx="7">
                  <c:v>7.4020000000000001</c:v>
                </c:pt>
                <c:pt idx="8">
                  <c:v>7.218</c:v>
                </c:pt>
                <c:pt idx="9">
                  <c:v>7.0429999999999984</c:v>
                </c:pt>
                <c:pt idx="10">
                  <c:v>6.761000000000001</c:v>
                </c:pt>
                <c:pt idx="11">
                  <c:v>6.4529999999999994</c:v>
                </c:pt>
                <c:pt idx="12">
                  <c:v>6.160999999999996</c:v>
                </c:pt>
                <c:pt idx="13">
                  <c:v>5.9429999999999996</c:v>
                </c:pt>
                <c:pt idx="14">
                  <c:v>5.7170000000000023</c:v>
                </c:pt>
                <c:pt idx="15">
                  <c:v>6.7579999999999973</c:v>
                </c:pt>
                <c:pt idx="16">
                  <c:v>7.4790000000000028</c:v>
                </c:pt>
                <c:pt idx="17">
                  <c:v>7.9739999999999975</c:v>
                </c:pt>
                <c:pt idx="18">
                  <c:v>8.7170000000000005</c:v>
                </c:pt>
                <c:pt idx="19">
                  <c:v>8.6999999999999993</c:v>
                </c:pt>
                <c:pt idx="20">
                  <c:v>9.2179999999999964</c:v>
                </c:pt>
                <c:pt idx="21">
                  <c:v>9.2600000000000016</c:v>
                </c:pt>
                <c:pt idx="22">
                  <c:v>9.7669999999999977</c:v>
                </c:pt>
                <c:pt idx="23">
                  <c:v>10.094000000000005</c:v>
                </c:pt>
                <c:pt idx="24">
                  <c:v>9.9749999999999979</c:v>
                </c:pt>
                <c:pt idx="25">
                  <c:v>9.7279999999999962</c:v>
                </c:pt>
                <c:pt idx="26">
                  <c:v>9.2710000000000043</c:v>
                </c:pt>
                <c:pt idx="27">
                  <c:v>8.7689999999999966</c:v>
                </c:pt>
                <c:pt idx="28">
                  <c:v>8.2070000000000061</c:v>
                </c:pt>
                <c:pt idx="29">
                  <c:v>8.2589999999999986</c:v>
                </c:pt>
                <c:pt idx="30">
                  <c:v>9.0479999999999965</c:v>
                </c:pt>
                <c:pt idx="31">
                  <c:v>9.6270000000000042</c:v>
                </c:pt>
                <c:pt idx="32">
                  <c:v>9.3800000000000008</c:v>
                </c:pt>
                <c:pt idx="33">
                  <c:v>9.0289999999999999</c:v>
                </c:pt>
                <c:pt idx="34">
                  <c:v>8.8340000000000014</c:v>
                </c:pt>
                <c:pt idx="35">
                  <c:v>8.6080000000000094</c:v>
                </c:pt>
                <c:pt idx="36">
                  <c:v>8.9899999999999984</c:v>
                </c:pt>
                <c:pt idx="37">
                  <c:v>9.0090000000000021</c:v>
                </c:pt>
                <c:pt idx="38">
                  <c:v>8.9669999999999952</c:v>
                </c:pt>
                <c:pt idx="39">
                  <c:v>9.2460000000000004</c:v>
                </c:pt>
                <c:pt idx="40">
                  <c:v>9.0820000000000061</c:v>
                </c:pt>
                <c:pt idx="41">
                  <c:v>8.7680000000000042</c:v>
                </c:pt>
                <c:pt idx="42">
                  <c:v>8.8520000000000021</c:v>
                </c:pt>
                <c:pt idx="43">
                  <c:v>9.25</c:v>
                </c:pt>
                <c:pt idx="44">
                  <c:v>9.7509999999999941</c:v>
                </c:pt>
                <c:pt idx="45">
                  <c:v>10.409000000000002</c:v>
                </c:pt>
                <c:pt idx="46">
                  <c:v>11.118000000000006</c:v>
                </c:pt>
                <c:pt idx="47">
                  <c:v>12.121999999999998</c:v>
                </c:pt>
                <c:pt idx="48">
                  <c:v>12.694000000000001</c:v>
                </c:pt>
                <c:pt idx="49">
                  <c:v>13.341000000000003</c:v>
                </c:pt>
                <c:pt idx="50">
                  <c:v>13.281000000000006</c:v>
                </c:pt>
                <c:pt idx="51">
                  <c:v>13.832999999999991</c:v>
                </c:pt>
                <c:pt idx="52">
                  <c:v>14.192000000000007</c:v>
                </c:pt>
                <c:pt idx="53">
                  <c:v>14.039999999999992</c:v>
                </c:pt>
                <c:pt idx="54">
                  <c:v>13.456000000000003</c:v>
                </c:pt>
                <c:pt idx="55">
                  <c:v>13.712999999999997</c:v>
                </c:pt>
                <c:pt idx="56">
                  <c:v>13.555000000000003</c:v>
                </c:pt>
                <c:pt idx="57">
                  <c:v>12.700999999999997</c:v>
                </c:pt>
                <c:pt idx="58">
                  <c:v>12.358000000000002</c:v>
                </c:pt>
                <c:pt idx="59">
                  <c:v>12.184999999999999</c:v>
                </c:pt>
                <c:pt idx="60">
                  <c:v>12.205999999999989</c:v>
                </c:pt>
                <c:pt idx="61">
                  <c:v>12.110000000000012</c:v>
                </c:pt>
                <c:pt idx="62">
                  <c:v>12.258999999999999</c:v>
                </c:pt>
                <c:pt idx="63">
                  <c:v>12.595000000000002</c:v>
                </c:pt>
                <c:pt idx="64">
                  <c:v>12.872</c:v>
                </c:pt>
                <c:pt idx="65">
                  <c:v>12.901999999999997</c:v>
                </c:pt>
                <c:pt idx="66">
                  <c:v>12.885000000000002</c:v>
                </c:pt>
                <c:pt idx="67">
                  <c:v>13.071999999999992</c:v>
                </c:pt>
                <c:pt idx="68">
                  <c:v>13.47600000000001</c:v>
                </c:pt>
                <c:pt idx="69">
                  <c:v>13.067999999999994</c:v>
                </c:pt>
                <c:pt idx="70">
                  <c:v>12.672000000000013</c:v>
                </c:pt>
                <c:pt idx="71">
                  <c:v>12.534999999999995</c:v>
                </c:pt>
                <c:pt idx="72">
                  <c:v>12.506000000000004</c:v>
                </c:pt>
                <c:pt idx="73">
                  <c:v>12.427999999999995</c:v>
                </c:pt>
                <c:pt idx="74">
                  <c:v>11.763</c:v>
                </c:pt>
                <c:pt idx="75">
                  <c:v>12.448000000000009</c:v>
                </c:pt>
                <c:pt idx="76">
                  <c:v>12.430999999999997</c:v>
                </c:pt>
                <c:pt idx="77">
                  <c:v>12.722000000000001</c:v>
                </c:pt>
                <c:pt idx="78">
                  <c:v>12.697000000000006</c:v>
                </c:pt>
                <c:pt idx="79">
                  <c:v>12.342999999999988</c:v>
                </c:pt>
                <c:pt idx="80">
                  <c:v>11.855999999999996</c:v>
                </c:pt>
                <c:pt idx="81">
                  <c:v>11.046000000000001</c:v>
                </c:pt>
                <c:pt idx="82">
                  <c:v>10.303999999999998</c:v>
                </c:pt>
                <c:pt idx="83">
                  <c:v>9.470000000000006</c:v>
                </c:pt>
                <c:pt idx="84">
                  <c:v>8.9019999999999957</c:v>
                </c:pt>
                <c:pt idx="85">
                  <c:v>8.1899999999999942</c:v>
                </c:pt>
                <c:pt idx="86">
                  <c:v>6.8399999999999981</c:v>
                </c:pt>
                <c:pt idx="87">
                  <c:v>6.8030000000000088</c:v>
                </c:pt>
                <c:pt idx="88">
                  <c:v>6.0529999999999973</c:v>
                </c:pt>
                <c:pt idx="89">
                  <c:v>5.1399999999999988</c:v>
                </c:pt>
                <c:pt idx="90">
                  <c:v>5.283999999999998</c:v>
                </c:pt>
                <c:pt idx="91">
                  <c:v>3.7210000000000054</c:v>
                </c:pt>
                <c:pt idx="92">
                  <c:v>3.0269999999999957</c:v>
                </c:pt>
                <c:pt idx="93">
                  <c:v>2.0970000000000018</c:v>
                </c:pt>
                <c:pt idx="94">
                  <c:v>1.6809999999999978</c:v>
                </c:pt>
                <c:pt idx="95">
                  <c:v>1.6119999999999992</c:v>
                </c:pt>
                <c:pt idx="96">
                  <c:v>1.1839999999999997</c:v>
                </c:pt>
                <c:pt idx="97">
                  <c:v>1.0410000000000057</c:v>
                </c:pt>
                <c:pt idx="98">
                  <c:v>0.62599999999999512</c:v>
                </c:pt>
                <c:pt idx="99">
                  <c:v>0.3590000000000011</c:v>
                </c:pt>
                <c:pt idx="100">
                  <c:v>0.45199999999999424</c:v>
                </c:pt>
              </c:numCache>
            </c:numRef>
          </c:val>
          <c:extLst>
            <c:ext xmlns:c16="http://schemas.microsoft.com/office/drawing/2014/chart" uri="{C3380CC4-5D6E-409C-BE32-E72D297353CC}">
              <c16:uniqueId val="{00000001-3B53-44A0-9AA1-B2C2BD337093}"/>
            </c:ext>
          </c:extLst>
        </c:ser>
        <c:dLbls>
          <c:showLegendKey val="0"/>
          <c:showVal val="0"/>
          <c:showCatName val="0"/>
          <c:showSerName val="0"/>
          <c:showPercent val="0"/>
          <c:showBubbleSize val="0"/>
        </c:dLbls>
        <c:gapWidth val="0"/>
        <c:overlap val="100"/>
        <c:axId val="742072256"/>
        <c:axId val="742067552"/>
      </c:barChart>
      <c:catAx>
        <c:axId val="742072256"/>
        <c:scaling>
          <c:orientation val="minMax"/>
        </c:scaling>
        <c:delete val="0"/>
        <c:axPos val="l"/>
        <c:title>
          <c:tx>
            <c:rich>
              <a:bodyPr/>
              <a:lstStyle/>
              <a:p>
                <a:pPr>
                  <a:defRPr sz="900"/>
                </a:pPr>
                <a:r>
                  <a:rPr lang="lv-LV" sz="900" dirty="0"/>
                  <a:t>Vecums</a:t>
                </a:r>
                <a:endParaRPr lang="en-GB" sz="900" dirty="0"/>
              </a:p>
            </c:rich>
          </c:tx>
          <c:overlay val="0"/>
        </c:title>
        <c:numFmt formatCode="General" sourceLinked="0"/>
        <c:majorTickMark val="out"/>
        <c:minorTickMark val="none"/>
        <c:tickLblPos val="nextTo"/>
        <c:spPr>
          <a:ln w="3175">
            <a:noFill/>
          </a:ln>
        </c:spPr>
        <c:crossAx val="742067552"/>
        <c:crossesAt val="-120"/>
        <c:auto val="1"/>
        <c:lblAlgn val="ctr"/>
        <c:lblOffset val="100"/>
        <c:tickLblSkip val="20"/>
        <c:tickMarkSkip val="10"/>
        <c:noMultiLvlLbl val="0"/>
      </c:catAx>
      <c:valAx>
        <c:axId val="742067552"/>
        <c:scaling>
          <c:orientation val="minMax"/>
          <c:max val="18"/>
          <c:min val="-18"/>
        </c:scaling>
        <c:delete val="0"/>
        <c:axPos val="b"/>
        <c:numFmt formatCode="#,##0_ ;#,##0\ " sourceLinked="0"/>
        <c:majorTickMark val="out"/>
        <c:minorTickMark val="none"/>
        <c:tickLblPos val="nextTo"/>
        <c:spPr>
          <a:ln w="3175"/>
        </c:spPr>
        <c:crossAx val="742072256"/>
        <c:crosses val="autoZero"/>
        <c:crossBetween val="between"/>
        <c:majorUnit val="6"/>
      </c:valAx>
    </c:plotArea>
    <c:legend>
      <c:legendPos val="r"/>
      <c:legendEntry>
        <c:idx val="1"/>
        <c:txPr>
          <a:bodyPr/>
          <a:lstStyle/>
          <a:p>
            <a:pPr>
              <a:defRPr>
                <a:solidFill>
                  <a:schemeClr val="tx1"/>
                </a:solidFill>
              </a:defRPr>
            </a:pPr>
            <a:endParaRPr lang="en-US"/>
          </a:p>
        </c:txPr>
      </c:legendEntry>
      <c:layout>
        <c:manualLayout>
          <c:xMode val="edge"/>
          <c:yMode val="edge"/>
          <c:x val="0.21741500134265399"/>
          <c:y val="0.33524416318189237"/>
          <c:w val="0.65209400149484631"/>
          <c:h val="7.8203060243446934E-2"/>
        </c:manualLayout>
      </c:layout>
      <c:overlay val="0"/>
      <c:txPr>
        <a:bodyPr/>
        <a:lstStyle/>
        <a:p>
          <a:pPr>
            <a:defRPr>
              <a:solidFill>
                <a:schemeClr val="bg1"/>
              </a:solidFill>
            </a:defRPr>
          </a:pPr>
          <a:endParaRPr lang="en-US"/>
        </a:p>
      </c:txPr>
    </c:legend>
    <c:plotVisOnly val="1"/>
    <c:dispBlanksAs val="gap"/>
    <c:showDLblsOverMax val="0"/>
  </c:chart>
  <c:spPr>
    <a:ln>
      <a:noFill/>
    </a:ln>
  </c:spPr>
  <c:txPr>
    <a:bodyPr/>
    <a:lstStyle/>
    <a:p>
      <a:pPr>
        <a:defRPr sz="900">
          <a:latin typeface="Segoe UI Light" panose="020B0502040204020203" pitchFamily="34" charset="0"/>
          <a:cs typeface="Segoe UI Semilight" panose="020B0402040204020203" pitchFamily="34" charset="0"/>
        </a:defRPr>
      </a:pPr>
      <a:endParaRPr lang="en-US"/>
    </a:p>
  </c:txPr>
  <c:externalData r:id="rId2">
    <c:autoUpdate val="0"/>
  </c:externalData>
  <c:userShapes r:id="rId3"/>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8921511602670394E-2"/>
          <c:y val="3.1299733519784594E-2"/>
          <c:w val="0.92090603202251642"/>
          <c:h val="0.89184795439395625"/>
        </c:manualLayout>
      </c:layout>
      <c:areaChart>
        <c:grouping val="standard"/>
        <c:varyColors val="0"/>
        <c:ser>
          <c:idx val="0"/>
          <c:order val="0"/>
          <c:tx>
            <c:strRef>
              <c:f>Sheet1!$A$2</c:f>
              <c:strCache>
                <c:ptCount val="1"/>
                <c:pt idx="0">
                  <c:v>Mērķa scenārijs</c:v>
                </c:pt>
              </c:strCache>
            </c:strRef>
          </c:tx>
          <c:spPr>
            <a:solidFill>
              <a:srgbClr val="92B7C4"/>
            </a:solidFill>
          </c:spPr>
          <c:dLbls>
            <c:dLbl>
              <c:idx val="0"/>
              <c:layout>
                <c:manualLayout>
                  <c:x val="1.5435501653803743E-2"/>
                  <c:y val="-9.4089973537194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F3-4100-8A62-31ECD5C0A0C3}"/>
                </c:ext>
              </c:extLst>
            </c:dLbl>
            <c:dLbl>
              <c:idx val="1"/>
              <c:delete val="1"/>
              <c:extLst>
                <c:ext xmlns:c15="http://schemas.microsoft.com/office/drawing/2012/chart" uri="{CE6537A1-D6FC-4f65-9D91-7224C49458BB}"/>
                <c:ext xmlns:c16="http://schemas.microsoft.com/office/drawing/2014/chart" uri="{C3380CC4-5D6E-409C-BE32-E72D297353CC}">
                  <c16:uniqueId val="{00000001-CAF3-4100-8A62-31ECD5C0A0C3}"/>
                </c:ext>
              </c:extLst>
            </c:dLbl>
            <c:dLbl>
              <c:idx val="2"/>
              <c:delete val="1"/>
              <c:extLst>
                <c:ext xmlns:c15="http://schemas.microsoft.com/office/drawing/2012/chart" uri="{CE6537A1-D6FC-4f65-9D91-7224C49458BB}"/>
                <c:ext xmlns:c16="http://schemas.microsoft.com/office/drawing/2014/chart" uri="{C3380CC4-5D6E-409C-BE32-E72D297353CC}">
                  <c16:uniqueId val="{00000002-CAF3-4100-8A62-31ECD5C0A0C3}"/>
                </c:ext>
              </c:extLst>
            </c:dLbl>
            <c:dLbl>
              <c:idx val="3"/>
              <c:delete val="1"/>
              <c:extLst>
                <c:ext xmlns:c15="http://schemas.microsoft.com/office/drawing/2012/chart" uri="{CE6537A1-D6FC-4f65-9D91-7224C49458BB}"/>
                <c:ext xmlns:c16="http://schemas.microsoft.com/office/drawing/2014/chart" uri="{C3380CC4-5D6E-409C-BE32-E72D297353CC}">
                  <c16:uniqueId val="{00000003-CAF3-4100-8A62-31ECD5C0A0C3}"/>
                </c:ext>
              </c:extLst>
            </c:dLbl>
            <c:dLbl>
              <c:idx val="4"/>
              <c:delete val="1"/>
              <c:extLst>
                <c:ext xmlns:c15="http://schemas.microsoft.com/office/drawing/2012/chart" uri="{CE6537A1-D6FC-4f65-9D91-7224C49458BB}"/>
                <c:ext xmlns:c16="http://schemas.microsoft.com/office/drawing/2014/chart" uri="{C3380CC4-5D6E-409C-BE32-E72D297353CC}">
                  <c16:uniqueId val="{00000004-CAF3-4100-8A62-31ECD5C0A0C3}"/>
                </c:ext>
              </c:extLst>
            </c:dLbl>
            <c:dLbl>
              <c:idx val="5"/>
              <c:delete val="1"/>
              <c:extLst>
                <c:ext xmlns:c15="http://schemas.microsoft.com/office/drawing/2012/chart" uri="{CE6537A1-D6FC-4f65-9D91-7224C49458BB}"/>
                <c:ext xmlns:c16="http://schemas.microsoft.com/office/drawing/2014/chart" uri="{C3380CC4-5D6E-409C-BE32-E72D297353CC}">
                  <c16:uniqueId val="{00000005-CAF3-4100-8A62-31ECD5C0A0C3}"/>
                </c:ext>
              </c:extLst>
            </c:dLbl>
            <c:dLbl>
              <c:idx val="6"/>
              <c:delete val="1"/>
              <c:extLst>
                <c:ext xmlns:c15="http://schemas.microsoft.com/office/drawing/2012/chart" uri="{CE6537A1-D6FC-4f65-9D91-7224C49458BB}"/>
                <c:ext xmlns:c16="http://schemas.microsoft.com/office/drawing/2014/chart" uri="{C3380CC4-5D6E-409C-BE32-E72D297353CC}">
                  <c16:uniqueId val="{00000006-CAF3-4100-8A62-31ECD5C0A0C3}"/>
                </c:ext>
              </c:extLst>
            </c:dLbl>
            <c:dLbl>
              <c:idx val="7"/>
              <c:delete val="1"/>
              <c:extLst>
                <c:ext xmlns:c15="http://schemas.microsoft.com/office/drawing/2012/chart" uri="{CE6537A1-D6FC-4f65-9D91-7224C49458BB}"/>
                <c:ext xmlns:c16="http://schemas.microsoft.com/office/drawing/2014/chart" uri="{C3380CC4-5D6E-409C-BE32-E72D297353CC}">
                  <c16:uniqueId val="{00000007-CAF3-4100-8A62-31ECD5C0A0C3}"/>
                </c:ext>
              </c:extLst>
            </c:dLbl>
            <c:dLbl>
              <c:idx val="8"/>
              <c:delete val="1"/>
              <c:extLst>
                <c:ext xmlns:c15="http://schemas.microsoft.com/office/drawing/2012/chart" uri="{CE6537A1-D6FC-4f65-9D91-7224C49458BB}"/>
                <c:ext xmlns:c16="http://schemas.microsoft.com/office/drawing/2014/chart" uri="{C3380CC4-5D6E-409C-BE32-E72D297353CC}">
                  <c16:uniqueId val="{00000008-CAF3-4100-8A62-31ECD5C0A0C3}"/>
                </c:ext>
              </c:extLst>
            </c:dLbl>
            <c:dLbl>
              <c:idx val="9"/>
              <c:delete val="1"/>
              <c:extLst>
                <c:ext xmlns:c15="http://schemas.microsoft.com/office/drawing/2012/chart" uri="{CE6537A1-D6FC-4f65-9D91-7224C49458BB}"/>
                <c:ext xmlns:c16="http://schemas.microsoft.com/office/drawing/2014/chart" uri="{C3380CC4-5D6E-409C-BE32-E72D297353CC}">
                  <c16:uniqueId val="{00000009-CAF3-4100-8A62-31ECD5C0A0C3}"/>
                </c:ext>
              </c:extLst>
            </c:dLbl>
            <c:dLbl>
              <c:idx val="10"/>
              <c:delete val="1"/>
              <c:extLst>
                <c:ext xmlns:c15="http://schemas.microsoft.com/office/drawing/2012/chart" uri="{CE6537A1-D6FC-4f65-9D91-7224C49458BB}"/>
                <c:ext xmlns:c16="http://schemas.microsoft.com/office/drawing/2014/chart" uri="{C3380CC4-5D6E-409C-BE32-E72D297353CC}">
                  <c16:uniqueId val="{0000000A-CAF3-4100-8A62-31ECD5C0A0C3}"/>
                </c:ext>
              </c:extLst>
            </c:dLbl>
            <c:dLbl>
              <c:idx val="11"/>
              <c:delete val="1"/>
              <c:extLst>
                <c:ext xmlns:c15="http://schemas.microsoft.com/office/drawing/2012/chart" uri="{CE6537A1-D6FC-4f65-9D91-7224C49458BB}"/>
                <c:ext xmlns:c16="http://schemas.microsoft.com/office/drawing/2014/chart" uri="{C3380CC4-5D6E-409C-BE32-E72D297353CC}">
                  <c16:uniqueId val="{0000000B-CAF3-4100-8A62-31ECD5C0A0C3}"/>
                </c:ext>
              </c:extLst>
            </c:dLbl>
            <c:dLbl>
              <c:idx val="12"/>
              <c:delete val="1"/>
              <c:extLst>
                <c:ext xmlns:c15="http://schemas.microsoft.com/office/drawing/2012/chart" uri="{CE6537A1-D6FC-4f65-9D91-7224C49458BB}"/>
                <c:ext xmlns:c16="http://schemas.microsoft.com/office/drawing/2014/chart" uri="{C3380CC4-5D6E-409C-BE32-E72D297353CC}">
                  <c16:uniqueId val="{0000000C-CAF3-4100-8A62-31ECD5C0A0C3}"/>
                </c:ext>
              </c:extLst>
            </c:dLbl>
            <c:dLbl>
              <c:idx val="13"/>
              <c:delete val="1"/>
              <c:extLst>
                <c:ext xmlns:c15="http://schemas.microsoft.com/office/drawing/2012/chart" uri="{CE6537A1-D6FC-4f65-9D91-7224C49458BB}"/>
                <c:ext xmlns:c16="http://schemas.microsoft.com/office/drawing/2014/chart" uri="{C3380CC4-5D6E-409C-BE32-E72D297353CC}">
                  <c16:uniqueId val="{0000000D-CAF3-4100-8A62-31ECD5C0A0C3}"/>
                </c:ext>
              </c:extLst>
            </c:dLbl>
            <c:dLbl>
              <c:idx val="14"/>
              <c:delete val="1"/>
              <c:extLst>
                <c:ext xmlns:c15="http://schemas.microsoft.com/office/drawing/2012/chart" uri="{CE6537A1-D6FC-4f65-9D91-7224C49458BB}"/>
                <c:ext xmlns:c16="http://schemas.microsoft.com/office/drawing/2014/chart" uri="{C3380CC4-5D6E-409C-BE32-E72D297353CC}">
                  <c16:uniqueId val="{0000000E-CAF3-4100-8A62-31ECD5C0A0C3}"/>
                </c:ext>
              </c:extLst>
            </c:dLbl>
            <c:dLbl>
              <c:idx val="15"/>
              <c:delete val="1"/>
              <c:extLst>
                <c:ext xmlns:c15="http://schemas.microsoft.com/office/drawing/2012/chart" uri="{CE6537A1-D6FC-4f65-9D91-7224C49458BB}"/>
                <c:ext xmlns:c16="http://schemas.microsoft.com/office/drawing/2014/chart" uri="{C3380CC4-5D6E-409C-BE32-E72D297353CC}">
                  <c16:uniqueId val="{0000000F-CAF3-4100-8A62-31ECD5C0A0C3}"/>
                </c:ext>
              </c:extLst>
            </c:dLbl>
            <c:dLbl>
              <c:idx val="16"/>
              <c:delete val="1"/>
              <c:extLst>
                <c:ext xmlns:c15="http://schemas.microsoft.com/office/drawing/2012/chart" uri="{CE6537A1-D6FC-4f65-9D91-7224C49458BB}"/>
                <c:ext xmlns:c16="http://schemas.microsoft.com/office/drawing/2014/chart" uri="{C3380CC4-5D6E-409C-BE32-E72D297353CC}">
                  <c16:uniqueId val="{00000010-CAF3-4100-8A62-31ECD5C0A0C3}"/>
                </c:ext>
              </c:extLst>
            </c:dLbl>
            <c:dLbl>
              <c:idx val="17"/>
              <c:delete val="1"/>
              <c:extLst>
                <c:ext xmlns:c15="http://schemas.microsoft.com/office/drawing/2012/chart" uri="{CE6537A1-D6FC-4f65-9D91-7224C49458BB}"/>
                <c:ext xmlns:c16="http://schemas.microsoft.com/office/drawing/2014/chart" uri="{C3380CC4-5D6E-409C-BE32-E72D297353CC}">
                  <c16:uniqueId val="{00000011-CAF3-4100-8A62-31ECD5C0A0C3}"/>
                </c:ext>
              </c:extLst>
            </c:dLbl>
            <c:dLbl>
              <c:idx val="18"/>
              <c:delete val="1"/>
              <c:extLst>
                <c:ext xmlns:c15="http://schemas.microsoft.com/office/drawing/2012/chart" uri="{CE6537A1-D6FC-4f65-9D91-7224C49458BB}"/>
                <c:ext xmlns:c16="http://schemas.microsoft.com/office/drawing/2014/chart" uri="{C3380CC4-5D6E-409C-BE32-E72D297353CC}">
                  <c16:uniqueId val="{00000012-CAF3-4100-8A62-31ECD5C0A0C3}"/>
                </c:ext>
              </c:extLst>
            </c:dLbl>
            <c:dLbl>
              <c:idx val="19"/>
              <c:delete val="1"/>
              <c:extLst>
                <c:ext xmlns:c15="http://schemas.microsoft.com/office/drawing/2012/chart" uri="{CE6537A1-D6FC-4f65-9D91-7224C49458BB}"/>
                <c:ext xmlns:c16="http://schemas.microsoft.com/office/drawing/2014/chart" uri="{C3380CC4-5D6E-409C-BE32-E72D297353CC}">
                  <c16:uniqueId val="{00000013-CAF3-4100-8A62-31ECD5C0A0C3}"/>
                </c:ext>
              </c:extLst>
            </c:dLbl>
            <c:dLbl>
              <c:idx val="20"/>
              <c:delete val="1"/>
              <c:extLst>
                <c:ext xmlns:c15="http://schemas.microsoft.com/office/drawing/2012/chart" uri="{CE6537A1-D6FC-4f65-9D91-7224C49458BB}"/>
                <c:ext xmlns:c16="http://schemas.microsoft.com/office/drawing/2014/chart" uri="{C3380CC4-5D6E-409C-BE32-E72D297353CC}">
                  <c16:uniqueId val="{00000014-CAF3-4100-8A62-31ECD5C0A0C3}"/>
                </c:ext>
              </c:extLst>
            </c:dLbl>
            <c:dLbl>
              <c:idx val="21"/>
              <c:delete val="1"/>
              <c:extLst>
                <c:ext xmlns:c15="http://schemas.microsoft.com/office/drawing/2012/chart" uri="{CE6537A1-D6FC-4f65-9D91-7224C49458BB}"/>
                <c:ext xmlns:c16="http://schemas.microsoft.com/office/drawing/2014/chart" uri="{C3380CC4-5D6E-409C-BE32-E72D297353CC}">
                  <c16:uniqueId val="{00000015-CAF3-4100-8A62-31ECD5C0A0C3}"/>
                </c:ext>
              </c:extLst>
            </c:dLbl>
            <c:dLbl>
              <c:idx val="22"/>
              <c:layout>
                <c:manualLayout>
                  <c:x val="2.2050716648290988E-2"/>
                  <c:y val="-0.335195530726257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AF3-4100-8A62-31ECD5C0A0C3}"/>
                </c:ext>
              </c:extLst>
            </c:dLbl>
            <c:dLbl>
              <c:idx val="23"/>
              <c:delete val="1"/>
              <c:extLst>
                <c:ext xmlns:c15="http://schemas.microsoft.com/office/drawing/2012/chart" uri="{CE6537A1-D6FC-4f65-9D91-7224C49458BB}"/>
                <c:ext xmlns:c16="http://schemas.microsoft.com/office/drawing/2014/chart" uri="{C3380CC4-5D6E-409C-BE32-E72D297353CC}">
                  <c16:uniqueId val="{00000017-CAF3-4100-8A62-31ECD5C0A0C3}"/>
                </c:ext>
              </c:extLst>
            </c:dLbl>
            <c:dLbl>
              <c:idx val="24"/>
              <c:delete val="1"/>
              <c:extLst>
                <c:ext xmlns:c15="http://schemas.microsoft.com/office/drawing/2012/chart" uri="{CE6537A1-D6FC-4f65-9D91-7224C49458BB}"/>
                <c:ext xmlns:c16="http://schemas.microsoft.com/office/drawing/2014/chart" uri="{C3380CC4-5D6E-409C-BE32-E72D297353CC}">
                  <c16:uniqueId val="{00000018-CAF3-4100-8A62-31ECD5C0A0C3}"/>
                </c:ext>
              </c:extLst>
            </c:dLbl>
            <c:dLbl>
              <c:idx val="25"/>
              <c:delete val="1"/>
              <c:extLst>
                <c:ext xmlns:c15="http://schemas.microsoft.com/office/drawing/2012/chart" uri="{CE6537A1-D6FC-4f65-9D91-7224C49458BB}"/>
                <c:ext xmlns:c16="http://schemas.microsoft.com/office/drawing/2014/chart" uri="{C3380CC4-5D6E-409C-BE32-E72D297353CC}">
                  <c16:uniqueId val="{00000019-CAF3-4100-8A62-31ECD5C0A0C3}"/>
                </c:ext>
              </c:extLst>
            </c:dLbl>
            <c:dLbl>
              <c:idx val="26"/>
              <c:layout>
                <c:manualLayout>
                  <c:x val="8.8202866593164279E-3"/>
                  <c:y val="-0.341076154072331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CAF3-4100-8A62-31ECD5C0A0C3}"/>
                </c:ext>
              </c:extLst>
            </c:dLbl>
            <c:dLbl>
              <c:idx val="27"/>
              <c:delete val="1"/>
              <c:extLst>
                <c:ext xmlns:c15="http://schemas.microsoft.com/office/drawing/2012/chart" uri="{CE6537A1-D6FC-4f65-9D91-7224C49458BB}"/>
                <c:ext xmlns:c16="http://schemas.microsoft.com/office/drawing/2014/chart" uri="{C3380CC4-5D6E-409C-BE32-E72D297353CC}">
                  <c16:uniqueId val="{0000001B-CAF3-4100-8A62-31ECD5C0A0C3}"/>
                </c:ext>
              </c:extLst>
            </c:dLbl>
            <c:dLbl>
              <c:idx val="28"/>
              <c:delete val="1"/>
              <c:extLst>
                <c:ext xmlns:c15="http://schemas.microsoft.com/office/drawing/2012/chart" uri="{CE6537A1-D6FC-4f65-9D91-7224C49458BB}"/>
                <c:ext xmlns:c16="http://schemas.microsoft.com/office/drawing/2014/chart" uri="{C3380CC4-5D6E-409C-BE32-E72D297353CC}">
                  <c16:uniqueId val="{0000001C-CAF3-4100-8A62-31ECD5C0A0C3}"/>
                </c:ext>
              </c:extLst>
            </c:dLbl>
            <c:dLbl>
              <c:idx val="29"/>
              <c:delete val="1"/>
              <c:extLst>
                <c:ext xmlns:c15="http://schemas.microsoft.com/office/drawing/2012/chart" uri="{CE6537A1-D6FC-4f65-9D91-7224C49458BB}"/>
                <c:ext xmlns:c16="http://schemas.microsoft.com/office/drawing/2014/chart" uri="{C3380CC4-5D6E-409C-BE32-E72D297353CC}">
                  <c16:uniqueId val="{0000001D-CAF3-4100-8A62-31ECD5C0A0C3}"/>
                </c:ext>
              </c:extLst>
            </c:dLbl>
            <c:dLbl>
              <c:idx val="30"/>
              <c:delete val="1"/>
              <c:extLst>
                <c:ext xmlns:c15="http://schemas.microsoft.com/office/drawing/2012/chart" uri="{CE6537A1-D6FC-4f65-9D91-7224C49458BB}"/>
                <c:ext xmlns:c16="http://schemas.microsoft.com/office/drawing/2014/chart" uri="{C3380CC4-5D6E-409C-BE32-E72D297353CC}">
                  <c16:uniqueId val="{0000001E-CAF3-4100-8A62-31ECD5C0A0C3}"/>
                </c:ext>
              </c:extLst>
            </c:dLbl>
            <c:dLbl>
              <c:idx val="31"/>
              <c:delete val="1"/>
              <c:extLst>
                <c:ext xmlns:c15="http://schemas.microsoft.com/office/drawing/2012/chart" uri="{CE6537A1-D6FC-4f65-9D91-7224C49458BB}"/>
                <c:ext xmlns:c16="http://schemas.microsoft.com/office/drawing/2014/chart" uri="{C3380CC4-5D6E-409C-BE32-E72D297353CC}">
                  <c16:uniqueId val="{0000001F-CAF3-4100-8A62-31ECD5C0A0C3}"/>
                </c:ext>
              </c:extLst>
            </c:dLbl>
            <c:dLbl>
              <c:idx val="32"/>
              <c:delete val="1"/>
              <c:extLst>
                <c:ext xmlns:c15="http://schemas.microsoft.com/office/drawing/2012/chart" uri="{CE6537A1-D6FC-4f65-9D91-7224C49458BB}"/>
                <c:ext xmlns:c16="http://schemas.microsoft.com/office/drawing/2014/chart" uri="{C3380CC4-5D6E-409C-BE32-E72D297353CC}">
                  <c16:uniqueId val="{00000020-CAF3-4100-8A62-31ECD5C0A0C3}"/>
                </c:ext>
              </c:extLst>
            </c:dLbl>
            <c:dLbl>
              <c:idx val="33"/>
              <c:delete val="1"/>
              <c:extLst>
                <c:ext xmlns:c15="http://schemas.microsoft.com/office/drawing/2012/chart" uri="{CE6537A1-D6FC-4f65-9D91-7224C49458BB}"/>
                <c:ext xmlns:c16="http://schemas.microsoft.com/office/drawing/2014/chart" uri="{C3380CC4-5D6E-409C-BE32-E72D297353CC}">
                  <c16:uniqueId val="{00000021-CAF3-4100-8A62-31ECD5C0A0C3}"/>
                </c:ext>
              </c:extLst>
            </c:dLbl>
            <c:dLbl>
              <c:idx val="34"/>
              <c:delete val="1"/>
              <c:extLst>
                <c:ext xmlns:c15="http://schemas.microsoft.com/office/drawing/2012/chart" uri="{CE6537A1-D6FC-4f65-9D91-7224C49458BB}"/>
                <c:ext xmlns:c16="http://schemas.microsoft.com/office/drawing/2014/chart" uri="{C3380CC4-5D6E-409C-BE32-E72D297353CC}">
                  <c16:uniqueId val="{00000022-CAF3-4100-8A62-31ECD5C0A0C3}"/>
                </c:ext>
              </c:extLst>
            </c:dLbl>
            <c:dLbl>
              <c:idx val="35"/>
              <c:delete val="1"/>
              <c:extLst>
                <c:ext xmlns:c15="http://schemas.microsoft.com/office/drawing/2012/chart" uri="{CE6537A1-D6FC-4f65-9D91-7224C49458BB}"/>
                <c:ext xmlns:c16="http://schemas.microsoft.com/office/drawing/2014/chart" uri="{C3380CC4-5D6E-409C-BE32-E72D297353CC}">
                  <c16:uniqueId val="{00000023-CAF3-4100-8A62-31ECD5C0A0C3}"/>
                </c:ext>
              </c:extLst>
            </c:dLbl>
            <c:dLbl>
              <c:idx val="36"/>
              <c:layout>
                <c:manualLayout>
                  <c:x val="1.1025358324145534E-2"/>
                  <c:y val="-0.423404880917377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CAF3-4100-8A62-31ECD5C0A0C3}"/>
                </c:ext>
              </c:extLst>
            </c:dLbl>
            <c:spPr>
              <a:noFill/>
              <a:ln>
                <a:noFill/>
              </a:ln>
              <a:effectLst/>
            </c:spPr>
            <c:txPr>
              <a:bodyPr wrap="square" lIns="38100" tIns="19050" rIns="38100" bIns="19050" anchor="t" anchorCtr="0">
                <a:spAutoFit/>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Sheet1!$B$1:$AL$1</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Sheet1!$B$2:$AL$2</c:f>
              <c:numCache>
                <c:formatCode>0</c:formatCode>
                <c:ptCount val="37"/>
                <c:pt idx="0">
                  <c:v>464.82143040985039</c:v>
                </c:pt>
                <c:pt idx="1">
                  <c:v>462.16239402896605</c:v>
                </c:pt>
                <c:pt idx="2">
                  <c:v>460.37237668725811</c:v>
                </c:pt>
                <c:pt idx="3">
                  <c:v>462.02368266029481</c:v>
                </c:pt>
                <c:pt idx="4">
                  <c:v>462.12195501050326</c:v>
                </c:pt>
                <c:pt idx="5">
                  <c:v>468.5384103532096</c:v>
                </c:pt>
                <c:pt idx="6">
                  <c:v>476.64016077624956</c:v>
                </c:pt>
                <c:pt idx="7">
                  <c:v>483.00262630797141</c:v>
                </c:pt>
                <c:pt idx="8">
                  <c:v>489.18910061502942</c:v>
                </c:pt>
                <c:pt idx="9">
                  <c:v>497.21651963232165</c:v>
                </c:pt>
                <c:pt idx="10">
                  <c:v>510.00740115385571</c:v>
                </c:pt>
                <c:pt idx="11">
                  <c:v>523.89779789764441</c:v>
                </c:pt>
                <c:pt idx="12">
                  <c:v>535.71372859781366</c:v>
                </c:pt>
                <c:pt idx="13">
                  <c:v>549.40808186744209</c:v>
                </c:pt>
                <c:pt idx="14">
                  <c:v>559.69376647879824</c:v>
                </c:pt>
                <c:pt idx="15">
                  <c:v>566.15866267398314</c:v>
                </c:pt>
                <c:pt idx="16">
                  <c:v>575.19276278741017</c:v>
                </c:pt>
                <c:pt idx="17">
                  <c:v>582.23872526528419</c:v>
                </c:pt>
                <c:pt idx="18">
                  <c:v>584.06424229526522</c:v>
                </c:pt>
                <c:pt idx="19">
                  <c:v>579.8885131164227</c:v>
                </c:pt>
                <c:pt idx="20">
                  <c:v>582.09378826644479</c:v>
                </c:pt>
                <c:pt idx="21">
                  <c:v>586.34875432702972</c:v>
                </c:pt>
                <c:pt idx="22">
                  <c:v>593.11877571954301</c:v>
                </c:pt>
                <c:pt idx="23">
                  <c:v>600.13463127204693</c:v>
                </c:pt>
                <c:pt idx="24">
                  <c:v>605.00602518208063</c:v>
                </c:pt>
                <c:pt idx="25">
                  <c:v>608.19432213994639</c:v>
                </c:pt>
                <c:pt idx="26">
                  <c:v>609.30158684579851</c:v>
                </c:pt>
                <c:pt idx="27">
                  <c:v>608.57035945016253</c:v>
                </c:pt>
                <c:pt idx="28">
                  <c:v>608.78329772757331</c:v>
                </c:pt>
                <c:pt idx="29">
                  <c:v>610.43907217959122</c:v>
                </c:pt>
                <c:pt idx="30">
                  <c:v>614.47651905752093</c:v>
                </c:pt>
                <c:pt idx="31">
                  <c:v>619.12473026417535</c:v>
                </c:pt>
                <c:pt idx="32">
                  <c:v>626.05058753236403</c:v>
                </c:pt>
                <c:pt idx="33">
                  <c:v>633.84535083140702</c:v>
                </c:pt>
                <c:pt idx="34">
                  <c:v>643.64017902642877</c:v>
                </c:pt>
                <c:pt idx="35">
                  <c:v>654.16909191240393</c:v>
                </c:pt>
                <c:pt idx="36">
                  <c:v>667.20508192896159</c:v>
                </c:pt>
              </c:numCache>
            </c:numRef>
          </c:val>
          <c:extLst>
            <c:ext xmlns:c16="http://schemas.microsoft.com/office/drawing/2014/chart" uri="{C3380CC4-5D6E-409C-BE32-E72D297353CC}">
              <c16:uniqueId val="{00000025-CAF3-4100-8A62-31ECD5C0A0C3}"/>
            </c:ext>
          </c:extLst>
        </c:ser>
        <c:dLbls>
          <c:showLegendKey val="0"/>
          <c:showVal val="1"/>
          <c:showCatName val="0"/>
          <c:showSerName val="0"/>
          <c:showPercent val="0"/>
          <c:showBubbleSize val="0"/>
        </c:dLbls>
        <c:axId val="742107536"/>
        <c:axId val="742121648"/>
      </c:areaChart>
      <c:catAx>
        <c:axId val="742107536"/>
        <c:scaling>
          <c:orientation val="minMax"/>
        </c:scaling>
        <c:delete val="0"/>
        <c:axPos val="b"/>
        <c:numFmt formatCode="General" sourceLinked="1"/>
        <c:majorTickMark val="out"/>
        <c:minorTickMark val="none"/>
        <c:tickLblPos val="nextTo"/>
        <c:txPr>
          <a:bodyPr rot="0" vert="horz"/>
          <a:lstStyle/>
          <a:p>
            <a:pPr>
              <a:defRPr/>
            </a:pPr>
            <a:endParaRPr lang="en-US"/>
          </a:p>
        </c:txPr>
        <c:crossAx val="742121648"/>
        <c:crosses val="autoZero"/>
        <c:auto val="1"/>
        <c:lblAlgn val="ctr"/>
        <c:lblOffset val="100"/>
        <c:noMultiLvlLbl val="0"/>
      </c:catAx>
      <c:valAx>
        <c:axId val="742121648"/>
        <c:scaling>
          <c:orientation val="minMax"/>
          <c:min val="450"/>
        </c:scaling>
        <c:delete val="0"/>
        <c:axPos val="l"/>
        <c:numFmt formatCode="0" sourceLinked="0"/>
        <c:majorTickMark val="out"/>
        <c:minorTickMark val="none"/>
        <c:tickLblPos val="nextTo"/>
        <c:spPr>
          <a:ln>
            <a:noFill/>
          </a:ln>
        </c:spPr>
        <c:txPr>
          <a:bodyPr rot="0" vert="horz"/>
          <a:lstStyle/>
          <a:p>
            <a:pPr>
              <a:defRPr/>
            </a:pPr>
            <a:endParaRPr lang="en-US"/>
          </a:p>
        </c:txPr>
        <c:crossAx val="742107536"/>
        <c:crosses val="autoZero"/>
        <c:crossBetween val="midCat"/>
        <c:majorUnit val="50"/>
      </c:valAx>
    </c:plotArea>
    <c:plotVisOnly val="1"/>
    <c:dispBlanksAs val="gap"/>
    <c:showDLblsOverMax val="0"/>
  </c:chart>
  <c:spPr>
    <a:noFill/>
    <a:ln>
      <a:noFill/>
    </a:ln>
  </c:spPr>
  <c:txPr>
    <a:bodyPr/>
    <a:lstStyle/>
    <a:p>
      <a:pPr>
        <a:defRPr sz="800">
          <a:latin typeface="Segoe UI Light" panose="020B0502040204020203" pitchFamily="34" charset="0"/>
          <a:cs typeface="Segoe UI Semilight" panose="020B0402040204020203" pitchFamily="34" charset="0"/>
        </a:defRPr>
      </a:pPr>
      <a:endParaRPr lang="en-US"/>
    </a:p>
  </c:txPr>
  <c:externalData r:id="rId2">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738946093276803E-2"/>
          <c:y val="3.0412499999999988E-2"/>
          <c:w val="0.94926105390672322"/>
          <c:h val="0.91188476440444943"/>
        </c:manualLayout>
      </c:layout>
      <c:barChart>
        <c:barDir val="col"/>
        <c:grouping val="clustered"/>
        <c:varyColors val="0"/>
        <c:ser>
          <c:idx val="0"/>
          <c:order val="0"/>
          <c:tx>
            <c:strRef>
              <c:f>Sheet1!$B$1</c:f>
              <c:strCache>
                <c:ptCount val="1"/>
                <c:pt idx="0">
                  <c:v>Series 1</c:v>
                </c:pt>
              </c:strCache>
            </c:strRef>
          </c:tx>
          <c:spPr>
            <a:solidFill>
              <a:srgbClr val="4BACC6">
                <a:lumMod val="50000"/>
              </a:srgbClr>
            </a:solidFill>
          </c:spPr>
          <c:invertIfNegative val="0"/>
          <c:dPt>
            <c:idx val="19"/>
            <c:invertIfNegative val="0"/>
            <c:bubble3D val="0"/>
            <c:spPr>
              <a:solidFill>
                <a:srgbClr val="4BACC6">
                  <a:lumMod val="50000"/>
                </a:srgbClr>
              </a:solidFill>
            </c:spPr>
            <c:extLst>
              <c:ext xmlns:c16="http://schemas.microsoft.com/office/drawing/2014/chart" uri="{C3380CC4-5D6E-409C-BE32-E72D297353CC}">
                <c16:uniqueId val="{00000001-2E48-43C1-B266-663426251403}"/>
              </c:ext>
            </c:extLst>
          </c:dPt>
          <c:dPt>
            <c:idx val="20"/>
            <c:invertIfNegative val="0"/>
            <c:bubble3D val="0"/>
            <c:spPr>
              <a:solidFill>
                <a:srgbClr val="4BACC6">
                  <a:lumMod val="50000"/>
                </a:srgbClr>
              </a:solidFill>
            </c:spPr>
            <c:extLst>
              <c:ext xmlns:c16="http://schemas.microsoft.com/office/drawing/2014/chart" uri="{C3380CC4-5D6E-409C-BE32-E72D297353CC}">
                <c16:uniqueId val="{00000003-2E48-43C1-B266-663426251403}"/>
              </c:ext>
            </c:extLst>
          </c:dPt>
          <c:dPt>
            <c:idx val="21"/>
            <c:invertIfNegative val="0"/>
            <c:bubble3D val="0"/>
            <c:spPr>
              <a:solidFill>
                <a:srgbClr val="4BACC6">
                  <a:lumMod val="50000"/>
                </a:srgbClr>
              </a:solidFill>
            </c:spPr>
            <c:extLst>
              <c:ext xmlns:c16="http://schemas.microsoft.com/office/drawing/2014/chart" uri="{C3380CC4-5D6E-409C-BE32-E72D297353CC}">
                <c16:uniqueId val="{00000005-2E48-43C1-B266-663426251403}"/>
              </c:ext>
            </c:extLst>
          </c:dPt>
          <c:dPt>
            <c:idx val="22"/>
            <c:invertIfNegative val="0"/>
            <c:bubble3D val="0"/>
            <c:spPr>
              <a:solidFill>
                <a:srgbClr val="4BACC6">
                  <a:lumMod val="50000"/>
                  <a:alpha val="50000"/>
                </a:srgbClr>
              </a:solidFill>
            </c:spPr>
            <c:extLst>
              <c:ext xmlns:c16="http://schemas.microsoft.com/office/drawing/2014/chart" uri="{C3380CC4-5D6E-409C-BE32-E72D297353CC}">
                <c16:uniqueId val="{00000007-2E48-43C1-B266-663426251403}"/>
              </c:ext>
            </c:extLst>
          </c:dPt>
          <c:dPt>
            <c:idx val="23"/>
            <c:invertIfNegative val="0"/>
            <c:bubble3D val="0"/>
            <c:spPr>
              <a:solidFill>
                <a:srgbClr val="4BACC6">
                  <a:lumMod val="50000"/>
                  <a:alpha val="50000"/>
                </a:srgbClr>
              </a:solidFill>
            </c:spPr>
            <c:extLst>
              <c:ext xmlns:c16="http://schemas.microsoft.com/office/drawing/2014/chart" uri="{C3380CC4-5D6E-409C-BE32-E72D297353CC}">
                <c16:uniqueId val="{00000009-2E48-43C1-B266-663426251403}"/>
              </c:ext>
            </c:extLst>
          </c:dPt>
          <c:dPt>
            <c:idx val="24"/>
            <c:invertIfNegative val="0"/>
            <c:bubble3D val="0"/>
            <c:spPr>
              <a:solidFill>
                <a:srgbClr val="4BACC6">
                  <a:lumMod val="50000"/>
                  <a:alpha val="50000"/>
                </a:srgbClr>
              </a:solidFill>
            </c:spPr>
            <c:extLst>
              <c:ext xmlns:c16="http://schemas.microsoft.com/office/drawing/2014/chart" uri="{C3380CC4-5D6E-409C-BE32-E72D297353CC}">
                <c16:uniqueId val="{0000000B-2E48-43C1-B266-663426251403}"/>
              </c:ext>
            </c:extLst>
          </c:dPt>
          <c:dPt>
            <c:idx val="25"/>
            <c:invertIfNegative val="0"/>
            <c:bubble3D val="0"/>
            <c:spPr>
              <a:solidFill>
                <a:srgbClr val="4BACC6">
                  <a:lumMod val="50000"/>
                  <a:alpha val="50000"/>
                </a:srgbClr>
              </a:solidFill>
            </c:spPr>
            <c:extLst>
              <c:ext xmlns:c16="http://schemas.microsoft.com/office/drawing/2014/chart" uri="{C3380CC4-5D6E-409C-BE32-E72D297353CC}">
                <c16:uniqueId val="{0000000D-2E48-43C1-B266-663426251403}"/>
              </c:ext>
            </c:extLst>
          </c:dPt>
          <c:dPt>
            <c:idx val="26"/>
            <c:invertIfNegative val="0"/>
            <c:bubble3D val="0"/>
            <c:spPr>
              <a:solidFill>
                <a:srgbClr val="4BACC6">
                  <a:lumMod val="50000"/>
                  <a:alpha val="50000"/>
                </a:srgbClr>
              </a:solidFill>
            </c:spPr>
            <c:extLst>
              <c:ext xmlns:c16="http://schemas.microsoft.com/office/drawing/2014/chart" uri="{C3380CC4-5D6E-409C-BE32-E72D297353CC}">
                <c16:uniqueId val="{0000000F-2E48-43C1-B266-663426251403}"/>
              </c:ext>
            </c:extLst>
          </c:dPt>
          <c:dPt>
            <c:idx val="27"/>
            <c:invertIfNegative val="0"/>
            <c:bubble3D val="0"/>
            <c:spPr>
              <a:solidFill>
                <a:srgbClr val="4BACC6">
                  <a:lumMod val="50000"/>
                  <a:alpha val="50000"/>
                </a:srgbClr>
              </a:solidFill>
            </c:spPr>
            <c:extLst>
              <c:ext xmlns:c16="http://schemas.microsoft.com/office/drawing/2014/chart" uri="{C3380CC4-5D6E-409C-BE32-E72D297353CC}">
                <c16:uniqueId val="{00000011-2E48-43C1-B266-663426251403}"/>
              </c:ext>
            </c:extLst>
          </c:dPt>
          <c:dPt>
            <c:idx val="28"/>
            <c:invertIfNegative val="0"/>
            <c:bubble3D val="0"/>
            <c:spPr>
              <a:solidFill>
                <a:srgbClr val="4BACC6">
                  <a:lumMod val="50000"/>
                  <a:alpha val="50000"/>
                </a:srgbClr>
              </a:solidFill>
            </c:spPr>
            <c:extLst>
              <c:ext xmlns:c16="http://schemas.microsoft.com/office/drawing/2014/chart" uri="{C3380CC4-5D6E-409C-BE32-E72D297353CC}">
                <c16:uniqueId val="{00000013-2E48-43C1-B266-663426251403}"/>
              </c:ext>
            </c:extLst>
          </c:dPt>
          <c:dPt>
            <c:idx val="29"/>
            <c:invertIfNegative val="0"/>
            <c:bubble3D val="0"/>
            <c:spPr>
              <a:solidFill>
                <a:srgbClr val="4BACC6">
                  <a:lumMod val="50000"/>
                  <a:alpha val="50000"/>
                </a:srgbClr>
              </a:solidFill>
            </c:spPr>
            <c:extLst>
              <c:ext xmlns:c16="http://schemas.microsoft.com/office/drawing/2014/chart" uri="{C3380CC4-5D6E-409C-BE32-E72D297353CC}">
                <c16:uniqueId val="{00000015-2E48-43C1-B266-663426251403}"/>
              </c:ext>
            </c:extLst>
          </c:dPt>
          <c:dPt>
            <c:idx val="30"/>
            <c:invertIfNegative val="0"/>
            <c:bubble3D val="0"/>
            <c:spPr>
              <a:solidFill>
                <a:srgbClr val="4BACC6">
                  <a:lumMod val="50000"/>
                  <a:alpha val="50000"/>
                </a:srgbClr>
              </a:solidFill>
            </c:spPr>
            <c:extLst>
              <c:ext xmlns:c16="http://schemas.microsoft.com/office/drawing/2014/chart" uri="{C3380CC4-5D6E-409C-BE32-E72D297353CC}">
                <c16:uniqueId val="{00000017-2E48-43C1-B266-663426251403}"/>
              </c:ext>
            </c:extLst>
          </c:dPt>
          <c:dPt>
            <c:idx val="31"/>
            <c:invertIfNegative val="0"/>
            <c:bubble3D val="0"/>
            <c:spPr>
              <a:solidFill>
                <a:srgbClr val="4BACC6">
                  <a:lumMod val="50000"/>
                  <a:alpha val="50000"/>
                </a:srgbClr>
              </a:solidFill>
            </c:spPr>
            <c:extLst>
              <c:ext xmlns:c16="http://schemas.microsoft.com/office/drawing/2014/chart" uri="{C3380CC4-5D6E-409C-BE32-E72D297353CC}">
                <c16:uniqueId val="{00000019-2E48-43C1-B266-663426251403}"/>
              </c:ext>
            </c:extLst>
          </c:dPt>
          <c:dPt>
            <c:idx val="32"/>
            <c:invertIfNegative val="0"/>
            <c:bubble3D val="0"/>
            <c:spPr>
              <a:solidFill>
                <a:srgbClr val="4BACC6">
                  <a:lumMod val="50000"/>
                  <a:alpha val="50000"/>
                </a:srgbClr>
              </a:solidFill>
            </c:spPr>
            <c:extLst>
              <c:ext xmlns:c16="http://schemas.microsoft.com/office/drawing/2014/chart" uri="{C3380CC4-5D6E-409C-BE32-E72D297353CC}">
                <c16:uniqueId val="{0000001B-2E48-43C1-B266-663426251403}"/>
              </c:ext>
            </c:extLst>
          </c:dPt>
          <c:dPt>
            <c:idx val="33"/>
            <c:invertIfNegative val="0"/>
            <c:bubble3D val="0"/>
            <c:spPr>
              <a:solidFill>
                <a:srgbClr val="4BACC6">
                  <a:lumMod val="50000"/>
                  <a:alpha val="50000"/>
                </a:srgbClr>
              </a:solidFill>
            </c:spPr>
            <c:extLst>
              <c:ext xmlns:c16="http://schemas.microsoft.com/office/drawing/2014/chart" uri="{C3380CC4-5D6E-409C-BE32-E72D297353CC}">
                <c16:uniqueId val="{0000001D-2E48-43C1-B266-663426251403}"/>
              </c:ext>
            </c:extLst>
          </c:dPt>
          <c:dPt>
            <c:idx val="34"/>
            <c:invertIfNegative val="0"/>
            <c:bubble3D val="0"/>
            <c:spPr>
              <a:solidFill>
                <a:srgbClr val="4BACC6">
                  <a:lumMod val="50000"/>
                  <a:alpha val="50000"/>
                </a:srgbClr>
              </a:solidFill>
            </c:spPr>
            <c:extLst>
              <c:ext xmlns:c16="http://schemas.microsoft.com/office/drawing/2014/chart" uri="{C3380CC4-5D6E-409C-BE32-E72D297353CC}">
                <c16:uniqueId val="{0000001F-2E48-43C1-B266-663426251403}"/>
              </c:ext>
            </c:extLst>
          </c:dPt>
          <c:dPt>
            <c:idx val="35"/>
            <c:invertIfNegative val="0"/>
            <c:bubble3D val="0"/>
            <c:spPr>
              <a:solidFill>
                <a:srgbClr val="4BACC6">
                  <a:lumMod val="50000"/>
                  <a:alpha val="50000"/>
                </a:srgbClr>
              </a:solidFill>
            </c:spPr>
            <c:extLst>
              <c:ext xmlns:c16="http://schemas.microsoft.com/office/drawing/2014/chart" uri="{C3380CC4-5D6E-409C-BE32-E72D297353CC}">
                <c16:uniqueId val="{00000021-2E48-43C1-B266-663426251403}"/>
              </c:ext>
            </c:extLst>
          </c:dPt>
          <c:dPt>
            <c:idx val="36"/>
            <c:invertIfNegative val="0"/>
            <c:bubble3D val="0"/>
            <c:spPr>
              <a:solidFill>
                <a:srgbClr val="4BACC6">
                  <a:lumMod val="50000"/>
                  <a:alpha val="50000"/>
                </a:srgbClr>
              </a:solidFill>
            </c:spPr>
            <c:extLst>
              <c:ext xmlns:c16="http://schemas.microsoft.com/office/drawing/2014/chart" uri="{C3380CC4-5D6E-409C-BE32-E72D297353CC}">
                <c16:uniqueId val="{00000023-2E48-43C1-B266-663426251403}"/>
              </c:ext>
            </c:extLst>
          </c:dPt>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2E48-43C1-B266-663426251403}"/>
                </c:ext>
              </c:extLst>
            </c:dLbl>
            <c:dLbl>
              <c:idx val="18"/>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2E48-43C1-B266-663426251403}"/>
                </c:ext>
              </c:extLst>
            </c:dLbl>
            <c:dLbl>
              <c:idx val="2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E48-43C1-B266-663426251403}"/>
                </c:ext>
              </c:extLst>
            </c:dLbl>
            <c:dLbl>
              <c:idx val="3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2E48-43C1-B266-663426251403}"/>
                </c:ext>
              </c:extLst>
            </c:dLbl>
            <c:numFmt formatCode="#,##0.0" sourceLinked="0"/>
            <c:spPr>
              <a:noFill/>
              <a:ln>
                <a:noFill/>
              </a:ln>
              <a:effectLst/>
            </c:spPr>
            <c:txPr>
              <a:bodyPr wrap="square" lIns="38100" tIns="19050" rIns="38100" bIns="19050" anchor="ctr">
                <a:spAutoFit/>
              </a:bodyPr>
              <a:lstStyle/>
              <a:p>
                <a:pPr>
                  <a:defRPr sz="800" b="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Sheet1!$A$2:$A$58</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Sheet1!$B$2:$B$58</c:f>
              <c:numCache>
                <c:formatCode>General</c:formatCode>
                <c:ptCount val="37"/>
                <c:pt idx="0">
                  <c:v>-15.323</c:v>
                </c:pt>
                <c:pt idx="1">
                  <c:v>-10.952</c:v>
                </c:pt>
                <c:pt idx="2">
                  <c:v>-8.8070000000000004</c:v>
                </c:pt>
                <c:pt idx="3">
                  <c:v>-7.9459999999999997</c:v>
                </c:pt>
                <c:pt idx="4">
                  <c:v>-22.367000000000001</c:v>
                </c:pt>
                <c:pt idx="5">
                  <c:v>-34.476999999999997</c:v>
                </c:pt>
                <c:pt idx="6">
                  <c:v>-35.64</c:v>
                </c:pt>
                <c:pt idx="7">
                  <c:v>-20.077000000000002</c:v>
                </c:pt>
                <c:pt idx="8">
                  <c:v>-11.86</c:v>
                </c:pt>
                <c:pt idx="9">
                  <c:v>-14.262</c:v>
                </c:pt>
                <c:pt idx="10">
                  <c:v>-8.6519999999999992</c:v>
                </c:pt>
                <c:pt idx="11">
                  <c:v>-10.64</c:v>
                </c:pt>
                <c:pt idx="12">
                  <c:v>-12.228999999999999</c:v>
                </c:pt>
                <c:pt idx="13">
                  <c:v>-7.8079999999999998</c:v>
                </c:pt>
                <c:pt idx="14">
                  <c:v>-4.9050000000000002</c:v>
                </c:pt>
                <c:pt idx="15">
                  <c:v>-3.36</c:v>
                </c:pt>
                <c:pt idx="16">
                  <c:v>-3.15</c:v>
                </c:pt>
                <c:pt idx="17">
                  <c:v>-0.28599999999999998</c:v>
                </c:pt>
                <c:pt idx="18">
                  <c:v>22.027999999999999</c:v>
                </c:pt>
                <c:pt idx="19">
                  <c:v>-3.1230000000000002</c:v>
                </c:pt>
                <c:pt idx="20">
                  <c:v>-4.2359999999999998</c:v>
                </c:pt>
                <c:pt idx="21">
                  <c:v>-1.2909999999999999</c:v>
                </c:pt>
                <c:pt idx="22">
                  <c:v>-1.1739999999999999</c:v>
                </c:pt>
                <c:pt idx="23">
                  <c:v>-0.83899999999999997</c:v>
                </c:pt>
                <c:pt idx="24">
                  <c:v>-0.45700000000000002</c:v>
                </c:pt>
                <c:pt idx="25">
                  <c:v>0.129</c:v>
                </c:pt>
                <c:pt idx="26">
                  <c:v>0.83099999999999996</c:v>
                </c:pt>
                <c:pt idx="27">
                  <c:v>1.4400000000000017</c:v>
                </c:pt>
                <c:pt idx="28">
                  <c:v>2.226</c:v>
                </c:pt>
                <c:pt idx="29">
                  <c:v>3.0019999999999998</c:v>
                </c:pt>
                <c:pt idx="30">
                  <c:v>3.7749999999999999</c:v>
                </c:pt>
                <c:pt idx="31">
                  <c:v>4.5290000000000017</c:v>
                </c:pt>
                <c:pt idx="32">
                  <c:v>5.2380000000000004</c:v>
                </c:pt>
                <c:pt idx="33">
                  <c:v>5.8370000000000015</c:v>
                </c:pt>
                <c:pt idx="34">
                  <c:v>6.3739999999999997</c:v>
                </c:pt>
                <c:pt idx="35">
                  <c:v>6.8480000000000016</c:v>
                </c:pt>
                <c:pt idx="36">
                  <c:v>7.2950000000000017</c:v>
                </c:pt>
              </c:numCache>
            </c:numRef>
          </c:val>
          <c:extLst>
            <c:ext xmlns:c16="http://schemas.microsoft.com/office/drawing/2014/chart" uri="{C3380CC4-5D6E-409C-BE32-E72D297353CC}">
              <c16:uniqueId val="{00000026-2E48-43C1-B266-663426251403}"/>
            </c:ext>
          </c:extLst>
        </c:ser>
        <c:dLbls>
          <c:showLegendKey val="0"/>
          <c:showVal val="0"/>
          <c:showCatName val="0"/>
          <c:showSerName val="0"/>
          <c:showPercent val="0"/>
          <c:showBubbleSize val="0"/>
        </c:dLbls>
        <c:gapWidth val="50"/>
        <c:axId val="742118904"/>
        <c:axId val="742118512"/>
      </c:barChart>
      <c:catAx>
        <c:axId val="742118904"/>
        <c:scaling>
          <c:orientation val="minMax"/>
        </c:scaling>
        <c:delete val="0"/>
        <c:axPos val="b"/>
        <c:numFmt formatCode="General" sourceLinked="0"/>
        <c:majorTickMark val="out"/>
        <c:minorTickMark val="none"/>
        <c:tickLblPos val="low"/>
        <c:txPr>
          <a:bodyPr rot="0" vert="horz"/>
          <a:lstStyle/>
          <a:p>
            <a:pPr>
              <a:defRPr sz="800"/>
            </a:pPr>
            <a:endParaRPr lang="en-US"/>
          </a:p>
        </c:txPr>
        <c:crossAx val="742118512"/>
        <c:crosses val="autoZero"/>
        <c:auto val="1"/>
        <c:lblAlgn val="ctr"/>
        <c:lblOffset val="100"/>
        <c:noMultiLvlLbl val="0"/>
      </c:catAx>
      <c:valAx>
        <c:axId val="742118512"/>
        <c:scaling>
          <c:orientation val="minMax"/>
          <c:max val="30"/>
        </c:scaling>
        <c:delete val="0"/>
        <c:axPos val="l"/>
        <c:numFmt formatCode="General" sourceLinked="1"/>
        <c:majorTickMark val="out"/>
        <c:minorTickMark val="none"/>
        <c:tickLblPos val="nextTo"/>
        <c:spPr>
          <a:ln>
            <a:noFill/>
          </a:ln>
        </c:spPr>
        <c:txPr>
          <a:bodyPr/>
          <a:lstStyle/>
          <a:p>
            <a:pPr>
              <a:defRPr sz="800"/>
            </a:pPr>
            <a:endParaRPr lang="en-US"/>
          </a:p>
        </c:txPr>
        <c:crossAx val="742118904"/>
        <c:crosses val="autoZero"/>
        <c:crossBetween val="between"/>
        <c:majorUnit val="10"/>
      </c:valAx>
    </c:plotArea>
    <c:plotVisOnly val="1"/>
    <c:dispBlanksAs val="gap"/>
    <c:showDLblsOverMax val="0"/>
  </c:chart>
  <c:spPr>
    <a:ln>
      <a:noFill/>
    </a:ln>
  </c:spPr>
  <c:txPr>
    <a:bodyPr/>
    <a:lstStyle/>
    <a:p>
      <a:pPr>
        <a:defRPr sz="900">
          <a:latin typeface="Segoe UI Semilight" panose="020B0402040204020203" pitchFamily="34" charset="0"/>
          <a:cs typeface="Segoe UI Semilight" panose="020B0402040204020203" pitchFamily="34" charset="0"/>
        </a:defRPr>
      </a:pPr>
      <a:endParaRPr lang="en-US"/>
    </a:p>
  </c:txPr>
  <c:externalData r:id="rId2">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18873324557412"/>
          <c:y val="3.6866359447004601E-2"/>
          <c:w val="0.76932780843947224"/>
          <c:h val="0.90177944103140961"/>
        </c:manualLayout>
      </c:layout>
      <c:barChart>
        <c:barDir val="bar"/>
        <c:grouping val="clustered"/>
        <c:varyColors val="0"/>
        <c:ser>
          <c:idx val="1"/>
          <c:order val="0"/>
          <c:tx>
            <c:strRef>
              <c:f>Sheet1!$B$1</c:f>
              <c:strCache>
                <c:ptCount val="1"/>
              </c:strCache>
            </c:strRef>
          </c:tx>
          <c:spPr>
            <a:solidFill>
              <a:srgbClr val="92B7C4"/>
            </a:solidFill>
            <a:ln w="3175">
              <a:noFill/>
              <a:prstDash val="solid"/>
            </a:ln>
          </c:spPr>
          <c:invertIfNegative val="0"/>
          <c:dPt>
            <c:idx val="9"/>
            <c:invertIfNegative val="0"/>
            <c:bubble3D val="0"/>
            <c:spPr>
              <a:solidFill>
                <a:srgbClr val="006666"/>
              </a:solidFill>
              <a:ln w="3175">
                <a:noFill/>
                <a:prstDash val="solid"/>
              </a:ln>
            </c:spPr>
            <c:extLst>
              <c:ext xmlns:c16="http://schemas.microsoft.com/office/drawing/2014/chart" uri="{C3380CC4-5D6E-409C-BE32-E72D297353CC}">
                <c16:uniqueId val="{00000001-62BC-4E1F-BC5F-718E0561DA4E}"/>
              </c:ext>
            </c:extLst>
          </c:dPt>
          <c:dLbls>
            <c:dLbl>
              <c:idx val="4"/>
              <c:layout>
                <c:manualLayout>
                  <c:x val="-2.1788990225044481E-2"/>
                  <c:y val="5.18242122719734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BC-4E1F-BC5F-718E0561DA4E}"/>
                </c:ext>
              </c:extLst>
            </c:dLbl>
            <c:dLbl>
              <c:idx val="17"/>
              <c:layout>
                <c:manualLayout>
                  <c:x val="0"/>
                  <c:y val="-8.241758241758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BC-4E1F-BC5F-718E0561DA4E}"/>
                </c:ext>
              </c:extLst>
            </c:dLbl>
            <c:dLbl>
              <c:idx val="18"/>
              <c:layout>
                <c:manualLayout>
                  <c:x val="0"/>
                  <c:y val="-1.64835164835164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BC-4E1F-BC5F-718E0561DA4E}"/>
                </c:ext>
              </c:extLst>
            </c:dLbl>
            <c:dLbl>
              <c:idx val="19"/>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BC-4E1F-BC5F-718E0561DA4E}"/>
                </c:ext>
              </c:extLst>
            </c:dLbl>
            <c:dLbl>
              <c:idx val="20"/>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2BC-4E1F-BC5F-718E0561DA4E}"/>
                </c:ext>
              </c:extLst>
            </c:dLbl>
            <c:dLbl>
              <c:idx val="21"/>
              <c:layout>
                <c:manualLayout>
                  <c:x val="1.065879159741259E-16"/>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2BC-4E1F-BC5F-718E0561DA4E}"/>
                </c:ext>
              </c:extLst>
            </c:dLbl>
            <c:dLbl>
              <c:idx val="22"/>
              <c:layout>
                <c:manualLayout>
                  <c:x val="0"/>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2BC-4E1F-BC5F-718E0561DA4E}"/>
                </c:ext>
              </c:extLst>
            </c:dLbl>
            <c:dLbl>
              <c:idx val="23"/>
              <c:layout>
                <c:manualLayout>
                  <c:x val="1.065879159741259E-16"/>
                  <c:y val="-3.846153846153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2BC-4E1F-BC5F-718E0561DA4E}"/>
                </c:ext>
              </c:extLst>
            </c:dLbl>
            <c:numFmt formatCode="#,##0.0" sourceLinked="0"/>
            <c:spPr>
              <a:noFill/>
              <a:ln w="2540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Sheet1!$B$2:$B$11</c:f>
              <c:numCache>
                <c:formatCode>0.0</c:formatCode>
                <c:ptCount val="10"/>
                <c:pt idx="0">
                  <c:v>-0.2642989442799859</c:v>
                </c:pt>
                <c:pt idx="1">
                  <c:v>1.2712534436570593</c:v>
                </c:pt>
                <c:pt idx="2">
                  <c:v>5.211328358743117E-2</c:v>
                </c:pt>
                <c:pt idx="3">
                  <c:v>-1.2090552149664973</c:v>
                </c:pt>
                <c:pt idx="4">
                  <c:v>4.4197573095465543</c:v>
                </c:pt>
                <c:pt idx="5">
                  <c:v>1.2741911151659053</c:v>
                </c:pt>
                <c:pt idx="6">
                  <c:v>0.49621942678335529</c:v>
                </c:pt>
                <c:pt idx="7">
                  <c:v>-0.80529896140890855</c:v>
                </c:pt>
                <c:pt idx="9">
                  <c:v>0.39560951421987056</c:v>
                </c:pt>
              </c:numCache>
            </c:numRef>
          </c:val>
          <c:extLst>
            <c:ext xmlns:c16="http://schemas.microsoft.com/office/drawing/2014/chart" uri="{C3380CC4-5D6E-409C-BE32-E72D297353CC}">
              <c16:uniqueId val="{0000000A-62BC-4E1F-BC5F-718E0561DA4E}"/>
            </c:ext>
          </c:extLst>
        </c:ser>
        <c:dLbls>
          <c:showLegendKey val="0"/>
          <c:showVal val="0"/>
          <c:showCatName val="0"/>
          <c:showSerName val="0"/>
          <c:showPercent val="0"/>
          <c:showBubbleSize val="0"/>
        </c:dLbls>
        <c:gapWidth val="40"/>
        <c:axId val="742119296"/>
        <c:axId val="742120472"/>
      </c:barChart>
      <c:catAx>
        <c:axId val="742119296"/>
        <c:scaling>
          <c:orientation val="minMax"/>
        </c:scaling>
        <c:delete val="0"/>
        <c:axPos val="l"/>
        <c:numFmt formatCode="General" sourceLinked="1"/>
        <c:majorTickMark val="out"/>
        <c:minorTickMark val="none"/>
        <c:tickLblPos val="nextTo"/>
        <c:spPr>
          <a:solidFill>
            <a:srgbClr val="00B050"/>
          </a:solidFill>
          <a:ln w="3175"/>
        </c:spPr>
        <c:crossAx val="742120472"/>
        <c:crosses val="autoZero"/>
        <c:auto val="0"/>
        <c:lblAlgn val="ctr"/>
        <c:lblOffset val="100"/>
        <c:noMultiLvlLbl val="0"/>
      </c:catAx>
      <c:valAx>
        <c:axId val="742120472"/>
        <c:scaling>
          <c:orientation val="minMax"/>
          <c:max val="7"/>
          <c:min val="-2"/>
        </c:scaling>
        <c:delete val="0"/>
        <c:axPos val="b"/>
        <c:numFmt formatCode="0" sourceLinked="0"/>
        <c:majorTickMark val="out"/>
        <c:minorTickMark val="none"/>
        <c:tickLblPos val="nextTo"/>
        <c:spPr>
          <a:ln w="3175">
            <a:noFill/>
            <a:prstDash val="solid"/>
          </a:ln>
        </c:spPr>
        <c:txPr>
          <a:bodyPr rot="0" vert="horz"/>
          <a:lstStyle/>
          <a:p>
            <a:pPr>
              <a:defRPr/>
            </a:pPr>
            <a:endParaRPr lang="en-US"/>
          </a:p>
        </c:txPr>
        <c:crossAx val="742119296"/>
        <c:crosses val="autoZero"/>
        <c:crossBetween val="between"/>
        <c:majorUnit val="2"/>
      </c:valAx>
      <c:spPr>
        <a:noFill/>
        <a:ln w="25402">
          <a:noFill/>
        </a:ln>
      </c:spPr>
    </c:plotArea>
    <c:plotVisOnly val="1"/>
    <c:dispBlanksAs val="gap"/>
    <c:showDLblsOverMax val="0"/>
  </c:chart>
  <c:spPr>
    <a:solidFill>
      <a:srgbClr val="FFFFFF"/>
    </a:solidFill>
    <a:ln>
      <a:noFill/>
    </a:ln>
  </c:spPr>
  <c:txPr>
    <a:bodyPr/>
    <a:lstStyle/>
    <a:p>
      <a:pPr algn="just">
        <a:defRPr sz="800" b="0" i="0" u="none" strike="noStrike" baseline="0">
          <a:solidFill>
            <a:srgbClr val="000000"/>
          </a:solidFill>
          <a:latin typeface="Segoe UI Light" panose="020B0502040204020203" pitchFamily="34" charset="0"/>
          <a:ea typeface="Garamond"/>
          <a:cs typeface="Segoe UI Semilight" panose="020B0402040204020203" pitchFamily="34" charset="0"/>
        </a:defRPr>
      </a:pPr>
      <a:endParaRPr lang="en-US"/>
    </a:p>
  </c:txPr>
  <c:externalData r:id="rId2">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52650505683311"/>
          <c:y val="4.8664233114939408E-3"/>
          <c:w val="0.76932780843947224"/>
          <c:h val="0.90177944103140961"/>
        </c:manualLayout>
      </c:layout>
      <c:barChart>
        <c:barDir val="bar"/>
        <c:grouping val="clustered"/>
        <c:varyColors val="0"/>
        <c:ser>
          <c:idx val="1"/>
          <c:order val="0"/>
          <c:tx>
            <c:strRef>
              <c:f>Sheet1!$B$1</c:f>
              <c:strCache>
                <c:ptCount val="1"/>
              </c:strCache>
            </c:strRef>
          </c:tx>
          <c:spPr>
            <a:solidFill>
              <a:srgbClr val="92B7C4"/>
            </a:solidFill>
            <a:ln w="3175">
              <a:noFill/>
              <a:prstDash val="solid"/>
            </a:ln>
          </c:spPr>
          <c:invertIfNegative val="0"/>
          <c:dPt>
            <c:idx val="9"/>
            <c:invertIfNegative val="0"/>
            <c:bubble3D val="0"/>
            <c:spPr>
              <a:solidFill>
                <a:srgbClr val="006666"/>
              </a:solidFill>
              <a:ln w="3175">
                <a:noFill/>
                <a:prstDash val="solid"/>
              </a:ln>
            </c:spPr>
            <c:extLst>
              <c:ext xmlns:c16="http://schemas.microsoft.com/office/drawing/2014/chart" uri="{C3380CC4-5D6E-409C-BE32-E72D297353CC}">
                <c16:uniqueId val="{00000001-C430-46E6-8133-46BCF0E35713}"/>
              </c:ext>
            </c:extLst>
          </c:dPt>
          <c:dLbls>
            <c:dLbl>
              <c:idx val="0"/>
              <c:layout>
                <c:manualLayout>
                  <c:x val="-2.352018816150529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30-46E6-8133-46BCF0E35713}"/>
                </c:ext>
              </c:extLst>
            </c:dLbl>
            <c:dLbl>
              <c:idx val="4"/>
              <c:layout>
                <c:manualLayout>
                  <c:x val="-2.1788990225044481E-2"/>
                  <c:y val="5.18242122719734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30-46E6-8133-46BCF0E35713}"/>
                </c:ext>
              </c:extLst>
            </c:dLbl>
            <c:dLbl>
              <c:idx val="17"/>
              <c:layout>
                <c:manualLayout>
                  <c:x val="0"/>
                  <c:y val="-8.241758241758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30-46E6-8133-46BCF0E35713}"/>
                </c:ext>
              </c:extLst>
            </c:dLbl>
            <c:dLbl>
              <c:idx val="18"/>
              <c:layout>
                <c:manualLayout>
                  <c:x val="0"/>
                  <c:y val="-1.64835164835164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30-46E6-8133-46BCF0E35713}"/>
                </c:ext>
              </c:extLst>
            </c:dLbl>
            <c:dLbl>
              <c:idx val="19"/>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430-46E6-8133-46BCF0E35713}"/>
                </c:ext>
              </c:extLst>
            </c:dLbl>
            <c:dLbl>
              <c:idx val="20"/>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30-46E6-8133-46BCF0E35713}"/>
                </c:ext>
              </c:extLst>
            </c:dLbl>
            <c:dLbl>
              <c:idx val="21"/>
              <c:layout>
                <c:manualLayout>
                  <c:x val="1.065879159741259E-16"/>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430-46E6-8133-46BCF0E35713}"/>
                </c:ext>
              </c:extLst>
            </c:dLbl>
            <c:dLbl>
              <c:idx val="22"/>
              <c:layout>
                <c:manualLayout>
                  <c:x val="0"/>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430-46E6-8133-46BCF0E35713}"/>
                </c:ext>
              </c:extLst>
            </c:dLbl>
            <c:dLbl>
              <c:idx val="23"/>
              <c:layout>
                <c:manualLayout>
                  <c:x val="1.065879159741259E-16"/>
                  <c:y val="-3.846153846153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430-46E6-8133-46BCF0E35713}"/>
                </c:ext>
              </c:extLst>
            </c:dLbl>
            <c:numFmt formatCode="#,##0.0" sourceLinked="0"/>
            <c:spPr>
              <a:noFill/>
              <a:ln w="2540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Sheet1!$B$2:$B$11</c:f>
              <c:numCache>
                <c:formatCode>0.0</c:formatCode>
                <c:ptCount val="10"/>
                <c:pt idx="0">
                  <c:v>3.106298429668243</c:v>
                </c:pt>
                <c:pt idx="1">
                  <c:v>2.4041084371820176</c:v>
                </c:pt>
                <c:pt idx="2">
                  <c:v>2.3604154699692828</c:v>
                </c:pt>
                <c:pt idx="3">
                  <c:v>4.3327392286243338</c:v>
                </c:pt>
                <c:pt idx="4">
                  <c:v>1.7061221527652464</c:v>
                </c:pt>
                <c:pt idx="5">
                  <c:v>1.6253377127097508</c:v>
                </c:pt>
                <c:pt idx="6">
                  <c:v>5.0831071912305674</c:v>
                </c:pt>
                <c:pt idx="7">
                  <c:v>3.021764306133548</c:v>
                </c:pt>
                <c:pt idx="9">
                  <c:v>3.2643486545622835</c:v>
                </c:pt>
              </c:numCache>
            </c:numRef>
          </c:val>
          <c:extLst>
            <c:ext xmlns:c16="http://schemas.microsoft.com/office/drawing/2014/chart" uri="{C3380CC4-5D6E-409C-BE32-E72D297353CC}">
              <c16:uniqueId val="{0000000B-C430-46E6-8133-46BCF0E35713}"/>
            </c:ext>
          </c:extLst>
        </c:ser>
        <c:dLbls>
          <c:showLegendKey val="0"/>
          <c:showVal val="0"/>
          <c:showCatName val="0"/>
          <c:showSerName val="0"/>
          <c:showPercent val="0"/>
          <c:showBubbleSize val="0"/>
        </c:dLbls>
        <c:gapWidth val="40"/>
        <c:axId val="742122824"/>
        <c:axId val="742111064"/>
      </c:barChart>
      <c:catAx>
        <c:axId val="742122824"/>
        <c:scaling>
          <c:orientation val="minMax"/>
        </c:scaling>
        <c:delete val="0"/>
        <c:axPos val="l"/>
        <c:numFmt formatCode="General" sourceLinked="1"/>
        <c:majorTickMark val="out"/>
        <c:minorTickMark val="none"/>
        <c:tickLblPos val="nextTo"/>
        <c:spPr>
          <a:ln w="3175"/>
        </c:spPr>
        <c:crossAx val="742111064"/>
        <c:crosses val="autoZero"/>
        <c:auto val="0"/>
        <c:lblAlgn val="ctr"/>
        <c:lblOffset val="100"/>
        <c:noMultiLvlLbl val="0"/>
      </c:catAx>
      <c:valAx>
        <c:axId val="742111064"/>
        <c:scaling>
          <c:orientation val="minMax"/>
          <c:max val="7"/>
          <c:min val="-2"/>
        </c:scaling>
        <c:delete val="0"/>
        <c:axPos val="b"/>
        <c:numFmt formatCode="0" sourceLinked="0"/>
        <c:majorTickMark val="out"/>
        <c:minorTickMark val="none"/>
        <c:tickLblPos val="nextTo"/>
        <c:spPr>
          <a:ln w="3175">
            <a:noFill/>
            <a:prstDash val="solid"/>
          </a:ln>
        </c:spPr>
        <c:txPr>
          <a:bodyPr rot="0" vert="horz"/>
          <a:lstStyle/>
          <a:p>
            <a:pPr>
              <a:defRPr/>
            </a:pPr>
            <a:endParaRPr lang="en-US"/>
          </a:p>
        </c:txPr>
        <c:crossAx val="742122824"/>
        <c:crosses val="autoZero"/>
        <c:crossBetween val="between"/>
        <c:majorUnit val="2"/>
      </c:valAx>
      <c:spPr>
        <a:noFill/>
        <a:ln w="25402">
          <a:noFill/>
        </a:ln>
      </c:spPr>
    </c:plotArea>
    <c:plotVisOnly val="1"/>
    <c:dispBlanksAs val="gap"/>
    <c:showDLblsOverMax val="0"/>
  </c:chart>
  <c:spPr>
    <a:solidFill>
      <a:srgbClr val="FFFFFF"/>
    </a:solidFill>
    <a:ln>
      <a:noFill/>
    </a:ln>
  </c:spPr>
  <c:txPr>
    <a:bodyPr/>
    <a:lstStyle/>
    <a:p>
      <a:pPr algn="just">
        <a:defRPr sz="800" b="0" i="0" u="none" strike="noStrike" baseline="0">
          <a:solidFill>
            <a:srgbClr val="000000"/>
          </a:solidFill>
          <a:latin typeface="Segoe UI Light" panose="020B0502040204020203" pitchFamily="34" charset="0"/>
          <a:ea typeface="Garamond"/>
          <a:cs typeface="Segoe UI Semilight" panose="020B0402040204020203" pitchFamily="34" charset="0"/>
        </a:defRPr>
      </a:pPr>
      <a:endParaRPr lang="en-US"/>
    </a:p>
  </c:txPr>
  <c:externalData r:id="rId2">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998015421389375E-2"/>
          <c:y val="3.6866359447004601E-2"/>
          <c:w val="0.71574700033992023"/>
          <c:h val="0.90177944103140961"/>
        </c:manualLayout>
      </c:layout>
      <c:barChart>
        <c:barDir val="bar"/>
        <c:grouping val="clustered"/>
        <c:varyColors val="0"/>
        <c:ser>
          <c:idx val="1"/>
          <c:order val="0"/>
          <c:tx>
            <c:strRef>
              <c:f>Sheet1!$B$1</c:f>
              <c:strCache>
                <c:ptCount val="1"/>
              </c:strCache>
            </c:strRef>
          </c:tx>
          <c:spPr>
            <a:solidFill>
              <a:srgbClr val="92B7C4"/>
            </a:solidFill>
            <a:ln w="3175">
              <a:noFill/>
              <a:prstDash val="solid"/>
            </a:ln>
          </c:spPr>
          <c:invertIfNegative val="0"/>
          <c:dPt>
            <c:idx val="9"/>
            <c:invertIfNegative val="0"/>
            <c:bubble3D val="0"/>
            <c:spPr>
              <a:solidFill>
                <a:srgbClr val="006666"/>
              </a:solidFill>
              <a:ln w="3175">
                <a:noFill/>
                <a:prstDash val="solid"/>
              </a:ln>
            </c:spPr>
            <c:extLst>
              <c:ext xmlns:c16="http://schemas.microsoft.com/office/drawing/2014/chart" uri="{C3380CC4-5D6E-409C-BE32-E72D297353CC}">
                <c16:uniqueId val="{00000001-44E6-4975-99A3-86DA95A5FC67}"/>
              </c:ext>
            </c:extLst>
          </c:dPt>
          <c:dLbls>
            <c:dLbl>
              <c:idx val="0"/>
              <c:layout>
                <c:manualLayout>
                  <c:x val="-1.5335654612077372E-2"/>
                  <c:y val="-9.503671724577947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E6-4975-99A3-86DA95A5FC67}"/>
                </c:ext>
              </c:extLst>
            </c:dLbl>
            <c:dLbl>
              <c:idx val="3"/>
              <c:layout>
                <c:manualLayout>
                  <c:x val="-3.067130922415474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E6-4975-99A3-86DA95A5FC67}"/>
                </c:ext>
              </c:extLst>
            </c:dLbl>
            <c:dLbl>
              <c:idx val="4"/>
              <c:layout>
                <c:manualLayout>
                  <c:x val="-2.1786893569953225E-2"/>
                  <c:y val="-1.6327183699592882E-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E6-4975-99A3-86DA95A5FC67}"/>
                </c:ext>
              </c:extLst>
            </c:dLbl>
            <c:dLbl>
              <c:idx val="17"/>
              <c:layout>
                <c:manualLayout>
                  <c:x val="0"/>
                  <c:y val="-8.241758241758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E6-4975-99A3-86DA95A5FC67}"/>
                </c:ext>
              </c:extLst>
            </c:dLbl>
            <c:dLbl>
              <c:idx val="18"/>
              <c:layout>
                <c:manualLayout>
                  <c:x val="0"/>
                  <c:y val="-1.64835164835164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E6-4975-99A3-86DA95A5FC67}"/>
                </c:ext>
              </c:extLst>
            </c:dLbl>
            <c:dLbl>
              <c:idx val="19"/>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E6-4975-99A3-86DA95A5FC67}"/>
                </c:ext>
              </c:extLst>
            </c:dLbl>
            <c:dLbl>
              <c:idx val="20"/>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E6-4975-99A3-86DA95A5FC67}"/>
                </c:ext>
              </c:extLst>
            </c:dLbl>
            <c:dLbl>
              <c:idx val="21"/>
              <c:layout>
                <c:manualLayout>
                  <c:x val="1.065879159741259E-16"/>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E6-4975-99A3-86DA95A5FC67}"/>
                </c:ext>
              </c:extLst>
            </c:dLbl>
            <c:dLbl>
              <c:idx val="22"/>
              <c:layout>
                <c:manualLayout>
                  <c:x val="0"/>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E6-4975-99A3-86DA95A5FC67}"/>
                </c:ext>
              </c:extLst>
            </c:dLbl>
            <c:dLbl>
              <c:idx val="23"/>
              <c:layout>
                <c:manualLayout>
                  <c:x val="1.065879159741259E-16"/>
                  <c:y val="-3.846153846153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E6-4975-99A3-86DA95A5FC67}"/>
                </c:ext>
              </c:extLst>
            </c:dLbl>
            <c:numFmt formatCode="#,##0.0" sourceLinked="0"/>
            <c:spPr>
              <a:noFill/>
              <a:ln w="2540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Sheet1!$B$2:$B$11</c:f>
              <c:numCache>
                <c:formatCode>0.0</c:formatCode>
                <c:ptCount val="10"/>
                <c:pt idx="0">
                  <c:v>2.8419994853882571</c:v>
                </c:pt>
                <c:pt idx="1">
                  <c:v>3.6753618808390769</c:v>
                </c:pt>
                <c:pt idx="2">
                  <c:v>2.4125287535567139</c:v>
                </c:pt>
                <c:pt idx="3">
                  <c:v>3.1236840136578365</c:v>
                </c:pt>
                <c:pt idx="4">
                  <c:v>6.1258794623118007</c:v>
                </c:pt>
                <c:pt idx="5">
                  <c:v>2.8995288278756561</c:v>
                </c:pt>
                <c:pt idx="6">
                  <c:v>5.5793266180139227</c:v>
                </c:pt>
                <c:pt idx="7">
                  <c:v>2.2164653447246394</c:v>
                </c:pt>
                <c:pt idx="9">
                  <c:v>3.6599581687821541</c:v>
                </c:pt>
              </c:numCache>
            </c:numRef>
          </c:val>
          <c:extLst>
            <c:ext xmlns:c16="http://schemas.microsoft.com/office/drawing/2014/chart" uri="{C3380CC4-5D6E-409C-BE32-E72D297353CC}">
              <c16:uniqueId val="{0000000C-44E6-4975-99A3-86DA95A5FC67}"/>
            </c:ext>
          </c:extLst>
        </c:ser>
        <c:dLbls>
          <c:showLegendKey val="0"/>
          <c:showVal val="0"/>
          <c:showCatName val="0"/>
          <c:showSerName val="0"/>
          <c:showPercent val="0"/>
          <c:showBubbleSize val="0"/>
        </c:dLbls>
        <c:gapWidth val="40"/>
        <c:axId val="742112632"/>
        <c:axId val="742113024"/>
      </c:barChart>
      <c:catAx>
        <c:axId val="742112632"/>
        <c:scaling>
          <c:orientation val="minMax"/>
        </c:scaling>
        <c:delete val="0"/>
        <c:axPos val="l"/>
        <c:numFmt formatCode="General" sourceLinked="1"/>
        <c:majorTickMark val="out"/>
        <c:minorTickMark val="none"/>
        <c:tickLblPos val="nextTo"/>
        <c:spPr>
          <a:ln w="3175"/>
        </c:spPr>
        <c:crossAx val="742113024"/>
        <c:crosses val="autoZero"/>
        <c:auto val="0"/>
        <c:lblAlgn val="ctr"/>
        <c:lblOffset val="100"/>
        <c:noMultiLvlLbl val="0"/>
      </c:catAx>
      <c:valAx>
        <c:axId val="742113024"/>
        <c:scaling>
          <c:orientation val="minMax"/>
          <c:max val="7"/>
          <c:min val="-2"/>
        </c:scaling>
        <c:delete val="0"/>
        <c:axPos val="b"/>
        <c:numFmt formatCode="0" sourceLinked="0"/>
        <c:majorTickMark val="out"/>
        <c:minorTickMark val="none"/>
        <c:tickLblPos val="nextTo"/>
        <c:spPr>
          <a:ln w="3175">
            <a:noFill/>
            <a:prstDash val="solid"/>
          </a:ln>
        </c:spPr>
        <c:txPr>
          <a:bodyPr rot="0" vert="horz"/>
          <a:lstStyle/>
          <a:p>
            <a:pPr>
              <a:defRPr/>
            </a:pPr>
            <a:endParaRPr lang="en-US"/>
          </a:p>
        </c:txPr>
        <c:crossAx val="742112632"/>
        <c:crosses val="autoZero"/>
        <c:crossBetween val="between"/>
        <c:majorUnit val="2"/>
      </c:valAx>
      <c:spPr>
        <a:noFill/>
        <a:ln w="25402">
          <a:noFill/>
        </a:ln>
      </c:spPr>
    </c:plotArea>
    <c:plotVisOnly val="1"/>
    <c:dispBlanksAs val="gap"/>
    <c:showDLblsOverMax val="0"/>
  </c:chart>
  <c:spPr>
    <a:solidFill>
      <a:srgbClr val="FFFFFF"/>
    </a:solidFill>
    <a:ln>
      <a:noFill/>
    </a:ln>
  </c:spPr>
  <c:txPr>
    <a:bodyPr/>
    <a:lstStyle/>
    <a:p>
      <a:pPr algn="just">
        <a:defRPr sz="800" b="0" i="0" u="none" strike="noStrike" baseline="0">
          <a:solidFill>
            <a:srgbClr val="000000"/>
          </a:solidFill>
          <a:latin typeface="Segoe UI Light" panose="020B0502040204020203" pitchFamily="34" charset="0"/>
          <a:ea typeface="Garamond"/>
          <a:cs typeface="Segoe UI Semilight" panose="020B0402040204020203" pitchFamily="34" charset="0"/>
        </a:defRPr>
      </a:pPr>
      <a:endParaRPr lang="en-US"/>
    </a:p>
  </c:txPr>
  <c:externalData r:id="rId2">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331875182268885"/>
          <c:y val="2.8294751664599384E-3"/>
          <c:w val="0.58668124817731115"/>
          <c:h val="0.97769724003345415"/>
        </c:manualLayout>
      </c:layout>
      <c:barChart>
        <c:barDir val="bar"/>
        <c:grouping val="clustered"/>
        <c:varyColors val="0"/>
        <c:ser>
          <c:idx val="0"/>
          <c:order val="0"/>
          <c:tx>
            <c:strRef>
              <c:f>Sheet1!$B$1</c:f>
              <c:strCache>
                <c:ptCount val="1"/>
                <c:pt idx="0">
                  <c:v>Series 1</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Lauksaimniecība, mežsaimniecība un zivsaimniecība</c:v>
                </c:pt>
                <c:pt idx="1">
                  <c:v>Ieguves rūpniecība un karjeru izstrāde</c:v>
                </c:pt>
                <c:pt idx="2">
                  <c:v>Ūdens un atkritumu attīrīšana</c:v>
                </c:pt>
                <c:pt idx="3">
                  <c:v>Ražošana</c:v>
                </c:pt>
                <c:pt idx="4">
                  <c:v>Būvniecība</c:v>
                </c:pt>
                <c:pt idx="5">
                  <c:v>Citi pakalpojumi</c:v>
                </c:pt>
                <c:pt idx="6">
                  <c:v>Tirdzniecība</c:v>
                </c:pt>
                <c:pt idx="7">
                  <c:v>Finanšu un apdrošināšanas pakalpojumi</c:v>
                </c:pt>
                <c:pt idx="8">
                  <c:v>Izglītība</c:v>
                </c:pt>
                <c:pt idx="9">
                  <c:v>Publiskais sektors un aizsardzība</c:v>
                </c:pt>
                <c:pt idx="10">
                  <c:v>Transports un uzglabāšana</c:v>
                </c:pt>
                <c:pt idx="11">
                  <c:v>Administratīvie pakalpojumi</c:v>
                </c:pt>
                <c:pt idx="12">
                  <c:v>Izmitināšana un ēdināšana</c:v>
                </c:pt>
                <c:pt idx="13">
                  <c:v>Operācijas ar nekustamo īpašumu</c:v>
                </c:pt>
                <c:pt idx="14">
                  <c:v>Māksla un izklaide</c:v>
                </c:pt>
                <c:pt idx="15">
                  <c:v>Veselības un sociālā aprūpe</c:v>
                </c:pt>
                <c:pt idx="16">
                  <c:v>Profesionālie pakalpojumi</c:v>
                </c:pt>
                <c:pt idx="17">
                  <c:v>Energoapgādes pakalpojumi</c:v>
                </c:pt>
                <c:pt idx="18">
                  <c:v>IKT pakalpojumi</c:v>
                </c:pt>
              </c:strCache>
            </c:strRef>
          </c:cat>
          <c:val>
            <c:numRef>
              <c:f>Sheet1!$B$2:$B$20</c:f>
              <c:numCache>
                <c:formatCode>0.0</c:formatCode>
                <c:ptCount val="19"/>
                <c:pt idx="0">
                  <c:v>-26.862244367837857</c:v>
                </c:pt>
                <c:pt idx="1">
                  <c:v>-17.313466787989082</c:v>
                </c:pt>
                <c:pt idx="2">
                  <c:v>-1.5305611801027048</c:v>
                </c:pt>
                <c:pt idx="3">
                  <c:v>-0.1411849877377182</c:v>
                </c:pt>
                <c:pt idx="4">
                  <c:v>9.0046799552244358E-2</c:v>
                </c:pt>
                <c:pt idx="5">
                  <c:v>1.3468959176708237</c:v>
                </c:pt>
                <c:pt idx="6">
                  <c:v>2.0709007204994538</c:v>
                </c:pt>
                <c:pt idx="7">
                  <c:v>2.4776871503608491</c:v>
                </c:pt>
                <c:pt idx="8">
                  <c:v>2.772733177800272</c:v>
                </c:pt>
                <c:pt idx="9">
                  <c:v>3.4572776655487392</c:v>
                </c:pt>
                <c:pt idx="10">
                  <c:v>3.7227826047782542</c:v>
                </c:pt>
                <c:pt idx="11">
                  <c:v>4.0318460282730388</c:v>
                </c:pt>
                <c:pt idx="12">
                  <c:v>7.1048838200230282</c:v>
                </c:pt>
                <c:pt idx="13">
                  <c:v>7.5381955681218162</c:v>
                </c:pt>
                <c:pt idx="14">
                  <c:v>8.1593877185621864</c:v>
                </c:pt>
                <c:pt idx="15">
                  <c:v>8.9646116429219536</c:v>
                </c:pt>
                <c:pt idx="16">
                  <c:v>11.832618325837121</c:v>
                </c:pt>
                <c:pt idx="17">
                  <c:v>11.856294116551505</c:v>
                </c:pt>
                <c:pt idx="18">
                  <c:v>13.688240364519444</c:v>
                </c:pt>
              </c:numCache>
            </c:numRef>
          </c:val>
          <c:extLst>
            <c:ext xmlns:c16="http://schemas.microsoft.com/office/drawing/2014/chart" uri="{C3380CC4-5D6E-409C-BE32-E72D297353CC}">
              <c16:uniqueId val="{00000000-8CE7-45F2-8E0E-1FA130804F6E}"/>
            </c:ext>
          </c:extLst>
        </c:ser>
        <c:ser>
          <c:idx val="1"/>
          <c:order val="1"/>
          <c:tx>
            <c:strRef>
              <c:f>Sheet1!$C$1</c:f>
              <c:strCache>
                <c:ptCount val="1"/>
                <c:pt idx="0">
                  <c:v>Column1</c:v>
                </c:pt>
              </c:strCache>
            </c:strRef>
          </c:tx>
          <c:spPr>
            <a:solidFill>
              <a:schemeClr val="accent2"/>
            </a:solidFill>
            <a:ln>
              <a:noFill/>
            </a:ln>
            <a:effectLst/>
          </c:spPr>
          <c:invertIfNegative val="0"/>
          <c:cat>
            <c:strRef>
              <c:f>Sheet1!$A$2:$A$20</c:f>
              <c:strCache>
                <c:ptCount val="19"/>
                <c:pt idx="0">
                  <c:v>Lauksaimniecība, mežsaimniecība un zivsaimniecība</c:v>
                </c:pt>
                <c:pt idx="1">
                  <c:v>Ieguves rūpniecība un karjeru izstrāde</c:v>
                </c:pt>
                <c:pt idx="2">
                  <c:v>Ūdens un atkritumu attīrīšana</c:v>
                </c:pt>
                <c:pt idx="3">
                  <c:v>Ražošana</c:v>
                </c:pt>
                <c:pt idx="4">
                  <c:v>Būvniecība</c:v>
                </c:pt>
                <c:pt idx="5">
                  <c:v>Citi pakalpojumi</c:v>
                </c:pt>
                <c:pt idx="6">
                  <c:v>Tirdzniecība</c:v>
                </c:pt>
                <c:pt idx="7">
                  <c:v>Finanšu un apdrošināšanas pakalpojumi</c:v>
                </c:pt>
                <c:pt idx="8">
                  <c:v>Izglītība</c:v>
                </c:pt>
                <c:pt idx="9">
                  <c:v>Publiskais sektors un aizsardzība</c:v>
                </c:pt>
                <c:pt idx="10">
                  <c:v>Transports un uzglabāšana</c:v>
                </c:pt>
                <c:pt idx="11">
                  <c:v>Administratīvie pakalpojumi</c:v>
                </c:pt>
                <c:pt idx="12">
                  <c:v>Izmitināšana un ēdināšana</c:v>
                </c:pt>
                <c:pt idx="13">
                  <c:v>Operācijas ar nekustamo īpašumu</c:v>
                </c:pt>
                <c:pt idx="14">
                  <c:v>Māksla un izklaide</c:v>
                </c:pt>
                <c:pt idx="15">
                  <c:v>Veselības un sociālā aprūpe</c:v>
                </c:pt>
                <c:pt idx="16">
                  <c:v>Profesionālie pakalpojumi</c:v>
                </c:pt>
                <c:pt idx="17">
                  <c:v>Energoapgādes pakalpojumi</c:v>
                </c:pt>
                <c:pt idx="18">
                  <c:v>IKT pakalpojumi</c:v>
                </c:pt>
              </c:strCache>
            </c:strRef>
          </c:cat>
          <c:val>
            <c:numRef>
              <c:f>Sheet1!$C$2:$C$20</c:f>
              <c:numCache>
                <c:formatCode>General</c:formatCode>
                <c:ptCount val="19"/>
              </c:numCache>
            </c:numRef>
          </c:val>
          <c:extLst>
            <c:ext xmlns:c16="http://schemas.microsoft.com/office/drawing/2014/chart" uri="{C3380CC4-5D6E-409C-BE32-E72D297353CC}">
              <c16:uniqueId val="{00000001-8CE7-45F2-8E0E-1FA130804F6E}"/>
            </c:ext>
          </c:extLst>
        </c:ser>
        <c:ser>
          <c:idx val="2"/>
          <c:order val="2"/>
          <c:tx>
            <c:strRef>
              <c:f>Sheet1!$D$1</c:f>
              <c:strCache>
                <c:ptCount val="1"/>
                <c:pt idx="0">
                  <c:v>Column2</c:v>
                </c:pt>
              </c:strCache>
            </c:strRef>
          </c:tx>
          <c:spPr>
            <a:solidFill>
              <a:schemeClr val="accent3"/>
            </a:solidFill>
            <a:ln>
              <a:noFill/>
            </a:ln>
            <a:effectLst/>
          </c:spPr>
          <c:invertIfNegative val="0"/>
          <c:cat>
            <c:strRef>
              <c:f>Sheet1!$A$2:$A$20</c:f>
              <c:strCache>
                <c:ptCount val="19"/>
                <c:pt idx="0">
                  <c:v>Lauksaimniecība, mežsaimniecība un zivsaimniecība</c:v>
                </c:pt>
                <c:pt idx="1">
                  <c:v>Ieguves rūpniecība un karjeru izstrāde</c:v>
                </c:pt>
                <c:pt idx="2">
                  <c:v>Ūdens un atkritumu attīrīšana</c:v>
                </c:pt>
                <c:pt idx="3">
                  <c:v>Ražošana</c:v>
                </c:pt>
                <c:pt idx="4">
                  <c:v>Būvniecība</c:v>
                </c:pt>
                <c:pt idx="5">
                  <c:v>Citi pakalpojumi</c:v>
                </c:pt>
                <c:pt idx="6">
                  <c:v>Tirdzniecība</c:v>
                </c:pt>
                <c:pt idx="7">
                  <c:v>Finanšu un apdrošināšanas pakalpojumi</c:v>
                </c:pt>
                <c:pt idx="8">
                  <c:v>Izglītība</c:v>
                </c:pt>
                <c:pt idx="9">
                  <c:v>Publiskais sektors un aizsardzība</c:v>
                </c:pt>
                <c:pt idx="10">
                  <c:v>Transports un uzglabāšana</c:v>
                </c:pt>
                <c:pt idx="11">
                  <c:v>Administratīvie pakalpojumi</c:v>
                </c:pt>
                <c:pt idx="12">
                  <c:v>Izmitināšana un ēdināšana</c:v>
                </c:pt>
                <c:pt idx="13">
                  <c:v>Operācijas ar nekustamo īpašumu</c:v>
                </c:pt>
                <c:pt idx="14">
                  <c:v>Māksla un izklaide</c:v>
                </c:pt>
                <c:pt idx="15">
                  <c:v>Veselības un sociālā aprūpe</c:v>
                </c:pt>
                <c:pt idx="16">
                  <c:v>Profesionālie pakalpojumi</c:v>
                </c:pt>
                <c:pt idx="17">
                  <c:v>Energoapgādes pakalpojumi</c:v>
                </c:pt>
                <c:pt idx="18">
                  <c:v>IKT pakalpojumi</c:v>
                </c:pt>
              </c:strCache>
            </c:strRef>
          </c:cat>
          <c:val>
            <c:numRef>
              <c:f>Sheet1!$D$2:$D$20</c:f>
              <c:numCache>
                <c:formatCode>General</c:formatCode>
                <c:ptCount val="19"/>
              </c:numCache>
            </c:numRef>
          </c:val>
          <c:extLst>
            <c:ext xmlns:c16="http://schemas.microsoft.com/office/drawing/2014/chart" uri="{C3380CC4-5D6E-409C-BE32-E72D297353CC}">
              <c16:uniqueId val="{00000002-8CE7-45F2-8E0E-1FA130804F6E}"/>
            </c:ext>
          </c:extLst>
        </c:ser>
        <c:dLbls>
          <c:showLegendKey val="0"/>
          <c:showVal val="0"/>
          <c:showCatName val="0"/>
          <c:showSerName val="0"/>
          <c:showPercent val="0"/>
          <c:showBubbleSize val="0"/>
        </c:dLbls>
        <c:gapWidth val="61"/>
        <c:overlap val="100"/>
        <c:axId val="292197296"/>
        <c:axId val="292200176"/>
      </c:barChart>
      <c:catAx>
        <c:axId val="29219729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292200176"/>
        <c:crosses val="autoZero"/>
        <c:auto val="1"/>
        <c:lblAlgn val="ctr"/>
        <c:lblOffset val="100"/>
        <c:noMultiLvlLbl val="0"/>
      </c:catAx>
      <c:valAx>
        <c:axId val="292200176"/>
        <c:scaling>
          <c:orientation val="minMax"/>
        </c:scaling>
        <c:delete val="1"/>
        <c:axPos val="b"/>
        <c:numFmt formatCode="0.0" sourceLinked="1"/>
        <c:majorTickMark val="none"/>
        <c:minorTickMark val="none"/>
        <c:tickLblPos val="nextTo"/>
        <c:crossAx val="2921972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Sheet1!$A$2:$B$66</cx:f>
        <cx:lvl ptCount="65">
          <cx:pt idx="0">Augkopība, lopkopība</cx:pt>
          <cx:pt idx="1">Mežsaimniecība</cx:pt>
          <cx:pt idx="2">Zivsaimniecība</cx:pt>
          <cx:pt idx="3">Ieguves rūpniecība</cx:pt>
          <cx:pt idx="4">Pārtikas ražošana</cx:pt>
          <cx:pt idx="5">Vieglā rūpniecība</cx:pt>
          <cx:pt idx="6">Kokapstrāde</cx:pt>
          <cx:pt idx="7">Papīra ražošana</cx:pt>
          <cx:pt idx="8">Poligrāfija</cx:pt>
          <cx:pt idx="9">Ķīmiskā rūpniecība</cx:pt>
          <cx:pt idx="10">Farmācija</cx:pt>
          <cx:pt idx="11">Gumija, plastmasa</cx:pt>
          <cx:pt idx="12">Nemetāliskie minerāli</cx:pt>
          <cx:pt idx="13">Metālapstrāde</cx:pt>
          <cx:pt idx="14">Datori, elektroniskās iekārtas</cx:pt>
          <cx:pt idx="15">Elektrisko iekārtu ražošana</cx:pt>
          <cx:pt idx="16">Mašīnas un iekārtas</cx:pt>
          <cx:pt idx="17">Transportlīdzekļu ražošana</cx:pt>
          <cx:pt idx="18">Mēbeles</cx:pt>
          <cx:pt idx="19">Cita ražošana</cx:pt>
          <cx:pt idx="20">Enerģētika</cx:pt>
          <cx:pt idx="21">Ūdens apgāde</cx:pt>
          <cx:pt idx="22">Notekūdeņi, atkritumi</cx:pt>
          <cx:pt idx="23">Ēku būvniecība</cx:pt>
          <cx:pt idx="24">Inženierbūvniecība</cx:pt>
          <cx:pt idx="25">Specializētie būvdarbi</cx:pt>
          <cx:pt idx="26">Auto tirdzniecība</cx:pt>
          <cx:pt idx="27">Vairumtirdzniecība</cx:pt>
          <cx:pt idx="28">Mazumtirdzniecība</cx:pt>
          <cx:pt idx="29">Sauszemes transports</cx:pt>
          <cx:pt idx="30">Ūdens</cx:pt>
          <cx:pt idx="31">Gaisa</cx:pt>
          <cx:pt idx="32">Transporta palīgdarbības</cx:pt>
          <cx:pt idx="33">Pasts, kurjeri</cx:pt>
          <cx:pt idx="34">Izmitināšana </cx:pt>
          <cx:pt idx="35">Ēdināšana</cx:pt>
          <cx:pt idx="36">Izdevējdarbība, TV</cx:pt>
          <cx:pt idx="37">Telekomunikācija</cx:pt>
          <cx:pt idx="38">Datorprogrammēšana</cx:pt>
          <cx:pt idx="39">Finanšu pakalpojumi</cx:pt>
          <cx:pt idx="40">Apdrošināšana</cx:pt>
          <cx:pt idx="41">Finanšu palīgdarbības</cx:pt>
          <cx:pt idx="42">Īpašumu apsaimniekošana</cx:pt>
          <cx:pt idx="43">Nosacītā īre</cx:pt>
          <cx:pt idx="44">Juridiskie, grāmatvedības pakalpojumi</cx:pt>
          <cx:pt idx="45">Arhitektūra, inženiertehniski pak.</cx:pt>
          <cx:pt idx="46">Zinātne</cx:pt>
          <cx:pt idx="47">Reklāma</cx:pt>
          <cx:pt idx="48">Citi komercpakalpojumi</cx:pt>
          <cx:pt idx="49">Iznomāšana, līzings</cx:pt>
          <cx:pt idx="50">Darbaspēka meklēšana</cx:pt>
          <cx:pt idx="51">Ceļojumu biroji</cx:pt>
          <cx:pt idx="52">Apsardze, uzņēmumu palīgdarbības</cx:pt>
          <cx:pt idx="53">Valsts pārvalde un aizsardzība</cx:pt>
          <cx:pt idx="54">Izglītība</cx:pt>
          <cx:pt idx="55">Veselības aizsardzība</cx:pt>
          <cx:pt idx="56">Sociālā aprūpe</cx:pt>
          <cx:pt idx="57">Radošas, mākslinieciskas darbības</cx:pt>
          <cx:pt idx="58">Bibliotēkas, muzeji</cx:pt>
          <cx:pt idx="59"> Azartspēles</cx:pt>
          <cx:pt idx="60">Sports</cx:pt>
          <cx:pt idx="61">Sabiedriskās organizācijas</cx:pt>
          <cx:pt idx="62">Piederumu remonts</cx:pt>
          <cx:pt idx="63">Pārējie pakalpojumi</cx:pt>
          <cx:pt idx="64">Mājsaimniecības kā darba devējs</cx:pt>
        </cx:lvl>
        <cx:lvl ptCount="65">
          <cx:pt idx="0">Lauksaimniecība, mežsaimniecība</cx:pt>
          <cx:pt idx="1">Lauksaimniecība, mežsaimniecība</cx:pt>
          <cx:pt idx="2">Lauksaimniecība, mežsaimniecība</cx:pt>
          <cx:pt idx="3">Ieguves rūpniecība</cx:pt>
          <cx:pt idx="4">Apstrādes rūpniecība</cx:pt>
          <cx:pt idx="5">Apstrādes rūpniecība</cx:pt>
          <cx:pt idx="6">Apstrādes rūpniecība</cx:pt>
          <cx:pt idx="7">Apstrādes rūpniecība</cx:pt>
          <cx:pt idx="8">Apstrādes rūpniecība</cx:pt>
          <cx:pt idx="9">Apstrādes rūpniecība</cx:pt>
          <cx:pt idx="10">Apstrādes rūpniecība</cx:pt>
          <cx:pt idx="11">Apstrādes rūpniecība</cx:pt>
          <cx:pt idx="12">Apstrādes rūpniecība</cx:pt>
          <cx:pt idx="13">Apstrādes rūpniecība</cx:pt>
          <cx:pt idx="14">Apstrādes rūpniecība</cx:pt>
          <cx:pt idx="15">Apstrādes rūpniecība</cx:pt>
          <cx:pt idx="16">Apstrādes rūpniecība</cx:pt>
          <cx:pt idx="17">Apstrādes rūpniecība</cx:pt>
          <cx:pt idx="18">Apstrādes rūpniecība</cx:pt>
          <cx:pt idx="19">Apstrādes rūpniecība</cx:pt>
          <cx:pt idx="20">Enerģētika</cx:pt>
          <cx:pt idx="21">Ūdens apgāde</cx:pt>
          <cx:pt idx="22">Ūdens apgāde</cx:pt>
          <cx:pt idx="23">Būvniecība</cx:pt>
          <cx:pt idx="24">Būvniecība</cx:pt>
          <cx:pt idx="25">Būvniecība</cx:pt>
          <cx:pt idx="26">Tirdzniecība</cx:pt>
          <cx:pt idx="27">Tirdzniecība</cx:pt>
          <cx:pt idx="28">Tirdzniecība</cx:pt>
          <cx:pt idx="29">Transports un uzglabāšana</cx:pt>
          <cx:pt idx="30">Transports un uzglabāšana</cx:pt>
          <cx:pt idx="31">Transports un uzglabāšana</cx:pt>
          <cx:pt idx="32">Transports un uzglabāšana</cx:pt>
          <cx:pt idx="33">Transports un uzglabāšana</cx:pt>
          <cx:pt idx="34">Izmitināšana un ēdināšana</cx:pt>
          <cx:pt idx="35">Izmitināšana un ēdināšana</cx:pt>
          <cx:pt idx="36">IKT</cx:pt>
          <cx:pt idx="37">IKT</cx:pt>
          <cx:pt idx="38">IKT</cx:pt>
          <cx:pt idx="39">Finanšu un apdrošināšanas darbības</cx:pt>
          <cx:pt idx="40">Finanšu un apdrošināšanas darbības</cx:pt>
          <cx:pt idx="41">Finanšu un apdrošināšanas darbības</cx:pt>
          <cx:pt idx="42">Operācijas ar nekustamo īpašumu</cx:pt>
          <cx:pt idx="43">Operācijas ar nekustamo īpašumu</cx:pt>
          <cx:pt idx="44">Profesionālie, zinātniskie un tehniskie pakalpojumi</cx:pt>
          <cx:pt idx="45">Profesionālie, zinātniskie un tehniskie pakalpojumi</cx:pt>
          <cx:pt idx="46">Profesionālie, zinātniskie un tehniskie pakalpojumi</cx:pt>
          <cx:pt idx="47">Profesionālie, zinātniskie un tehniskie pakalpojumi</cx:pt>
          <cx:pt idx="48">Profesionālie, zinātniskie un tehniskie pakalpojumi</cx:pt>
          <cx:pt idx="49">Administratīvie un apkalpojošie dienesti</cx:pt>
          <cx:pt idx="50">Administratīvie un apkalpojošie dienesti</cx:pt>
          <cx:pt idx="51">Administratīvie un apkalpojošie dienesti</cx:pt>
          <cx:pt idx="52">Administratīvie un apkalpojošie dienesti</cx:pt>
          <cx:pt idx="53">Valsts pārvalde un aizsardzība</cx:pt>
          <cx:pt idx="54">Izglītība</cx:pt>
          <cx:pt idx="55">Veselība un sociālā aprūpe</cx:pt>
          <cx:pt idx="56">Veselība un sociālā aprūpe</cx:pt>
          <cx:pt idx="57">Māksla, izklaide un atpūta</cx:pt>
          <cx:pt idx="58">Māksla, izklaide un atpūta</cx:pt>
          <cx:pt idx="59">Māksla, izklaide un atpūta</cx:pt>
          <cx:pt idx="60">Māksla, izklaide un atpūta</cx:pt>
          <cx:pt idx="61">Citi pakalpojumi</cx:pt>
          <cx:pt idx="62">Citi pakalpojumi</cx:pt>
          <cx:pt idx="63">Citi pakalpojumi</cx:pt>
          <cx:pt idx="64">Mājsaimniecību kā darba devēju darbība</cx:pt>
        </cx:lvl>
      </cx:strDim>
      <cx:numDim type="size">
        <cx:f>Sheet1!$C$2:$C$66</cx:f>
        <cx:lvl ptCount="65" formatCode="0.0%">
          <cx:pt idx="0">0.02155893740455251</cx:pt>
          <cx:pt idx="1">0.023502366143156529</cx:pt>
          <cx:pt idx="2">0.0022051728981903125</cx:pt>
          <cx:pt idx="3">0.0053552605550016476</cx:pt>
          <cx:pt idx="4">0.029695109803778798</cx:pt>
          <cx:pt idx="5">0.0039311241178280523</cx:pt>
          <cx:pt idx="6">0.035596946767010883</cx:pt>
          <cx:pt idx="7">0.00099696751027505254</cx:pt>
          <cx:pt idx="8">0.0033232250342501743</cx:pt>
          <cx:pt idx="9">0.0036799655040908987</cx:pt>
          <cx:pt idx="10">0.0036799655040908987</cx:pt>
          <cx:pt idx="11">0.0046646191311140763</cx:pt>
          <cx:pt idx="12">0.0068345364897356717</cx:pt>
          <cx:pt idx="13">0.01224904047470881</cx:pt>
          <cx:pt idx="14">0.0073653153460085377</cx:pt>
          <cx:pt idx="15">0.0059718773075744898</cx:pt>
          <cx:pt idx="16">0.0038622124941711999</cx:pt>
          <cx:pt idx="17">0.005822096838364002</cx:pt>
          <cx:pt idx="18">0.0034617711959966076</cx:pt>
          <cx:pt idx="19">0.0038612063339962155</cx:pt>
          <cx:pt idx="20">0.026843443122241021</cx:pt>
          <cx:pt idx="21">0.0031920807617697041</cx:pt>
          <cx:pt idx="22">0.0081987297942083346</cx:pt>
          <cx:pt idx="23">0.022540850214568069</cx:pt>
          <cx:pt idx="24">0.017302898075934759</cx:pt>
          <cx:pt idx="25">0.019009646525601793</cx:pt>
          <cx:pt idx="26">0.019926365137834346</cx:pt>
          <cx:pt idx="27">0.048117465044422617</cx:pt>
          <cx:pt idx="28">0.053747283755191576</cx:pt>
          <cx:pt idx="29">0.038002503198383025</cx:pt>
          <cx:pt idx="30">0.00074508807161831542</cx:pt>
          <cx:pt idx="31">0.004830786797126038</cx:pt>
          <cx:pt idx="32">0.015673417153882051</cx:pt>
          <cx:pt idx="33">0.002399145149311859</cx:pt>
          <cx:pt idx="34">0.0052224116346696386</cx:pt>
          <cx:pt idx="35">0.015919974657801299</cx:pt>
          <cx:pt idx="36">0.0061258398516126217</cx:pt>
          <cx:pt idx="37">0.017923839686087763</cx:pt>
          <cx:pt idx="38">0.044909377031820269</cx:pt>
          <cx:pt idx="39">0.024045833625657671</cx:pt>
          <cx:pt idx="40">0.0085496336570554127</cx:pt>
          <cx:pt idx="41">0.0067481127918630167</cx:pt>
          <cx:pt idx="42">0.041614711029578387</cx:pt>
          <cx:pt idx="43">0.068906975922043742</cx:pt>
          <cx:pt idx="44">0.022208787640046482</cx:pt>
          <cx:pt idx="45">0.0085568094526567197</cx:pt>
          <cx:pt idx="46">0.0049580639766959259</cx:pt>
          <cx:pt idx="47">0.0093463596224974948</cx:pt>
          <cx:pt idx="48">0.005561743884178765</cx:pt>
          <cx:pt idx="49">0.0087298953888842908</cx:pt>
          <cx:pt idx="50">0.0070258287079694301</cx:pt>
          <cx:pt idx="51">0.0045026419816336181</cx:pt>
          <cx:pt idx="52">0.017711944918276983</cx:pt>
          <cx:pt idx="53">0.073261662404015868</cx:pt>
          <cx:pt idx="54">0.047794968623400581</cx:pt>
          <cx:pt idx="55">0.044473029992891391</cx:pt>
          <cx:pt idx="56">0.0076504346502516201</cx:pt>
          <cx:pt idx="57">0.0070126884704701398</cx:pt>
          <cx:pt idx="58">0.0019615547633307219</cx:pt>
          <cx:pt idx="59">0.0073408579426128308</cx:pt>
          <cx:pt idx="60">0.0043917621627073116</cx:pt>
          <cx:pt idx="61">0.0039442662099066546</cx:pt>
          <cx:pt idx="62">0.00041019346563501735</cx:pt>
          <cx:pt idx="63">0.0039242714164006449</cx:pt>
          <cx:pt idx="64">0.0011181047813587524</cx:pt>
        </cx:lvl>
      </cx:numDim>
    </cx:data>
  </cx:chartData>
  <cx:chart>
    <cx:plotArea>
      <cx:plotAreaRegion>
        <cx:series layoutId="treemap" uniqueId="{18424DB8-F556-498A-AB18-EE74F7A63052}">
          <cx:tx>
            <cx:txData>
              <cx:f>Sheet1!$C$1</cx:f>
              <cx:v>Series1</cx:v>
            </cx:txData>
          </cx:tx>
          <cx:spPr>
            <a:ln>
              <a:noFill/>
            </a:ln>
          </cx:spPr>
          <cx:dataPt idx="67">
            <cx:spPr>
              <a:solidFill>
                <a:srgbClr val="ED7D31">
                  <a:lumMod val="20000"/>
                  <a:lumOff val="80000"/>
                </a:srgbClr>
              </a:solidFill>
            </cx:spPr>
          </cx:dataPt>
          <cx:dataId val="0"/>
          <cx:layoutPr/>
        </cx:series>
      </cx:plotAreaRegion>
    </cx:plotArea>
  </cx:chart>
  <cx:spPr>
    <a:noFill/>
    <a:ln>
      <a:noFill/>
    </a:ln>
  </cx:spPr>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Sheet1!$A$2:$B$84</cx:f>
        <cx:lvl ptCount="83">
          <cx:pt idx="0">Augkopība un lopkopība</cx:pt>
          <cx:pt idx="1">Mežsaimniecība un mežizstrāde</cx:pt>
          <cx:pt idx="2">Zivsaimniecība</cx:pt>
          <cx:pt idx="3">Jēlnaftas un dabasgāzes ieguve</cx:pt>
          <cx:pt idx="4">Karjeru izstrāde</cx:pt>
          <cx:pt idx="5">Rūpniecības palīgdarbības</cx:pt>
          <cx:pt idx="6">Pārtikas produktu ražošana</cx:pt>
          <cx:pt idx="7">Dzērienu ražošana</cx:pt>
          <cx:pt idx="8">Tabakas izstrādājumu ražošana</cx:pt>
          <cx:pt idx="9">Tekstilizstrādājumu ražošana</cx:pt>
          <cx:pt idx="10">Apģērbu ražošana</cx:pt>
          <cx:pt idx="11">Ādas izstrādājumu ražošana</cx:pt>
          <cx:pt idx="12">Kokapstrāde</cx:pt>
          <cx:pt idx="13">Papīra izstrādājumu ražošana</cx:pt>
          <cx:pt idx="14">Poligrāfija</cx:pt>
          <cx:pt idx="15">Naftas pārstrādes produktu ražošana</cx:pt>
          <cx:pt idx="16">Ķīmiskā rūpniecība</cx:pt>
          <cx:pt idx="17">Farmācija</cx:pt>
          <cx:pt idx="18">Gumijas un plastmasu ražošana</cx:pt>
          <cx:pt idx="19">Nemetālisko minerālu ražošana</cx:pt>
          <cx:pt idx="20">Metālu ražošana</cx:pt>
          <cx:pt idx="21">Metalapstrāde</cx:pt>
          <cx:pt idx="22">Datoru, elektronisko un optisko iekārtu ražošana</cx:pt>
          <cx:pt idx="23">Elektrisko iekārtu ražošana</cx:pt>
          <cx:pt idx="24">Mehānismu un darba mašīnu ražošana</cx:pt>
          <cx:pt idx="25">Transportlīdzekļu ražošana</cx:pt>
          <cx:pt idx="26">Citu transportlīdzekļu ražošana</cx:pt>
          <cx:pt idx="27">Mēbeļu ražošana</cx:pt>
          <cx:pt idx="28">Cita veida ražošana</cx:pt>
          <cx:pt idx="29">Iekārtu un ierīču remonts</cx:pt>
          <cx:pt idx="30">Elektroenerģija, gāzes apgāde, siltumapgāde</cx:pt>
          <cx:pt idx="31">Ūdens ieguve, attīrīšana un apgāde</cx:pt>
          <cx:pt idx="32">Notekūdeņu attīrīšana</cx:pt>
          <cx:pt idx="33">Atkritumu savākšana, pārstrāde</cx:pt>
          <cx:pt idx="34">Sanitārija</cx:pt>
          <cx:pt idx="35">Ēku būvniecība</cx:pt>
          <cx:pt idx="36">Inženierbūvniecība</cx:pt>
          <cx:pt idx="37">Specializētie būvdarbi</cx:pt>
          <cx:pt idx="38">Auto un moto tirdzniecība</cx:pt>
          <cx:pt idx="39">Vairumtirdzniecība</cx:pt>
          <cx:pt idx="40">Mazumtirdzniecība</cx:pt>
          <cx:pt idx="41">Sauszemes un cauruļvadu transports</cx:pt>
          <cx:pt idx="42">Ūdens transports</cx:pt>
          <cx:pt idx="43">Gaisa transports</cx:pt>
          <cx:pt idx="44">Uzglabāšanas un transporta palīgdarbības</cx:pt>
          <cx:pt idx="45">Pasta un kurjeru darbība</cx:pt>
          <cx:pt idx="46">Izmitināšana</cx:pt>
          <cx:pt idx="47">Ēdināšanas pakalpojumi</cx:pt>
          <cx:pt idx="48">Izdevējdarbība</cx:pt>
          <cx:pt idx="49">TV programmu un ierakstu producēšana</cx:pt>
          <cx:pt idx="50">Radio un TV programmu izstrāde</cx:pt>
          <cx:pt idx="51">Telekomunikācija</cx:pt>
          <cx:pt idx="52">Datorprogrammēšana un saistītas darbības</cx:pt>
          <cx:pt idx="53">Informācijas pakalpojumi</cx:pt>
          <cx:pt idx="54">Finanšu pakalpojumi</cx:pt>
          <cx:pt idx="55">Apdrošināšana</cx:pt>
          <cx:pt idx="56">Finanšu pakalpojumu palīgdarbības</cx:pt>
          <cx:pt idx="57">Operācijas ar nekustamo īpašumu</cx:pt>
          <cx:pt idx="58">Juridiskie un grāmatvedības pakalpojumi</cx:pt>
          <cx:pt idx="59">Centrālo biroju darbība, konsultēšana</cx:pt>
          <cx:pt idx="60">Arhitektūras, inženiertehniski pakalpojumi</cx:pt>
          <cx:pt idx="61">Zinātniskās pētniecības darbs</cx:pt>
          <cx:pt idx="62">Reklāmas un tirgus izpētes pakalpojumi</cx:pt>
          <cx:pt idx="63">Citi profesionālie, zinātniskie un tehniskie pakal...</cx:pt>
          <cx:pt idx="64">Veterinārie pakalpojumi</cx:pt>
          <cx:pt idx="65">Iznomāšana un ekspluatācijas līzings</cx:pt>
          <cx:pt idx="66">Personāla nodrošināšana</cx:pt>
          <cx:pt idx="67">Ceļojumu biroju pakalpojumi</cx:pt>
          <cx:pt idx="68">Apsardzes pakalpojumi</cx:pt>
          <cx:pt idx="69">Ēku uzturēšanas pakalpojumi</cx:pt>
          <cx:pt idx="70">Biroju administratīvā darbība</cx:pt>
          <cx:pt idx="71">Valsts pārvalde un aizsardzība</cx:pt>
          <cx:pt idx="72">Izglītība</cx:pt>
          <cx:pt idx="73">Veselības aizsardzība</cx:pt>
          <cx:pt idx="74">Sociālā aprūpe ar izmitināšanu</cx:pt>
          <cx:pt idx="75">Sociālā aprūpe bez izmitināšanas</cx:pt>
          <cx:pt idx="76">Izklaides darbības</cx:pt>
          <cx:pt idx="77">Kultūras iestāžu darbība</cx:pt>
          <cx:pt idx="78">Azartspēles un derības</cx:pt>
          <cx:pt idx="79">Sporta un atpūtas darbības</cx:pt>
          <cx:pt idx="80">Sabiedrisko un politisko organizāciju darbība</cx:pt>
          <cx:pt idx="81">Mājsaimniecības piederumu remonts</cx:pt>
          <cx:pt idx="82">Individuālie pakalpojumi</cx:pt>
        </cx:lvl>
        <cx:lvl ptCount="83">
          <cx:pt idx="0">Lauksaimniecība, mežsaimniecība un zivsaimniecība</cx:pt>
          <cx:pt idx="1">Lauksaimniecība, mežsaimniecība un zivsaimniecība</cx:pt>
          <cx:pt idx="2">Lauksaimniecība, mežsaimniecība un zivsaimniecība</cx:pt>
          <cx:pt idx="3">Ieguves rūpniecība un karjeru izstrāde</cx:pt>
          <cx:pt idx="4">Ieguves rūpniecība un karjeru izstrāde</cx:pt>
          <cx:pt idx="5">Ieguves rūpniecība un karjeru izstrāde</cx:pt>
          <cx:pt idx="6">Apstrādes rūpniecība</cx:pt>
          <cx:pt idx="7">Apstrādes rūpniecība</cx:pt>
          <cx:pt idx="8">Apstrādes rūpniecība</cx:pt>
          <cx:pt idx="9">Apstrādes rūpniecība</cx:pt>
          <cx:pt idx="10">Apstrādes rūpniecība</cx:pt>
          <cx:pt idx="11">Apstrādes rūpniecība</cx:pt>
          <cx:pt idx="12">Apstrādes rūpniecība</cx:pt>
          <cx:pt idx="13">Apstrādes rūpniecība</cx:pt>
          <cx:pt idx="14">Apstrādes rūpniecība</cx:pt>
          <cx:pt idx="15">Apstrādes rūpniecība</cx:pt>
          <cx:pt idx="16">Apstrādes rūpniecība</cx:pt>
          <cx:pt idx="17">Apstrādes rūpniecība</cx:pt>
          <cx:pt idx="18">Apstrādes rūpniecība</cx:pt>
          <cx:pt idx="19">Apstrādes rūpniecība</cx:pt>
          <cx:pt idx="20">Apstrādes rūpniecība</cx:pt>
          <cx:pt idx="21">Apstrādes rūpniecība</cx:pt>
          <cx:pt idx="22">Apstrādes rūpniecība</cx:pt>
          <cx:pt idx="23">Apstrādes rūpniecība</cx:pt>
          <cx:pt idx="24">Apstrādes rūpniecība</cx:pt>
          <cx:pt idx="25">Apstrādes rūpniecība</cx:pt>
          <cx:pt idx="26">Apstrādes rūpniecība</cx:pt>
          <cx:pt idx="27">Apstrādes rūpniecība</cx:pt>
          <cx:pt idx="28">Apstrādes rūpniecība</cx:pt>
          <cx:pt idx="29">Apstrādes rūpniecība</cx:pt>
          <cx:pt idx="30">Elektroenerģija, gāzes un siltumapgāde</cx:pt>
          <cx:pt idx="31">Ūdens apgāde; notekūdeņu un atkritumu apsaimniekoš</cx:pt>
          <cx:pt idx="32">Ūdens apgāde; notekūdeņu un atkritumu apsaimniekoš</cx:pt>
          <cx:pt idx="33">Ūdens apgāde; notekūdeņu un atkritumu apsaimniekoš</cx:pt>
          <cx:pt idx="34">Ūdens apgāde; notekūdeņu un atkritumu apsaimniekoš</cx:pt>
          <cx:pt idx="35">Būvniecība</cx:pt>
          <cx:pt idx="36">Būvniecība</cx:pt>
          <cx:pt idx="37">Būvniecība</cx:pt>
          <cx:pt idx="38">Tirdzniecība</cx:pt>
          <cx:pt idx="39">Tirdzniecība</cx:pt>
          <cx:pt idx="40">Tirdzniecība</cx:pt>
          <cx:pt idx="41">Transports un uzglabāšana</cx:pt>
          <cx:pt idx="42">Transports un uzglabāšana</cx:pt>
          <cx:pt idx="43">Transports un uzglabāšana</cx:pt>
          <cx:pt idx="44">Transports un uzglabāšana</cx:pt>
          <cx:pt idx="45">Transports un uzglabāšana</cx:pt>
          <cx:pt idx="46">Izmitināšana un ēdināšanas pakalpojumi</cx:pt>
          <cx:pt idx="47">Izmitināšana un ēdināšanas pakalpojumi</cx:pt>
          <cx:pt idx="48">Informācijas un komunikācijas pakalpojumi</cx:pt>
          <cx:pt idx="49">Informācijas un komunikācijas pakalpojumi</cx:pt>
          <cx:pt idx="50">Informācijas un komunikācijas pakalpojumi</cx:pt>
          <cx:pt idx="51">Informācijas un komunikācijas pakalpojumi</cx:pt>
          <cx:pt idx="52">Informācijas un komunikācijas pakalpojumi</cx:pt>
          <cx:pt idx="53">Informācijas un komunikācijas pakalpojumi</cx:pt>
          <cx:pt idx="54">Finanšu un apdrošināšanas darbības</cx:pt>
          <cx:pt idx="55">Finanšu un apdrošināšanas darbības</cx:pt>
          <cx:pt idx="56">Finanšu un apdrošināšanas darbības</cx:pt>
          <cx:pt idx="57">Operācijas ar nekustamo īpašumu</cx:pt>
          <cx:pt idx="58">Profesionālie, zinātniskie un tehniskie pakalpojum</cx:pt>
          <cx:pt idx="59">Profesionālie, zinātniskie un tehniskie pakalpojum</cx:pt>
          <cx:pt idx="60">Profesionālie, zinātniskie un tehniskie pakalpojum</cx:pt>
          <cx:pt idx="61">Profesionālie, zinātniskie un tehniskie pakalpojum</cx:pt>
          <cx:pt idx="62">Profesionālie, zinātniskie un tehniskie pakalpojum</cx:pt>
          <cx:pt idx="63">Profesionālie, zinātniskie un tehniskie pakalpojum</cx:pt>
          <cx:pt idx="64">Profesionālie, zinātniskie un tehniskie pakalpojum</cx:pt>
          <cx:pt idx="65">Administratīvo un apkalpojošo dienestu darbība</cx:pt>
          <cx:pt idx="66">Administratīvo un apkalpojošo dienestu darbība</cx:pt>
          <cx:pt idx="67">Administratīvo un apkalpojošo dienestu darbība</cx:pt>
          <cx:pt idx="68">Administratīvo un apkalpojošo dienestu darbība</cx:pt>
          <cx:pt idx="69">Administratīvo un apkalpojošo dienestu darbība</cx:pt>
          <cx:pt idx="70">Administratīvo un apkalpojošo dienestu darbība</cx:pt>
          <cx:pt idx="71">Valsts pārvalde un aizsardzība</cx:pt>
          <cx:pt idx="72">Izglītība</cx:pt>
          <cx:pt idx="73">Veselība un sociālā aprūpe</cx:pt>
          <cx:pt idx="74">Veselība un sociālā aprūpe</cx:pt>
          <cx:pt idx="75">Veselība un sociālā aprūpe</cx:pt>
          <cx:pt idx="76">Māksla, izklaide un atpūta</cx:pt>
          <cx:pt idx="77">Māksla, izklaide un atpūta</cx:pt>
          <cx:pt idx="78">Māksla, izklaide un atpūta</cx:pt>
          <cx:pt idx="79">Māksla, izklaide un atpūta</cx:pt>
          <cx:pt idx="80">Citi pakalp...</cx:pt>
          <cx:pt idx="81">Citi pakalp...</cx:pt>
          <cx:pt idx="82">Citi pakalp...</cx:pt>
        </cx:lvl>
      </cx:strDim>
      <cx:numDim type="size">
        <cx:f>Sheet1!$C$2:$C$84</cx:f>
        <cx:lvl ptCount="83" formatCode="0.0%">
          <cx:pt idx="0">0.010750230022555225</cx:pt>
          <cx:pt idx="1">0.012738666084206929</cx:pt>
          <cx:pt idx="2">0.00099138872510352426</cx:pt>
          <cx:pt idx="3">1.4712389756102529e-05</cx:pt>
          <cx:pt idx="4">0.0035060756511081257</cx:pt>
          <cx:pt idx="5">2.9424779512205057e-05</cx:pt>
          <cx:pt idx="6">0.021948622071527112</cx:pt>
          <cx:pt idx="7">0.0026708646018770744</cx:pt>
          <cx:pt idx="8">1.1317222889309638e-06</cx:pt>
          <cx:pt idx="9">0.0024965793693817063</cx:pt>
          <cx:pt idx="10">0.0059539909620658004</cx:pt>
          <cx:pt idx="11">0.00017994384394002323</cx:pt>
          <cx:pt idx="12">0.023869154795842958</cx:pt>
          <cx:pt idx="13">0.0017247447683307888</cx:pt>
          <cx:pt idx="14">0.003785611056474074</cx:pt>
          <cx:pt idx="15">5.6586114446548189e-05</cx:pt>
          <cx:pt idx="16">0.003533236986042469</cx:pt>
          <cx:pt idx="17">0.002123111014034488</cx:pt>
          <cx:pt idx="18">0.0036758339944477705</cx:pt>
          <cx:pt idx="19">0.0055737322729849971</cx:pt>
          <cx:pt idx="20">0.0011136147323080683</cx:pt>
          <cx:pt idx="21">0.012276923390323095</cx:pt>
          <cx:pt idx="22">0.0030454646795132238</cx:pt>
          <cx:pt idx="23">0.004452195484654412</cx:pt>
          <cx:pt idx="24">0.0038184310028530717</cx:pt>
          <cx:pt idx="25">0.0024705497567362941</cx:pt>
          <cx:pt idx="26">0.0020835007339219044</cx:pt>
          <cx:pt idx="27">0.0066624491149365837</cx:pt>
          <cx:pt idx="28">0.0023143720808638212</cx:pt>
          <cx:pt idx="29">0.0054560331549361766</cx:pt>
          <cx:pt idx="30">0.011861581310285432</cx:pt>
          <cx:pt idx="31">0.00089858749741118522</cx:pt>
          <cx:pt idx="32">0.0023777485290439548</cx:pt>
          <cx:pt idx="33">0.0046604323858177093</cx:pt>
          <cx:pt idx="34">7.2430226491581684e-05</cx:pt>
          <cx:pt idx="35">0.023143720808638212</cx:pt>
          <cx:pt idx="36">0.016816261491225191</cx:pt>
          <cx:pt idx="37">0.02590512319362976</cx:pt>
          <cx:pt idx="38">0.018877127779368476</cx:pt>
          <cx:pt idx="39">0.049334038019078576</cx:pt>
          <cx:pt idx="40">0.083093313897889223</cx:pt>
          <cx:pt idx="41">0.040622039838888013</cx:pt>
          <cx:pt idx="42">0.00059528592397768698</cx:pt>
          <cx:pt idx="43">0.0036407506034909108</cx:pt>
          <cx:pt idx="44">0.022241738144360233</cx:pt>
          <cx:pt idx="45">0.0039134956751232727</cx:pt>
          <cx:pt idx="46">0.0074625767732107752</cx:pt>
          <cx:pt idx="47">0.030804348982411904</cx:pt>
          <cx:pt idx="48">0.0023947243633779193</cx:pt>
          <cx:pt idx="49">0.001030999005216108</cx:pt>
          <cx:pt idx="50">0.0014644486418766672</cx:pt>
          <cx:pt idx="51">0.0061452520288951332</cx:pt>
          <cx:pt idx="52">0.024444069718619888</cx:pt>
          <cx:pt idx="53">0.01035525894371832</cx:pt>
          <cx:pt idx="54">0.011228948550773023</cx:pt>
          <cx:pt idx="55">0.0036034037679561889</cx:pt>
          <cx:pt idx="56">0.0048245321177126984</cx:pt>
          <cx:pt idx="57">0.03024980506083573</cx:pt>
          <cx:pt idx="58">0.011588836238653069</cx:pt>
          <cx:pt idx="59">0.0065628575535106592</cx:pt>
          <cx:pt idx="60">0.011913640535576257</cx:pt>
          <cx:pt idx="61">0.0030907335710704622</cx:pt>
          <cx:pt idx="62">0.0062787952589889876</cx:pt>
          <cx:pt idx="63">0.0041036250196636748</cx:pt>
          <cx:pt idx="64">0.00077636149020664116</cx:pt>
          <cx:pt idx="65">0.005092750300189337</cx:pt>
          <cx:pt idx="66">0.0073584583226291266</cx:pt>
          <cx:pt idx="67">0.0022951328019519945</cx:pt>
          <cx:pt idx="68">0.010166261321466847</cx:pt>
          <cx:pt idx="69">0.014869699154263933</cx:pt>
          <cx:pt idx="70">0.0046875937207520521</cx:pt>
          <cx:pt idx="71">0.072001303744076844</cx:pt>
          <cx:pt idx="72">0.10860572945725994</cx:pt>
          <cx:pt idx="73">0.061719606749139046</cx:pt>
          <cx:pt idx="74">0.012993303599216395</cx:pt>
          <cx:pt idx="75">0.025881357025562213</cx:pt>
          <cx:pt idx="76">0.010611028181016717</cx:pt>
          <cx:pt idx="77">0.0055590198832288946</cx:pt>
          <cx:pt idx="78">0.0029549268963987465</cx:pt>
          <cx:pt idx="79">0.0065764382209778311</cx:pt>
          <cx:pt idx="80">0.0065526720529102802</cx:pt>
          <cx:pt idx="81">0.00094838327812414764</cx:pt>
          <cx:pt idx="82">0.0054322669868686266</cx:pt>
        </cx:lvl>
      </cx:numDim>
    </cx:data>
  </cx:chartData>
  <cx:chart>
    <cx:plotArea>
      <cx:plotAreaRegion>
        <cx:series layoutId="treemap" uniqueId="{75819AD3-20BC-4DF0-9903-356B5C92C723}">
          <cx:tx>
            <cx:txData>
              <cx:f>Sheet1!$C$1</cx:f>
              <cx:v>Series1</cx:v>
            </cx:txData>
          </cx:tx>
          <cx:spPr>
            <a:ln>
              <a:noFill/>
            </a:ln>
          </cx:spPr>
          <cx:dataId val="0"/>
          <cx:layoutPr/>
        </cx:series>
      </cx:plotAreaRegion>
    </cx:plotArea>
  </cx:chart>
  <cx:spPr>
    <a:noFill/>
    <a:ln>
      <a:noFill/>
    </a:ln>
  </cx:spPr>
  <cx:clrMapOvr bg1="lt1" tx1="dk1" bg2="lt2" tx2="dk2" accent1="accent1" accent2="accent2" accent3="accent3" accent4="accent4" accent5="accent5" accent6="accent6" hlink="hlink" folHlink="folHlink"/>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Sheet1!$A$2:$A$18</cx:f>
        <cx:lvl ptCount="17">
          <cx:pt idx="0">Elektronisko un optisko iekārtu ražošana, informācijas un komunikācijas tehnoloģijas</cx:pt>
          <cx:pt idx="1">Uzņēmējdarbība, finanšu, grāmatvedības un administrēšana (vairumtirdzniecība un mazumtirdzniecība, komerczinības)</cx:pt>
          <cx:pt idx="2">Būvniecība</cx:pt>
          <cx:pt idx="3">Transports un loģistika</cx:pt>
          <cx:pt idx="4">Mākslas nozares dizaina un radošo industriju sektors</cx:pt>
          <cx:pt idx="5">Metālapstrāde, mašīnbūve un mašīnzinības</cx:pt>
          <cx:pt idx="6">Kokrūpniecība</cx:pt>
          <cx:pt idx="7">Ēdināšanas pakalpojumi un tūrisms</cx:pt>
          <cx:pt idx="8">Mūžizglītības kompetences</cx:pt>
          <cx:pt idx="9">Tekstilizstrādājumu, apģērbu, ādas un ādas izstrādājumu ražošana</cx:pt>
          <cx:pt idx="10">Enerģētika</cx:pt>
          <cx:pt idx="11">Drukas un mediju tehnoloģijas</cx:pt>
          <cx:pt idx="12">Pārtikas rūpniecība un lauksaimniecība</cx:pt>
          <cx:pt idx="13">Lauksaimniecība</cx:pt>
          <cx:pt idx="14">Veselība un sociālā aprūpe</cx:pt>
          <cx:pt idx="15">Ķīmiskā rūpniecība</cx:pt>
          <cx:pt idx="16">Kultūra</cx:pt>
        </cx:lvl>
        <cx:lvl ptCount="0"/>
        <cx:lvl ptCount="0"/>
      </cx:strDim>
      <cx:numDim type="size">
        <cx:f>Sheet1!$B$2:$B$18</cx:f>
        <cx:lvl ptCount="17" formatCode="0.0">
          <cx:pt idx="0">35.299999999999997</cx:pt>
          <cx:pt idx="1">12.4</cx:pt>
          <cx:pt idx="2">5.7999999999999998</cx:pt>
          <cx:pt idx="3">4.7000000000000002</cx:pt>
          <cx:pt idx="4">3.1000000000000001</cx:pt>
          <cx:pt idx="5">2.5</cx:pt>
          <cx:pt idx="6">2.5</cx:pt>
          <cx:pt idx="7">2.2000000000000002</cx:pt>
          <cx:pt idx="8">1.8</cx:pt>
          <cx:pt idx="9">1.8</cx:pt>
          <cx:pt idx="10">1.8</cx:pt>
          <cx:pt idx="11">0.90000000000000002</cx:pt>
          <cx:pt idx="12">0.5</cx:pt>
          <cx:pt idx="13">0.47499999999999998</cx:pt>
          <cx:pt idx="14">0.5</cx:pt>
          <cx:pt idx="15">0.20000000000000001</cx:pt>
          <cx:pt idx="16">0.193</cx:pt>
        </cx:lvl>
      </cx:numDim>
    </cx:data>
  </cx:chartData>
  <cx:chart>
    <cx:plotArea>
      <cx:plotAreaRegion>
        <cx:series layoutId="treemap" uniqueId="{DA521F3D-29F3-40A3-8D56-3641D97A4FA2}">
          <cx:tx>
            <cx:txData>
              <cx:f>Sheet1!$B$1</cx:f>
              <cx:v>Series1</cx:v>
            </cx:txData>
          </cx:tx>
          <cx:spPr>
            <a:ln>
              <a:noFill/>
            </a:ln>
          </cx:spPr>
          <cx:dataLabels>
            <cx:txPr>
              <a:bodyPr spcFirstLastPara="1" vertOverflow="ellipsis" horzOverflow="overflow" wrap="square" lIns="0" tIns="0" rIns="0" bIns="0" anchor="ctr" anchorCtr="1"/>
              <a:lstStyle/>
              <a:p>
                <a:pPr algn="ctr" rtl="0">
                  <a:defRPr sz="800">
                    <a:latin typeface="Segoe UI Light" panose="020B0502040204020203" pitchFamily="34" charset="0"/>
                    <a:ea typeface="Segoe UI Light" panose="020B0502040204020203" pitchFamily="34" charset="0"/>
                    <a:cs typeface="Segoe UI Light" panose="020B0502040204020203" pitchFamily="34" charset="0"/>
                  </a:defRPr>
                </a:pPr>
                <a:endParaRPr lang="en-US" sz="800" b="0" i="0" u="none" strike="noStrike" baseline="0">
                  <a:solidFill>
                    <a:sysClr val="window" lastClr="FFFFFF"/>
                  </a:solidFill>
                  <a:latin typeface="Segoe UI Light" panose="020B0502040204020203" pitchFamily="34" charset="0"/>
                  <a:cs typeface="Segoe UI Light" panose="020B0502040204020203" pitchFamily="34" charset="0"/>
                </a:endParaRPr>
              </a:p>
            </cx:txPr>
            <cx:visibility seriesName="0" categoryName="0" value="1"/>
            <cx:separator>, </cx:separator>
            <cx:dataLabel idx="3">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Segoe UI Light" panose="020B0502040204020203" pitchFamily="34" charset="0"/>
                      <a:cs typeface="Segoe UI Light" panose="020B0502040204020203" pitchFamily="34" charset="0"/>
                    </a:rPr>
                    <a:t>4.7</a:t>
                  </a:r>
                </a:p>
              </cx:txPr>
              <cx:visibility seriesName="0" categoryName="0" value="1"/>
              <cx:separator>, </cx:separator>
            </cx:dataLabel>
            <cx:dataLabel idx="4">
              <cx:txPr>
                <a:bodyPr spcFirstLastPara="1" vertOverflow="ellipsis" horzOverflow="overflow" wrap="square" lIns="0" tIns="0" rIns="0" bIns="0" anchor="ctr" anchorCtr="1"/>
                <a:lstStyle/>
                <a:p>
                  <a:pPr algn="ctr" rtl="0">
                    <a:defRPr sz="800"/>
                  </a:pPr>
                  <a:r>
                    <a:rPr lang="en-US" sz="800" b="0" i="0" u="none" strike="noStrike" baseline="0">
                      <a:solidFill>
                        <a:sysClr val="window" lastClr="FFFFFF"/>
                      </a:solidFill>
                      <a:latin typeface="Segoe UI Light" panose="020B0502040204020203" pitchFamily="34" charset="0"/>
                      <a:cs typeface="Segoe UI Light" panose="020B0502040204020203" pitchFamily="34" charset="0"/>
                    </a:rPr>
                    <a:t>3.1</a:t>
                  </a:r>
                </a:p>
              </cx:txPr>
              <cx:visibility seriesName="0" categoryName="0" value="1"/>
              <cx:separator>, </cx:separator>
            </cx:dataLabel>
            <cx:dataLabel idx="5">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Segoe UI Light" panose="020B0502040204020203" pitchFamily="34" charset="0"/>
                      <a:cs typeface="Segoe UI Light" panose="020B0502040204020203" pitchFamily="34" charset="0"/>
                    </a:rPr>
                    <a:t>2.5</a:t>
                  </a:r>
                </a:p>
              </cx:txPr>
              <cx:visibility seriesName="0" categoryName="0" value="1"/>
              <cx:separator>, </cx:separator>
            </cx:dataLabel>
            <cx:dataLabel idx="6">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Segoe UI Light" panose="020B0502040204020203" pitchFamily="34" charset="0"/>
                      <a:cs typeface="Segoe UI Light" panose="020B0502040204020203" pitchFamily="34" charset="0"/>
                    </a:rPr>
                    <a:t>2.5</a:t>
                  </a:r>
                </a:p>
              </cx:txPr>
              <cx:visibility seriesName="0" categoryName="0" value="1"/>
              <cx:separator>, </cx:separator>
            </cx:dataLabel>
            <cx:dataLabel idx="7">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Segoe UI Light" panose="020B0502040204020203" pitchFamily="34" charset="0"/>
                      <a:cs typeface="Segoe UI Light" panose="020B0502040204020203" pitchFamily="34" charset="0"/>
                    </a:rPr>
                    <a:t>2.2</a:t>
                  </a:r>
                </a:p>
              </cx:txPr>
              <cx:visibility seriesName="0" categoryName="0" value="1"/>
              <cx:separator>, </cx:separator>
            </cx:dataLabel>
            <cx:dataLabel idx="8">
              <cx:txPr>
                <a:bodyPr spcFirstLastPara="1" vertOverflow="ellipsis" horzOverflow="overflow" wrap="square" lIns="0" tIns="0" rIns="0" bIns="0" anchor="ctr" anchorCtr="1"/>
                <a:lstStyle/>
                <a:p>
                  <a:pPr algn="ctr" rtl="0">
                    <a:defRPr sz="800"/>
                  </a:pPr>
                  <a:r>
                    <a:rPr lang="en-US" sz="800" b="0" i="0" u="none" strike="noStrike" baseline="0">
                      <a:solidFill>
                        <a:sysClr val="window" lastClr="FFFFFF"/>
                      </a:solidFill>
                      <a:latin typeface="Segoe UI Light" panose="020B0502040204020203" pitchFamily="34" charset="0"/>
                      <a:cs typeface="Segoe UI Light" panose="020B0502040204020203" pitchFamily="34" charset="0"/>
                    </a:rPr>
                    <a:t>1.8</a:t>
                  </a:r>
                </a:p>
              </cx:txPr>
              <cx:visibility seriesName="0" categoryName="0" value="1"/>
              <cx:separator>, </cx:separator>
            </cx:dataLabel>
            <cx:dataLabel idx="9">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Segoe UI Light" panose="020B0502040204020203" pitchFamily="34" charset="0"/>
                      <a:cs typeface="Segoe UI Light" panose="020B0502040204020203" pitchFamily="34" charset="0"/>
                    </a:rPr>
                    <a:t>1.8</a:t>
                  </a:r>
                </a:p>
              </cx:txPr>
              <cx:visibility seriesName="0" categoryName="0" value="1"/>
              <cx:separator>, </cx:separator>
            </cx:dataLabel>
            <cx:dataLabel idx="10">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Segoe UI Light" panose="020B0502040204020203" pitchFamily="34" charset="0"/>
                      <a:cs typeface="Segoe UI Light" panose="020B0502040204020203" pitchFamily="34" charset="0"/>
                    </a:rPr>
                    <a:t>1.8</a:t>
                  </a:r>
                </a:p>
              </cx:txPr>
              <cx:visibility seriesName="0" categoryName="0" value="1"/>
              <cx:separator>, </cx:separator>
            </cx:dataLabel>
            <cx:dataLabel idx="11">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Segoe UI Light" panose="020B0502040204020203" pitchFamily="34" charset="0"/>
                      <a:cs typeface="Segoe UI Light" panose="020B0502040204020203" pitchFamily="34" charset="0"/>
                    </a:rPr>
                    <a:t>0.9</a:t>
                  </a:r>
                </a:p>
              </cx:txPr>
              <cx:visibility seriesName="0" categoryName="0" value="1"/>
              <cx:separator>, </cx:separator>
            </cx:dataLabel>
            <cx:dataLabel idx="12">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solidFill>
                      <a:latin typeface="Segoe UI Light" panose="020B0502040204020203" pitchFamily="34" charset="0"/>
                      <a:cs typeface="Segoe UI Light" panose="020B0502040204020203" pitchFamily="34" charset="0"/>
                    </a:rPr>
                    <a:t>0.5</a:t>
                  </a:r>
                </a:p>
              </cx:txPr>
              <cx:visibility seriesName="0" categoryName="0" value="1"/>
              <cx:separator>, </cx:separator>
            </cx:dataLabel>
            <cx:dataLabel idx="13">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solidFill>
                      <a:latin typeface="Segoe UI Light" panose="020B0502040204020203" pitchFamily="34" charset="0"/>
                      <a:cs typeface="Segoe UI Light" panose="020B0502040204020203" pitchFamily="34" charset="0"/>
                    </a:rPr>
                    <a:t>0.5</a:t>
                  </a:r>
                </a:p>
              </cx:txPr>
              <cx:visibility seriesName="0" categoryName="0" value="1"/>
              <cx:separator>, </cx:separator>
            </cx:dataLabel>
            <cx:dataLabel idx="14">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solidFill>
                      <a:latin typeface="Segoe UI Light" panose="020B0502040204020203" pitchFamily="34" charset="0"/>
                      <a:cs typeface="Segoe UI Light" panose="020B0502040204020203" pitchFamily="34" charset="0"/>
                    </a:rPr>
                    <a:t>0.5</a:t>
                  </a:r>
                </a:p>
              </cx:txPr>
              <cx:visibility seriesName="0" categoryName="0" value="1"/>
              <cx:separator>, </cx:separator>
            </cx:dataLabel>
            <cx:dataLabelHidden idx="15"/>
            <cx:dataLabelHidden idx="16"/>
          </cx:dataLabels>
          <cx:dataId val="0"/>
          <cx:layoutPr>
            <cx:parentLabelLayout val="overlapping"/>
          </cx:layoutPr>
        </cx:series>
      </cx:plotAreaRegion>
    </cx:plotArea>
  </cx:chart>
  <cx:spPr>
    <a:no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 id="18">
  <a:schemeClr val="accent5"/>
</cs:colorStyle>
</file>

<file path=word/charts/colors18.xml><?xml version="1.0" encoding="utf-8"?>
<cs:colorStyle xmlns:cs="http://schemas.microsoft.com/office/drawing/2012/chartStyle" xmlns:a="http://schemas.openxmlformats.org/drawingml/2006/main" meth="withinLinear" id="18">
  <a:schemeClr val="accent5"/>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withinLinear" id="18">
  <a:schemeClr val="accent5"/>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90B408FC-0082-473E-9F7F-AE33A7BDF6F8}">
    <t:Anchor>
      <t:Comment id="2107219766"/>
    </t:Anchor>
    <t:History>
      <t:Event id="{A872B3EC-C521-4283-97E5-290188C08520}" time="2026-07-12T11:52:53.031Z">
        <t:Attribution userId="S::Normunds.Ozols@em.gov.lv::44fdac90-6acd-41ad-b5b2-7168f3fec2f8" userProvider="AD" userName="Normunds Ozols"/>
        <t:Anchor>
          <t:Comment id="2107219766"/>
        </t:Anchor>
        <t:Create/>
      </t:Event>
      <t:Event id="{152C8420-896D-4C97-B576-230FC5371C95}" time="2026-07-12T11:52:53.031Z">
        <t:Attribution userId="S::Normunds.Ozols@em.gov.lv::44fdac90-6acd-41ad-b5b2-7168f3fec2f8" userProvider="AD" userName="Normunds Ozols"/>
        <t:Anchor>
          <t:Comment id="2107219766"/>
        </t:Anchor>
        <t:Assign userId="S::Linda.Kurpniece@em.gov.lv::3c9b6016-5262-4bb1-8af5-3896f602d545" userProvider="AD" userName="Linda Kurpniece"/>
      </t:Event>
      <t:Event id="{244D8E3F-E270-4631-AC1B-5076CE9DD820}" time="2026-07-12T11:52:53.031Z">
        <t:Attribution userId="S::Normunds.Ozols@em.gov.lv::44fdac90-6acd-41ad-b5b2-7168f3fec2f8" userProvider="AD" userName="Normunds Ozols"/>
        <t:Anchor>
          <t:Comment id="2107219766"/>
        </t:Anchor>
        <t:SetTitle title="@Linda Kurpniece , šo nevajag. Visu ielikumu vajadzētu ne lielāku kā 1lpp,"/>
      </t:Event>
      <t:Event id="{5104C7C6-21A9-47BE-AD0F-D7C7699F1D30}" time="2026-07-14T08:03:13.817Z">
        <t:Attribution userId="S::Linda.Kurpniece@em.gov.lv::3c9b6016-5262-4bb1-8af5-3896f602d545" userProvider="AD" userName="Linda Kurpniece"/>
        <t:Progress percentComplete="100"/>
      </t:Event>
    </t:History>
  </t:Task>
</t:Tasks>
</file>

<file path=word/drawings/drawing1.xml><?xml version="1.0" encoding="utf-8"?>
<c:userShapes xmlns:c="http://schemas.openxmlformats.org/drawingml/2006/chart">
  <cdr:relSizeAnchor xmlns:cdr="http://schemas.openxmlformats.org/drawingml/2006/chartDrawing">
    <cdr:from>
      <cdr:x>0.58115</cdr:x>
      <cdr:y>0.35066</cdr:y>
    </cdr:from>
    <cdr:to>
      <cdr:x>0.89901</cdr:x>
      <cdr:y>0.47038</cdr:y>
    </cdr:to>
    <cdr:sp macro="" textlink="">
      <cdr:nvSpPr>
        <cdr:cNvPr id="2" name="Text Box 1"/>
        <cdr:cNvSpPr txBox="1"/>
      </cdr:nvSpPr>
      <cdr:spPr>
        <a:xfrm xmlns:a="http://schemas.openxmlformats.org/drawingml/2006/main">
          <a:off x="1455089" y="515702"/>
          <a:ext cx="795858" cy="1760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lv-LV" sz="800" b="0" dirty="0">
              <a:latin typeface="Segoe UI Light" panose="020B0502040204020203" pitchFamily="34" charset="0"/>
              <a:cs typeface="Segoe UI Light" panose="020B0502040204020203" pitchFamily="34" charset="0"/>
            </a:rPr>
            <a:t>vidēji – 5.0%</a:t>
          </a:r>
        </a:p>
      </cdr:txBody>
    </cdr:sp>
  </cdr:relSizeAnchor>
</c:userShapes>
</file>

<file path=word/drawings/drawing10.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11.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12.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13.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14.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2.xml><?xml version="1.0" encoding="utf-8"?>
<c:userShapes xmlns:c="http://schemas.openxmlformats.org/drawingml/2006/chart">
  <cdr:relSizeAnchor xmlns:cdr="http://schemas.openxmlformats.org/drawingml/2006/chartDrawing">
    <cdr:from>
      <cdr:x>0.58726</cdr:x>
      <cdr:y>0</cdr:y>
    </cdr:from>
    <cdr:to>
      <cdr:x>0.58726</cdr:x>
      <cdr:y>0.92229</cdr:y>
    </cdr:to>
    <cdr:cxnSp macro="">
      <cdr:nvCxnSpPr>
        <cdr:cNvPr id="3" name="Straight Connector 2"/>
        <cdr:cNvCxnSpPr/>
      </cdr:nvCxnSpPr>
      <cdr:spPr>
        <a:xfrm xmlns:a="http://schemas.openxmlformats.org/drawingml/2006/main">
          <a:off x="1479698" y="0"/>
          <a:ext cx="0" cy="3156676"/>
        </a:xfrm>
        <a:prstGeom xmlns:a="http://schemas.openxmlformats.org/drawingml/2006/main" prst="line">
          <a:avLst/>
        </a:prstGeom>
        <a:ln xmlns:a="http://schemas.openxmlformats.org/drawingml/2006/main" w="25400">
          <a:solidFill>
            <a:schemeClr val="accent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0.59217</cdr:x>
      <cdr:y>0.63352</cdr:y>
    </cdr:from>
    <cdr:to>
      <cdr:x>0.95355</cdr:x>
      <cdr:y>0.89027</cdr:y>
    </cdr:to>
    <cdr:sp macro="" textlink="">
      <cdr:nvSpPr>
        <cdr:cNvPr id="4" name="Text Box 3"/>
        <cdr:cNvSpPr txBox="1"/>
      </cdr:nvSpPr>
      <cdr:spPr>
        <a:xfrm xmlns:a="http://schemas.openxmlformats.org/drawingml/2006/main">
          <a:off x="1492075" y="2168312"/>
          <a:ext cx="910562" cy="878765"/>
        </a:xfrm>
        <a:prstGeom xmlns:a="http://schemas.openxmlformats.org/drawingml/2006/main" prst="rect">
          <a:avLst/>
        </a:prstGeom>
      </cdr:spPr>
      <cdr:txBody>
        <a:bodyPr xmlns:a="http://schemas.openxmlformats.org/drawingml/2006/main" vertOverflow="clip" wrap="square" tIns="36000" bIns="36000" rtlCol="0"/>
        <a:lstStyle xmlns:a="http://schemas.openxmlformats.org/drawingml/2006/main"/>
        <a:p xmlns:a="http://schemas.openxmlformats.org/drawingml/2006/main">
          <a:pPr algn="l"/>
          <a:r>
            <a:rPr lang="lv-LV" sz="800">
              <a:latin typeface="Segoe UI Light" panose="020B0502040204020203" pitchFamily="34" charset="0"/>
              <a:cs typeface="Segoe UI Semilight" panose="020B0402040204020203" pitchFamily="34" charset="0"/>
            </a:rPr>
            <a:t>Vidējais </a:t>
          </a:r>
          <a:r>
            <a:rPr lang="lv-LV" sz="800" baseline="0">
              <a:latin typeface="Segoe UI Light" panose="020B0502040204020203" pitchFamily="34" charset="0"/>
              <a:cs typeface="Segoe UI Semilight" panose="020B0402040204020203" pitchFamily="34" charset="0"/>
            </a:rPr>
            <a:t>līmenis</a:t>
          </a:r>
          <a:endParaRPr lang="lv-LV" sz="800" baseline="0">
            <a:latin typeface="Segoe UI Light" panose="020B0502040204020203" pitchFamily="34" charset="0"/>
            <a:ea typeface="+mn-ea"/>
            <a:cs typeface="Segoe UI Semilight" panose="020B0402040204020203" pitchFamily="34" charset="0"/>
          </a:endParaRPr>
        </a:p>
        <a:p xmlns:a="http://schemas.openxmlformats.org/drawingml/2006/main">
          <a:pPr algn="l"/>
          <a:r>
            <a:rPr lang="lv-LV" sz="800" baseline="0">
              <a:latin typeface="Segoe UI Light" panose="020B0502040204020203" pitchFamily="34" charset="0"/>
              <a:cs typeface="Segoe UI Semilight" panose="020B0402040204020203" pitchFamily="34" charset="0"/>
            </a:rPr>
            <a:t>šīs kvalifikācijas</a:t>
          </a:r>
        </a:p>
        <a:p xmlns:a="http://schemas.openxmlformats.org/drawingml/2006/main">
          <a:pPr algn="l"/>
          <a:r>
            <a:rPr lang="lv-LV" sz="800" baseline="0">
              <a:latin typeface="Segoe UI Light" panose="020B0502040204020203" pitchFamily="34" charset="0"/>
              <a:cs typeface="Segoe UI Light" panose="020B0502040204020203" pitchFamily="34" charset="0"/>
            </a:rPr>
            <a:t>profesijās </a:t>
          </a:r>
          <a:r>
            <a:rPr lang="lv-LV" sz="800">
              <a:effectLst/>
              <a:latin typeface="Segoe UI Light" panose="020B0502040204020203" pitchFamily="34" charset="0"/>
              <a:ea typeface="+mn-ea"/>
              <a:cs typeface="Segoe UI Light" panose="020B0502040204020203" pitchFamily="34" charset="0"/>
            </a:rPr>
            <a:t>–</a:t>
          </a:r>
          <a:r>
            <a:rPr lang="lv-LV" sz="800" baseline="0">
              <a:latin typeface="Segoe UI Light" panose="020B0502040204020203" pitchFamily="34" charset="0"/>
              <a:cs typeface="Segoe UI Light" panose="020B0502040204020203" pitchFamily="34" charset="0"/>
            </a:rPr>
            <a:t> 33%</a:t>
          </a:r>
          <a:endParaRPr lang="lv-LV" sz="800">
            <a:latin typeface="Segoe UI Light" panose="020B0502040204020203" pitchFamily="34" charset="0"/>
            <a:cs typeface="Segoe UI Light" panose="020B0502040204020203"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0.4952</cdr:x>
      <cdr:y>0.01657</cdr:y>
    </cdr:from>
    <cdr:to>
      <cdr:x>0.4952</cdr:x>
      <cdr:y>0.94388</cdr:y>
    </cdr:to>
    <cdr:cxnSp macro="">
      <cdr:nvCxnSpPr>
        <cdr:cNvPr id="3" name="Straight Connector 2"/>
        <cdr:cNvCxnSpPr/>
      </cdr:nvCxnSpPr>
      <cdr:spPr>
        <a:xfrm xmlns:a="http://schemas.openxmlformats.org/drawingml/2006/main">
          <a:off x="1208760" y="78019"/>
          <a:ext cx="0" cy="4367440"/>
        </a:xfrm>
        <a:prstGeom xmlns:a="http://schemas.openxmlformats.org/drawingml/2006/main" prst="line">
          <a:avLst/>
        </a:prstGeom>
        <a:ln xmlns:a="http://schemas.openxmlformats.org/drawingml/2006/main" w="25400">
          <a:solidFill>
            <a:schemeClr val="accent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0.61254</cdr:x>
      <cdr:y>0.6703</cdr:y>
    </cdr:from>
    <cdr:to>
      <cdr:x>0.93285</cdr:x>
      <cdr:y>0.91284</cdr:y>
    </cdr:to>
    <cdr:sp macro="" textlink="">
      <cdr:nvSpPr>
        <cdr:cNvPr id="4" name="Text Box 3"/>
        <cdr:cNvSpPr txBox="1"/>
      </cdr:nvSpPr>
      <cdr:spPr>
        <a:xfrm xmlns:a="http://schemas.openxmlformats.org/drawingml/2006/main">
          <a:off x="1495181" y="2774750"/>
          <a:ext cx="781857" cy="1004011"/>
        </a:xfrm>
        <a:prstGeom xmlns:a="http://schemas.openxmlformats.org/drawingml/2006/main" prst="rect">
          <a:avLst/>
        </a:prstGeom>
      </cdr:spPr>
      <cdr:txBody>
        <a:bodyPr xmlns:a="http://schemas.openxmlformats.org/drawingml/2006/main" vertOverflow="clip" wrap="square" lIns="0" tIns="36000" rIns="0" bIns="36000" rtlCol="0"/>
        <a:lstStyle xmlns:a="http://schemas.openxmlformats.org/drawingml/2006/main"/>
        <a:p xmlns:a="http://schemas.openxmlformats.org/drawingml/2006/main">
          <a:pPr algn="l"/>
          <a:r>
            <a:rPr lang="lv-LV" sz="800">
              <a:latin typeface="Segoe UI Light" panose="020B0502040204020203" pitchFamily="34" charset="0"/>
              <a:cs typeface="Segoe UI Light" panose="020B0502040204020203" pitchFamily="34" charset="0"/>
            </a:rPr>
            <a:t>Vidējais </a:t>
          </a:r>
          <a:r>
            <a:rPr lang="lv-LV" sz="800" baseline="0">
              <a:latin typeface="Segoe UI Light" panose="020B0502040204020203" pitchFamily="34" charset="0"/>
              <a:cs typeface="Segoe UI Light" panose="020B0502040204020203" pitchFamily="34" charset="0"/>
            </a:rPr>
            <a:t>līmenis</a:t>
          </a:r>
          <a:endParaRPr lang="lv-LV" sz="800" baseline="0">
            <a:latin typeface="Segoe UI Light" panose="020B0502040204020203" pitchFamily="34" charset="0"/>
            <a:ea typeface="+mn-ea"/>
            <a:cs typeface="Segoe UI Light" panose="020B0502040204020203" pitchFamily="34" charset="0"/>
          </a:endParaRPr>
        </a:p>
        <a:p xmlns:a="http://schemas.openxmlformats.org/drawingml/2006/main">
          <a:pPr algn="l"/>
          <a:r>
            <a:rPr lang="lv-LV" sz="800" baseline="0">
              <a:latin typeface="Segoe UI Light" panose="020B0502040204020203" pitchFamily="34" charset="0"/>
              <a:cs typeface="Segoe UI Light" panose="020B0502040204020203" pitchFamily="34" charset="0"/>
            </a:rPr>
            <a:t>šīs kvalifikācijas</a:t>
          </a:r>
        </a:p>
        <a:p xmlns:a="http://schemas.openxmlformats.org/drawingml/2006/main">
          <a:pPr algn="l"/>
          <a:r>
            <a:rPr lang="lv-LV" sz="800" baseline="0">
              <a:latin typeface="Segoe UI Light" panose="020B0502040204020203" pitchFamily="34" charset="0"/>
              <a:cs typeface="Segoe UI Light" panose="020B0502040204020203" pitchFamily="34" charset="0"/>
            </a:rPr>
            <a:t>profesijās </a:t>
          </a:r>
          <a:r>
            <a:rPr lang="lv-LV" sz="800">
              <a:effectLst/>
              <a:latin typeface="Segoe UI Light" panose="020B0502040204020203" pitchFamily="34" charset="0"/>
              <a:ea typeface="+mn-ea"/>
              <a:cs typeface="Segoe UI Light" panose="020B0502040204020203" pitchFamily="34" charset="0"/>
            </a:rPr>
            <a:t>–</a:t>
          </a:r>
          <a:r>
            <a:rPr lang="en-US" sz="800" baseline="0">
              <a:latin typeface="Segoe UI Light" panose="020B0502040204020203" pitchFamily="34" charset="0"/>
              <a:cs typeface="Segoe UI Light" panose="020B0502040204020203" pitchFamily="34" charset="0"/>
            </a:rPr>
            <a:t> </a:t>
          </a:r>
          <a:r>
            <a:rPr lang="lv-LV" sz="800" baseline="0">
              <a:latin typeface="Segoe UI Light" panose="020B0502040204020203" pitchFamily="34" charset="0"/>
              <a:cs typeface="Segoe UI Light" panose="020B0502040204020203" pitchFamily="34" charset="0"/>
            </a:rPr>
            <a:t>41%</a:t>
          </a:r>
          <a:endParaRPr lang="lv-LV" sz="800">
            <a:latin typeface="Segoe UI Light" panose="020B0502040204020203" pitchFamily="34" charset="0"/>
            <a:cs typeface="Segoe UI Light" panose="020B0502040204020203" pitchFamily="34" charset="0"/>
          </a:endParaRPr>
        </a:p>
        <a:p xmlns:a="http://schemas.openxmlformats.org/drawingml/2006/main">
          <a:pPr algn="r"/>
          <a:endParaRPr lang="lv-LV" sz="800">
            <a:latin typeface="Segoe UI Light" panose="020B0502040204020203" pitchFamily="34" charset="0"/>
            <a:cs typeface="Segoe UI Light" panose="020B0502040204020203"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0.24755</cdr:x>
      <cdr:y>0.01577</cdr:y>
    </cdr:from>
    <cdr:to>
      <cdr:x>0.78284</cdr:x>
      <cdr:y>0.95391</cdr:y>
    </cdr:to>
    <cdr:grpSp>
      <cdr:nvGrpSpPr>
        <cdr:cNvPr id="36" name="Group 35"/>
        <cdr:cNvGrpSpPr/>
      </cdr:nvGrpSpPr>
      <cdr:grpSpPr>
        <a:xfrm xmlns:a="http://schemas.openxmlformats.org/drawingml/2006/main">
          <a:off x="1438300" y="43155"/>
          <a:ext cx="3110179" cy="2567544"/>
          <a:chOff x="1438300" y="43155"/>
          <a:chExt cx="3110179" cy="2567544"/>
        </a:xfrm>
      </cdr:grpSpPr>
      <cdr:grpSp>
        <cdr:nvGrpSpPr>
          <cdr:cNvPr id="34" name="Group 33"/>
          <cdr:cNvGrpSpPr/>
        </cdr:nvGrpSpPr>
        <cdr:grpSpPr>
          <a:xfrm xmlns:a="http://schemas.openxmlformats.org/drawingml/2006/main">
            <a:off x="3601266" y="452957"/>
            <a:ext cx="923132" cy="1015625"/>
            <a:chOff x="3601266" y="452957"/>
            <a:chExt cx="923132" cy="1015625"/>
          </a:xfrm>
        </cdr:grpSpPr>
        <cdr:sp macro="" textlink="">
          <cdr:nvSpPr>
            <cdr:cNvPr id="20" name="Text Box 1"/>
            <cdr:cNvSpPr txBox="1"/>
          </cdr:nvSpPr>
          <cdr:spPr>
            <a:xfrm xmlns:a="http://schemas.openxmlformats.org/drawingml/2006/main">
              <a:off x="3601266" y="452957"/>
              <a:ext cx="781513"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ES</a:t>
              </a:r>
            </a:p>
          </cdr:txBody>
        </cdr:sp>
        <cdr:sp macro="" textlink="">
          <cdr:nvSpPr>
            <cdr:cNvPr id="21" name="Text Box 1"/>
            <cdr:cNvSpPr txBox="1"/>
          </cdr:nvSpPr>
          <cdr:spPr>
            <a:xfrm xmlns:a="http://schemas.openxmlformats.org/drawingml/2006/main">
              <a:off x="3753299" y="664672"/>
              <a:ext cx="585692"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FI</a:t>
              </a:r>
            </a:p>
          </cdr:txBody>
        </cdr:sp>
        <cdr:sp macro="" textlink="">
          <cdr:nvSpPr>
            <cdr:cNvPr id="22" name="Text Box 1"/>
            <cdr:cNvSpPr txBox="1"/>
          </cdr:nvSpPr>
          <cdr:spPr>
            <a:xfrm xmlns:a="http://schemas.openxmlformats.org/drawingml/2006/main">
              <a:off x="3872729" y="994457"/>
              <a:ext cx="585692"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SI</a:t>
              </a:r>
            </a:p>
          </cdr:txBody>
        </cdr:sp>
        <cdr:sp macro="" textlink="">
          <cdr:nvSpPr>
            <cdr:cNvPr id="23" name="Text Box 1"/>
            <cdr:cNvSpPr txBox="1"/>
          </cdr:nvSpPr>
          <cdr:spPr>
            <a:xfrm xmlns:a="http://schemas.openxmlformats.org/drawingml/2006/main">
              <a:off x="3880817" y="1311890"/>
              <a:ext cx="643581"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SK</a:t>
              </a:r>
            </a:p>
          </cdr:txBody>
        </cdr:sp>
      </cdr:grpSp>
      <cdr:grpSp>
        <cdr:nvGrpSpPr>
          <cdr:cNvPr id="35" name="Group 34"/>
          <cdr:cNvGrpSpPr/>
        </cdr:nvGrpSpPr>
        <cdr:grpSpPr>
          <a:xfrm xmlns:a="http://schemas.openxmlformats.org/drawingml/2006/main">
            <a:off x="1438300" y="43155"/>
            <a:ext cx="3110179" cy="2567544"/>
            <a:chOff x="1438300" y="43155"/>
            <a:chExt cx="3110179" cy="2567544"/>
          </a:xfrm>
        </cdr:grpSpPr>
        <cdr:sp macro="" textlink="">
          <cdr:nvSpPr>
            <cdr:cNvPr id="18" name="Text Box 1"/>
            <cdr:cNvSpPr txBox="1"/>
          </cdr:nvSpPr>
          <cdr:spPr>
            <a:xfrm xmlns:a="http://schemas.openxmlformats.org/drawingml/2006/main">
              <a:off x="2772913" y="2454006"/>
              <a:ext cx="709153"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LU</a:t>
              </a:r>
            </a:p>
          </cdr:txBody>
        </cdr:sp>
        <cdr:grpSp>
          <cdr:nvGrpSpPr>
            <cdr:cNvPr id="33" name="Group 32"/>
            <cdr:cNvGrpSpPr/>
          </cdr:nvGrpSpPr>
          <cdr:grpSpPr>
            <a:xfrm xmlns:a="http://schemas.openxmlformats.org/drawingml/2006/main">
              <a:off x="1438300" y="43155"/>
              <a:ext cx="2750320" cy="2542368"/>
              <a:chOff x="1438300" y="43155"/>
              <a:chExt cx="2750320" cy="2542368"/>
            </a:xfrm>
          </cdr:grpSpPr>
          <cdr:grpSp>
            <cdr:nvGrpSpPr>
              <cdr:cNvPr id="31" name="Group 30"/>
              <cdr:cNvGrpSpPr/>
            </cdr:nvGrpSpPr>
            <cdr:grpSpPr>
              <a:xfrm xmlns:a="http://schemas.openxmlformats.org/drawingml/2006/main">
                <a:off x="1777541" y="225162"/>
                <a:ext cx="1010672" cy="344185"/>
                <a:chOff x="1777541" y="225162"/>
                <a:chExt cx="1010672" cy="344185"/>
              </a:xfrm>
            </cdr:grpSpPr>
            <cdr:sp macro="" textlink="">
              <cdr:nvSpPr>
                <cdr:cNvPr id="6" name="Text Box 1"/>
                <cdr:cNvSpPr txBox="1"/>
              </cdr:nvSpPr>
              <cdr:spPr>
                <a:xfrm xmlns:a="http://schemas.openxmlformats.org/drawingml/2006/main">
                  <a:off x="2006701" y="225162"/>
                  <a:ext cx="781512"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BG</a:t>
                  </a:r>
                </a:p>
              </cdr:txBody>
            </cdr:sp>
            <cdr:sp macro="" textlink="">
              <cdr:nvSpPr>
                <cdr:cNvPr id="7" name="Text Box 1"/>
                <cdr:cNvSpPr txBox="1"/>
              </cdr:nvSpPr>
              <cdr:spPr>
                <a:xfrm xmlns:a="http://schemas.openxmlformats.org/drawingml/2006/main">
                  <a:off x="1777541" y="412654"/>
                  <a:ext cx="781512"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CZ</a:t>
                  </a:r>
                </a:p>
              </cdr:txBody>
            </cdr:sp>
          </cdr:grpSp>
          <cdr:grpSp>
            <cdr:nvGrpSpPr>
              <cdr:cNvPr id="30" name="Group 29"/>
              <cdr:cNvGrpSpPr/>
            </cdr:nvGrpSpPr>
            <cdr:grpSpPr>
              <a:xfrm xmlns:a="http://schemas.openxmlformats.org/drawingml/2006/main">
                <a:off x="1438300" y="685047"/>
                <a:ext cx="1745720" cy="1900476"/>
                <a:chOff x="1438300" y="685047"/>
                <a:chExt cx="1745720" cy="1900476"/>
              </a:xfrm>
            </cdr:grpSpPr>
            <cdr:sp macro="" textlink="">
              <cdr:nvSpPr>
                <cdr:cNvPr id="8" name="Text Box 1"/>
                <cdr:cNvSpPr txBox="1"/>
              </cdr:nvSpPr>
              <cdr:spPr>
                <a:xfrm xmlns:a="http://schemas.openxmlformats.org/drawingml/2006/main">
                  <a:off x="1567883" y="685047"/>
                  <a:ext cx="781514"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DK</a:t>
                  </a:r>
                </a:p>
              </cdr:txBody>
            </cdr:sp>
            <cdr:sp macro="" textlink="">
              <cdr:nvSpPr>
                <cdr:cNvPr id="9" name="Text Box 1"/>
                <cdr:cNvSpPr txBox="1"/>
              </cdr:nvSpPr>
              <cdr:spPr>
                <a:xfrm xmlns:a="http://schemas.openxmlformats.org/drawingml/2006/main">
                  <a:off x="1469159" y="985413"/>
                  <a:ext cx="781513"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FR</a:t>
                  </a:r>
                </a:p>
              </cdr:txBody>
            </cdr:sp>
            <cdr:sp macro="" textlink="">
              <cdr:nvSpPr>
                <cdr:cNvPr id="10" name="Text Box 1"/>
                <cdr:cNvSpPr txBox="1"/>
              </cdr:nvSpPr>
              <cdr:spPr>
                <a:xfrm xmlns:a="http://schemas.openxmlformats.org/drawingml/2006/main">
                  <a:off x="1444088" y="1172574"/>
                  <a:ext cx="695379"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EL</a:t>
                  </a:r>
                </a:p>
              </cdr:txBody>
            </cdr:sp>
            <cdr:sp macro="" textlink="">
              <cdr:nvSpPr>
                <cdr:cNvPr id="11" name="Text Box 1"/>
                <cdr:cNvSpPr txBox="1"/>
              </cdr:nvSpPr>
              <cdr:spPr>
                <a:xfrm xmlns:a="http://schemas.openxmlformats.org/drawingml/2006/main">
                  <a:off x="1438300" y="1396310"/>
                  <a:ext cx="709153"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HR</a:t>
                  </a:r>
                </a:p>
              </cdr:txBody>
            </cdr:sp>
            <cdr:sp macro="" textlink="">
              <cdr:nvSpPr>
                <cdr:cNvPr id="12" name="Text Box 1"/>
                <cdr:cNvSpPr txBox="1"/>
              </cdr:nvSpPr>
              <cdr:spPr>
                <a:xfrm xmlns:a="http://schemas.openxmlformats.org/drawingml/2006/main">
                  <a:off x="1536497" y="1731391"/>
                  <a:ext cx="709151"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EE</a:t>
                  </a:r>
                </a:p>
              </cdr:txBody>
            </cdr:sp>
            <cdr:sp macro="" textlink="">
              <cdr:nvSpPr>
                <cdr:cNvPr id="13" name="Text Box 1"/>
                <cdr:cNvSpPr txBox="1"/>
              </cdr:nvSpPr>
              <cdr:spPr>
                <a:xfrm xmlns:a="http://schemas.openxmlformats.org/drawingml/2006/main">
                  <a:off x="1655916" y="1947878"/>
                  <a:ext cx="709152"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IT</a:t>
                  </a:r>
                </a:p>
              </cdr:txBody>
            </cdr:sp>
            <cdr:sp macro="" textlink="">
              <cdr:nvSpPr>
                <cdr:cNvPr id="14" name="Text Box 1"/>
                <cdr:cNvSpPr txBox="1"/>
              </cdr:nvSpPr>
              <cdr:spPr>
                <a:xfrm xmlns:a="http://schemas.openxmlformats.org/drawingml/2006/main">
                  <a:off x="1795320" y="2089461"/>
                  <a:ext cx="709153"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IE</a:t>
                  </a:r>
                </a:p>
              </cdr:txBody>
            </cdr:sp>
            <cdr:sp macro="" textlink="">
              <cdr:nvSpPr>
                <cdr:cNvPr id="15" name="Text Box 1"/>
                <cdr:cNvSpPr txBox="1"/>
              </cdr:nvSpPr>
              <cdr:spPr>
                <a:xfrm xmlns:a="http://schemas.openxmlformats.org/drawingml/2006/main">
                  <a:off x="1956719" y="2235767"/>
                  <a:ext cx="709153"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CY</a:t>
                  </a:r>
                </a:p>
              </cdr:txBody>
            </cdr:sp>
            <cdr:sp macro="" textlink="">
              <cdr:nvSpPr>
                <cdr:cNvPr id="16" name="Text Box 1"/>
                <cdr:cNvSpPr txBox="1"/>
              </cdr:nvSpPr>
              <cdr:spPr>
                <a:xfrm xmlns:a="http://schemas.openxmlformats.org/drawingml/2006/main">
                  <a:off x="2184951" y="2367155"/>
                  <a:ext cx="709153"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LV</a:t>
                  </a:r>
                </a:p>
              </cdr:txBody>
            </cdr:sp>
            <cdr:sp macro="" textlink="">
              <cdr:nvSpPr>
                <cdr:cNvPr id="17" name="Text Box 1"/>
                <cdr:cNvSpPr txBox="1"/>
              </cdr:nvSpPr>
              <cdr:spPr>
                <a:xfrm xmlns:a="http://schemas.openxmlformats.org/drawingml/2006/main">
                  <a:off x="2474867" y="2428831"/>
                  <a:ext cx="709153"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LT</a:t>
                  </a:r>
                </a:p>
              </cdr:txBody>
            </cdr:sp>
          </cdr:grpSp>
          <cdr:grpSp>
            <cdr:nvGrpSpPr>
              <cdr:cNvPr id="32" name="Group 31"/>
              <cdr:cNvGrpSpPr/>
            </cdr:nvGrpSpPr>
            <cdr:grpSpPr>
              <a:xfrm xmlns:a="http://schemas.openxmlformats.org/drawingml/2006/main">
                <a:off x="2236917" y="43155"/>
                <a:ext cx="1951703" cy="435664"/>
                <a:chOff x="2236917" y="43155"/>
                <a:chExt cx="1951703" cy="435664"/>
              </a:xfrm>
            </cdr:grpSpPr>
            <cdr:sp macro="" textlink="">
              <cdr:nvSpPr>
                <cdr:cNvPr id="2" name="Text Box 1"/>
                <cdr:cNvSpPr txBox="1"/>
              </cdr:nvSpPr>
              <cdr:spPr>
                <a:xfrm xmlns:a="http://schemas.openxmlformats.org/drawingml/2006/main">
                  <a:off x="2502808" y="47950"/>
                  <a:ext cx="781513" cy="1566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AT</a:t>
                  </a:r>
                </a:p>
              </cdr:txBody>
            </cdr:sp>
            <cdr:sp macro="" textlink="">
              <cdr:nvSpPr>
                <cdr:cNvPr id="3" name="Text Box 1"/>
                <cdr:cNvSpPr txBox="1"/>
              </cdr:nvSpPr>
              <cdr:spPr>
                <a:xfrm xmlns:a="http://schemas.openxmlformats.org/drawingml/2006/main">
                  <a:off x="2236917" y="121746"/>
                  <a:ext cx="781515"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BE</a:t>
                  </a:r>
                </a:p>
              </cdr:txBody>
            </cdr:sp>
            <cdr:sp macro="" textlink="">
              <cdr:nvSpPr>
                <cdr:cNvPr id="4" name="Text Box 1"/>
                <cdr:cNvSpPr txBox="1"/>
              </cdr:nvSpPr>
              <cdr:spPr>
                <a:xfrm xmlns:a="http://schemas.openxmlformats.org/drawingml/2006/main">
                  <a:off x="3163284" y="117827"/>
                  <a:ext cx="781514"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DE</a:t>
                  </a:r>
                </a:p>
              </cdr:txBody>
            </cdr:sp>
            <cdr:sp macro="" textlink="">
              <cdr:nvSpPr>
                <cdr:cNvPr id="5" name="Text Box 1"/>
                <cdr:cNvSpPr txBox="1"/>
              </cdr:nvSpPr>
              <cdr:spPr>
                <a:xfrm xmlns:a="http://schemas.openxmlformats.org/drawingml/2006/main">
                  <a:off x="2852149" y="43155"/>
                  <a:ext cx="781515"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SE</a:t>
                  </a:r>
                </a:p>
              </cdr:txBody>
            </cdr:sp>
            <cdr:sp macro="" textlink="">
              <cdr:nvSpPr>
                <cdr:cNvPr id="19" name="Text Box 1"/>
                <cdr:cNvSpPr txBox="1"/>
              </cdr:nvSpPr>
              <cdr:spPr>
                <a:xfrm xmlns:a="http://schemas.openxmlformats.org/drawingml/2006/main">
                  <a:off x="3407106" y="322128"/>
                  <a:ext cx="781514" cy="15669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HU</a:t>
                  </a:r>
                </a:p>
              </cdr:txBody>
            </cdr:sp>
          </cdr:grpSp>
        </cdr:grpSp>
        <cdr:sp macro="" textlink="">
          <cdr:nvSpPr>
            <cdr:cNvPr id="24" name="Text Box 1"/>
            <cdr:cNvSpPr txBox="1"/>
          </cdr:nvSpPr>
          <cdr:spPr>
            <a:xfrm xmlns:a="http://schemas.openxmlformats.org/drawingml/2006/main">
              <a:off x="3846142" y="1534871"/>
              <a:ext cx="702337"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RO</a:t>
              </a:r>
            </a:p>
          </cdr:txBody>
        </cdr:sp>
        <cdr:sp macro="" textlink="">
          <cdr:nvSpPr>
            <cdr:cNvPr id="26" name="Text Box 1"/>
            <cdr:cNvSpPr txBox="1"/>
          </cdr:nvSpPr>
          <cdr:spPr>
            <a:xfrm xmlns:a="http://schemas.openxmlformats.org/drawingml/2006/main">
              <a:off x="3635654" y="1968583"/>
              <a:ext cx="781513" cy="1566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PL</a:t>
              </a:r>
            </a:p>
          </cdr:txBody>
        </cdr:sp>
        <cdr:sp macro="" textlink="">
          <cdr:nvSpPr>
            <cdr:cNvPr id="27" name="Text Box 1"/>
            <cdr:cNvSpPr txBox="1"/>
          </cdr:nvSpPr>
          <cdr:spPr>
            <a:xfrm xmlns:a="http://schemas.openxmlformats.org/drawingml/2006/main">
              <a:off x="3782170" y="1731754"/>
              <a:ext cx="744551" cy="17783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PT</a:t>
              </a:r>
            </a:p>
          </cdr:txBody>
        </cdr:sp>
        <cdr:sp macro="" textlink="">
          <cdr:nvSpPr>
            <cdr:cNvPr id="28" name="Text Box 1"/>
            <cdr:cNvSpPr txBox="1"/>
          </cdr:nvSpPr>
          <cdr:spPr>
            <a:xfrm xmlns:a="http://schemas.openxmlformats.org/drawingml/2006/main">
              <a:off x="3385391" y="2199856"/>
              <a:ext cx="781515"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NL</a:t>
              </a:r>
            </a:p>
          </cdr:txBody>
        </cdr:sp>
        <cdr:sp macro="" textlink="">
          <cdr:nvSpPr>
            <cdr:cNvPr id="29" name="Text Box 1"/>
            <cdr:cNvSpPr txBox="1"/>
          </cdr:nvSpPr>
          <cdr:spPr>
            <a:xfrm xmlns:a="http://schemas.openxmlformats.org/drawingml/2006/main">
              <a:off x="3093587" y="2368680"/>
              <a:ext cx="781514" cy="1566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1" kern="1200">
                  <a:solidFill>
                    <a:schemeClr val="bg1"/>
                  </a:solidFill>
                  <a:latin typeface="Segoe UI Light" panose="020B0502040204020203" pitchFamily="34" charset="0"/>
                  <a:cs typeface="Segoe UI Light" panose="020B0502040204020203" pitchFamily="34" charset="0"/>
                </a:rPr>
                <a:t>MT</a:t>
              </a:r>
            </a:p>
          </cdr:txBody>
        </cdr:sp>
      </cdr:grpSp>
    </cdr:grpSp>
  </cdr:relSizeAnchor>
</c:userShapes>
</file>

<file path=word/drawings/drawing5.xml><?xml version="1.0" encoding="utf-8"?>
<c:userShapes xmlns:c="http://schemas.openxmlformats.org/drawingml/2006/chart">
  <cdr:relSizeAnchor xmlns:cdr="http://schemas.openxmlformats.org/drawingml/2006/chartDrawing">
    <cdr:from>
      <cdr:x>0.35979</cdr:x>
      <cdr:y>0.41031</cdr:y>
    </cdr:from>
    <cdr:to>
      <cdr:x>0.49822</cdr:x>
      <cdr:y>0.53532</cdr:y>
    </cdr:to>
    <cdr:sp macro="" textlink="">
      <cdr:nvSpPr>
        <cdr:cNvPr id="3" name="Speech Bubble: Rectangle with Corners Rounded 2"/>
        <cdr:cNvSpPr/>
      </cdr:nvSpPr>
      <cdr:spPr>
        <a:xfrm xmlns:a="http://schemas.openxmlformats.org/drawingml/2006/main">
          <a:off x="2072193" y="1181580"/>
          <a:ext cx="797280" cy="360000"/>
        </a:xfrm>
        <a:prstGeom xmlns:a="http://schemas.openxmlformats.org/drawingml/2006/main" prst="wedgeRoundRectCallout">
          <a:avLst>
            <a:gd name="adj1" fmla="val 118696"/>
            <a:gd name="adj2" fmla="val 67038"/>
            <a:gd name="adj3" fmla="val 16667"/>
          </a:avLst>
        </a:prstGeom>
        <a:solidFill xmlns:a="http://schemas.openxmlformats.org/drawingml/2006/main">
          <a:schemeClr val="accent3">
            <a:lumMod val="60000"/>
            <a:lumOff val="40000"/>
            <a:alpha val="20000"/>
          </a:schemeClr>
        </a:solidFill>
        <a:ln xmlns:a="http://schemas.openxmlformats.org/drawingml/2006/main" w="3175">
          <a:prstDash val="solid"/>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ctr">
            <a:spcAft>
              <a:spcPts val="0"/>
            </a:spcAft>
            <a:buNone/>
          </a:pPr>
          <a:r>
            <a:rPr lang="lv-LV" sz="1000" b="1">
              <a:solidFill>
                <a:srgbClr val="000000"/>
              </a:solidFill>
              <a:effectLst/>
              <a:latin typeface="Calibri Light" panose="020F0302020204030204" pitchFamily="34" charset="0"/>
              <a:ea typeface="Calibri" panose="020F0502020204030204" pitchFamily="34" charset="0"/>
              <a:cs typeface="Times New Roman" panose="02020603050405020304" pitchFamily="18" charset="0"/>
            </a:rPr>
            <a:t>43 </a:t>
          </a:r>
          <a:r>
            <a:rPr lang="lv-LV" sz="700">
              <a:solidFill>
                <a:srgbClr val="000000"/>
              </a:solidFill>
              <a:effectLst/>
              <a:latin typeface="Calibri Light" panose="020F0302020204030204" pitchFamily="34" charset="0"/>
              <a:ea typeface="Calibri" panose="020F0502020204030204" pitchFamily="34" charset="0"/>
              <a:cs typeface="Times New Roman" panose="02020603050405020304" pitchFamily="18" charset="0"/>
            </a:rPr>
            <a:t>mljrd. EUR</a:t>
          </a:r>
        </a:p>
        <a:p xmlns:a="http://schemas.openxmlformats.org/drawingml/2006/main">
          <a:pPr algn="ctr">
            <a:spcAft>
              <a:spcPts val="0"/>
            </a:spcAft>
            <a:buNone/>
          </a:pPr>
          <a:r>
            <a:rPr lang="lv-LV" sz="700">
              <a:solidFill>
                <a:sysClr val="windowText" lastClr="000000"/>
              </a:solidFill>
              <a:effectLst/>
              <a:latin typeface="Calibri Light" panose="020F0302020204030204" pitchFamily="34" charset="0"/>
              <a:ea typeface="Calibri" panose="020F0502020204030204" pitchFamily="34" charset="0"/>
              <a:cs typeface="Times New Roman" panose="02020603050405020304" pitchFamily="18" charset="0"/>
            </a:rPr>
            <a:t>2025.gadā</a:t>
          </a:r>
        </a:p>
      </cdr:txBody>
    </cdr:sp>
  </cdr:relSizeAnchor>
  <cdr:relSizeAnchor xmlns:cdr="http://schemas.openxmlformats.org/drawingml/2006/chartDrawing">
    <cdr:from>
      <cdr:x>0.58281</cdr:x>
      <cdr:y>0.31699</cdr:y>
    </cdr:from>
    <cdr:to>
      <cdr:x>0.72124</cdr:x>
      <cdr:y>0.442</cdr:y>
    </cdr:to>
    <cdr:sp macro="" textlink="">
      <cdr:nvSpPr>
        <cdr:cNvPr id="4" name="Speech Bubble: Rectangle with Corners Rounded 3"/>
        <cdr:cNvSpPr/>
      </cdr:nvSpPr>
      <cdr:spPr>
        <a:xfrm xmlns:a="http://schemas.openxmlformats.org/drawingml/2006/main">
          <a:off x="3356681" y="912845"/>
          <a:ext cx="797280" cy="360000"/>
        </a:xfrm>
        <a:prstGeom xmlns:a="http://schemas.openxmlformats.org/drawingml/2006/main" prst="wedgeRoundRectCallout">
          <a:avLst>
            <a:gd name="adj1" fmla="val 106901"/>
            <a:gd name="adj2" fmla="val -40468"/>
            <a:gd name="adj3" fmla="val 16667"/>
          </a:avLst>
        </a:prstGeom>
        <a:solidFill xmlns:a="http://schemas.openxmlformats.org/drawingml/2006/main">
          <a:srgbClr val="00B050">
            <a:alpha val="20000"/>
          </a:srgbClr>
        </a:solidFill>
        <a:ln xmlns:a="http://schemas.openxmlformats.org/drawingml/2006/main" w="3175">
          <a:prstDash val="solid"/>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spcAft>
              <a:spcPts val="0"/>
            </a:spcAft>
            <a:buNone/>
          </a:pPr>
          <a:r>
            <a:rPr lang="lv-LV" sz="1000" b="1">
              <a:solidFill>
                <a:srgbClr val="000000"/>
              </a:solidFill>
              <a:effectLst/>
              <a:latin typeface="Calibri Light" panose="020F0302020204030204" pitchFamily="34" charset="0"/>
              <a:ea typeface="Calibri" panose="020F0502020204030204" pitchFamily="34" charset="0"/>
              <a:cs typeface="Times New Roman" panose="02020603050405020304" pitchFamily="18" charset="0"/>
            </a:rPr>
            <a:t>83 </a:t>
          </a:r>
          <a:r>
            <a:rPr lang="lv-LV" sz="700">
              <a:solidFill>
                <a:srgbClr val="000000"/>
              </a:solidFill>
              <a:effectLst/>
              <a:latin typeface="Calibri Light" panose="020F0302020204030204" pitchFamily="34" charset="0"/>
              <a:ea typeface="Calibri" panose="020F0502020204030204" pitchFamily="34" charset="0"/>
              <a:cs typeface="Times New Roman" panose="02020603050405020304" pitchFamily="18" charset="0"/>
            </a:rPr>
            <a:t>mljrd. EUR</a:t>
          </a:r>
        </a:p>
        <a:p xmlns:a="http://schemas.openxmlformats.org/drawingml/2006/main">
          <a:pPr algn="ctr">
            <a:spcAft>
              <a:spcPts val="0"/>
            </a:spcAft>
            <a:buNone/>
          </a:pPr>
          <a:r>
            <a:rPr lang="lv-LV" sz="700">
              <a:solidFill>
                <a:srgbClr val="000000"/>
              </a:solidFill>
              <a:effectLst/>
              <a:latin typeface="Calibri Light" panose="020F0302020204030204" pitchFamily="34" charset="0"/>
              <a:ea typeface="Calibri" panose="020F0502020204030204" pitchFamily="34" charset="0"/>
              <a:cs typeface="Times New Roman" panose="02020603050405020304" pitchFamily="18" charset="0"/>
            </a:rPr>
            <a:t>2035.gadā</a:t>
          </a:r>
          <a:endParaRPr lang="lv-LV" sz="1000">
            <a:effectLst/>
            <a:latin typeface="Calibri Light" panose="020F03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0.05216</cdr:x>
      <cdr:y>0.88694</cdr:y>
    </cdr:from>
    <cdr:to>
      <cdr:x>1</cdr:x>
      <cdr:y>0.96035</cdr:y>
    </cdr:to>
    <cdr:grpSp>
      <cdr:nvGrpSpPr>
        <cdr:cNvPr id="13" name="Group 12"/>
        <cdr:cNvGrpSpPr/>
      </cdr:nvGrpSpPr>
      <cdr:grpSpPr>
        <a:xfrm xmlns:a="http://schemas.openxmlformats.org/drawingml/2006/main">
          <a:off x="298426" y="2554147"/>
          <a:ext cx="5422924" cy="211400"/>
          <a:chOff x="273050" y="2800350"/>
          <a:chExt cx="5422900" cy="234950"/>
        </a:xfrm>
      </cdr:grpSpPr>
      <cdr:sp macro="" textlink="">
        <cdr:nvSpPr>
          <cdr:cNvPr id="5" name="Text Box 4"/>
          <cdr:cNvSpPr txBox="1"/>
        </cdr:nvSpPr>
        <cdr:spPr>
          <a:xfrm xmlns:a="http://schemas.openxmlformats.org/drawingml/2006/main">
            <a:off x="273050" y="2813050"/>
            <a:ext cx="469900"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kern="1200">
                <a:latin typeface="Segoe UI Light" panose="020B0502040204020203" pitchFamily="34" charset="0"/>
                <a:cs typeface="Segoe UI Light" panose="020B0502040204020203" pitchFamily="34" charset="0"/>
              </a:rPr>
              <a:t>2005</a:t>
            </a:r>
          </a:p>
        </cdr:txBody>
      </cdr:sp>
      <cdr:sp macro="" textlink="">
        <cdr:nvSpPr>
          <cdr:cNvPr id="6" name="Text Box 1"/>
          <cdr:cNvSpPr txBox="1"/>
        </cdr:nvSpPr>
        <cdr:spPr>
          <a:xfrm xmlns:a="http://schemas.openxmlformats.org/drawingml/2006/main">
            <a:off x="971550" y="2813050"/>
            <a:ext cx="469900" cy="222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kern="1200">
                <a:latin typeface="Segoe UI Light" panose="020B0502040204020203" pitchFamily="34" charset="0"/>
                <a:cs typeface="Segoe UI Light" panose="020B0502040204020203" pitchFamily="34" charset="0"/>
              </a:rPr>
              <a:t>2010</a:t>
            </a:r>
          </a:p>
        </cdr:txBody>
      </cdr:sp>
      <cdr:sp macro="" textlink="">
        <cdr:nvSpPr>
          <cdr:cNvPr id="7" name="Text Box 1"/>
          <cdr:cNvSpPr txBox="1"/>
        </cdr:nvSpPr>
        <cdr:spPr>
          <a:xfrm xmlns:a="http://schemas.openxmlformats.org/drawingml/2006/main">
            <a:off x="1689100" y="2806700"/>
            <a:ext cx="469900" cy="222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kern="1200">
                <a:latin typeface="Segoe UI Light" panose="020B0502040204020203" pitchFamily="34" charset="0"/>
                <a:cs typeface="Segoe UI Light" panose="020B0502040204020203" pitchFamily="34" charset="0"/>
              </a:rPr>
              <a:t>2015</a:t>
            </a:r>
          </a:p>
        </cdr:txBody>
      </cdr:sp>
      <cdr:sp macro="" textlink="">
        <cdr:nvSpPr>
          <cdr:cNvPr id="8" name="Text Box 1"/>
          <cdr:cNvSpPr txBox="1"/>
        </cdr:nvSpPr>
        <cdr:spPr>
          <a:xfrm xmlns:a="http://schemas.openxmlformats.org/drawingml/2006/main">
            <a:off x="2425700" y="2800350"/>
            <a:ext cx="469900" cy="222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kern="1200">
                <a:latin typeface="Segoe UI Light" panose="020B0502040204020203" pitchFamily="34" charset="0"/>
                <a:cs typeface="Segoe UI Light" panose="020B0502040204020203" pitchFamily="34" charset="0"/>
              </a:rPr>
              <a:t>2020</a:t>
            </a:r>
          </a:p>
        </cdr:txBody>
      </cdr:sp>
      <cdr:sp macro="" textlink="">
        <cdr:nvSpPr>
          <cdr:cNvPr id="9" name="Text Box 1"/>
          <cdr:cNvSpPr txBox="1"/>
        </cdr:nvSpPr>
        <cdr:spPr>
          <a:xfrm xmlns:a="http://schemas.openxmlformats.org/drawingml/2006/main">
            <a:off x="3117850" y="2800350"/>
            <a:ext cx="469900" cy="222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kern="1200">
                <a:latin typeface="Segoe UI Light" panose="020B0502040204020203" pitchFamily="34" charset="0"/>
                <a:cs typeface="Segoe UI Light" panose="020B0502040204020203" pitchFamily="34" charset="0"/>
              </a:rPr>
              <a:t>2025</a:t>
            </a:r>
          </a:p>
        </cdr:txBody>
      </cdr:sp>
      <cdr:sp macro="" textlink="">
        <cdr:nvSpPr>
          <cdr:cNvPr id="10" name="Text Box 1"/>
          <cdr:cNvSpPr txBox="1"/>
        </cdr:nvSpPr>
        <cdr:spPr>
          <a:xfrm xmlns:a="http://schemas.openxmlformats.org/drawingml/2006/main">
            <a:off x="3829050" y="2800350"/>
            <a:ext cx="469900" cy="222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kern="1200">
                <a:latin typeface="Segoe UI Light" panose="020B0502040204020203" pitchFamily="34" charset="0"/>
                <a:cs typeface="Segoe UI Light" panose="020B0502040204020203" pitchFamily="34" charset="0"/>
              </a:rPr>
              <a:t>2030</a:t>
            </a:r>
          </a:p>
        </cdr:txBody>
      </cdr:sp>
      <cdr:sp macro="" textlink="">
        <cdr:nvSpPr>
          <cdr:cNvPr id="11" name="Text Box 1"/>
          <cdr:cNvSpPr txBox="1"/>
        </cdr:nvSpPr>
        <cdr:spPr>
          <a:xfrm xmlns:a="http://schemas.openxmlformats.org/drawingml/2006/main">
            <a:off x="4565650" y="2800350"/>
            <a:ext cx="469900" cy="222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kern="1200">
                <a:latin typeface="Segoe UI Light" panose="020B0502040204020203" pitchFamily="34" charset="0"/>
                <a:cs typeface="Segoe UI Light" panose="020B0502040204020203" pitchFamily="34" charset="0"/>
              </a:rPr>
              <a:t>2035</a:t>
            </a:r>
          </a:p>
        </cdr:txBody>
      </cdr:sp>
      <cdr:sp macro="" textlink="">
        <cdr:nvSpPr>
          <cdr:cNvPr id="12" name="Text Box 1"/>
          <cdr:cNvSpPr txBox="1"/>
        </cdr:nvSpPr>
        <cdr:spPr>
          <a:xfrm xmlns:a="http://schemas.openxmlformats.org/drawingml/2006/main">
            <a:off x="5226050" y="2806700"/>
            <a:ext cx="469900" cy="2222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kern="1200">
                <a:latin typeface="Segoe UI Light" panose="020B0502040204020203" pitchFamily="34" charset="0"/>
                <a:cs typeface="Segoe UI Light" panose="020B0502040204020203" pitchFamily="34" charset="0"/>
              </a:rPr>
              <a:t>2040</a:t>
            </a:r>
          </a:p>
        </cdr:txBody>
      </cdr:sp>
    </cdr:grpSp>
  </cdr:relSizeAnchor>
  <cdr:relSizeAnchor xmlns:cdr="http://schemas.openxmlformats.org/drawingml/2006/chartDrawing">
    <cdr:from>
      <cdr:x>0.47249</cdr:x>
      <cdr:y>0.03624</cdr:y>
    </cdr:from>
    <cdr:to>
      <cdr:x>0.93778</cdr:x>
      <cdr:y>0.28959</cdr:y>
    </cdr:to>
    <cdr:sp macro="" textlink="">
      <cdr:nvSpPr>
        <cdr:cNvPr id="14" name="Text Box 57"/>
        <cdr:cNvSpPr txBox="1"/>
      </cdr:nvSpPr>
      <cdr:spPr bwMode="auto">
        <a:xfrm xmlns:a="http://schemas.openxmlformats.org/drawingml/2006/main">
          <a:off x="2721255" y="104370"/>
          <a:ext cx="2679834" cy="72956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rot="0" vert="horz" wrap="square" lIns="36000" tIns="0" rIns="36000" bIns="0" anchor="t" anchorCtr="0"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lnSpc>
              <a:spcPct val="107000"/>
            </a:lnSpc>
            <a:spcAft>
              <a:spcPts val="0"/>
            </a:spcAft>
          </a:pPr>
          <a:r>
            <a:rPr lang="lv-LV" sz="700" b="1" kern="1200">
              <a:solidFill>
                <a:srgbClr val="003E4C"/>
              </a:solidFill>
              <a:effectLst/>
              <a:latin typeface="Segoe UI Light" panose="020B0502040204020203" pitchFamily="34" charset="0"/>
              <a:ea typeface="Calibri" panose="020F0502020204030204" pitchFamily="34" charset="0"/>
              <a:cs typeface="Arial" panose="020B0604020202020204" pitchFamily="34" charset="0"/>
            </a:rPr>
            <a:t>MĒRĶA SCENĀRIJS</a:t>
          </a:r>
          <a:endParaRPr lang="lv-LV" sz="700">
            <a:solidFill>
              <a:srgbClr val="003E4C"/>
            </a:solidFill>
            <a:effectLst/>
            <a:latin typeface="Segoe UI Light" panose="020B0502040204020203" pitchFamily="34" charset="0"/>
            <a:ea typeface="Calibri" panose="020F0502020204030204" pitchFamily="34" charset="0"/>
            <a:cs typeface="Times New Roman" panose="02020603050405020304" pitchFamily="18" charset="0"/>
          </a:endParaRPr>
        </a:p>
        <a:p xmlns:a="http://schemas.openxmlformats.org/drawingml/2006/main">
          <a:pPr algn="ctr" fontAlgn="base">
            <a:lnSpc>
              <a:spcPct val="107000"/>
            </a:lnSpc>
            <a:spcAft>
              <a:spcPts val="0"/>
            </a:spcAft>
          </a:pPr>
          <a:r>
            <a:rPr lang="lv-LV" sz="700" kern="1200">
              <a:solidFill>
                <a:srgbClr val="000000"/>
              </a:solidFill>
              <a:effectLst/>
              <a:latin typeface="Segoe UI Light" panose="020B0502040204020203" pitchFamily="34" charset="0"/>
              <a:ea typeface="Calibri" panose="020F0502020204030204" pitchFamily="34" charset="0"/>
              <a:cs typeface="Arial" panose="020B0604020202020204" pitchFamily="34" charset="0"/>
            </a:rPr>
            <a:t>Latvijas ekonomikas konkurētspējas priekšrocības pamatā tiek balstītas uz tehnoloģiskiem faktoriem, ražošanas efektivitāti, inovācijām</a:t>
          </a:r>
        </a:p>
        <a:p xmlns:a="http://schemas.openxmlformats.org/drawingml/2006/main">
          <a:pPr algn="ctr" fontAlgn="base">
            <a:lnSpc>
              <a:spcPct val="107000"/>
            </a:lnSpc>
            <a:spcAft>
              <a:spcPts val="0"/>
            </a:spcAft>
          </a:pPr>
          <a:r>
            <a:rPr lang="lv-LV" sz="700">
              <a:effectLst/>
              <a:latin typeface="Segoe UI Light" panose="020B0502040204020203" pitchFamily="34" charset="0"/>
              <a:ea typeface="Calibri" panose="020F0502020204030204" pitchFamily="34" charset="0"/>
              <a:cs typeface="Times New Roman" panose="02020603050405020304" pitchFamily="18" charset="0"/>
            </a:rPr>
            <a:t>2026.-2030.gadā </a:t>
          </a:r>
          <a:r>
            <a:rPr lang="lv-LV" sz="1000" b="1">
              <a:solidFill>
                <a:schemeClr val="accent2"/>
              </a:solidFill>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a:t>
          </a:r>
          <a:r>
            <a:rPr lang="lv-LV" sz="700">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 3,8%</a:t>
          </a:r>
          <a:r>
            <a:rPr lang="lv-LV" sz="700" baseline="0">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 </a:t>
          </a:r>
          <a:r>
            <a:rPr lang="lv-LV" sz="700">
              <a:effectLst/>
              <a:latin typeface="Segoe UI Light" panose="020B0502040204020203" pitchFamily="34" charset="0"/>
              <a:ea typeface="Calibri" panose="020F0502020204030204" pitchFamily="34" charset="0"/>
              <a:cs typeface="Times New Roman" panose="02020603050405020304" pitchFamily="18" charset="0"/>
            </a:rPr>
            <a:t>ik gadu</a:t>
          </a:r>
        </a:p>
        <a:p xmlns:a="http://schemas.openxmlformats.org/drawingml/2006/main">
          <a:pPr marL="0" marR="0" lvl="0" indent="0" algn="ctr" defTabSz="914400" eaLnBrk="1" fontAlgn="base" latinLnBrk="0" hangingPunct="1">
            <a:lnSpc>
              <a:spcPct val="107000"/>
            </a:lnSpc>
            <a:spcBef>
              <a:spcPts val="0"/>
            </a:spcBef>
            <a:spcAft>
              <a:spcPts val="0"/>
            </a:spcAft>
            <a:buClrTx/>
            <a:buSzTx/>
            <a:buFontTx/>
            <a:buNone/>
            <a:tabLst/>
            <a:defRPr/>
          </a:pPr>
          <a:r>
            <a:rPr lang="lv-LV" sz="700">
              <a:effectLst/>
              <a:latin typeface="Segoe UI Light" panose="020B0502040204020203" pitchFamily="34" charset="0"/>
              <a:ea typeface="Calibri" panose="020F0502020204030204" pitchFamily="34" charset="0"/>
              <a:cs typeface="Times New Roman" panose="02020603050405020304" pitchFamily="18" charset="0"/>
            </a:rPr>
            <a:t>2031.-2040.gadā </a:t>
          </a:r>
          <a:r>
            <a:rPr lang="lv-LV" sz="1000" b="1">
              <a:solidFill>
                <a:schemeClr val="accent2"/>
              </a:solidFill>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a:t>
          </a:r>
          <a:r>
            <a:rPr lang="lv-LV" sz="700">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 4,2%</a:t>
          </a:r>
          <a:r>
            <a:rPr lang="lv-LV" sz="700" baseline="0">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 </a:t>
          </a:r>
          <a:r>
            <a:rPr lang="lv-LV" sz="700">
              <a:effectLst/>
              <a:latin typeface="Segoe UI Light" panose="020B0502040204020203" pitchFamily="34" charset="0"/>
              <a:ea typeface="Calibri" panose="020F0502020204030204" pitchFamily="34" charset="0"/>
              <a:cs typeface="Times New Roman" panose="02020603050405020304" pitchFamily="18" charset="0"/>
            </a:rPr>
            <a:t>ik gadu</a:t>
          </a:r>
        </a:p>
        <a:p xmlns:a="http://schemas.openxmlformats.org/drawingml/2006/main">
          <a:pPr algn="ctr" fontAlgn="base">
            <a:lnSpc>
              <a:spcPct val="107000"/>
            </a:lnSpc>
            <a:spcAft>
              <a:spcPts val="0"/>
            </a:spcAft>
          </a:pP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0.51821</cdr:x>
      <cdr:y>0.55378</cdr:y>
    </cdr:from>
    <cdr:to>
      <cdr:x>0.98086</cdr:x>
      <cdr:y>0.86284</cdr:y>
    </cdr:to>
    <cdr:sp macro="" textlink="">
      <cdr:nvSpPr>
        <cdr:cNvPr id="15" name="Text Box 59"/>
        <cdr:cNvSpPr txBox="1"/>
      </cdr:nvSpPr>
      <cdr:spPr bwMode="auto">
        <a:xfrm xmlns:a="http://schemas.openxmlformats.org/drawingml/2006/main">
          <a:off x="2984602" y="1594721"/>
          <a:ext cx="2664615" cy="89000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rot="0" vert="horz" wrap="square" lIns="36000" tIns="0" rIns="36000" bIns="0" anchor="t" anchorCtr="0"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lnSpc>
              <a:spcPct val="107000"/>
            </a:lnSpc>
            <a:spcAft>
              <a:spcPts val="0"/>
            </a:spcAft>
          </a:pPr>
          <a:r>
            <a:rPr lang="lv-LV" sz="700" b="1" kern="1200">
              <a:solidFill>
                <a:srgbClr val="006666"/>
              </a:solidFill>
              <a:effectLst/>
              <a:latin typeface="Segoe UI Light" panose="020B0502040204020203" pitchFamily="34" charset="0"/>
              <a:ea typeface="Calibri" panose="020F0502020204030204" pitchFamily="34" charset="0"/>
              <a:cs typeface="Arial" panose="020B0604020202020204" pitchFamily="34" charset="0"/>
            </a:rPr>
            <a:t>BĀZES SCENĀRIJS</a:t>
          </a:r>
          <a:endParaRPr lang="lv-LV" sz="700">
            <a:solidFill>
              <a:srgbClr val="006666"/>
            </a:solidFill>
            <a:effectLst/>
            <a:latin typeface="Segoe UI Light" panose="020B0502040204020203" pitchFamily="34" charset="0"/>
            <a:ea typeface="Calibri" panose="020F0502020204030204" pitchFamily="34" charset="0"/>
            <a:cs typeface="Times New Roman" panose="02020603050405020304" pitchFamily="18" charset="0"/>
          </a:endParaRPr>
        </a:p>
        <a:p xmlns:a="http://schemas.openxmlformats.org/drawingml/2006/main">
          <a:pPr algn="ctr" fontAlgn="base">
            <a:lnSpc>
              <a:spcPct val="107000"/>
            </a:lnSpc>
            <a:spcAft>
              <a:spcPts val="0"/>
            </a:spcAft>
          </a:pPr>
          <a:r>
            <a:rPr lang="lv-LV" sz="700" kern="1200">
              <a:solidFill>
                <a:srgbClr val="000000"/>
              </a:solidFill>
              <a:effectLst/>
              <a:latin typeface="Segoe UI Light" panose="020B0502040204020203" pitchFamily="34" charset="0"/>
              <a:ea typeface="Calibri" panose="020F0502020204030204" pitchFamily="34" charset="0"/>
              <a:cs typeface="Arial" panose="020B0604020202020204" pitchFamily="34" charset="0"/>
            </a:rPr>
            <a:t>Jaunu konkurētspējas priekšrocību trūkums kavē eksporta izaugsmi. Izaugsmi balsta lēni augošs iekšzemes pieprasījums. Ekonomikas attīstība atbiltoša iepriekšējās desmitgades izaugsmes tempiem</a:t>
          </a:r>
        </a:p>
        <a:p xmlns:a="http://schemas.openxmlformats.org/drawingml/2006/main">
          <a:pPr algn="ctr" fontAlgn="base">
            <a:lnSpc>
              <a:spcPct val="107000"/>
            </a:lnSpc>
            <a:spcAft>
              <a:spcPts val="0"/>
            </a:spcAft>
          </a:pPr>
          <a:r>
            <a:rPr lang="lv-LV" sz="700">
              <a:effectLst/>
              <a:latin typeface="Segoe UI Light" panose="020B0502040204020203" pitchFamily="34" charset="0"/>
              <a:ea typeface="Calibri" panose="020F0502020204030204" pitchFamily="34" charset="0"/>
              <a:cs typeface="Times New Roman" panose="02020603050405020304" pitchFamily="18" charset="0"/>
            </a:rPr>
            <a:t>2026.-2030.gadā </a:t>
          </a:r>
          <a:r>
            <a:rPr lang="lv-LV" sz="1000" b="1">
              <a:solidFill>
                <a:schemeClr val="accent2"/>
              </a:solidFill>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a:t>
          </a:r>
          <a:r>
            <a:rPr lang="lv-LV" sz="700">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 2,3%</a:t>
          </a:r>
          <a:r>
            <a:rPr lang="lv-LV" sz="700" baseline="0">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 </a:t>
          </a:r>
          <a:r>
            <a:rPr lang="lv-LV" sz="700">
              <a:effectLst/>
              <a:latin typeface="Segoe UI Light" panose="020B0502040204020203" pitchFamily="34" charset="0"/>
              <a:ea typeface="Calibri" panose="020F0502020204030204" pitchFamily="34" charset="0"/>
              <a:cs typeface="Times New Roman" panose="02020603050405020304" pitchFamily="18" charset="0"/>
            </a:rPr>
            <a:t>ik gadu</a:t>
          </a:r>
        </a:p>
        <a:p xmlns:a="http://schemas.openxmlformats.org/drawingml/2006/main">
          <a:pPr marL="0" marR="0" lvl="0" indent="0" algn="ctr" defTabSz="914400" eaLnBrk="1" fontAlgn="base" latinLnBrk="0" hangingPunct="1">
            <a:lnSpc>
              <a:spcPct val="107000"/>
            </a:lnSpc>
            <a:spcBef>
              <a:spcPts val="0"/>
            </a:spcBef>
            <a:spcAft>
              <a:spcPts val="0"/>
            </a:spcAft>
            <a:buClrTx/>
            <a:buSzTx/>
            <a:buFontTx/>
            <a:buNone/>
            <a:tabLst/>
            <a:defRPr/>
          </a:pPr>
          <a:r>
            <a:rPr lang="lv-LV" sz="700">
              <a:effectLst/>
              <a:latin typeface="Segoe UI Light" panose="020B0502040204020203" pitchFamily="34" charset="0"/>
              <a:ea typeface="Calibri" panose="020F0502020204030204" pitchFamily="34" charset="0"/>
              <a:cs typeface="Times New Roman" panose="02020603050405020304" pitchFamily="18" charset="0"/>
            </a:rPr>
            <a:t>2031.-2040.gadā </a:t>
          </a:r>
          <a:r>
            <a:rPr lang="lv-LV" sz="1000" b="1">
              <a:solidFill>
                <a:schemeClr val="accent2"/>
              </a:solidFill>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a:t>
          </a:r>
          <a:r>
            <a:rPr lang="lv-LV" sz="700">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 2,1%</a:t>
          </a:r>
          <a:r>
            <a:rPr lang="lv-LV" sz="700" baseline="0">
              <a:effectLst/>
              <a:latin typeface="Segoe UI Light" panose="020B0502040204020203" pitchFamily="34" charset="0"/>
              <a:ea typeface="Calibri" panose="020F0502020204030204" pitchFamily="34" charset="0"/>
              <a:cs typeface="Times New Roman" panose="02020603050405020304" pitchFamily="18" charset="0"/>
              <a:sym typeface="Wingdings" panose="05000000000000000000" pitchFamily="2" charset="2"/>
            </a:rPr>
            <a:t> </a:t>
          </a:r>
          <a:r>
            <a:rPr lang="lv-LV" sz="700">
              <a:effectLst/>
              <a:latin typeface="Segoe UI Light" panose="020B0502040204020203" pitchFamily="34" charset="0"/>
              <a:ea typeface="Calibri" panose="020F0502020204030204" pitchFamily="34" charset="0"/>
              <a:cs typeface="Times New Roman" panose="02020603050405020304" pitchFamily="18" charset="0"/>
            </a:rPr>
            <a:t>ik gadu</a:t>
          </a:r>
        </a:p>
        <a:p xmlns:a="http://schemas.openxmlformats.org/drawingml/2006/main">
          <a:pPr algn="ctr" fontAlgn="base">
            <a:lnSpc>
              <a:spcPct val="107000"/>
            </a:lnSpc>
            <a:spcAft>
              <a:spcPts val="0"/>
            </a:spcAft>
          </a:pP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0.33934</cdr:x>
      <cdr:y>0.08812</cdr:y>
    </cdr:from>
    <cdr:to>
      <cdr:x>0.341</cdr:x>
      <cdr:y>0.85643</cdr:y>
    </cdr:to>
    <cdr:cxnSp macro="">
      <cdr:nvCxnSpPr>
        <cdr:cNvPr id="2" name="Straight Connector 1"/>
        <cdr:cNvCxnSpPr>
          <a:cxnSpLocks xmlns:a="http://schemas.openxmlformats.org/drawingml/2006/main"/>
        </cdr:cNvCxnSpPr>
      </cdr:nvCxnSpPr>
      <cdr:spPr>
        <a:xfrm xmlns:a="http://schemas.openxmlformats.org/drawingml/2006/main">
          <a:off x="1954433" y="208671"/>
          <a:ext cx="9525" cy="1819275"/>
        </a:xfrm>
        <a:prstGeom xmlns:a="http://schemas.openxmlformats.org/drawingml/2006/main" prst="line">
          <a:avLst/>
        </a:prstGeom>
        <a:noFill xmlns:a="http://schemas.openxmlformats.org/drawingml/2006/main"/>
        <a:ln xmlns:a="http://schemas.openxmlformats.org/drawingml/2006/main" w="19050" cap="flat" cmpd="sng" algn="ctr">
          <a:solidFill>
            <a:sysClr val="windowText" lastClr="000000">
              <a:lumMod val="65000"/>
              <a:lumOff val="35000"/>
              <a:alpha val="59000"/>
            </a:sysClr>
          </a:solidFill>
          <a:prstDash val="dash"/>
          <a:miter lim="800000"/>
        </a:ln>
        <a:effectLst xmlns:a="http://schemas.openxmlformats.org/drawingml/2006/main"/>
      </cdr:spPr>
    </cdr:cxnSp>
  </cdr:relSizeAnchor>
</c:userShapes>
</file>

<file path=word/drawings/drawing7.xml><?xml version="1.0" encoding="utf-8"?>
<c:userShapes xmlns:c="http://schemas.openxmlformats.org/drawingml/2006/chart">
  <cdr:relSizeAnchor xmlns:cdr="http://schemas.openxmlformats.org/drawingml/2006/chartDrawing">
    <cdr:from>
      <cdr:x>0.31908</cdr:x>
      <cdr:y>0.41743</cdr:y>
    </cdr:from>
    <cdr:to>
      <cdr:x>0.61231</cdr:x>
      <cdr:y>0.52703</cdr:y>
    </cdr:to>
    <cdr:sp macro="" textlink="">
      <cdr:nvSpPr>
        <cdr:cNvPr id="8" name="Text Box 1"/>
        <cdr:cNvSpPr txBox="1"/>
      </cdr:nvSpPr>
      <cdr:spPr>
        <a:xfrm xmlns:a="http://schemas.openxmlformats.org/drawingml/2006/main">
          <a:off x="877731" y="969097"/>
          <a:ext cx="806623" cy="2544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0">
              <a:solidFill>
                <a:schemeClr val="bg1"/>
              </a:solidFill>
              <a:latin typeface="Segoe UI Light" panose="020B0502040204020203" pitchFamily="34" charset="0"/>
              <a:cs typeface="Segoe UI Light" panose="020B0502040204020203" pitchFamily="34" charset="0"/>
            </a:rPr>
            <a:t>856,6</a:t>
          </a:r>
          <a:r>
            <a:rPr lang="lv-LV" sz="800" b="0" baseline="0">
              <a:solidFill>
                <a:schemeClr val="bg1"/>
              </a:solidFill>
              <a:latin typeface="Segoe UI Light" panose="020B0502040204020203" pitchFamily="34" charset="0"/>
              <a:cs typeface="Segoe UI Light" panose="020B0502040204020203" pitchFamily="34" charset="0"/>
            </a:rPr>
            <a:t> tūkst.</a:t>
          </a:r>
          <a:endParaRPr lang="lv-LV" sz="800" b="0">
            <a:solidFill>
              <a:schemeClr val="bg1"/>
            </a:solidFill>
            <a:latin typeface="Segoe UI Light" panose="020B0502040204020203" pitchFamily="34" charset="0"/>
            <a:cs typeface="Segoe UI Light" panose="020B0502040204020203" pitchFamily="34" charset="0"/>
          </a:endParaRPr>
        </a:p>
      </cdr:txBody>
    </cdr:sp>
  </cdr:relSizeAnchor>
  <cdr:relSizeAnchor xmlns:cdr="http://schemas.openxmlformats.org/drawingml/2006/chartDrawing">
    <cdr:from>
      <cdr:x>0.58811</cdr:x>
      <cdr:y>0.42132</cdr:y>
    </cdr:from>
    <cdr:to>
      <cdr:x>0.88133</cdr:x>
      <cdr:y>0.53092</cdr:y>
    </cdr:to>
    <cdr:sp macro="" textlink="">
      <cdr:nvSpPr>
        <cdr:cNvPr id="9" name="Text Box 1"/>
        <cdr:cNvSpPr txBox="1"/>
      </cdr:nvSpPr>
      <cdr:spPr>
        <a:xfrm xmlns:a="http://schemas.openxmlformats.org/drawingml/2006/main">
          <a:off x="1617781" y="978122"/>
          <a:ext cx="806596" cy="2544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0" baseline="0">
              <a:solidFill>
                <a:schemeClr val="tx1"/>
              </a:solidFill>
              <a:latin typeface="Segoe UI Light" panose="020B0502040204020203" pitchFamily="34" charset="0"/>
              <a:cs typeface="Segoe UI Light" panose="020B0502040204020203" pitchFamily="34" charset="0"/>
            </a:rPr>
            <a:t>988,5 tūkst.</a:t>
          </a:r>
          <a:endParaRPr lang="lv-LV" sz="800" b="0">
            <a:solidFill>
              <a:schemeClr val="tx1"/>
            </a:solidFill>
            <a:latin typeface="Segoe UI Light" panose="020B0502040204020203" pitchFamily="34" charset="0"/>
            <a:cs typeface="Segoe UI Light" panose="020B0502040204020203" pitchFamily="34"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0.32181</cdr:x>
      <cdr:y>0.40023</cdr:y>
    </cdr:from>
    <cdr:to>
      <cdr:x>0.6013</cdr:x>
      <cdr:y>0.50947</cdr:y>
    </cdr:to>
    <cdr:sp macro="" textlink="">
      <cdr:nvSpPr>
        <cdr:cNvPr id="2" name="Text Box 1"/>
        <cdr:cNvSpPr txBox="1"/>
      </cdr:nvSpPr>
      <cdr:spPr>
        <a:xfrm xmlns:a="http://schemas.openxmlformats.org/drawingml/2006/main">
          <a:off x="928775" y="932213"/>
          <a:ext cx="806629" cy="2544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0">
              <a:solidFill>
                <a:schemeClr val="bg1"/>
              </a:solidFill>
              <a:latin typeface="Segoe UI Light" panose="020B0502040204020203" pitchFamily="34" charset="0"/>
              <a:cs typeface="Segoe UI Light" panose="020B0502040204020203" pitchFamily="34" charset="0"/>
            </a:rPr>
            <a:t>823,5</a:t>
          </a:r>
          <a:r>
            <a:rPr lang="lv-LV" sz="800" b="0" baseline="0">
              <a:solidFill>
                <a:schemeClr val="bg1"/>
              </a:solidFill>
              <a:latin typeface="Segoe UI Light" panose="020B0502040204020203" pitchFamily="34" charset="0"/>
              <a:cs typeface="Segoe UI Light" panose="020B0502040204020203" pitchFamily="34" charset="0"/>
            </a:rPr>
            <a:t> tūkst.</a:t>
          </a:r>
          <a:endParaRPr lang="lv-LV" sz="800" b="0">
            <a:solidFill>
              <a:schemeClr val="bg1"/>
            </a:solidFill>
            <a:latin typeface="Segoe UI Light" panose="020B0502040204020203" pitchFamily="34" charset="0"/>
            <a:cs typeface="Segoe UI Light" panose="020B0502040204020203" pitchFamily="34"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0.03322</cdr:x>
      <cdr:y>0</cdr:y>
    </cdr:from>
    <cdr:to>
      <cdr:x>1</cdr:x>
      <cdr:y>1</cdr:y>
    </cdr:to>
    <cdr:grpSp>
      <cdr:nvGrpSpPr>
        <cdr:cNvPr id="12" name="Group 11"/>
        <cdr:cNvGrpSpPr/>
      </cdr:nvGrpSpPr>
      <cdr:grpSpPr>
        <a:xfrm xmlns:a="http://schemas.openxmlformats.org/drawingml/2006/main">
          <a:off x="191356" y="-5092700"/>
          <a:ext cx="5568729" cy="4349209"/>
          <a:chOff x="191356" y="0"/>
          <a:chExt cx="5568729" cy="4349209"/>
        </a:xfrm>
      </cdr:grpSpPr>
      <cdr:sp macro="" textlink="">
        <cdr:nvSpPr>
          <cdr:cNvPr id="2" name="Text Box 1"/>
          <cdr:cNvSpPr txBox="1"/>
        </cdr:nvSpPr>
        <cdr:spPr>
          <a:xfrm xmlns:a="http://schemas.openxmlformats.org/drawingml/2006/main">
            <a:off x="191356" y="0"/>
            <a:ext cx="709584" cy="40097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kern="1200">
                <a:latin typeface="Segoe UI Light" panose="020B0502040204020203" pitchFamily="34" charset="0"/>
                <a:cs typeface="Segoe UI Light" panose="020B0502040204020203" pitchFamily="34" charset="0"/>
              </a:rPr>
              <a:t>Vecākie speciālisti</a:t>
            </a:r>
          </a:p>
        </cdr:txBody>
      </cdr:sp>
      <cdr:sp macro="" textlink="">
        <cdr:nvSpPr>
          <cdr:cNvPr id="4" name="Text Box 1"/>
          <cdr:cNvSpPr txBox="1"/>
        </cdr:nvSpPr>
        <cdr:spPr>
          <a:xfrm xmlns:a="http://schemas.openxmlformats.org/drawingml/2006/main">
            <a:off x="796965" y="0"/>
            <a:ext cx="709585" cy="4974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kern="1200">
                <a:latin typeface="Segoe UI Light" panose="020B0502040204020203" pitchFamily="34" charset="0"/>
                <a:cs typeface="Segoe UI Light" panose="020B0502040204020203" pitchFamily="34" charset="0"/>
              </a:rPr>
              <a:t>Kalpotāji</a:t>
            </a:r>
          </a:p>
        </cdr:txBody>
      </cdr:sp>
      <cdr:sp macro="" textlink="">
        <cdr:nvSpPr>
          <cdr:cNvPr id="5" name="Text Box 1"/>
          <cdr:cNvSpPr txBox="1"/>
        </cdr:nvSpPr>
        <cdr:spPr>
          <a:xfrm xmlns:a="http://schemas.openxmlformats.org/drawingml/2006/main">
            <a:off x="1418359" y="50800"/>
            <a:ext cx="709528" cy="4974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kern="1200">
                <a:latin typeface="Segoe UI Light" panose="020B0502040204020203" pitchFamily="34" charset="0"/>
                <a:cs typeface="Segoe UI Light" panose="020B0502040204020203" pitchFamily="34" charset="0"/>
              </a:rPr>
              <a:t>Vienkāršas</a:t>
            </a:r>
            <a:r>
              <a:rPr lang="lv-LV" sz="700" b="1" kern="1200" baseline="0">
                <a:latin typeface="Segoe UI Light" panose="020B0502040204020203" pitchFamily="34" charset="0"/>
                <a:cs typeface="Segoe UI Light" panose="020B0502040204020203" pitchFamily="34" charset="0"/>
              </a:rPr>
              <a:t> profesijas</a:t>
            </a:r>
            <a:endParaRPr lang="lv-LV" sz="700" b="1" kern="1200">
              <a:latin typeface="Segoe UI Light" panose="020B0502040204020203" pitchFamily="34" charset="0"/>
              <a:cs typeface="Segoe UI Light" panose="020B0502040204020203" pitchFamily="34" charset="0"/>
            </a:endParaRPr>
          </a:p>
        </cdr:txBody>
      </cdr:sp>
      <cdr:sp macro="" textlink="">
        <cdr:nvSpPr>
          <cdr:cNvPr id="6" name="Text Box 1"/>
          <cdr:cNvSpPr txBox="1"/>
        </cdr:nvSpPr>
        <cdr:spPr>
          <a:xfrm xmlns:a="http://schemas.openxmlformats.org/drawingml/2006/main">
            <a:off x="1893747" y="4013543"/>
            <a:ext cx="959112" cy="33566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kern="1200">
                <a:latin typeface="Segoe UI Light" panose="020B0502040204020203" pitchFamily="34" charset="0"/>
                <a:cs typeface="Segoe UI Light" panose="020B0502040204020203" pitchFamily="34" charset="0"/>
              </a:rPr>
              <a:t>Kvalificēti lauksaimniecībs</a:t>
            </a:r>
            <a:r>
              <a:rPr lang="lv-LV" sz="700" b="1" kern="1200" baseline="0">
                <a:latin typeface="Segoe UI Light" panose="020B0502040204020203" pitchFamily="34" charset="0"/>
                <a:cs typeface="Segoe UI Light" panose="020B0502040204020203" pitchFamily="34" charset="0"/>
              </a:rPr>
              <a:t> </a:t>
            </a:r>
            <a:r>
              <a:rPr lang="lv-LV" sz="700" b="1" kern="1200">
                <a:latin typeface="Segoe UI Light" panose="020B0502040204020203" pitchFamily="34" charset="0"/>
                <a:cs typeface="Segoe UI Light" panose="020B0502040204020203" pitchFamily="34" charset="0"/>
              </a:rPr>
              <a:t>darbinieki</a:t>
            </a:r>
          </a:p>
        </cdr:txBody>
      </cdr:sp>
      <cdr:sp macro="" textlink="">
        <cdr:nvSpPr>
          <cdr:cNvPr id="7" name="Text Box 1"/>
          <cdr:cNvSpPr txBox="1"/>
        </cdr:nvSpPr>
        <cdr:spPr>
          <a:xfrm xmlns:a="http://schemas.openxmlformats.org/drawingml/2006/main">
            <a:off x="2346539" y="50800"/>
            <a:ext cx="959112" cy="4974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kern="1200">
                <a:latin typeface="Segoe UI Light" panose="020B0502040204020203" pitchFamily="34" charset="0"/>
                <a:cs typeface="Segoe UI Light" panose="020B0502040204020203" pitchFamily="34" charset="0"/>
              </a:rPr>
              <a:t>Vadītāji</a:t>
            </a:r>
          </a:p>
        </cdr:txBody>
      </cdr:sp>
      <cdr:sp macro="" textlink="">
        <cdr:nvSpPr>
          <cdr:cNvPr id="8" name="Text Box 1"/>
          <cdr:cNvSpPr txBox="1"/>
        </cdr:nvSpPr>
        <cdr:spPr>
          <a:xfrm xmlns:a="http://schemas.openxmlformats.org/drawingml/2006/main">
            <a:off x="2953307" y="50800"/>
            <a:ext cx="959112" cy="4974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kern="1200">
                <a:latin typeface="Segoe UI Light" panose="020B0502040204020203" pitchFamily="34" charset="0"/>
                <a:cs typeface="Segoe UI Light" panose="020B0502040204020203" pitchFamily="34" charset="0"/>
              </a:rPr>
              <a:t>Iekārtu</a:t>
            </a:r>
            <a:r>
              <a:rPr lang="lv-LV" sz="700" b="1" kern="1200" baseline="0">
                <a:latin typeface="Segoe UI Light" panose="020B0502040204020203" pitchFamily="34" charset="0"/>
                <a:cs typeface="Segoe UI Light" panose="020B0502040204020203" pitchFamily="34" charset="0"/>
              </a:rPr>
              <a:t> un mašīnu operatori</a:t>
            </a:r>
            <a:endParaRPr lang="lv-LV" sz="700" b="1" kern="1200">
              <a:latin typeface="Segoe UI Light" panose="020B0502040204020203" pitchFamily="34" charset="0"/>
              <a:cs typeface="Segoe UI Light" panose="020B0502040204020203" pitchFamily="34" charset="0"/>
            </a:endParaRPr>
          </a:p>
        </cdr:txBody>
      </cdr:sp>
      <cdr:sp macro="" textlink="">
        <cdr:nvSpPr>
          <cdr:cNvPr id="9" name="Text Box 1"/>
          <cdr:cNvSpPr txBox="1"/>
        </cdr:nvSpPr>
        <cdr:spPr>
          <a:xfrm xmlns:a="http://schemas.openxmlformats.org/drawingml/2006/main">
            <a:off x="3611281" y="50800"/>
            <a:ext cx="959112" cy="4974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kern="1200">
                <a:latin typeface="Segoe UI Light" panose="020B0502040204020203" pitchFamily="34" charset="0"/>
                <a:cs typeface="Segoe UI Light" panose="020B0502040204020203" pitchFamily="34" charset="0"/>
              </a:rPr>
              <a:t>Speciālisti</a:t>
            </a:r>
          </a:p>
        </cdr:txBody>
      </cdr:sp>
      <cdr:sp macro="" textlink="">
        <cdr:nvSpPr>
          <cdr:cNvPr id="10" name="Text Box 1"/>
          <cdr:cNvSpPr txBox="1"/>
        </cdr:nvSpPr>
        <cdr:spPr>
          <a:xfrm xmlns:a="http://schemas.openxmlformats.org/drawingml/2006/main">
            <a:off x="4337513" y="50800"/>
            <a:ext cx="826630" cy="4974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kern="1200">
                <a:latin typeface="Segoe UI Light" panose="020B0502040204020203" pitchFamily="34" charset="0"/>
                <a:cs typeface="Segoe UI Light" panose="020B0502040204020203" pitchFamily="34" charset="0"/>
              </a:rPr>
              <a:t>Pakalpojumu</a:t>
            </a:r>
            <a:r>
              <a:rPr lang="lv-LV" sz="700" b="1" kern="1200" baseline="0">
                <a:latin typeface="Segoe UI Light" panose="020B0502040204020203" pitchFamily="34" charset="0"/>
                <a:cs typeface="Segoe UI Light" panose="020B0502040204020203" pitchFamily="34" charset="0"/>
              </a:rPr>
              <a:t> un tirdzniecības darbinieki</a:t>
            </a:r>
            <a:endParaRPr lang="lv-LV" sz="700" b="1" kern="1200">
              <a:latin typeface="Segoe UI Light" panose="020B0502040204020203" pitchFamily="34" charset="0"/>
              <a:cs typeface="Segoe UI Light" panose="020B0502040204020203" pitchFamily="34" charset="0"/>
            </a:endParaRPr>
          </a:p>
        </cdr:txBody>
      </cdr:sp>
      <cdr:sp macro="" textlink="">
        <cdr:nvSpPr>
          <cdr:cNvPr id="11" name="Text Box 1"/>
          <cdr:cNvSpPr txBox="1"/>
        </cdr:nvSpPr>
        <cdr:spPr>
          <a:xfrm xmlns:a="http://schemas.openxmlformats.org/drawingml/2006/main">
            <a:off x="4901199" y="50800"/>
            <a:ext cx="858886" cy="4974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700" b="1" kern="1200">
                <a:latin typeface="Segoe UI Light" panose="020B0502040204020203" pitchFamily="34" charset="0"/>
                <a:cs typeface="Segoe UI Light" panose="020B0502040204020203" pitchFamily="34" charset="0"/>
              </a:rPr>
              <a:t>Kvalificēti</a:t>
            </a:r>
            <a:r>
              <a:rPr lang="lv-LV" sz="700" b="1" kern="1200" baseline="0">
                <a:latin typeface="Segoe UI Light" panose="020B0502040204020203" pitchFamily="34" charset="0"/>
                <a:cs typeface="Segoe UI Light" panose="020B0502040204020203" pitchFamily="34" charset="0"/>
              </a:rPr>
              <a:t> strādnieki un amatnieki</a:t>
            </a:r>
            <a:endParaRPr lang="lv-LV" sz="700" b="1" kern="1200">
              <a:latin typeface="Segoe UI Light" panose="020B0502040204020203" pitchFamily="34" charset="0"/>
              <a:cs typeface="Segoe UI Light" panose="020B0502040204020203" pitchFamily="34" charset="0"/>
            </a:endParaRPr>
          </a:p>
        </cdr:txBody>
      </cdr:sp>
    </cdr:grpSp>
  </cdr:relSizeAnchor>
</c:userShape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E0829-E6B3-4362-9C25-9F436B26BBDE}">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590</TotalTime>
  <Pages>108</Pages>
  <Words>32126</Words>
  <Characters>227456</Characters>
  <Application>Microsoft Office Word</Application>
  <DocSecurity>0</DocSecurity>
  <Lines>5289</Lines>
  <Paragraphs>3018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256564</CharactersWithSpaces>
  <SharedDoc>false</SharedDoc>
  <HLinks>
    <vt:vector size="192" baseType="variant">
      <vt:variant>
        <vt:i4>5111816</vt:i4>
      </vt:variant>
      <vt:variant>
        <vt:i4>129</vt:i4>
      </vt:variant>
      <vt:variant>
        <vt:i4>0</vt:i4>
      </vt:variant>
      <vt:variant>
        <vt:i4>5</vt:i4>
      </vt:variant>
      <vt:variant>
        <vt:lpwstr>https://skillspanorama.cedefop.europa.eu/en/skills-themes/future-jobs</vt:lpwstr>
      </vt:variant>
      <vt:variant>
        <vt:lpwstr/>
      </vt:variant>
      <vt:variant>
        <vt:i4>2883591</vt:i4>
      </vt:variant>
      <vt:variant>
        <vt:i4>122</vt:i4>
      </vt:variant>
      <vt:variant>
        <vt:i4>0</vt:i4>
      </vt:variant>
      <vt:variant>
        <vt:i4>5</vt:i4>
      </vt:variant>
      <vt:variant>
        <vt:lpwstr/>
      </vt:variant>
      <vt:variant>
        <vt:lpwstr>_Toc1212335018</vt:lpwstr>
      </vt:variant>
      <vt:variant>
        <vt:i4>1376315</vt:i4>
      </vt:variant>
      <vt:variant>
        <vt:i4>116</vt:i4>
      </vt:variant>
      <vt:variant>
        <vt:i4>0</vt:i4>
      </vt:variant>
      <vt:variant>
        <vt:i4>5</vt:i4>
      </vt:variant>
      <vt:variant>
        <vt:lpwstr/>
      </vt:variant>
      <vt:variant>
        <vt:lpwstr>_Toc116555934</vt:lpwstr>
      </vt:variant>
      <vt:variant>
        <vt:i4>2555907</vt:i4>
      </vt:variant>
      <vt:variant>
        <vt:i4>110</vt:i4>
      </vt:variant>
      <vt:variant>
        <vt:i4>0</vt:i4>
      </vt:variant>
      <vt:variant>
        <vt:i4>5</vt:i4>
      </vt:variant>
      <vt:variant>
        <vt:lpwstr/>
      </vt:variant>
      <vt:variant>
        <vt:lpwstr>_Toc1466052067</vt:lpwstr>
      </vt:variant>
      <vt:variant>
        <vt:i4>2490369</vt:i4>
      </vt:variant>
      <vt:variant>
        <vt:i4>104</vt:i4>
      </vt:variant>
      <vt:variant>
        <vt:i4>0</vt:i4>
      </vt:variant>
      <vt:variant>
        <vt:i4>5</vt:i4>
      </vt:variant>
      <vt:variant>
        <vt:lpwstr/>
      </vt:variant>
      <vt:variant>
        <vt:lpwstr>_Toc1746005313</vt:lpwstr>
      </vt:variant>
      <vt:variant>
        <vt:i4>1114164</vt:i4>
      </vt:variant>
      <vt:variant>
        <vt:i4>98</vt:i4>
      </vt:variant>
      <vt:variant>
        <vt:i4>0</vt:i4>
      </vt:variant>
      <vt:variant>
        <vt:i4>5</vt:i4>
      </vt:variant>
      <vt:variant>
        <vt:lpwstr/>
      </vt:variant>
      <vt:variant>
        <vt:lpwstr>_Toc756754001</vt:lpwstr>
      </vt:variant>
      <vt:variant>
        <vt:i4>1835066</vt:i4>
      </vt:variant>
      <vt:variant>
        <vt:i4>92</vt:i4>
      </vt:variant>
      <vt:variant>
        <vt:i4>0</vt:i4>
      </vt:variant>
      <vt:variant>
        <vt:i4>5</vt:i4>
      </vt:variant>
      <vt:variant>
        <vt:lpwstr/>
      </vt:variant>
      <vt:variant>
        <vt:lpwstr>_Toc881134068</vt:lpwstr>
      </vt:variant>
      <vt:variant>
        <vt:i4>1179705</vt:i4>
      </vt:variant>
      <vt:variant>
        <vt:i4>86</vt:i4>
      </vt:variant>
      <vt:variant>
        <vt:i4>0</vt:i4>
      </vt:variant>
      <vt:variant>
        <vt:i4>5</vt:i4>
      </vt:variant>
      <vt:variant>
        <vt:lpwstr/>
      </vt:variant>
      <vt:variant>
        <vt:lpwstr>_Toc258373401</vt:lpwstr>
      </vt:variant>
      <vt:variant>
        <vt:i4>2555912</vt:i4>
      </vt:variant>
      <vt:variant>
        <vt:i4>80</vt:i4>
      </vt:variant>
      <vt:variant>
        <vt:i4>0</vt:i4>
      </vt:variant>
      <vt:variant>
        <vt:i4>5</vt:i4>
      </vt:variant>
      <vt:variant>
        <vt:lpwstr/>
      </vt:variant>
      <vt:variant>
        <vt:lpwstr>_Toc1450269577</vt:lpwstr>
      </vt:variant>
      <vt:variant>
        <vt:i4>1245245</vt:i4>
      </vt:variant>
      <vt:variant>
        <vt:i4>74</vt:i4>
      </vt:variant>
      <vt:variant>
        <vt:i4>0</vt:i4>
      </vt:variant>
      <vt:variant>
        <vt:i4>5</vt:i4>
      </vt:variant>
      <vt:variant>
        <vt:lpwstr/>
      </vt:variant>
      <vt:variant>
        <vt:lpwstr>_Toc397084192</vt:lpwstr>
      </vt:variant>
      <vt:variant>
        <vt:i4>1900592</vt:i4>
      </vt:variant>
      <vt:variant>
        <vt:i4>68</vt:i4>
      </vt:variant>
      <vt:variant>
        <vt:i4>0</vt:i4>
      </vt:variant>
      <vt:variant>
        <vt:i4>5</vt:i4>
      </vt:variant>
      <vt:variant>
        <vt:lpwstr/>
      </vt:variant>
      <vt:variant>
        <vt:lpwstr>_Toc556601381</vt:lpwstr>
      </vt:variant>
      <vt:variant>
        <vt:i4>1507384</vt:i4>
      </vt:variant>
      <vt:variant>
        <vt:i4>62</vt:i4>
      </vt:variant>
      <vt:variant>
        <vt:i4>0</vt:i4>
      </vt:variant>
      <vt:variant>
        <vt:i4>5</vt:i4>
      </vt:variant>
      <vt:variant>
        <vt:lpwstr/>
      </vt:variant>
      <vt:variant>
        <vt:lpwstr>_Toc156590601</vt:lpwstr>
      </vt:variant>
      <vt:variant>
        <vt:i4>2097159</vt:i4>
      </vt:variant>
      <vt:variant>
        <vt:i4>56</vt:i4>
      </vt:variant>
      <vt:variant>
        <vt:i4>0</vt:i4>
      </vt:variant>
      <vt:variant>
        <vt:i4>5</vt:i4>
      </vt:variant>
      <vt:variant>
        <vt:lpwstr/>
      </vt:variant>
      <vt:variant>
        <vt:lpwstr>_Toc1765113125</vt:lpwstr>
      </vt:variant>
      <vt:variant>
        <vt:i4>2162697</vt:i4>
      </vt:variant>
      <vt:variant>
        <vt:i4>50</vt:i4>
      </vt:variant>
      <vt:variant>
        <vt:i4>0</vt:i4>
      </vt:variant>
      <vt:variant>
        <vt:i4>5</vt:i4>
      </vt:variant>
      <vt:variant>
        <vt:lpwstr/>
      </vt:variant>
      <vt:variant>
        <vt:lpwstr>_Toc1177019564</vt:lpwstr>
      </vt:variant>
      <vt:variant>
        <vt:i4>1769527</vt:i4>
      </vt:variant>
      <vt:variant>
        <vt:i4>44</vt:i4>
      </vt:variant>
      <vt:variant>
        <vt:i4>0</vt:i4>
      </vt:variant>
      <vt:variant>
        <vt:i4>5</vt:i4>
      </vt:variant>
      <vt:variant>
        <vt:lpwstr/>
      </vt:variant>
      <vt:variant>
        <vt:lpwstr>_Toc476843105</vt:lpwstr>
      </vt:variant>
      <vt:variant>
        <vt:i4>1441849</vt:i4>
      </vt:variant>
      <vt:variant>
        <vt:i4>38</vt:i4>
      </vt:variant>
      <vt:variant>
        <vt:i4>0</vt:i4>
      </vt:variant>
      <vt:variant>
        <vt:i4>5</vt:i4>
      </vt:variant>
      <vt:variant>
        <vt:lpwstr/>
      </vt:variant>
      <vt:variant>
        <vt:lpwstr>_Toc67228652</vt:lpwstr>
      </vt:variant>
      <vt:variant>
        <vt:i4>2424838</vt:i4>
      </vt:variant>
      <vt:variant>
        <vt:i4>32</vt:i4>
      </vt:variant>
      <vt:variant>
        <vt:i4>0</vt:i4>
      </vt:variant>
      <vt:variant>
        <vt:i4>5</vt:i4>
      </vt:variant>
      <vt:variant>
        <vt:lpwstr/>
      </vt:variant>
      <vt:variant>
        <vt:lpwstr>_Toc2077962380</vt:lpwstr>
      </vt:variant>
      <vt:variant>
        <vt:i4>1572925</vt:i4>
      </vt:variant>
      <vt:variant>
        <vt:i4>26</vt:i4>
      </vt:variant>
      <vt:variant>
        <vt:i4>0</vt:i4>
      </vt:variant>
      <vt:variant>
        <vt:i4>5</vt:i4>
      </vt:variant>
      <vt:variant>
        <vt:lpwstr/>
      </vt:variant>
      <vt:variant>
        <vt:lpwstr>_Toc469819187</vt:lpwstr>
      </vt:variant>
      <vt:variant>
        <vt:i4>2752522</vt:i4>
      </vt:variant>
      <vt:variant>
        <vt:i4>20</vt:i4>
      </vt:variant>
      <vt:variant>
        <vt:i4>0</vt:i4>
      </vt:variant>
      <vt:variant>
        <vt:i4>5</vt:i4>
      </vt:variant>
      <vt:variant>
        <vt:lpwstr/>
      </vt:variant>
      <vt:variant>
        <vt:lpwstr>_Toc1958502894</vt:lpwstr>
      </vt:variant>
      <vt:variant>
        <vt:i4>3080199</vt:i4>
      </vt:variant>
      <vt:variant>
        <vt:i4>14</vt:i4>
      </vt:variant>
      <vt:variant>
        <vt:i4>0</vt:i4>
      </vt:variant>
      <vt:variant>
        <vt:i4>5</vt:i4>
      </vt:variant>
      <vt:variant>
        <vt:lpwstr/>
      </vt:variant>
      <vt:variant>
        <vt:lpwstr>_Toc1210525971</vt:lpwstr>
      </vt:variant>
      <vt:variant>
        <vt:i4>3014664</vt:i4>
      </vt:variant>
      <vt:variant>
        <vt:i4>8</vt:i4>
      </vt:variant>
      <vt:variant>
        <vt:i4>0</vt:i4>
      </vt:variant>
      <vt:variant>
        <vt:i4>5</vt:i4>
      </vt:variant>
      <vt:variant>
        <vt:lpwstr/>
      </vt:variant>
      <vt:variant>
        <vt:lpwstr>_Toc1906078213</vt:lpwstr>
      </vt:variant>
      <vt:variant>
        <vt:i4>2031684</vt:i4>
      </vt:variant>
      <vt:variant>
        <vt:i4>3</vt:i4>
      </vt:variant>
      <vt:variant>
        <vt:i4>0</vt:i4>
      </vt:variant>
      <vt:variant>
        <vt:i4>5</vt:i4>
      </vt:variant>
      <vt:variant>
        <vt:lpwstr>https://prognozes.em.gov.lv/</vt:lpwstr>
      </vt:variant>
      <vt:variant>
        <vt:lpwstr/>
      </vt:variant>
      <vt:variant>
        <vt:i4>2621503</vt:i4>
      </vt:variant>
      <vt:variant>
        <vt:i4>0</vt:i4>
      </vt:variant>
      <vt:variant>
        <vt:i4>0</vt:i4>
      </vt:variant>
      <vt:variant>
        <vt:i4>5</vt:i4>
      </vt:variant>
      <vt:variant>
        <vt:lpwstr>https://www.em.gov.lv/lv/darba-tirgus-zinojums</vt:lpwstr>
      </vt:variant>
      <vt:variant>
        <vt:lpwstr/>
      </vt:variant>
      <vt:variant>
        <vt:i4>6750322</vt:i4>
      </vt:variant>
      <vt:variant>
        <vt:i4>24</vt:i4>
      </vt:variant>
      <vt:variant>
        <vt:i4>0</vt:i4>
      </vt:variant>
      <vt:variant>
        <vt:i4>5</vt:i4>
      </vt:variant>
      <vt:variant>
        <vt:lpwstr>https://www.viis.gov.lv/dati/oce-rezultatu-indekss</vt:lpwstr>
      </vt:variant>
      <vt:variant>
        <vt:lpwstr/>
      </vt:variant>
      <vt:variant>
        <vt:i4>7274556</vt:i4>
      </vt:variant>
      <vt:variant>
        <vt:i4>21</vt:i4>
      </vt:variant>
      <vt:variant>
        <vt:i4>0</vt:i4>
      </vt:variant>
      <vt:variant>
        <vt:i4>5</vt:i4>
      </vt:variant>
      <vt:variant>
        <vt:lpwstr>https://eur-lex.europa.eu/legal-content/LV/TXT/?qid=1588580774040&amp;uri=CELEX:52019DC0640</vt:lpwstr>
      </vt:variant>
      <vt:variant>
        <vt:lpwstr/>
      </vt:variant>
      <vt:variant>
        <vt:i4>4653110</vt:i4>
      </vt:variant>
      <vt:variant>
        <vt:i4>18</vt:i4>
      </vt:variant>
      <vt:variant>
        <vt:i4>0</vt:i4>
      </vt:variant>
      <vt:variant>
        <vt:i4>5</vt:i4>
      </vt:variant>
      <vt:variant>
        <vt:lpwstr>https://ec.europa.eu/info/strategy/priorities-2019-2024/european-green-deal_lv</vt:lpwstr>
      </vt:variant>
      <vt:variant>
        <vt:lpwstr/>
      </vt:variant>
      <vt:variant>
        <vt:i4>6094970</vt:i4>
      </vt:variant>
      <vt:variant>
        <vt:i4>15</vt:i4>
      </vt:variant>
      <vt:variant>
        <vt:i4>0</vt:i4>
      </vt:variant>
      <vt:variant>
        <vt:i4>5</vt:i4>
      </vt:variant>
      <vt:variant>
        <vt:lpwstr>https://www.researchgate.net/publication/273515631_The_Grand_Challenges_in_Smart_Materials_Researc</vt:lpwstr>
      </vt:variant>
      <vt:variant>
        <vt:lpwstr/>
      </vt:variant>
      <vt:variant>
        <vt:i4>917591</vt:i4>
      </vt:variant>
      <vt:variant>
        <vt:i4>12</vt:i4>
      </vt:variant>
      <vt:variant>
        <vt:i4>0</vt:i4>
      </vt:variant>
      <vt:variant>
        <vt:i4>5</vt:i4>
      </vt:variant>
      <vt:variant>
        <vt:lpwstr>https://www.em.gov.lv/lv/industriala-politika</vt:lpwstr>
      </vt:variant>
      <vt:variant>
        <vt:lpwstr/>
      </vt:variant>
      <vt:variant>
        <vt:i4>4259929</vt:i4>
      </vt:variant>
      <vt:variant>
        <vt:i4>9</vt:i4>
      </vt:variant>
      <vt:variant>
        <vt:i4>0</vt:i4>
      </vt:variant>
      <vt:variant>
        <vt:i4>5</vt:i4>
      </vt:variant>
      <vt:variant>
        <vt:lpwstr>https://pkc.gov.lv/lv/nap2027</vt:lpwstr>
      </vt:variant>
      <vt:variant>
        <vt:lpwstr/>
      </vt:variant>
      <vt:variant>
        <vt:i4>65603</vt:i4>
      </vt:variant>
      <vt:variant>
        <vt:i4>6</vt:i4>
      </vt:variant>
      <vt:variant>
        <vt:i4>0</vt:i4>
      </vt:variant>
      <vt:variant>
        <vt:i4>5</vt:i4>
      </vt:variant>
      <vt:variant>
        <vt:lpwstr>https://pkc.gov.lv/lv/valsts-attistibas-planosana/latvijas-ilgtspejigas-attistibas-strategija</vt:lpwstr>
      </vt:variant>
      <vt:variant>
        <vt:lpwstr/>
      </vt:variant>
      <vt:variant>
        <vt:i4>3932280</vt:i4>
      </vt:variant>
      <vt:variant>
        <vt:i4>3</vt:i4>
      </vt:variant>
      <vt:variant>
        <vt:i4>0</vt:i4>
      </vt:variant>
      <vt:variant>
        <vt:i4>5</vt:i4>
      </vt:variant>
      <vt:variant>
        <vt:lpwstr>https://data.stat.gov.lv/pxweb/lv/OSP_OD/OSP_OD__apsekojumi__arodizgl__2010_2015_2020/?tablelist=true</vt:lpwstr>
      </vt:variant>
      <vt:variant>
        <vt:lpwstr/>
      </vt:variant>
      <vt:variant>
        <vt:i4>2162749</vt:i4>
      </vt:variant>
      <vt:variant>
        <vt:i4>0</vt:i4>
      </vt:variant>
      <vt:variant>
        <vt:i4>0</vt:i4>
      </vt:variant>
      <vt:variant>
        <vt:i4>5</vt:i4>
      </vt:variant>
      <vt:variant>
        <vt:lpwstr>https://stat.gov.lv/lv/metadati/2878-aiznemtas-un-brivas-darbvietas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Ozols</dc:creator>
  <cp:keywords/>
  <dc:description/>
  <cp:lastModifiedBy>Agnese Rožkalne</cp:lastModifiedBy>
  <cp:revision>2018</cp:revision>
  <cp:lastPrinted>2022-06-27T12:02:00Z</cp:lastPrinted>
  <dcterms:created xsi:type="dcterms:W3CDTF">2025-02-06T00:44:00Z</dcterms:created>
  <dcterms:modified xsi:type="dcterms:W3CDTF">2026-07-15T14:12:00Z</dcterms:modified>
</cp:coreProperties>
</file>