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E31B5" w:rsidR="00042D8B" w:rsidP="009D3FA7" w:rsidRDefault="005D2C99" w14:paraId="5A529A9B" w14:textId="2EA7CB48">
      <w:pPr>
        <w:pStyle w:val="BodyText"/>
        <w:spacing w:after="120"/>
        <w:ind w:left="-180"/>
        <w15:collapsed w:val="false"/>
        <w:rPr>
          <w:szCs w:val="24"/>
        </w:rPr>
      </w:pPr>
      <w:r w:rsidRPr="006E31B5">
        <w:rPr>
          <w:szCs w:val="24"/>
        </w:rPr>
        <w:t>Informatīvais ziņojums</w:t>
      </w:r>
    </w:p>
    <w:p w:rsidRPr="006E31B5" w:rsidR="00325600" w:rsidP="009D3FA7" w:rsidRDefault="00042D8B" w14:paraId="21045954" w14:textId="2F67D67A">
      <w:pPr>
        <w:pStyle w:val="BodyText"/>
        <w:spacing w:after="120"/>
        <w:rPr>
          <w:szCs w:val="24"/>
        </w:rPr>
      </w:pPr>
      <w:r w:rsidRPr="006E31B5">
        <w:rPr>
          <w:szCs w:val="24"/>
        </w:rPr>
        <w:t>“</w:t>
      </w:r>
      <w:bookmarkStart w:id="0" w:name="_Hlk57195359"/>
      <w:r w:rsidRPr="006E31B5" w:rsidR="00F635B9">
        <w:rPr>
          <w:szCs w:val="24"/>
        </w:rPr>
        <w:t xml:space="preserve">Par </w:t>
      </w:r>
      <w:bookmarkStart w:id="1" w:name="_Hlk57192155"/>
      <w:r w:rsidRPr="006E31B5" w:rsidR="002F61FA">
        <w:rPr>
          <w:szCs w:val="24"/>
        </w:rPr>
        <w:t>neformāl</w:t>
      </w:r>
      <w:r w:rsidRPr="006E31B5" w:rsidR="00DD190A">
        <w:rPr>
          <w:szCs w:val="24"/>
        </w:rPr>
        <w:t>ajā</w:t>
      </w:r>
      <w:r w:rsidRPr="006E31B5" w:rsidR="002F61FA">
        <w:rPr>
          <w:szCs w:val="24"/>
        </w:rPr>
        <w:t xml:space="preserve"> </w:t>
      </w:r>
      <w:r w:rsidRPr="006E31B5" w:rsidR="00F635B9">
        <w:rPr>
          <w:szCs w:val="24"/>
        </w:rPr>
        <w:t xml:space="preserve">Eiropas Savienības Vispārējo lietu padomes </w:t>
      </w:r>
      <w:bookmarkEnd w:id="1"/>
      <w:r w:rsidRPr="006E31B5">
        <w:rPr>
          <w:szCs w:val="24"/>
        </w:rPr>
        <w:t>20</w:t>
      </w:r>
      <w:r w:rsidRPr="006E31B5" w:rsidR="00DB3D2D">
        <w:rPr>
          <w:szCs w:val="24"/>
        </w:rPr>
        <w:t>2</w:t>
      </w:r>
      <w:r w:rsidRPr="006E31B5" w:rsidR="009D3FA7">
        <w:rPr>
          <w:szCs w:val="24"/>
        </w:rPr>
        <w:t>4</w:t>
      </w:r>
      <w:r w:rsidRPr="006E31B5">
        <w:rPr>
          <w:szCs w:val="24"/>
        </w:rPr>
        <w:t>. gada</w:t>
      </w:r>
      <w:r w:rsidRPr="006E31B5" w:rsidR="003268FF">
        <w:rPr>
          <w:szCs w:val="24"/>
        </w:rPr>
        <w:t> </w:t>
      </w:r>
      <w:r w:rsidR="00FB60DA">
        <w:rPr>
          <w:szCs w:val="24"/>
        </w:rPr>
        <w:t>2.</w:t>
      </w:r>
      <w:r w:rsidRPr="006E31B5" w:rsidR="003268FF">
        <w:rPr>
          <w:szCs w:val="24"/>
        </w:rPr>
        <w:t>-</w:t>
      </w:r>
      <w:r w:rsidR="00FB60DA">
        <w:rPr>
          <w:szCs w:val="24"/>
        </w:rPr>
        <w:t>3</w:t>
      </w:r>
      <w:r w:rsidRPr="006E31B5" w:rsidR="007625EB">
        <w:rPr>
          <w:szCs w:val="24"/>
        </w:rPr>
        <w:t>.</w:t>
      </w:r>
      <w:r w:rsidRPr="006E31B5" w:rsidR="003268FF">
        <w:rPr>
          <w:szCs w:val="24"/>
        </w:rPr>
        <w:t> </w:t>
      </w:r>
      <w:r w:rsidR="00C2494E">
        <w:rPr>
          <w:szCs w:val="24"/>
        </w:rPr>
        <w:t>septembra</w:t>
      </w:r>
      <w:r w:rsidRPr="006E31B5" w:rsidR="003C79F8">
        <w:rPr>
          <w:szCs w:val="24"/>
        </w:rPr>
        <w:t xml:space="preserve"> </w:t>
      </w:r>
      <w:r w:rsidRPr="006E31B5" w:rsidR="00E41F51">
        <w:rPr>
          <w:szCs w:val="24"/>
        </w:rPr>
        <w:t xml:space="preserve">sanāksmē </w:t>
      </w:r>
      <w:r w:rsidRPr="006E31B5">
        <w:rPr>
          <w:szCs w:val="24"/>
        </w:rPr>
        <w:t>izskatāmajiem jautājumiem</w:t>
      </w:r>
      <w:bookmarkEnd w:id="0"/>
      <w:r w:rsidRPr="006E31B5">
        <w:rPr>
          <w:szCs w:val="24"/>
        </w:rPr>
        <w:t>”</w:t>
      </w:r>
    </w:p>
    <w:p w:rsidRPr="006E31B5" w:rsidR="00820506" w:rsidP="009D3FA7" w:rsidRDefault="00042D8B" w14:paraId="3E97AD4F" w14:textId="55AF3A3E">
      <w:pPr>
        <w:spacing w:after="120"/>
        <w:jc w:val="both"/>
      </w:pPr>
      <w:r w:rsidRPr="006E31B5">
        <w:t>20</w:t>
      </w:r>
      <w:r w:rsidRPr="006E31B5" w:rsidR="00CE2DAB">
        <w:t>2</w:t>
      </w:r>
      <w:r w:rsidRPr="006E31B5" w:rsidR="009D3FA7">
        <w:t>4</w:t>
      </w:r>
      <w:r w:rsidRPr="006E31B5">
        <w:t xml:space="preserve">. gada </w:t>
      </w:r>
      <w:r w:rsidR="00FB60DA">
        <w:t>2</w:t>
      </w:r>
      <w:r w:rsidRPr="006E31B5" w:rsidR="000C4894">
        <w:t>.</w:t>
      </w:r>
      <w:r w:rsidRPr="006E31B5" w:rsidR="007625EB">
        <w:t>-</w:t>
      </w:r>
      <w:r w:rsidR="00FB60DA">
        <w:t>3</w:t>
      </w:r>
      <w:r w:rsidRPr="006E31B5" w:rsidR="007625EB">
        <w:t>.</w:t>
      </w:r>
      <w:r w:rsidRPr="006E31B5" w:rsidR="000C4894">
        <w:t xml:space="preserve"> </w:t>
      </w:r>
      <w:r w:rsidR="008E3D2C">
        <w:t>septembrī</w:t>
      </w:r>
      <w:r w:rsidRPr="006E31B5" w:rsidR="0021460B">
        <w:t xml:space="preserve"> </w:t>
      </w:r>
      <w:r w:rsidR="00C2494E">
        <w:t>Budapeštā, Ungārijā</w:t>
      </w:r>
      <w:r w:rsidRPr="006E31B5" w:rsidR="009D3FA7">
        <w:t xml:space="preserve"> </w:t>
      </w:r>
      <w:r w:rsidRPr="006E31B5">
        <w:t xml:space="preserve">notiks </w:t>
      </w:r>
      <w:r w:rsidRPr="006E31B5" w:rsidR="002F61FA">
        <w:t xml:space="preserve">neformālā </w:t>
      </w:r>
      <w:r w:rsidRPr="006E31B5">
        <w:t xml:space="preserve">Eiropas Savienības (turpmāk – ES) Vispārējo lietu padomes (turpmāk – VLP) sanāksme. </w:t>
      </w:r>
      <w:bookmarkStart w:id="2" w:name="_Hlk112832654"/>
      <w:r w:rsidRPr="006E31B5" w:rsidR="00820506">
        <w:t>Darba kārtībā ir iekļaut</w:t>
      </w:r>
      <w:r w:rsidRPr="006E31B5" w:rsidR="00203662">
        <w:t>i</w:t>
      </w:r>
      <w:r w:rsidRPr="006E31B5" w:rsidR="00820506">
        <w:t xml:space="preserve"> šād</w:t>
      </w:r>
      <w:r w:rsidRPr="006E31B5" w:rsidR="00203662">
        <w:t>i</w:t>
      </w:r>
      <w:r w:rsidRPr="006E31B5" w:rsidR="00820506">
        <w:t xml:space="preserve"> jautājum</w:t>
      </w:r>
      <w:r w:rsidRPr="006E31B5" w:rsidR="00203662">
        <w:t>i</w:t>
      </w:r>
      <w:r w:rsidRPr="006E31B5" w:rsidR="00820506">
        <w:t>:</w:t>
      </w:r>
    </w:p>
    <w:p w:rsidRPr="006E31B5" w:rsidR="00203662" w:rsidP="009D3FA7" w:rsidRDefault="00446921" w14:paraId="4855FCA1" w14:textId="1A019172">
      <w:pPr>
        <w:pStyle w:val="ListParagraph"/>
        <w:numPr>
          <w:ilvl w:val="0"/>
          <w:numId w:val="41"/>
        </w:numPr>
        <w:spacing w:after="120" w:line="240" w:lineRule="auto"/>
        <w:contextualSpacing w:val="false"/>
        <w:jc w:val="both"/>
        <w:rPr>
          <w:rFonts w:ascii="Times New Roman" w:hAnsi="Times New Roman" w:eastAsia="Times New Roman"/>
          <w:sz w:val="24"/>
          <w:szCs w:val="24"/>
        </w:rPr>
      </w:pPr>
      <w:bookmarkStart w:id="3" w:name="_Hlk136866651"/>
      <w:bookmarkStart w:id="4" w:name="_Hlk136863024"/>
      <w:r w:rsidRPr="00446921">
        <w:rPr>
          <w:rFonts w:ascii="Times New Roman" w:hAnsi="Times New Roman" w:eastAsia="Times New Roman"/>
          <w:sz w:val="24"/>
          <w:szCs w:val="24"/>
        </w:rPr>
        <w:t xml:space="preserve">Konkurētspējas un tiesiskuma veicināšana </w:t>
      </w:r>
      <w:r w:rsidR="00EB10AE">
        <w:rPr>
          <w:rFonts w:ascii="Times New Roman" w:hAnsi="Times New Roman" w:eastAsia="Times New Roman"/>
          <w:sz w:val="24"/>
          <w:szCs w:val="24"/>
        </w:rPr>
        <w:t>ar</w:t>
      </w:r>
      <w:r w:rsidRPr="00446921">
        <w:rPr>
          <w:rFonts w:ascii="Times New Roman" w:hAnsi="Times New Roman" w:eastAsia="Times New Roman"/>
          <w:sz w:val="24"/>
          <w:szCs w:val="24"/>
        </w:rPr>
        <w:t xml:space="preserve"> labāk</w:t>
      </w:r>
      <w:r w:rsidR="00EB10AE">
        <w:rPr>
          <w:rFonts w:ascii="Times New Roman" w:hAnsi="Times New Roman" w:eastAsia="Times New Roman"/>
          <w:sz w:val="24"/>
          <w:szCs w:val="24"/>
        </w:rPr>
        <w:t>a</w:t>
      </w:r>
      <w:r w:rsidRPr="00446921">
        <w:rPr>
          <w:rFonts w:ascii="Times New Roman" w:hAnsi="Times New Roman" w:eastAsia="Times New Roman"/>
          <w:sz w:val="24"/>
          <w:szCs w:val="24"/>
        </w:rPr>
        <w:t xml:space="preserve"> likumdošan</w:t>
      </w:r>
      <w:r w:rsidR="00EB10AE">
        <w:rPr>
          <w:rFonts w:ascii="Times New Roman" w:hAnsi="Times New Roman" w:eastAsia="Times New Roman"/>
          <w:sz w:val="24"/>
          <w:szCs w:val="24"/>
        </w:rPr>
        <w:t>as procesa palīdzību</w:t>
      </w:r>
      <w:r w:rsidRPr="006E31B5" w:rsidR="00203662">
        <w:rPr>
          <w:rFonts w:ascii="Times New Roman" w:hAnsi="Times New Roman" w:eastAsia="Times New Roman"/>
          <w:sz w:val="24"/>
          <w:szCs w:val="24"/>
        </w:rPr>
        <w:t>;</w:t>
      </w:r>
    </w:p>
    <w:p w:rsidRPr="00446921" w:rsidR="00446921" w:rsidP="009D3FA7" w:rsidRDefault="00446921" w14:paraId="1B1EDFD6" w14:textId="05D7EC8B">
      <w:pPr>
        <w:pStyle w:val="ListParagraph"/>
        <w:numPr>
          <w:ilvl w:val="0"/>
          <w:numId w:val="41"/>
        </w:numPr>
        <w:spacing w:after="120" w:line="240" w:lineRule="auto"/>
        <w:contextualSpacing w:val="false"/>
        <w:jc w:val="both"/>
        <w:rPr>
          <w:rFonts w:ascii="Times New Roman" w:hAnsi="Times New Roman" w:eastAsia="Times New Roman"/>
          <w:sz w:val="28"/>
          <w:szCs w:val="24"/>
        </w:rPr>
      </w:pPr>
      <w:bookmarkStart w:id="5" w:name="_Hlk173831695"/>
      <w:bookmarkEnd w:id="3"/>
      <w:bookmarkEnd w:id="4"/>
      <w:r>
        <w:rPr>
          <w:rFonts w:ascii="Times New Roman" w:hAnsi="Times New Roman"/>
          <w:sz w:val="24"/>
        </w:rPr>
        <w:t>Konkurētspēja</w:t>
      </w:r>
      <w:r w:rsidR="004D6CD2">
        <w:rPr>
          <w:rFonts w:ascii="Times New Roman" w:hAnsi="Times New Roman"/>
          <w:sz w:val="24"/>
        </w:rPr>
        <w:t>:</w:t>
      </w:r>
    </w:p>
    <w:bookmarkEnd w:id="5"/>
    <w:p w:rsidR="009D3FA7" w:rsidP="00446921" w:rsidRDefault="00446921" w14:paraId="26FA22EC" w14:textId="22302607">
      <w:pPr>
        <w:pStyle w:val="ListParagraph"/>
        <w:spacing w:after="120" w:line="240" w:lineRule="auto"/>
        <w:contextualSpacing w:val="false"/>
        <w:jc w:val="both"/>
        <w:rPr>
          <w:rFonts w:ascii="Times New Roman" w:hAnsi="Times New Roman"/>
          <w:sz w:val="24"/>
        </w:rPr>
      </w:pPr>
      <w:r>
        <w:rPr>
          <w:rFonts w:ascii="Times New Roman" w:hAnsi="Times New Roman"/>
          <w:sz w:val="24"/>
        </w:rPr>
        <w:t>2.1.</w:t>
      </w:r>
      <w:r w:rsidRPr="006E31B5" w:rsidR="00C4596B">
        <w:rPr>
          <w:rFonts w:ascii="Times New Roman" w:hAnsi="Times New Roman"/>
          <w:sz w:val="24"/>
        </w:rPr>
        <w:t xml:space="preserve"> </w:t>
      </w:r>
      <w:bookmarkStart w:id="6" w:name="_Hlk173831716"/>
      <w:r w:rsidRPr="00446921">
        <w:rPr>
          <w:rFonts w:ascii="Times New Roman" w:hAnsi="Times New Roman"/>
          <w:sz w:val="24"/>
        </w:rPr>
        <w:t>Ceļā uz jaunu industriālo plānu: tīra un digitāla pāreja</w:t>
      </w:r>
      <w:bookmarkEnd w:id="6"/>
      <w:r>
        <w:rPr>
          <w:rFonts w:ascii="Times New Roman" w:hAnsi="Times New Roman"/>
          <w:sz w:val="24"/>
        </w:rPr>
        <w:t>;</w:t>
      </w:r>
    </w:p>
    <w:p w:rsidR="00446921" w:rsidP="00446921" w:rsidRDefault="00446921" w14:paraId="389DC9D3" w14:textId="7447D7AB">
      <w:pPr>
        <w:pStyle w:val="ListParagraph"/>
        <w:spacing w:after="120" w:line="240" w:lineRule="auto"/>
        <w:contextualSpacing w:val="false"/>
        <w:jc w:val="both"/>
        <w:rPr>
          <w:rFonts w:ascii="Times New Roman" w:hAnsi="Times New Roman"/>
          <w:sz w:val="24"/>
        </w:rPr>
      </w:pPr>
      <w:r w:rsidRPr="00446921">
        <w:rPr>
          <w:rFonts w:ascii="Times New Roman" w:hAnsi="Times New Roman"/>
          <w:sz w:val="24"/>
        </w:rPr>
        <w:t xml:space="preserve">2.2. </w:t>
      </w:r>
      <w:bookmarkStart w:id="7" w:name="_Hlk173831726"/>
      <w:r w:rsidRPr="00446921">
        <w:rPr>
          <w:rFonts w:ascii="Times New Roman" w:hAnsi="Times New Roman"/>
          <w:sz w:val="24"/>
        </w:rPr>
        <w:t>Konkurētspējas stiprināšana: darbaspēka trūkuma un demogrāfisko izaicinājumu risināšana; inovāciju veicināšana, ieguldot pētniecībā, izglītībā un prasmēs</w:t>
      </w:r>
      <w:bookmarkEnd w:id="7"/>
      <w:r>
        <w:rPr>
          <w:rFonts w:ascii="Times New Roman" w:hAnsi="Times New Roman"/>
          <w:sz w:val="24"/>
        </w:rPr>
        <w:t>;</w:t>
      </w:r>
    </w:p>
    <w:p w:rsidRPr="00446921" w:rsidR="00446921" w:rsidP="00446921" w:rsidRDefault="00446921" w14:paraId="0329C093" w14:textId="39F89325">
      <w:pPr>
        <w:pStyle w:val="ListParagraph"/>
        <w:spacing w:after="120" w:line="240" w:lineRule="auto"/>
        <w:contextualSpacing w:val="false"/>
        <w:jc w:val="both"/>
        <w:rPr>
          <w:rFonts w:ascii="Times New Roman" w:hAnsi="Times New Roman"/>
          <w:sz w:val="24"/>
        </w:rPr>
      </w:pPr>
      <w:r>
        <w:rPr>
          <w:rFonts w:ascii="Times New Roman" w:hAnsi="Times New Roman"/>
          <w:sz w:val="24"/>
        </w:rPr>
        <w:t xml:space="preserve">2.3. </w:t>
      </w:r>
      <w:bookmarkStart w:id="8" w:name="_Hlk173831736"/>
      <w:r w:rsidRPr="00446921">
        <w:rPr>
          <w:rFonts w:ascii="Times New Roman" w:hAnsi="Times New Roman"/>
          <w:sz w:val="24"/>
        </w:rPr>
        <w:t>Izaicinājumi saistībā ar valsts un privāto finansējumu</w:t>
      </w:r>
      <w:bookmarkEnd w:id="8"/>
      <w:r>
        <w:rPr>
          <w:rFonts w:ascii="Times New Roman" w:hAnsi="Times New Roman"/>
          <w:sz w:val="24"/>
        </w:rPr>
        <w:t>;</w:t>
      </w:r>
    </w:p>
    <w:p w:rsidRPr="00446921" w:rsidR="00D574C3" w:rsidP="009D3FA7" w:rsidRDefault="00446921" w14:paraId="3CA63F1B" w14:textId="7F3B9901">
      <w:pPr>
        <w:pStyle w:val="ListParagraph"/>
        <w:numPr>
          <w:ilvl w:val="0"/>
          <w:numId w:val="41"/>
        </w:numPr>
        <w:spacing w:after="120" w:line="240" w:lineRule="auto"/>
        <w:contextualSpacing w:val="false"/>
        <w:jc w:val="both"/>
        <w:rPr>
          <w:rFonts w:ascii="Times New Roman" w:hAnsi="Times New Roman" w:eastAsia="Times New Roman"/>
          <w:sz w:val="24"/>
          <w:szCs w:val="24"/>
        </w:rPr>
      </w:pPr>
      <w:bookmarkStart w:id="9" w:name="_Hlk173831748"/>
      <w:r w:rsidRPr="00446921">
        <w:rPr>
          <w:rFonts w:ascii="Times New Roman" w:hAnsi="Times New Roman" w:eastAsia="Times New Roman"/>
          <w:sz w:val="24"/>
          <w:szCs w:val="24"/>
        </w:rPr>
        <w:t>Demogrāfiskā pāreja</w:t>
      </w:r>
      <w:bookmarkEnd w:id="9"/>
      <w:r>
        <w:rPr>
          <w:rFonts w:ascii="Times New Roman" w:hAnsi="Times New Roman" w:eastAsia="Times New Roman"/>
          <w:sz w:val="24"/>
          <w:szCs w:val="24"/>
        </w:rPr>
        <w:t>.</w:t>
      </w:r>
    </w:p>
    <w:p w:rsidRPr="006E31B5" w:rsidR="00E938E3" w:rsidP="009D3FA7" w:rsidRDefault="00E938E3" w14:paraId="53B346BA" w14:textId="77777777">
      <w:pPr>
        <w:pStyle w:val="ListParagraph"/>
        <w:spacing w:after="120" w:line="240" w:lineRule="auto"/>
        <w:contextualSpacing w:val="false"/>
        <w:jc w:val="both"/>
        <w:rPr>
          <w:rFonts w:ascii="Times New Roman" w:hAnsi="Times New Roman" w:eastAsia="Times New Roman"/>
          <w:sz w:val="24"/>
          <w:szCs w:val="24"/>
        </w:rPr>
      </w:pPr>
    </w:p>
    <w:bookmarkEnd w:id="2"/>
    <w:p w:rsidRPr="006E31B5" w:rsidR="00203662" w:rsidP="00B04C1A" w:rsidRDefault="00E938E3" w14:paraId="72E03D04" w14:textId="7BD0D66F">
      <w:pPr>
        <w:spacing w:after="120"/>
        <w:ind w:left="360"/>
        <w:jc w:val="both"/>
        <w:rPr>
          <w:b/>
        </w:rPr>
      </w:pPr>
      <w:r w:rsidRPr="00446921">
        <w:rPr>
          <w:b/>
        </w:rPr>
        <w:t xml:space="preserve">1. </w:t>
      </w:r>
      <w:r w:rsidRPr="00446921" w:rsidR="00F43883">
        <w:rPr>
          <w:b/>
        </w:rPr>
        <w:t xml:space="preserve">Konkurētspējas un tiesiskuma </w:t>
      </w:r>
      <w:r w:rsidRPr="00446921" w:rsidR="00054B67">
        <w:rPr>
          <w:b/>
        </w:rPr>
        <w:t xml:space="preserve">veicināšana </w:t>
      </w:r>
      <w:r w:rsidR="00EB10AE">
        <w:rPr>
          <w:b/>
        </w:rPr>
        <w:t>ar</w:t>
      </w:r>
      <w:r w:rsidRPr="00446921" w:rsidR="00054B67">
        <w:rPr>
          <w:b/>
        </w:rPr>
        <w:t xml:space="preserve"> labāk</w:t>
      </w:r>
      <w:r w:rsidR="00EB10AE">
        <w:rPr>
          <w:b/>
        </w:rPr>
        <w:t>a</w:t>
      </w:r>
      <w:r w:rsidRPr="00446921" w:rsidR="00054B67">
        <w:rPr>
          <w:b/>
        </w:rPr>
        <w:t xml:space="preserve"> likumdošan</w:t>
      </w:r>
      <w:r w:rsidR="00EB10AE">
        <w:rPr>
          <w:b/>
        </w:rPr>
        <w:t>as procesa palīdzību</w:t>
      </w:r>
    </w:p>
    <w:p w:rsidRPr="00EB10AE" w:rsidR="00EB10AE" w:rsidP="00EB10AE" w:rsidRDefault="00EB10AE" w14:paraId="143B9CE3" w14:textId="77777777">
      <w:pPr>
        <w:spacing w:after="120"/>
        <w:jc w:val="both"/>
      </w:pPr>
      <w:r w:rsidRPr="00EB10AE">
        <w:t xml:space="preserve">Stratēģiskā programma 2024.−2029. gadam nosaka ietvaru </w:t>
      </w:r>
      <w:proofErr w:type="spellStart"/>
      <w:r w:rsidRPr="00EB10AE">
        <w:t>labklājīgai</w:t>
      </w:r>
      <w:proofErr w:type="spellEnd"/>
      <w:r w:rsidRPr="00EB10AE">
        <w:t xml:space="preserve"> un konkurētspējīgai ES. Vairāku Stratēģiskajā programmā noteikto uzdevumu mērķis ir stiprināt ES konkurētspēju un veicināt inovācijām un uzņēmējdarbībai labvēlīgu vidi, tostarp uzlabojot tiesisko regulējumu. Arī 2024. gada aprīļa Eiropadomes sanāksmē līderi pauda nepieciešamību pēc labāka un gudrāka tiesiskā regulējuma ietvara, uzsverot, tostarp kvalitatīva, savlaicīga un visaptveroša ietekmes novērtējuma un konkurētspējas pārbaužu izmantošanas nozīmi.</w:t>
      </w:r>
    </w:p>
    <w:p w:rsidRPr="00EB10AE" w:rsidR="00EB10AE" w:rsidP="00EB10AE" w:rsidRDefault="00EB10AE" w14:paraId="4DFE6F8E" w14:textId="235D7C63">
      <w:pPr>
        <w:spacing w:after="120"/>
        <w:jc w:val="both"/>
      </w:pPr>
      <w:r w:rsidRPr="00EB10AE">
        <w:t xml:space="preserve">ES konkurētspējas veicināšana ir būtisks Ungārijas prezidentūras programmas pīlārs. Prezidentūra norāda, ka šī mērķa īstenošanai ir nepieciešama horizontāla pieeja, kas vijas caur  visām politiku jomām. Tāpat Ungārijas prezidentūra uzsver tiesiskumu kā ES </w:t>
      </w:r>
      <w:r w:rsidR="00602B66">
        <w:t>pamatvērtību</w:t>
      </w:r>
      <w:r w:rsidRPr="00EB10AE">
        <w:t xml:space="preserve">. Prezidentūra vēlas stiprināt sinerģijas starp šiem diviem visaptverošajiem principiem. </w:t>
      </w:r>
    </w:p>
    <w:p w:rsidRPr="00EB10AE" w:rsidR="00EB10AE" w:rsidP="00EB10AE" w:rsidRDefault="00EB10AE" w14:paraId="350A722E" w14:textId="6876623D">
      <w:pPr>
        <w:spacing w:after="120"/>
        <w:jc w:val="both"/>
      </w:pPr>
      <w:r w:rsidRPr="00EB10AE">
        <w:t>Labākas likumdošanas process, uzlabojot likumdošanas kvalitāti, ir būtisks tiesiskuma aspekts. Eiropas Komisijas</w:t>
      </w:r>
      <w:r w:rsidR="006907F8">
        <w:t xml:space="preserve"> (turpmāk – EK)</w:t>
      </w:r>
      <w:r w:rsidRPr="00EB10AE">
        <w:t xml:space="preserve"> ikgadējie tiesiskuma ziņojumi ietver jautājumus, kas saistās ar labāku likumdošanas procesu, ieskaitot ietekmes novērtēšanas instrumentus, kā arī publisko konsultāciju noteikumus un iesaistīto pušu iesaisti likumdošanas procesā. 2024.</w:t>
      </w:r>
      <w:r w:rsidR="008213CB">
        <w:t> </w:t>
      </w:r>
      <w:r w:rsidRPr="00EB10AE">
        <w:t xml:space="preserve">gada </w:t>
      </w:r>
      <w:r w:rsidR="006907F8">
        <w:t>EK</w:t>
      </w:r>
      <w:r w:rsidRPr="00EB10AE">
        <w:t xml:space="preserve"> ziņojumā par tiesiskumu tiek atzīmēts, ka dalībvalstis ir īstenojušas pasākumus, lai uzlabotu likumdošanas procesa kvalitāti, piemēram, ieviešot obligātu sabiedriskās apspriešanas un ietekmes novērtējumu izmantošanu.   </w:t>
      </w:r>
    </w:p>
    <w:p w:rsidRPr="00EB10AE" w:rsidR="00EB10AE" w:rsidP="00EB10AE" w:rsidRDefault="00EB10AE" w14:paraId="6CCB0F26" w14:textId="77777777">
      <w:pPr>
        <w:spacing w:after="120"/>
        <w:jc w:val="both"/>
      </w:pPr>
      <w:r w:rsidRPr="00EB10AE">
        <w:t xml:space="preserve">Šobrīd ES labākas regulācijas instrumentu klāstā jau pieejami vairāki instrumenti, lai uzlabotu likumdošanas kvalitāti. Jaunā ES institucionālā cikla sākumā ir iespēja apmainīties ar viedokļiem par minētajiem tiesiskuma aspektiem, kā arī izanalizēt, ņemot vērā gūto pieredzi, kā efektīvi izmantot labu likumdošanu, lai veicinātu izaugsmi un konkurētspēju. </w:t>
      </w:r>
    </w:p>
    <w:p w:rsidRPr="00EB10AE" w:rsidR="00EB10AE" w:rsidP="00EB10AE" w:rsidRDefault="00EB10AE" w14:paraId="451106BC" w14:textId="41373B4D">
      <w:pPr>
        <w:spacing w:after="120"/>
        <w:jc w:val="both"/>
        <w:rPr>
          <w:iCs/>
        </w:rPr>
      </w:pPr>
      <w:r w:rsidRPr="00EB10AE">
        <w:t xml:space="preserve">Neformālajā VLP diskusijai piedāvāti divi temati - ietekmes novērtējums un sabiedrisko/ ieinteresēto personu konsultāciju izmantošana ES likumdošanas procesā. </w:t>
      </w:r>
      <w:r w:rsidRPr="00EB10AE">
        <w:rPr>
          <w:iCs/>
        </w:rPr>
        <w:t xml:space="preserve">Diskusijas jautājumi: </w:t>
      </w:r>
      <w:r w:rsidRPr="00EB10AE">
        <w:t xml:space="preserve">1. Kā uzlabot ietekmes novērtējumu izmantošanu visā likumdošanas procesā vai pat pēc tam, piemērojot un novērtējot pieņemtos tiesību aktus? 2. Kā var vēl vairāk uzlabot sabiedrisko/ieinteresēto personu konsultāciju pārredzamību un efektivitāti visā likumdošanas procesā vai pēc tam, pieņemto tiesību aktu piemērošanas un izvērtēšanas laikā? </w:t>
      </w:r>
      <w:r w:rsidRPr="00EB10AE">
        <w:rPr>
          <w:iCs/>
        </w:rPr>
        <w:t xml:space="preserve">3. Vai ir kādi </w:t>
      </w:r>
      <w:r w:rsidRPr="00EB10AE">
        <w:rPr>
          <w:iCs/>
        </w:rPr>
        <w:lastRenderedPageBreak/>
        <w:t>citi aspekti, ko būtu vērts apsvērt, lai identificētu veidus, kā likumdošanas process var labāk sniegt ieguldījumu vienlaicīgi konkurētspējai un tiesiskumam?</w:t>
      </w:r>
    </w:p>
    <w:p w:rsidRPr="00EB10AE" w:rsidR="00EB10AE" w:rsidP="00EB10AE" w:rsidRDefault="00EB10AE" w14:paraId="393C43B9" w14:textId="77777777">
      <w:pPr>
        <w:spacing w:after="120"/>
        <w:jc w:val="both"/>
        <w:rPr>
          <w:bCs/>
          <w:iCs/>
        </w:rPr>
      </w:pPr>
      <w:r w:rsidRPr="00EB10AE">
        <w:rPr>
          <w:bCs/>
          <w:iCs/>
          <w:u w:val="single"/>
        </w:rPr>
        <w:t>Latvijas nostāja</w:t>
      </w:r>
      <w:r w:rsidRPr="00EB10AE">
        <w:rPr>
          <w:bCs/>
          <w:iCs/>
        </w:rPr>
        <w:t>:</w:t>
      </w:r>
    </w:p>
    <w:p w:rsidRPr="00EB10AE" w:rsidR="00EB10AE" w:rsidP="00EB10AE" w:rsidRDefault="00EB10AE" w14:paraId="57FED97C" w14:textId="7680AEBF">
      <w:pPr>
        <w:spacing w:after="120"/>
        <w:jc w:val="both"/>
      </w:pPr>
      <w:r w:rsidRPr="00EB10AE">
        <w:t xml:space="preserve">ES vērtības balstās uz augstiem tiesiskuma, demokrātijas un </w:t>
      </w:r>
      <w:proofErr w:type="spellStart"/>
      <w:r w:rsidRPr="00EB10AE">
        <w:t>pamattiesību</w:t>
      </w:r>
      <w:proofErr w:type="spellEnd"/>
      <w:r w:rsidRPr="00EB10AE">
        <w:t xml:space="preserve"> standartiem. Latvija atbalsta šīs vērtības un redz tās kā labu pamatu sadarbībai starp dalībvalstīm. Latvija atbalsta  tiesiskuma stiprināšanu ES, ta</w:t>
      </w:r>
      <w:r w:rsidR="006907F8">
        <w:t>i</w:t>
      </w:r>
      <w:r w:rsidRPr="00EB10AE">
        <w:t xml:space="preserve"> skaitā </w:t>
      </w:r>
      <w:r w:rsidR="006907F8">
        <w:t>EK</w:t>
      </w:r>
      <w:r w:rsidRPr="00EB10AE">
        <w:t xml:space="preserve"> ikgadējā ziņojuma par tiesiskuma situāciju dalībvalstīs gatavošanu. Atbalstām ierosmi stiprināt sadarbību starp ES likumdevējiem un pilsoniskās sabiedrības organizācijām. Tāpat atbalstām ierosmi vētīt iespējas, kā Padomes darbu padarīt pārredzamāku.</w:t>
      </w:r>
    </w:p>
    <w:p w:rsidR="00EB10AE" w:rsidP="00EB10AE" w:rsidRDefault="00EB10AE" w14:paraId="47EFC276" w14:textId="58ACA471">
      <w:pPr>
        <w:spacing w:after="120"/>
        <w:jc w:val="both"/>
      </w:pPr>
      <w:r w:rsidRPr="00EB10AE">
        <w:t xml:space="preserve">Latvija uzskata, ka likumdošanas procesā būtu svarīgi iekļaut kvalitatīvus ietekmes </w:t>
      </w:r>
      <w:proofErr w:type="spellStart"/>
      <w:r w:rsidRPr="00EB10AE">
        <w:t>izvērtējumus</w:t>
      </w:r>
      <w:proofErr w:type="spellEnd"/>
      <w:r w:rsidRPr="00EB10AE">
        <w:t xml:space="preserve">, kas analizētu ietekmi uz uzņēmumiem, īpaši </w:t>
      </w:r>
      <w:r w:rsidR="005B3EDF">
        <w:t>maziem un vidējiem uzņēmumiem (</w:t>
      </w:r>
      <w:r w:rsidRPr="00EB10AE">
        <w:t>MVU</w:t>
      </w:r>
      <w:r w:rsidR="005B3EDF">
        <w:t>)</w:t>
      </w:r>
      <w:r w:rsidRPr="00EB10AE">
        <w:t>. Ļoti svarīga ir ES politiku saskaņotība, kā arī tiesību aktu un noteikto mērķu ietekme, tāpēc ir nepieciešams novērtēt to kumulatīvo ietekmi uz tautsaimniecības nozarēm (t</w:t>
      </w:r>
      <w:r w:rsidR="005B3EDF">
        <w:t xml:space="preserve">ai </w:t>
      </w:r>
      <w:r w:rsidRPr="00EB10AE">
        <w:t>sk</w:t>
      </w:r>
      <w:r w:rsidR="005B3EDF">
        <w:t>aitā</w:t>
      </w:r>
      <w:r w:rsidRPr="00EB10AE">
        <w:t xml:space="preserve"> lauksaimniecību un mežsaimniecību). </w:t>
      </w:r>
    </w:p>
    <w:p w:rsidRPr="00EB10AE" w:rsidR="00EB495E" w:rsidP="00EB10AE" w:rsidRDefault="00EB495E" w14:paraId="722D5877" w14:textId="11A85CB3">
      <w:pPr>
        <w:spacing w:after="120"/>
        <w:jc w:val="both"/>
      </w:pPr>
      <w:r w:rsidRPr="00EB495E">
        <w:t>Likumdevējiem būtu jāievieš stingrāks pienākums regulāri komunicēt ar nozaru profesionālajām asociācijām par iespējamiem normatīvo aktu grozījumiem, kas varētu būtiski ietekmēt uzņēmēju administratīvo vai fiskālo slogu. Privātajam sektoram ir apgrūtinoši sekot līdzi visiem normatīvo aktu grozījumiem un jaunu tiesību aktu apstiprināšanai, tāpēc šāds pienākums ne tikai sekmētu efektīvāku sabiedrības un privātā sektora iesaisti likumdošanas procesā, bet arī palīdzētu nodrošināt, ka uzņēmēji ir savlaicīgi informēti par izmaiņām, kurām var būt būtiska ietekme uz viņu darbību, tādējādi veicinot konkurētspēju un tiesiskumu</w:t>
      </w:r>
      <w:r>
        <w:t>.</w:t>
      </w:r>
    </w:p>
    <w:p w:rsidRPr="00EB10AE" w:rsidR="00EB10AE" w:rsidP="00EB10AE" w:rsidRDefault="00EB10AE" w14:paraId="5403F106" w14:textId="7EEAC4B9">
      <w:pPr>
        <w:spacing w:after="120"/>
        <w:jc w:val="both"/>
        <w:rPr>
          <w:iCs/>
        </w:rPr>
      </w:pPr>
      <w:r w:rsidRPr="00EB10AE">
        <w:rPr>
          <w:iCs/>
        </w:rPr>
        <w:t xml:space="preserve">Saskaņā ar nacionālo pozīciju </w:t>
      </w:r>
      <w:r w:rsidR="00AB00A8">
        <w:rPr>
          <w:iCs/>
        </w:rPr>
        <w:t xml:space="preserve">Nr. 1 </w:t>
      </w:r>
      <w:r w:rsidRPr="00EB10AE">
        <w:rPr>
          <w:iCs/>
        </w:rPr>
        <w:t>“</w:t>
      </w:r>
      <w:r w:rsidR="00AB00A8">
        <w:rPr>
          <w:iCs/>
        </w:rPr>
        <w:t>Par</w:t>
      </w:r>
      <w:r w:rsidRPr="00EB10AE">
        <w:rPr>
          <w:iCs/>
        </w:rPr>
        <w:t xml:space="preserve"> Eiropas Savienības Padomes stratēģisko programmu 2024.-2029. gadam”, kas apstiprināta Ministru kabinetā 2024. gada 18. jūnijā un Saeimas Eiropas lietu komisijā 21. jūnijā. </w:t>
      </w:r>
    </w:p>
    <w:p w:rsidRPr="00EB10AE" w:rsidR="00EB10AE" w:rsidP="00EB10AE" w:rsidRDefault="00EB10AE" w14:paraId="364249F3" w14:textId="21849CB8">
      <w:pPr>
        <w:spacing w:after="120"/>
        <w:jc w:val="both"/>
        <w:rPr>
          <w:iCs/>
        </w:rPr>
      </w:pPr>
      <w:r w:rsidRPr="00EB10AE">
        <w:rPr>
          <w:iCs/>
        </w:rPr>
        <w:t xml:space="preserve">Saskaņā ar nacionālo pozīciju </w:t>
      </w:r>
      <w:r w:rsidR="00AB00A8">
        <w:rPr>
          <w:iCs/>
        </w:rPr>
        <w:t xml:space="preserve">Nr. 1 </w:t>
      </w:r>
      <w:r w:rsidRPr="00EB10AE">
        <w:rPr>
          <w:iCs/>
        </w:rPr>
        <w:t>“</w:t>
      </w:r>
      <w:r w:rsidR="00AB00A8">
        <w:rPr>
          <w:iCs/>
        </w:rPr>
        <w:t>P</w:t>
      </w:r>
      <w:r w:rsidRPr="00EB10AE">
        <w:rPr>
          <w:iCs/>
        </w:rPr>
        <w:t>ar 2024. gada 17.-18. aprīļa ārkārtas Eiropadomē izskatāmajiem jautājumiem”, kas apstiprināta Ministru kabinetā 2024. gada 16.</w:t>
      </w:r>
      <w:r>
        <w:rPr>
          <w:iCs/>
        </w:rPr>
        <w:t> </w:t>
      </w:r>
      <w:r w:rsidRPr="00EB10AE">
        <w:rPr>
          <w:iCs/>
        </w:rPr>
        <w:t>aprīlī un Saeimas Eiropas lietu komisijā 17.</w:t>
      </w:r>
      <w:r>
        <w:rPr>
          <w:iCs/>
        </w:rPr>
        <w:t> </w:t>
      </w:r>
      <w:r w:rsidRPr="00EB10AE">
        <w:rPr>
          <w:iCs/>
        </w:rPr>
        <w:t xml:space="preserve">aprīlī. </w:t>
      </w:r>
    </w:p>
    <w:p w:rsidRPr="00EB10AE" w:rsidR="00EB10AE" w:rsidP="00EB10AE" w:rsidRDefault="00EB10AE" w14:paraId="281BAFCB" w14:textId="407EF245">
      <w:pPr>
        <w:spacing w:after="120"/>
        <w:jc w:val="both"/>
        <w:rPr>
          <w:iCs/>
        </w:rPr>
      </w:pPr>
      <w:r w:rsidRPr="00EB10AE">
        <w:rPr>
          <w:iCs/>
        </w:rPr>
        <w:t xml:space="preserve">Saskaņā ar nacionālo pozīciju </w:t>
      </w:r>
      <w:r w:rsidR="00AB00A8">
        <w:rPr>
          <w:iCs/>
        </w:rPr>
        <w:t xml:space="preserve">Nr. 1 </w:t>
      </w:r>
      <w:r w:rsidRPr="00EB10AE">
        <w:rPr>
          <w:iCs/>
        </w:rPr>
        <w:t>“Par Eiropas Savienības Vispārējo lietu padomes 2023.</w:t>
      </w:r>
      <w:r w:rsidR="00AD2D76">
        <w:rPr>
          <w:iCs/>
        </w:rPr>
        <w:t> </w:t>
      </w:r>
      <w:r w:rsidRPr="00EB10AE">
        <w:rPr>
          <w:iCs/>
        </w:rPr>
        <w:t>gada 19. septembra sanāksmē izskatāmajiem jautājumiem”, kas apstiprināta Ministru kabinetā 2023. gada 12. septembrī un Saeimas Eiropas lietu komisijā</w:t>
      </w:r>
      <w:r w:rsidR="00AD2D76">
        <w:rPr>
          <w:iCs/>
        </w:rPr>
        <w:t xml:space="preserve"> </w:t>
      </w:r>
      <w:r w:rsidRPr="00EB10AE">
        <w:rPr>
          <w:iCs/>
        </w:rPr>
        <w:t>13.</w:t>
      </w:r>
      <w:r>
        <w:rPr>
          <w:iCs/>
        </w:rPr>
        <w:t> </w:t>
      </w:r>
      <w:r w:rsidRPr="00EB10AE">
        <w:rPr>
          <w:iCs/>
        </w:rPr>
        <w:t>septembrī.</w:t>
      </w:r>
    </w:p>
    <w:p w:rsidRPr="00EB10AE" w:rsidR="00EB10AE" w:rsidP="00EB10AE" w:rsidRDefault="00EB10AE" w14:paraId="4933C148" w14:textId="453AA559">
      <w:pPr>
        <w:spacing w:after="120"/>
        <w:jc w:val="both"/>
      </w:pPr>
      <w:r w:rsidRPr="00EB10AE">
        <w:t>Saskaņā ar nacionālo pozīcij</w:t>
      </w:r>
      <w:r w:rsidR="005B3EDF">
        <w:t>u</w:t>
      </w:r>
      <w:r w:rsidRPr="00EB10AE">
        <w:t xml:space="preserve"> Nr. 1 “Par Eiropas Savienības Vispārējo lietu padomes 2024.</w:t>
      </w:r>
      <w:r>
        <w:t> </w:t>
      </w:r>
      <w:r w:rsidRPr="00EB10AE">
        <w:t>gada 21. maija sanāksmē izskatāmajiem jautājumiem”, kas apstiprināta Ministru kabinetā 14.</w:t>
      </w:r>
      <w:r>
        <w:t> </w:t>
      </w:r>
      <w:r w:rsidRPr="00EB10AE">
        <w:t xml:space="preserve">maijā un Saeimas Eiropas lietu komisijā 17. maijā. </w:t>
      </w:r>
    </w:p>
    <w:p w:rsidRPr="00EB10AE" w:rsidR="00EB10AE" w:rsidP="00EB10AE" w:rsidRDefault="00EB10AE" w14:paraId="618ACC62" w14:textId="612107CC">
      <w:pPr>
        <w:spacing w:after="120"/>
        <w:jc w:val="both"/>
      </w:pPr>
      <w:r w:rsidRPr="00EB10AE">
        <w:t>Saskaņā ar nacionālo pozīcij</w:t>
      </w:r>
      <w:r w:rsidR="005B3EDF">
        <w:t>u</w:t>
      </w:r>
      <w:r w:rsidRPr="00EB10AE">
        <w:t xml:space="preserve"> Nr. 2 “Par darba turpināšanu pie Eiropas nākotnes konferences rezultātiem”, kas apstiprināta Ministru kabinetā 2023. gada 10. janvārī un Saeimas Eiropas lietu komisijā 18. janvārī.</w:t>
      </w:r>
    </w:p>
    <w:p w:rsidRPr="006E31B5" w:rsidR="00D511FA" w:rsidP="00B04C1A" w:rsidRDefault="00D511FA" w14:paraId="0A9768D0" w14:textId="77777777">
      <w:pPr>
        <w:spacing w:after="120"/>
        <w:jc w:val="both"/>
        <w:rPr>
          <w:iCs/>
        </w:rPr>
      </w:pPr>
    </w:p>
    <w:p w:rsidR="00505189" w:rsidP="00B04C1A" w:rsidRDefault="00203662" w14:paraId="496DD347" w14:textId="56492909">
      <w:pPr>
        <w:spacing w:after="120"/>
        <w:ind w:left="360"/>
        <w:jc w:val="both"/>
        <w:rPr>
          <w:b/>
        </w:rPr>
      </w:pPr>
      <w:r w:rsidRPr="00446921">
        <w:rPr>
          <w:b/>
        </w:rPr>
        <w:t xml:space="preserve">2. </w:t>
      </w:r>
      <w:bookmarkStart w:id="10" w:name="_Hlk143259299"/>
      <w:r w:rsidRPr="00446921" w:rsidR="00505189">
        <w:rPr>
          <w:b/>
        </w:rPr>
        <w:t>Konkurētspēja</w:t>
      </w:r>
    </w:p>
    <w:p w:rsidR="00EB10AE" w:rsidP="00EB10AE" w:rsidRDefault="00EB10AE" w14:paraId="41ED88DC" w14:textId="3095AF1A">
      <w:pPr>
        <w:spacing w:after="120"/>
        <w:jc w:val="both"/>
      </w:pPr>
      <w:r>
        <w:t xml:space="preserve">Pēdējo gadu globālie ģeopolitiskie un ekonomiskie satricinājumi ir stiprinājuši ES pārliecību par nepieciešamību stiprināt Eiropas ekonomisko noturību un globālo konkurētspēju. </w:t>
      </w:r>
      <w:r w:rsidRPr="00451460">
        <w:t>2024.</w:t>
      </w:r>
      <w:r w:rsidR="005B3EDF">
        <w:t> </w:t>
      </w:r>
      <w:r w:rsidRPr="00451460">
        <w:t xml:space="preserve">gada 18. aprīlī Eiropadome vienojās par </w:t>
      </w:r>
      <w:r>
        <w:t>darbu pie</w:t>
      </w:r>
      <w:r w:rsidRPr="00451460">
        <w:t xml:space="preserve"> jaun</w:t>
      </w:r>
      <w:r>
        <w:t>ā</w:t>
      </w:r>
      <w:r w:rsidRPr="00451460">
        <w:t xml:space="preserve"> Eiropas konkurētspējas nolīgum</w:t>
      </w:r>
      <w:r>
        <w:t>a</w:t>
      </w:r>
      <w:r w:rsidRPr="00451460">
        <w:t>, un tālab noteica politikas iniciatīvas un darbības, kurās darbs būtu jāveic izlēmīgi un ātri.</w:t>
      </w:r>
      <w:r>
        <w:t xml:space="preserve"> Jaunā nolīguma ietvarā tika identificēti deviņi galvenie konkurētspējas virzītājspēki: Vienotais tirgus, Kapitāla tirgus savienība, rūpniecība, pētniecība/inovācijas, enerģētika, aprites ekonomika, </w:t>
      </w:r>
      <w:proofErr w:type="spellStart"/>
      <w:r>
        <w:t>digitalizācija</w:t>
      </w:r>
      <w:proofErr w:type="spellEnd"/>
      <w:r>
        <w:t>, sociālā politika un tirdzniecība. Savukārt</w:t>
      </w:r>
      <w:r w:rsidRPr="00451460">
        <w:t xml:space="preserve"> 2024. gada jūnija </w:t>
      </w:r>
      <w:r w:rsidRPr="00451460">
        <w:lastRenderedPageBreak/>
        <w:t xml:space="preserve">Eiropadomē </w:t>
      </w:r>
      <w:r>
        <w:t>tika pārskatīts progress</w:t>
      </w:r>
      <w:r w:rsidRPr="00451460">
        <w:t xml:space="preserve">, </w:t>
      </w:r>
      <w:r>
        <w:t>kura ietvarā dalībvalstu līderi uzsvēra nepieciešamību pēc</w:t>
      </w:r>
      <w:r w:rsidRPr="00451460">
        <w:t xml:space="preserve"> </w:t>
      </w:r>
      <w:r>
        <w:t>panākumiem</w:t>
      </w:r>
      <w:r w:rsidRPr="00451460">
        <w:t xml:space="preserve"> visos jaunā Eiropas konkurētspējas nolīguma virzienos līdz gada beigām.</w:t>
      </w:r>
    </w:p>
    <w:p w:rsidR="00EB10AE" w:rsidP="00EB10AE" w:rsidRDefault="00EB10AE" w14:paraId="2019D822" w14:textId="37860128">
      <w:pPr>
        <w:spacing w:after="120"/>
        <w:jc w:val="both"/>
        <w:rPr>
          <w:iCs/>
        </w:rPr>
      </w:pPr>
      <w:r w:rsidRPr="00621CEB">
        <w:t>Eiropas konkurētspējas uzlabošana ir Ungārijas prezidentūras galvenā prioritāte</w:t>
      </w:r>
      <w:r>
        <w:t xml:space="preserve">. </w:t>
      </w:r>
      <w:r w:rsidRPr="00621CEB">
        <w:t xml:space="preserve">Šajā sakarā </w:t>
      </w:r>
      <w:r>
        <w:t xml:space="preserve">VLP </w:t>
      </w:r>
      <w:r w:rsidRPr="00621CEB">
        <w:t xml:space="preserve">tiek </w:t>
      </w:r>
      <w:r>
        <w:t>paredzēts</w:t>
      </w:r>
      <w:r w:rsidRPr="00621CEB">
        <w:t xml:space="preserve"> apspriest rezultātus attiecībā uz dažādiem konkurētspējas aspektiem. Šīs diskusijas notiks trijās </w:t>
      </w:r>
      <w:r>
        <w:t xml:space="preserve">darba </w:t>
      </w:r>
      <w:r w:rsidRPr="00621CEB">
        <w:t>grupās</w:t>
      </w:r>
      <w:r>
        <w:t xml:space="preserve">, kuru ietvarā </w:t>
      </w:r>
      <w:r w:rsidR="005B3EDF">
        <w:t xml:space="preserve">prezidentūra </w:t>
      </w:r>
      <w:r>
        <w:t xml:space="preserve">aicina atbildēt uz sekojošajiem jautājumiem: </w:t>
      </w:r>
      <w:r w:rsidRPr="00BE28E1">
        <w:rPr>
          <w:iCs/>
        </w:rPr>
        <w:t>Kurš no elementiem attiecīgajā darba jomā būtu jānosaka par prioritāti vispirms?</w:t>
      </w:r>
      <w:r>
        <w:rPr>
          <w:iCs/>
        </w:rPr>
        <w:t xml:space="preserve"> </w:t>
      </w:r>
      <w:r w:rsidRPr="00BE28E1">
        <w:rPr>
          <w:iCs/>
        </w:rPr>
        <w:t>Kā Savienībai būtu jāīsteno šie elementi un jāatbalsta dalībvalstis?</w:t>
      </w:r>
    </w:p>
    <w:p w:rsidRPr="00EB10AE" w:rsidR="00E23DAD" w:rsidP="00EB10AE" w:rsidRDefault="00E23DAD" w14:paraId="2AE72483" w14:textId="77777777">
      <w:pPr>
        <w:spacing w:after="120"/>
        <w:jc w:val="both"/>
        <w:rPr>
          <w:iCs/>
        </w:rPr>
      </w:pPr>
    </w:p>
    <w:p w:rsidRPr="006E31B5" w:rsidR="00A50969" w:rsidP="00446921" w:rsidRDefault="00505189" w14:paraId="66BF9343" w14:textId="76909E2B">
      <w:pPr>
        <w:spacing w:after="120"/>
        <w:ind w:left="360" w:firstLine="360"/>
        <w:jc w:val="both"/>
        <w:rPr>
          <w:b/>
        </w:rPr>
      </w:pPr>
      <w:r w:rsidRPr="00446921">
        <w:rPr>
          <w:b/>
        </w:rPr>
        <w:t>2.1. Ceļā uz j</w:t>
      </w:r>
      <w:r w:rsidRPr="00446921" w:rsidR="00F43883">
        <w:rPr>
          <w:b/>
        </w:rPr>
        <w:t>aun</w:t>
      </w:r>
      <w:r w:rsidRPr="00446921">
        <w:rPr>
          <w:b/>
        </w:rPr>
        <w:t>u</w:t>
      </w:r>
      <w:r w:rsidRPr="00446921" w:rsidR="00F43883">
        <w:rPr>
          <w:b/>
        </w:rPr>
        <w:t xml:space="preserve"> industriāl</w:t>
      </w:r>
      <w:r w:rsidRPr="00446921">
        <w:rPr>
          <w:b/>
        </w:rPr>
        <w:t>o</w:t>
      </w:r>
      <w:r w:rsidRPr="00446921" w:rsidR="00F43883">
        <w:rPr>
          <w:b/>
        </w:rPr>
        <w:t xml:space="preserve"> plān</w:t>
      </w:r>
      <w:r w:rsidRPr="00446921">
        <w:rPr>
          <w:b/>
        </w:rPr>
        <w:t>u: tīra un digitāla pāreja</w:t>
      </w:r>
    </w:p>
    <w:p w:rsidRPr="00EB10AE" w:rsidR="00EB10AE" w:rsidP="00EB10AE" w:rsidRDefault="00EB10AE" w14:paraId="74A6A70A" w14:textId="3578098A">
      <w:pPr>
        <w:spacing w:after="120"/>
        <w:jc w:val="both"/>
      </w:pPr>
      <w:bookmarkStart w:id="11" w:name="_Hlk57195308"/>
      <w:bookmarkEnd w:id="10"/>
      <w:r w:rsidRPr="00EB10AE">
        <w:t xml:space="preserve">Ungārijas prezidentūras mērķis ir veicināt jaunā Eiropas konkurētspējas nolīguma pilnveidošanu, balstoties uz Antverpenes deklarāciju par Eiropas rūpniecības nolīgumu, Enriko </w:t>
      </w:r>
      <w:proofErr w:type="spellStart"/>
      <w:r w:rsidRPr="00EB10AE">
        <w:t>Letas</w:t>
      </w:r>
      <w:proofErr w:type="spellEnd"/>
      <w:r w:rsidRPr="00EB10AE">
        <w:t xml:space="preserve"> ziņojumu “Daudz vairāk nekā tirgus” un gaidāmo Mario </w:t>
      </w:r>
      <w:proofErr w:type="spellStart"/>
      <w:r w:rsidRPr="00EB10AE">
        <w:t>Dragi</w:t>
      </w:r>
      <w:proofErr w:type="spellEnd"/>
      <w:r w:rsidRPr="00EB10AE">
        <w:t xml:space="preserve"> ziņojumu par Eiropas konkurētspējas nākotni. Kā norāda uzņēmēji, jo īpaši Antverpenes deklarācijas parakstītāji, Eiropas konkurētspējas stiprināšanai pirmkārt un galvenokārt ir jālikvidē regulējuma nesaskaņotība, sarežģītība un pārmērīgas ziņošanas prasības uzņēmumiem, kas būtiski kavē to darbību. Lai palielinātu konkurētspēju, ir jāsamazina enerģijas cenas, lai galalietotāji un uzņēmumi varētu gūt virsroku gan vietējā, gan pasaules mērogā. Ir svarīgi arī labāk izmantot Vienoto tirgu, to atdzīvināt un novērst tā trūkumus.</w:t>
      </w:r>
    </w:p>
    <w:p w:rsidRPr="00EB10AE" w:rsidR="00EB10AE" w:rsidP="00EB10AE" w:rsidRDefault="00EB10AE" w14:paraId="38631BDA" w14:textId="77777777">
      <w:pPr>
        <w:spacing w:after="120"/>
        <w:jc w:val="both"/>
      </w:pPr>
      <w:r w:rsidRPr="00EB10AE">
        <w:t>Ungārijas prezidentūra uzsver nepieciešamību pēc jauna rūpniecības kursa izstrādes, kurā tiktu izklāstīta jauna konkurētspējas stratēģija, kas atbilst Zaļā kursa mērķiem, tādējādi panākot tīru un digitālu pāreju un stiprinot Eiropas rūpniecības līderību pasaulē. Tīrajai pārejai jāizmanto digitālās pārveides priekšrocības, kas kalpos par daudzpusīgu instrumentu Eiropas zaļā kursa sasniegšanai, samazinot vides piesārņojumu un nodrošinot tehnoloģijas, piemēram, mākslīgo intelektu (MI). ES ir pieteikusi sevi kā globālu digitālās politikas novatoru, par prioritāti izvirzot spēcīgas digitālās rūpniecības ekosistēmas izveidi Vienotajā tirgū. Ar pasaulē vērienīgāko digitālo programmu, tostarp lielāku finansējumu digitālajām iniciatīvām, intensīvu likumdošanas darbību un citiem nozīmīgiem centieniem, ES kļūst par vadošo digitālās rūpniecības lielvalsti. Digitālās desmitgades politikas programmā izvirzīti vērienīgi mērķi arī rūpniecības nozarei. Tomēr atsevišķās jomās ES atpaliek (MI ieviešana, lielo datu (</w:t>
      </w:r>
      <w:proofErr w:type="spellStart"/>
      <w:r w:rsidRPr="00EB10AE">
        <w:rPr>
          <w:i/>
        </w:rPr>
        <w:t>Big</w:t>
      </w:r>
      <w:proofErr w:type="spellEnd"/>
      <w:r w:rsidRPr="00EB10AE">
        <w:rPr>
          <w:i/>
        </w:rPr>
        <w:t xml:space="preserve"> </w:t>
      </w:r>
      <w:proofErr w:type="spellStart"/>
      <w:r w:rsidRPr="00EB10AE">
        <w:rPr>
          <w:i/>
        </w:rPr>
        <w:t>data</w:t>
      </w:r>
      <w:proofErr w:type="spellEnd"/>
      <w:r w:rsidRPr="00EB10AE">
        <w:t>) ieviešana, bezvadu glabāšanas sistēmu (</w:t>
      </w:r>
      <w:proofErr w:type="spellStart"/>
      <w:r w:rsidRPr="00EB10AE">
        <w:rPr>
          <w:i/>
        </w:rPr>
        <w:t>Cloud</w:t>
      </w:r>
      <w:proofErr w:type="spellEnd"/>
      <w:r w:rsidRPr="00EB10AE">
        <w:t>) ieviešana). Lai sasniegtu nozarei svarīgos mērķus līdz 2030. gadam, ES ir jāīsteno visaptveroša stratēģija, kas veicina ieviešanu gan galalietotāju, gan uzņēmumu vidū, jo tas ir izšķirošs faktors šo vērienīgo mērķu sasniegšanā.</w:t>
      </w:r>
    </w:p>
    <w:p w:rsidRPr="00EB10AE" w:rsidR="00EB10AE" w:rsidP="00EB10AE" w:rsidRDefault="00EB10AE" w14:paraId="4D303F5B" w14:textId="77777777">
      <w:pPr>
        <w:spacing w:after="120"/>
        <w:jc w:val="both"/>
        <w:rPr>
          <w:u w:val="single"/>
        </w:rPr>
      </w:pPr>
      <w:r w:rsidRPr="00EB10AE">
        <w:rPr>
          <w:u w:val="single"/>
        </w:rPr>
        <w:t>Latvijas nostāja</w:t>
      </w:r>
      <w:r w:rsidRPr="00EB10AE">
        <w:t>:</w:t>
      </w:r>
    </w:p>
    <w:p w:rsidRPr="00EB10AE" w:rsidR="00EB10AE" w:rsidP="00EB10AE" w:rsidRDefault="00EB10AE" w14:paraId="4EFB52A2" w14:textId="77777777">
      <w:pPr>
        <w:spacing w:after="120"/>
        <w:jc w:val="both"/>
        <w:rPr>
          <w:bCs/>
        </w:rPr>
      </w:pPr>
      <w:r w:rsidRPr="00EB10AE">
        <w:rPr>
          <w:bCs/>
        </w:rPr>
        <w:t>Latvija piekrīt tam, ka viens no prioritārajiem rūpniecības konkurētspējas stiprināšanas uzdevumiem ir regulatīvā sloga samazināšana, tostarp nodrošinot “viens iekšā – viens ārā” principa ievērošanu jaunu regulējumu izstrādē un samazinot ziņošanas prasības uzņēmumiem. Tāpat Latvija uzskata, ka viens no būtiskākajiem šķēršļiem rūpniecības konkurētspējas attīstībai ir joprojām pastāvošās nacionālās likumdošanas barjeras, kas kavē uzņēmumu darbības izplešanos. Līdz ar to ir jāveicina 27 dažādu nacionālo prasību harmonizācija, kā arī savstarpējās atzīšanas principa plašāka piemērošana.</w:t>
      </w:r>
    </w:p>
    <w:p w:rsidRPr="00EB10AE" w:rsidR="00EB10AE" w:rsidP="00EB10AE" w:rsidRDefault="00EB10AE" w14:paraId="1A9E031F" w14:textId="77777777">
      <w:pPr>
        <w:spacing w:after="120"/>
        <w:jc w:val="both"/>
        <w:rPr>
          <w:bCs/>
        </w:rPr>
      </w:pPr>
      <w:r w:rsidRPr="00EB10AE">
        <w:rPr>
          <w:bCs/>
        </w:rPr>
        <w:t>Latvija uzskata, ka ES konkurētspējas priekšnoteikums ir pilnībā funkcionējošs Vienotais tirgus, tāpēc Latvija uzsver, ka ir jāveicina dažādu politikas jomu saskaņotība, atrodot pareizo līdzsvaru starp, piemēram, vides, patērētāju, darba ņēmēju, sabiedrības veselības, drošības un aizsardzības mērķiem, vienlaikus neapdraudot rūpniecību un darba devēju intereses ES ietvaros.</w:t>
      </w:r>
    </w:p>
    <w:p w:rsidRPr="00EB10AE" w:rsidR="00EB10AE" w:rsidP="00EB10AE" w:rsidRDefault="00EB10AE" w14:paraId="3AEA6FD0" w14:textId="7F571B27">
      <w:pPr>
        <w:spacing w:after="120"/>
        <w:jc w:val="both"/>
        <w:rPr>
          <w:bCs/>
        </w:rPr>
      </w:pPr>
      <w:r w:rsidRPr="00EB10AE">
        <w:rPr>
          <w:bCs/>
        </w:rPr>
        <w:lastRenderedPageBreak/>
        <w:t xml:space="preserve">Digitālās pārejas jautājumu kontekstā Latvija atbalsta nepieciešamību ieviest un īstenot visaptverošas stratēģijas ar mērķi veicināt izaugsmi MI, lielo datu, un bezvada glabāšanas sistēmu ieviešanā, ar mērķi mazināt esošo digitālo plaisu starp ES un ASV un Ķīnu. Latvija atbalsta kopēju un stratēģisku Eiropas pieeju inovatīvām digitālajām tehnoloģijām un nākotnes tehnoloģijām, kas veicina ES tehnoloģiju attīstību un konkurētspēju globālā līmenī, kā arī ilgtspējīgu attīstību, tai darbojoties ciešā sinerģijā ar zaļo pārkārtošanos. Straujākai digitālo prasmju attīstīšanai Latvija uzsver, ka ir nepieciešams veicināt </w:t>
      </w:r>
      <w:r w:rsidR="00362850">
        <w:rPr>
          <w:bCs/>
        </w:rPr>
        <w:t xml:space="preserve">visu līmeņu digitālo prasmju un kompetenču attīstību </w:t>
      </w:r>
      <w:r w:rsidRPr="00EB10AE">
        <w:rPr>
          <w:bCs/>
        </w:rPr>
        <w:t>formāl</w:t>
      </w:r>
      <w:r w:rsidR="00362850">
        <w:rPr>
          <w:bCs/>
        </w:rPr>
        <w:t>ās</w:t>
      </w:r>
      <w:r w:rsidRPr="00EB10AE">
        <w:rPr>
          <w:bCs/>
        </w:rPr>
        <w:t xml:space="preserve"> un neformāl</w:t>
      </w:r>
      <w:r w:rsidR="00362850">
        <w:rPr>
          <w:bCs/>
        </w:rPr>
        <w:t>ās izglītības ietvaros, jo īpaši</w:t>
      </w:r>
      <w:r w:rsidRPr="00EB10AE">
        <w:rPr>
          <w:bCs/>
        </w:rPr>
        <w:t xml:space="preserve"> </w:t>
      </w:r>
      <w:r w:rsidR="00A9507A">
        <w:rPr>
          <w:bCs/>
        </w:rPr>
        <w:t>i</w:t>
      </w:r>
      <w:r w:rsidRPr="00A9507A" w:rsidR="00A9507A">
        <w:rPr>
          <w:bCs/>
        </w:rPr>
        <w:t>nformācijas un komunikācijas tehnoloģij</w:t>
      </w:r>
      <w:r w:rsidR="00A9507A">
        <w:rPr>
          <w:bCs/>
        </w:rPr>
        <w:t>u</w:t>
      </w:r>
      <w:r w:rsidRPr="00A9507A" w:rsidR="00A9507A">
        <w:rPr>
          <w:bCs/>
        </w:rPr>
        <w:t xml:space="preserve"> </w:t>
      </w:r>
      <w:r w:rsidR="00A9507A">
        <w:rPr>
          <w:bCs/>
        </w:rPr>
        <w:t>(</w:t>
      </w:r>
      <w:r w:rsidRPr="00EB10AE">
        <w:rPr>
          <w:bCs/>
        </w:rPr>
        <w:t>IKT</w:t>
      </w:r>
      <w:r w:rsidR="00A9507A">
        <w:rPr>
          <w:bCs/>
        </w:rPr>
        <w:t>),</w:t>
      </w:r>
      <w:r w:rsidRPr="00EB10AE">
        <w:rPr>
          <w:bCs/>
        </w:rPr>
        <w:t xml:space="preserve"> </w:t>
      </w:r>
      <w:r w:rsidR="00A9507A">
        <w:rPr>
          <w:bCs/>
        </w:rPr>
        <w:t>kā arī</w:t>
      </w:r>
      <w:r w:rsidRPr="00EB10AE">
        <w:rPr>
          <w:bCs/>
        </w:rPr>
        <w:t xml:space="preserve"> zinātnes, tehnoloģiju, inženierzinātņu, mākslas un matemātikas jomās</w:t>
      </w:r>
      <w:r w:rsidR="00362850">
        <w:rPr>
          <w:bCs/>
        </w:rPr>
        <w:t>.</w:t>
      </w:r>
    </w:p>
    <w:p w:rsidRPr="006E31B5" w:rsidR="00EB10AE" w:rsidP="00EB10AE" w:rsidRDefault="00EB10AE" w14:paraId="4ED05734" w14:textId="7ED34031">
      <w:pPr>
        <w:spacing w:after="120"/>
        <w:jc w:val="both"/>
        <w:rPr>
          <w:iCs/>
        </w:rPr>
      </w:pPr>
      <w:r w:rsidRPr="00EB10AE">
        <w:rPr>
          <w:iCs/>
        </w:rPr>
        <w:t>Saskaņā ar nacionālo pozīciju Nr.</w:t>
      </w:r>
      <w:r w:rsidR="00A9507A">
        <w:rPr>
          <w:iCs/>
        </w:rPr>
        <w:t xml:space="preserve"> </w:t>
      </w:r>
      <w:r w:rsidRPr="00EB10AE">
        <w:rPr>
          <w:iCs/>
        </w:rPr>
        <w:t>1 “</w:t>
      </w:r>
      <w:bookmarkStart w:id="12" w:name="_Hlk174540085"/>
      <w:r w:rsidRPr="00EB10AE">
        <w:rPr>
          <w:iCs/>
        </w:rPr>
        <w:t>Par 2024. gada 17.-18. aprīļa ārkārtas Eiropadomē izskatāmajiem jautājumiem</w:t>
      </w:r>
      <w:bookmarkEnd w:id="12"/>
      <w:r w:rsidRPr="00EB10AE">
        <w:rPr>
          <w:iCs/>
        </w:rPr>
        <w:t>”, kas apstiprināta Ministru kabinetā 2024. gada 16. aprīlī un Saeimas Eiropas lietu komisijā 17. aprīlī.</w:t>
      </w:r>
    </w:p>
    <w:p w:rsidRPr="006E31B5" w:rsidR="00DA3ADC" w:rsidP="00B04C1A" w:rsidRDefault="00DA3ADC" w14:paraId="594F3C84" w14:textId="0DF8DC50">
      <w:pPr>
        <w:spacing w:after="120"/>
        <w:jc w:val="both"/>
        <w:rPr>
          <w:iCs/>
        </w:rPr>
      </w:pPr>
    </w:p>
    <w:p w:rsidRPr="006E31B5" w:rsidR="009D3FA7" w:rsidP="00446921" w:rsidRDefault="00505189" w14:paraId="7C946F8D" w14:textId="55EBEDC3">
      <w:pPr>
        <w:spacing w:after="120"/>
        <w:ind w:left="720"/>
        <w:jc w:val="both"/>
        <w:rPr>
          <w:b/>
        </w:rPr>
      </w:pPr>
      <w:r>
        <w:rPr>
          <w:b/>
        </w:rPr>
        <w:t xml:space="preserve">2.2. </w:t>
      </w:r>
      <w:bookmarkStart w:id="13" w:name="_Hlk173831484"/>
      <w:r w:rsidR="00446921">
        <w:rPr>
          <w:b/>
        </w:rPr>
        <w:t>K</w:t>
      </w:r>
      <w:r w:rsidRPr="00446921" w:rsidR="00446921">
        <w:rPr>
          <w:b/>
        </w:rPr>
        <w:t xml:space="preserve">onkurētspējas stiprināšana: darbaspēka trūkuma un demogrāfisko </w:t>
      </w:r>
      <w:r w:rsidR="00446921">
        <w:rPr>
          <w:b/>
        </w:rPr>
        <w:t>izaicinājumu</w:t>
      </w:r>
      <w:r w:rsidRPr="00446921" w:rsidR="00446921">
        <w:rPr>
          <w:b/>
        </w:rPr>
        <w:t xml:space="preserve"> risināšana; inovācij</w:t>
      </w:r>
      <w:r w:rsidR="00446921">
        <w:rPr>
          <w:b/>
        </w:rPr>
        <w:t>u</w:t>
      </w:r>
      <w:r w:rsidRPr="00446921" w:rsidR="00446921">
        <w:rPr>
          <w:b/>
        </w:rPr>
        <w:t xml:space="preserve"> veicināšana, ieguldot pētniecībā, izglītībā un prasmēs</w:t>
      </w:r>
      <w:bookmarkEnd w:id="13"/>
    </w:p>
    <w:bookmarkEnd w:id="11"/>
    <w:p w:rsidRPr="008444E0" w:rsidR="00EB10AE" w:rsidP="00EB10AE" w:rsidRDefault="00EB10AE" w14:paraId="5045785E" w14:textId="4AE6B393">
      <w:pPr>
        <w:pStyle w:val="Header"/>
        <w:spacing w:after="120"/>
        <w:jc w:val="both"/>
        <w:rPr>
          <w:iCs/>
          <w:sz w:val="24"/>
          <w:szCs w:val="24"/>
        </w:rPr>
      </w:pPr>
      <w:r w:rsidRPr="008444E0">
        <w:rPr>
          <w:iCs/>
          <w:sz w:val="24"/>
          <w:szCs w:val="24"/>
        </w:rPr>
        <w:t>Kvalificēts darbaspēks ir viens no galvenajiem ilgtermiņa konkurētspējas, kā arī ilgtspējīgas un iekļaujošas izaugsmes virzītājspēkiem. Tas</w:t>
      </w:r>
      <w:r w:rsidR="00A9507A">
        <w:rPr>
          <w:iCs/>
          <w:sz w:val="24"/>
          <w:szCs w:val="24"/>
        </w:rPr>
        <w:t>,</w:t>
      </w:r>
      <w:r w:rsidRPr="008444E0">
        <w:rPr>
          <w:iCs/>
          <w:sz w:val="24"/>
          <w:szCs w:val="24"/>
        </w:rPr>
        <w:t xml:space="preserve"> pirmām kārtām</w:t>
      </w:r>
      <w:r w:rsidR="00A9507A">
        <w:rPr>
          <w:iCs/>
          <w:sz w:val="24"/>
          <w:szCs w:val="24"/>
        </w:rPr>
        <w:t>,</w:t>
      </w:r>
      <w:r w:rsidRPr="008444E0">
        <w:rPr>
          <w:iCs/>
          <w:sz w:val="24"/>
          <w:szCs w:val="24"/>
        </w:rPr>
        <w:t xml:space="preserve"> ir jāveicina, aktivizējot ES darba tirgus rezerves, izmantojot koordinētus, transversālus politikas pasākumus nodarbinātības, izglītības un apmācības jomā, lai sniegtu cilvēkiem iespēju apgūt nepieciešamās un būtiskās prasmes un </w:t>
      </w:r>
      <w:r>
        <w:rPr>
          <w:iCs/>
          <w:sz w:val="24"/>
          <w:szCs w:val="24"/>
        </w:rPr>
        <w:t>kompetences</w:t>
      </w:r>
      <w:r w:rsidRPr="008444E0">
        <w:rPr>
          <w:iCs/>
          <w:sz w:val="24"/>
          <w:szCs w:val="24"/>
        </w:rPr>
        <w:t xml:space="preserve">, tostarp tās, kas vajadzīgas saistībā ar zaļo un digitālo pāreju. Tam jāiet roku rokā ar dažādu politikas virzienu stimulēšanu, lai risinātu demogrāfiskās problēmas un uzlabotu ekonomisko un sociālo noturību. Pasākumu mērķim vajadzētu būt plašākai dalībai darba tirgū, </w:t>
      </w:r>
      <w:proofErr w:type="spellStart"/>
      <w:r w:rsidRPr="008444E0">
        <w:rPr>
          <w:iCs/>
          <w:sz w:val="24"/>
          <w:szCs w:val="24"/>
        </w:rPr>
        <w:t>pārkvalifikācijai</w:t>
      </w:r>
      <w:proofErr w:type="spellEnd"/>
      <w:r w:rsidRPr="008444E0">
        <w:rPr>
          <w:iCs/>
          <w:sz w:val="24"/>
          <w:szCs w:val="24"/>
        </w:rPr>
        <w:t>/kvalifikācijas celšanai un mūžizglītībai, prasmju un darba trūkumu novēršanai saistībā ar plašākām demogrāfiskajām tendencēm, tostarp talantu mobilitāti uz E</w:t>
      </w:r>
      <w:r>
        <w:rPr>
          <w:iCs/>
          <w:sz w:val="24"/>
          <w:szCs w:val="24"/>
        </w:rPr>
        <w:t>S</w:t>
      </w:r>
      <w:r w:rsidRPr="008444E0">
        <w:rPr>
          <w:iCs/>
          <w:sz w:val="24"/>
          <w:szCs w:val="24"/>
        </w:rPr>
        <w:t xml:space="preserve">, kā arī godīgai darba ņēmēju un izglītojamo mobilitātei </w:t>
      </w:r>
      <w:r w:rsidR="00CD586F">
        <w:rPr>
          <w:iCs/>
          <w:sz w:val="24"/>
          <w:szCs w:val="24"/>
        </w:rPr>
        <w:t>ES</w:t>
      </w:r>
      <w:r w:rsidRPr="008444E0">
        <w:rPr>
          <w:iCs/>
          <w:sz w:val="24"/>
          <w:szCs w:val="24"/>
        </w:rPr>
        <w:t xml:space="preserve"> un vienlīdzīgu iespēju nodrošināšanai.</w:t>
      </w:r>
    </w:p>
    <w:p w:rsidRPr="006E31B5" w:rsidR="00EB10AE" w:rsidP="00EB10AE" w:rsidRDefault="00EB10AE" w14:paraId="14278465" w14:textId="77777777">
      <w:pPr>
        <w:pStyle w:val="Header"/>
        <w:tabs>
          <w:tab w:val="clear" w:pos="4320"/>
          <w:tab w:val="clear" w:pos="8640"/>
        </w:tabs>
        <w:spacing w:after="120"/>
        <w:jc w:val="both"/>
        <w:rPr>
          <w:iCs/>
          <w:sz w:val="24"/>
          <w:szCs w:val="24"/>
        </w:rPr>
      </w:pPr>
      <w:r w:rsidRPr="008444E0">
        <w:rPr>
          <w:iCs/>
          <w:sz w:val="24"/>
          <w:szCs w:val="24"/>
        </w:rPr>
        <w:t>Pētniecībai un inovācijai ir izšķiroša nozīme konkurētspējas uzlabošanā, jo tā veicina tehnoloģiju attīstību, uzlabo efektivitāti un sekmē jaunu produktu un pakalpojumu izstrādi. Tomēr, lai labāk darbotos Eiropas Pētniecības un inovācijas telpa, ir jānovērš tās sadrumstalotība un jāsamazina “prāta-tirgus” plaisa</w:t>
      </w:r>
      <w:r>
        <w:rPr>
          <w:iCs/>
          <w:sz w:val="24"/>
          <w:szCs w:val="24"/>
        </w:rPr>
        <w:t xml:space="preserve"> (</w:t>
      </w:r>
      <w:proofErr w:type="spellStart"/>
      <w:r w:rsidRPr="00C743B5">
        <w:rPr>
          <w:i/>
          <w:iCs/>
          <w:sz w:val="24"/>
          <w:szCs w:val="24"/>
        </w:rPr>
        <w:t>mind</w:t>
      </w:r>
      <w:proofErr w:type="spellEnd"/>
      <w:r w:rsidRPr="00C743B5">
        <w:rPr>
          <w:i/>
          <w:iCs/>
          <w:sz w:val="24"/>
          <w:szCs w:val="24"/>
        </w:rPr>
        <w:t>-to-</w:t>
      </w:r>
      <w:proofErr w:type="spellStart"/>
      <w:r w:rsidRPr="00C743B5">
        <w:rPr>
          <w:i/>
          <w:iCs/>
          <w:sz w:val="24"/>
          <w:szCs w:val="24"/>
        </w:rPr>
        <w:t>market</w:t>
      </w:r>
      <w:proofErr w:type="spellEnd"/>
      <w:r w:rsidRPr="00C743B5">
        <w:rPr>
          <w:i/>
          <w:iCs/>
          <w:sz w:val="24"/>
          <w:szCs w:val="24"/>
        </w:rPr>
        <w:t>-</w:t>
      </w:r>
      <w:proofErr w:type="spellStart"/>
      <w:r w:rsidRPr="00C743B5">
        <w:rPr>
          <w:i/>
          <w:iCs/>
          <w:sz w:val="24"/>
          <w:szCs w:val="24"/>
        </w:rPr>
        <w:t>gap</w:t>
      </w:r>
      <w:proofErr w:type="spellEnd"/>
      <w:r>
        <w:rPr>
          <w:iCs/>
          <w:sz w:val="24"/>
          <w:szCs w:val="24"/>
        </w:rPr>
        <w:t>)</w:t>
      </w:r>
      <w:r w:rsidRPr="008444E0">
        <w:rPr>
          <w:iCs/>
          <w:sz w:val="24"/>
          <w:szCs w:val="24"/>
        </w:rPr>
        <w:t xml:space="preserve">. Lai patiesi izmantotu ES potenciālu, </w:t>
      </w:r>
      <w:r>
        <w:rPr>
          <w:iCs/>
          <w:sz w:val="24"/>
          <w:szCs w:val="24"/>
        </w:rPr>
        <w:t>ir</w:t>
      </w:r>
      <w:r w:rsidRPr="008444E0">
        <w:rPr>
          <w:iCs/>
          <w:sz w:val="24"/>
          <w:szCs w:val="24"/>
        </w:rPr>
        <w:t xml:space="preserve"> jānodrošina zināšanu un inovatīvu ideju efektīvāka izmantošana.</w:t>
      </w:r>
    </w:p>
    <w:p w:rsidRPr="000765EE" w:rsidR="00EB10AE" w:rsidP="00EB10AE" w:rsidRDefault="00EB10AE" w14:paraId="4B0ECCCA" w14:textId="77777777">
      <w:pPr>
        <w:pStyle w:val="Header"/>
        <w:tabs>
          <w:tab w:val="clear" w:pos="4320"/>
          <w:tab w:val="clear" w:pos="8640"/>
        </w:tabs>
        <w:spacing w:after="120"/>
        <w:jc w:val="both"/>
        <w:rPr>
          <w:sz w:val="24"/>
          <w:szCs w:val="24"/>
          <w:u w:val="single"/>
        </w:rPr>
      </w:pPr>
      <w:r w:rsidRPr="000765EE">
        <w:rPr>
          <w:sz w:val="24"/>
          <w:szCs w:val="24"/>
          <w:u w:val="single"/>
        </w:rPr>
        <w:t>Latvijas nostāja</w:t>
      </w:r>
      <w:r w:rsidRPr="000765EE">
        <w:rPr>
          <w:sz w:val="24"/>
          <w:szCs w:val="24"/>
        </w:rPr>
        <w:t>:</w:t>
      </w:r>
    </w:p>
    <w:p w:rsidR="00EB10AE" w:rsidP="00EB10AE" w:rsidRDefault="00EB10AE" w14:paraId="11D340C5" w14:textId="6F717A22">
      <w:pPr>
        <w:pStyle w:val="Header"/>
        <w:tabs>
          <w:tab w:val="clear" w:pos="4320"/>
          <w:tab w:val="clear" w:pos="8640"/>
        </w:tabs>
        <w:spacing w:after="120"/>
        <w:jc w:val="both"/>
        <w:rPr>
          <w:bCs/>
          <w:sz w:val="24"/>
          <w:szCs w:val="24"/>
        </w:rPr>
      </w:pPr>
      <w:r w:rsidRPr="001A5738">
        <w:rPr>
          <w:bCs/>
          <w:sz w:val="24"/>
          <w:szCs w:val="24"/>
        </w:rPr>
        <w:t xml:space="preserve">Latvija atbalsta politikas pasākumus plašākas dalības veicināšanai darba tirgū, </w:t>
      </w:r>
      <w:r w:rsidR="00362850">
        <w:rPr>
          <w:bCs/>
          <w:sz w:val="24"/>
          <w:szCs w:val="24"/>
        </w:rPr>
        <w:t>prasmju</w:t>
      </w:r>
      <w:r w:rsidRPr="001A5738" w:rsidR="00362850">
        <w:rPr>
          <w:bCs/>
          <w:sz w:val="24"/>
          <w:szCs w:val="24"/>
        </w:rPr>
        <w:t xml:space="preserve"> </w:t>
      </w:r>
      <w:r w:rsidRPr="001A5738">
        <w:rPr>
          <w:bCs/>
          <w:sz w:val="24"/>
          <w:szCs w:val="24"/>
        </w:rPr>
        <w:t>un kvalifikācij</w:t>
      </w:r>
      <w:r w:rsidR="00362850">
        <w:rPr>
          <w:bCs/>
          <w:sz w:val="24"/>
          <w:szCs w:val="24"/>
        </w:rPr>
        <w:t>u pilnveidei</w:t>
      </w:r>
      <w:r w:rsidRPr="001A5738">
        <w:rPr>
          <w:bCs/>
          <w:sz w:val="24"/>
          <w:szCs w:val="24"/>
        </w:rPr>
        <w:t xml:space="preserve">, </w:t>
      </w:r>
      <w:proofErr w:type="spellStart"/>
      <w:r w:rsidR="00362850">
        <w:rPr>
          <w:bCs/>
          <w:sz w:val="24"/>
          <w:szCs w:val="24"/>
        </w:rPr>
        <w:t>pārkvalifikācijai</w:t>
      </w:r>
      <w:proofErr w:type="spellEnd"/>
      <w:r w:rsidR="00362850">
        <w:rPr>
          <w:bCs/>
          <w:sz w:val="24"/>
          <w:szCs w:val="24"/>
        </w:rPr>
        <w:t xml:space="preserve"> </w:t>
      </w:r>
      <w:r w:rsidRPr="001A5738">
        <w:rPr>
          <w:bCs/>
          <w:sz w:val="24"/>
          <w:szCs w:val="24"/>
        </w:rPr>
        <w:t>mūžizglītība</w:t>
      </w:r>
      <w:r w:rsidR="00362850">
        <w:rPr>
          <w:bCs/>
          <w:sz w:val="24"/>
          <w:szCs w:val="24"/>
        </w:rPr>
        <w:t>s kontekstā</w:t>
      </w:r>
      <w:r w:rsidRPr="001A5738">
        <w:rPr>
          <w:bCs/>
          <w:sz w:val="24"/>
          <w:szCs w:val="24"/>
        </w:rPr>
        <w:t>, kā arī prasmju un darba</w:t>
      </w:r>
      <w:r w:rsidR="00362850">
        <w:rPr>
          <w:bCs/>
          <w:sz w:val="24"/>
          <w:szCs w:val="24"/>
        </w:rPr>
        <w:t>spēka</w:t>
      </w:r>
      <w:r w:rsidRPr="001A5738">
        <w:rPr>
          <w:bCs/>
          <w:sz w:val="24"/>
          <w:szCs w:val="24"/>
        </w:rPr>
        <w:t xml:space="preserve"> trūkumu novēršanai saistībā ar demogrāfiskajām tendencēm. Tai skaitā attiecībā uz darbaspēka un prasmju trūkuma </w:t>
      </w:r>
      <w:r w:rsidR="00362850">
        <w:rPr>
          <w:bCs/>
          <w:sz w:val="24"/>
          <w:szCs w:val="24"/>
        </w:rPr>
        <w:t xml:space="preserve">vai neatbilstību </w:t>
      </w:r>
      <w:r w:rsidRPr="001A5738">
        <w:rPr>
          <w:bCs/>
          <w:sz w:val="24"/>
          <w:szCs w:val="24"/>
        </w:rPr>
        <w:t>risinājumiem būtiski ir pievērst uzmanību arī darbavietu kvalitātei un pienācīgam atalgojumam. Kopā ar pasākumiem, kas orientēti prasmju nepietiekamības mazināšanai, būtiski ir turpināt personu ar invaliditāti iesaisti darba tirgū. Tāpat Latvija uzskata, ka pārdomāta darbaspēka migrācijas politika var dot pienesumu darbaspēka nepietiekamību mazināšanai, tomēr svarīgi nodrošināt, ka iniciatīvas šajā jomā ir mērķētas, lai aizpildītu patiesās vietējā darba tirgus vajadzības.</w:t>
      </w:r>
    </w:p>
    <w:p w:rsidR="00EB10AE" w:rsidP="00B97033" w:rsidRDefault="00EB10AE" w14:paraId="706881CE" w14:textId="4FF3E83D">
      <w:pPr>
        <w:pStyle w:val="Header"/>
        <w:tabs>
          <w:tab w:val="clear" w:pos="4320"/>
          <w:tab w:val="clear" w:pos="8640"/>
        </w:tabs>
        <w:spacing w:after="120"/>
        <w:jc w:val="both"/>
        <w:rPr>
          <w:bCs/>
          <w:sz w:val="24"/>
          <w:szCs w:val="24"/>
        </w:rPr>
      </w:pPr>
      <w:r w:rsidRPr="001A5738">
        <w:rPr>
          <w:bCs/>
          <w:sz w:val="24"/>
          <w:szCs w:val="24"/>
        </w:rPr>
        <w:t xml:space="preserve">Saskaņā ar nacionālo pozīciju </w:t>
      </w:r>
      <w:r w:rsidR="00CD586F">
        <w:rPr>
          <w:bCs/>
          <w:sz w:val="24"/>
          <w:szCs w:val="24"/>
        </w:rPr>
        <w:t>Nr. 1 “P</w:t>
      </w:r>
      <w:r w:rsidRPr="001A5738">
        <w:rPr>
          <w:bCs/>
          <w:sz w:val="24"/>
          <w:szCs w:val="24"/>
        </w:rPr>
        <w:t>ar priekšlikumu Iestāžu kopīgajai proklamācijai par Eiropas Sociālo tiesību pīlāru</w:t>
      </w:r>
      <w:r w:rsidR="00CD586F">
        <w:rPr>
          <w:bCs/>
          <w:sz w:val="24"/>
          <w:szCs w:val="24"/>
        </w:rPr>
        <w:t>”</w:t>
      </w:r>
      <w:r w:rsidRPr="001A5738">
        <w:rPr>
          <w:bCs/>
          <w:sz w:val="24"/>
          <w:szCs w:val="24"/>
        </w:rPr>
        <w:t>, kas apstiprināta Ministru kabinet</w:t>
      </w:r>
      <w:r w:rsidR="00CD586F">
        <w:rPr>
          <w:bCs/>
          <w:sz w:val="24"/>
          <w:szCs w:val="24"/>
        </w:rPr>
        <w:t>ā</w:t>
      </w:r>
      <w:r w:rsidRPr="001A5738">
        <w:rPr>
          <w:bCs/>
          <w:sz w:val="24"/>
          <w:szCs w:val="24"/>
        </w:rPr>
        <w:t xml:space="preserve"> 2017.</w:t>
      </w:r>
      <w:r w:rsidR="00CD586F">
        <w:rPr>
          <w:bCs/>
          <w:sz w:val="24"/>
          <w:szCs w:val="24"/>
        </w:rPr>
        <w:t> </w:t>
      </w:r>
      <w:r w:rsidRPr="001A5738">
        <w:rPr>
          <w:bCs/>
          <w:sz w:val="24"/>
          <w:szCs w:val="24"/>
        </w:rPr>
        <w:t>gada 17.</w:t>
      </w:r>
      <w:r w:rsidR="00CD586F">
        <w:rPr>
          <w:bCs/>
          <w:sz w:val="24"/>
          <w:szCs w:val="24"/>
        </w:rPr>
        <w:t> </w:t>
      </w:r>
      <w:r w:rsidRPr="001A5738">
        <w:rPr>
          <w:bCs/>
          <w:sz w:val="24"/>
          <w:szCs w:val="24"/>
        </w:rPr>
        <w:t>oktobr</w:t>
      </w:r>
      <w:r w:rsidR="00CD586F">
        <w:rPr>
          <w:bCs/>
          <w:sz w:val="24"/>
          <w:szCs w:val="24"/>
        </w:rPr>
        <w:t>ī</w:t>
      </w:r>
      <w:r w:rsidRPr="001A5738">
        <w:rPr>
          <w:bCs/>
          <w:sz w:val="24"/>
          <w:szCs w:val="24"/>
        </w:rPr>
        <w:t xml:space="preserve"> un Saeimas Eiropas lietu komisij</w:t>
      </w:r>
      <w:r w:rsidR="00CD586F">
        <w:rPr>
          <w:bCs/>
          <w:sz w:val="24"/>
          <w:szCs w:val="24"/>
        </w:rPr>
        <w:t>ā</w:t>
      </w:r>
      <w:r w:rsidRPr="001A5738">
        <w:rPr>
          <w:bCs/>
          <w:sz w:val="24"/>
          <w:szCs w:val="24"/>
        </w:rPr>
        <w:t xml:space="preserve"> 18.</w:t>
      </w:r>
      <w:r w:rsidR="00CD586F">
        <w:rPr>
          <w:bCs/>
          <w:sz w:val="24"/>
          <w:szCs w:val="24"/>
        </w:rPr>
        <w:t> </w:t>
      </w:r>
      <w:r w:rsidRPr="001A5738">
        <w:rPr>
          <w:bCs/>
          <w:sz w:val="24"/>
          <w:szCs w:val="24"/>
        </w:rPr>
        <w:t>oktobr</w:t>
      </w:r>
      <w:r w:rsidR="00364EB7">
        <w:rPr>
          <w:bCs/>
          <w:sz w:val="24"/>
          <w:szCs w:val="24"/>
        </w:rPr>
        <w:t>ī</w:t>
      </w:r>
      <w:r w:rsidRPr="001A5738">
        <w:rPr>
          <w:bCs/>
          <w:sz w:val="24"/>
          <w:szCs w:val="24"/>
        </w:rPr>
        <w:t xml:space="preserve">, un Sociālās aizsardzības un darba tirgus politikas </w:t>
      </w:r>
      <w:r w:rsidRPr="001A5738">
        <w:rPr>
          <w:bCs/>
          <w:sz w:val="24"/>
          <w:szCs w:val="24"/>
        </w:rPr>
        <w:lastRenderedPageBreak/>
        <w:t>pamatnostādnēm 2021. -2027. gadam, kas apstiprinātas 2021. gada 1. septembrī ar Ministru kabineta rīkojumu Nr. 616.</w:t>
      </w:r>
    </w:p>
    <w:p w:rsidRPr="00362850" w:rsidR="00362850" w:rsidP="00B97033" w:rsidRDefault="00EB10AE" w14:paraId="68710415" w14:textId="3107E12C">
      <w:pPr>
        <w:pStyle w:val="Header"/>
        <w:spacing w:after="120"/>
        <w:jc w:val="both"/>
        <w:rPr>
          <w:iCs/>
          <w:sz w:val="24"/>
          <w:szCs w:val="24"/>
        </w:rPr>
      </w:pPr>
      <w:r w:rsidRPr="00F25238">
        <w:rPr>
          <w:iCs/>
          <w:sz w:val="24"/>
          <w:szCs w:val="24"/>
        </w:rPr>
        <w:t>Latvija atbalsta ambīciju</w:t>
      </w:r>
      <w:r>
        <w:rPr>
          <w:iCs/>
          <w:sz w:val="24"/>
          <w:szCs w:val="24"/>
        </w:rPr>
        <w:t xml:space="preserve"> izveidot </w:t>
      </w:r>
      <w:r w:rsidRPr="00F25238">
        <w:rPr>
          <w:iCs/>
          <w:sz w:val="24"/>
          <w:szCs w:val="24"/>
        </w:rPr>
        <w:t xml:space="preserve">Eiropas ietvaru pētniecības, inovācijas un uzņēmējdarbības talantu piesaistīšanai un noturēšanai Eiropā un plāno reformas, </w:t>
      </w:r>
      <w:r w:rsidRPr="00362850" w:rsidR="00362850">
        <w:rPr>
          <w:iCs/>
          <w:sz w:val="24"/>
          <w:szCs w:val="24"/>
        </w:rPr>
        <w:t>kā</w:t>
      </w:r>
      <w:r w:rsidR="00334985">
        <w:rPr>
          <w:iCs/>
          <w:sz w:val="24"/>
          <w:szCs w:val="24"/>
        </w:rPr>
        <w:t>,</w:t>
      </w:r>
      <w:r w:rsidRPr="00362850" w:rsidR="00362850">
        <w:rPr>
          <w:iCs/>
          <w:sz w:val="24"/>
          <w:szCs w:val="24"/>
        </w:rPr>
        <w:t xml:space="preserve"> piemēram, jauna akadēmiskā</w:t>
      </w:r>
      <w:r w:rsidR="00364EB7">
        <w:rPr>
          <w:iCs/>
          <w:sz w:val="24"/>
          <w:szCs w:val="24"/>
        </w:rPr>
        <w:t>s</w:t>
      </w:r>
      <w:r w:rsidRPr="00362850" w:rsidR="00362850">
        <w:rPr>
          <w:iCs/>
          <w:sz w:val="24"/>
          <w:szCs w:val="24"/>
        </w:rPr>
        <w:t xml:space="preserve"> karjeras ietvara ieviešanu, kurā plānots ietvert politiku ne tikai attiecībā uz akadēmisko personālu, bet arī uz pētniekiem</w:t>
      </w:r>
      <w:r w:rsidR="00334985">
        <w:rPr>
          <w:iCs/>
          <w:sz w:val="24"/>
          <w:szCs w:val="24"/>
        </w:rPr>
        <w:t>.</w:t>
      </w:r>
      <w:r w:rsidRPr="00362850" w:rsidR="00362850">
        <w:rPr>
          <w:iCs/>
          <w:sz w:val="24"/>
          <w:szCs w:val="24"/>
        </w:rPr>
        <w:t xml:space="preserve"> </w:t>
      </w:r>
      <w:r w:rsidR="00334985">
        <w:rPr>
          <w:iCs/>
          <w:sz w:val="24"/>
          <w:szCs w:val="24"/>
        </w:rPr>
        <w:t>A</w:t>
      </w:r>
      <w:r w:rsidRPr="00362850" w:rsidR="00362850">
        <w:rPr>
          <w:iCs/>
          <w:sz w:val="24"/>
          <w:szCs w:val="24"/>
        </w:rPr>
        <w:t xml:space="preserve">kadēmiskās karjeras ietvars paredz </w:t>
      </w:r>
      <w:proofErr w:type="spellStart"/>
      <w:r w:rsidRPr="00362850" w:rsidR="00362850">
        <w:rPr>
          <w:iCs/>
          <w:sz w:val="24"/>
          <w:szCs w:val="24"/>
        </w:rPr>
        <w:t>tenūras</w:t>
      </w:r>
      <w:proofErr w:type="spellEnd"/>
      <w:r w:rsidRPr="00362850" w:rsidR="00362850">
        <w:rPr>
          <w:iCs/>
          <w:sz w:val="24"/>
          <w:szCs w:val="24"/>
        </w:rPr>
        <w:t xml:space="preserve"> sistēmas ieviešanu un pāreju uz sistēmu, kur lielākā daļa vadošo pētnieku amatu tiek veidoti kā </w:t>
      </w:r>
      <w:proofErr w:type="spellStart"/>
      <w:r w:rsidRPr="00362850" w:rsidR="00362850">
        <w:rPr>
          <w:iCs/>
          <w:sz w:val="24"/>
          <w:szCs w:val="24"/>
        </w:rPr>
        <w:t>tenūramati</w:t>
      </w:r>
      <w:proofErr w:type="spellEnd"/>
      <w:r w:rsidRPr="00362850" w:rsidR="00362850">
        <w:rPr>
          <w:iCs/>
          <w:sz w:val="24"/>
          <w:szCs w:val="24"/>
        </w:rPr>
        <w:t>. Jaun</w:t>
      </w:r>
      <w:r w:rsidR="00364EB7">
        <w:rPr>
          <w:iCs/>
          <w:sz w:val="24"/>
          <w:szCs w:val="24"/>
        </w:rPr>
        <w:t>a</w:t>
      </w:r>
      <w:r w:rsidRPr="00362850" w:rsidR="00362850">
        <w:rPr>
          <w:iCs/>
          <w:sz w:val="24"/>
          <w:szCs w:val="24"/>
        </w:rPr>
        <w:t xml:space="preserve"> akadēmiskā</w:t>
      </w:r>
      <w:r w:rsidR="00364EB7">
        <w:rPr>
          <w:iCs/>
          <w:sz w:val="24"/>
          <w:szCs w:val="24"/>
        </w:rPr>
        <w:t>s</w:t>
      </w:r>
      <w:r w:rsidRPr="00362850" w:rsidR="00362850">
        <w:rPr>
          <w:iCs/>
          <w:sz w:val="24"/>
          <w:szCs w:val="24"/>
        </w:rPr>
        <w:t xml:space="preserve"> karjera</w:t>
      </w:r>
      <w:r w:rsidR="00364EB7">
        <w:rPr>
          <w:iCs/>
          <w:sz w:val="24"/>
          <w:szCs w:val="24"/>
        </w:rPr>
        <w:t>s</w:t>
      </w:r>
      <w:r w:rsidRPr="00362850" w:rsidR="00362850">
        <w:rPr>
          <w:iCs/>
          <w:sz w:val="24"/>
          <w:szCs w:val="24"/>
        </w:rPr>
        <w:t xml:space="preserve"> ietvara ieviešana sekmēs zinātniskās pētniecības attīstību visās zinātnes nozarēs Latvijā. </w:t>
      </w:r>
    </w:p>
    <w:p w:rsidR="00362850" w:rsidP="00B97033" w:rsidRDefault="00362850" w14:paraId="2D4F54DD" w14:textId="09BE2E41">
      <w:pPr>
        <w:pStyle w:val="Header"/>
        <w:tabs>
          <w:tab w:val="clear" w:pos="4320"/>
          <w:tab w:val="clear" w:pos="8640"/>
        </w:tabs>
        <w:spacing w:after="120"/>
        <w:jc w:val="both"/>
        <w:rPr>
          <w:iCs/>
          <w:sz w:val="24"/>
          <w:szCs w:val="24"/>
        </w:rPr>
      </w:pPr>
      <w:r w:rsidRPr="00362850">
        <w:rPr>
          <w:iCs/>
          <w:sz w:val="24"/>
          <w:szCs w:val="24"/>
        </w:rPr>
        <w:t>Latvija uzsver, ka ir svarīgi veicināt darba spēka kvalifikācijas pilnveides iespējas, tam paredzot atbalsta pasākumus, kā</w:t>
      </w:r>
      <w:r w:rsidR="00334985">
        <w:rPr>
          <w:iCs/>
          <w:sz w:val="24"/>
          <w:szCs w:val="24"/>
        </w:rPr>
        <w:t>,</w:t>
      </w:r>
      <w:r w:rsidRPr="00362850">
        <w:rPr>
          <w:iCs/>
          <w:sz w:val="24"/>
          <w:szCs w:val="24"/>
        </w:rPr>
        <w:t xml:space="preserve"> piemēram, tiks veidota atbalsta programma augstākās izglītības pakāpē </w:t>
      </w:r>
      <w:proofErr w:type="spellStart"/>
      <w:r w:rsidRPr="00362850">
        <w:rPr>
          <w:iCs/>
          <w:sz w:val="24"/>
          <w:szCs w:val="24"/>
        </w:rPr>
        <w:t>mikroapliecinājumu</w:t>
      </w:r>
      <w:proofErr w:type="spellEnd"/>
      <w:r w:rsidRPr="00362850">
        <w:rPr>
          <w:iCs/>
          <w:sz w:val="24"/>
          <w:szCs w:val="24"/>
        </w:rPr>
        <w:t xml:space="preserve"> izveidei. Programmas ietvaros tiks sagatavots normatīvo aktu kopums, lai varētu izsniegt </w:t>
      </w:r>
      <w:proofErr w:type="spellStart"/>
      <w:r w:rsidRPr="00362850">
        <w:rPr>
          <w:iCs/>
          <w:sz w:val="24"/>
          <w:szCs w:val="24"/>
        </w:rPr>
        <w:t>mikroapliecinājumus</w:t>
      </w:r>
      <w:proofErr w:type="spellEnd"/>
      <w:r w:rsidRPr="00362850">
        <w:rPr>
          <w:iCs/>
          <w:sz w:val="24"/>
          <w:szCs w:val="24"/>
        </w:rPr>
        <w:t>.</w:t>
      </w:r>
      <w:r w:rsidR="00EB10AE">
        <w:rPr>
          <w:iCs/>
          <w:sz w:val="24"/>
          <w:szCs w:val="24"/>
        </w:rPr>
        <w:t xml:space="preserve"> </w:t>
      </w:r>
    </w:p>
    <w:p w:rsidRPr="006E31B5" w:rsidR="00EB10AE" w:rsidP="00B97033" w:rsidRDefault="00EB10AE" w14:paraId="7448BD89" w14:textId="3825EF29">
      <w:pPr>
        <w:pStyle w:val="Header"/>
        <w:tabs>
          <w:tab w:val="clear" w:pos="4320"/>
          <w:tab w:val="clear" w:pos="8640"/>
        </w:tabs>
        <w:spacing w:after="120"/>
        <w:jc w:val="both"/>
        <w:rPr>
          <w:iCs/>
          <w:sz w:val="24"/>
          <w:szCs w:val="24"/>
        </w:rPr>
      </w:pPr>
      <w:r>
        <w:rPr>
          <w:iCs/>
          <w:sz w:val="24"/>
          <w:szCs w:val="24"/>
        </w:rPr>
        <w:t>Tāpat Latvija uzskata, ka ir nepieciešams lielāks ES atbalsts pētniecības un inovāciju attīstībai, tostarp palielinot finansējumu kritiski svarīgo zināšanu un tehnoloģiju ieviešanai uzņēmējdarbības praksē.</w:t>
      </w:r>
      <w:r w:rsidR="00362850">
        <w:rPr>
          <w:iCs/>
          <w:sz w:val="24"/>
          <w:szCs w:val="24"/>
        </w:rPr>
        <w:t xml:space="preserve"> </w:t>
      </w:r>
      <w:r w:rsidRPr="00362850" w:rsidR="00362850">
        <w:rPr>
          <w:iCs/>
          <w:sz w:val="24"/>
          <w:szCs w:val="24"/>
        </w:rPr>
        <w:t>Latvi</w:t>
      </w:r>
      <w:r w:rsidR="00334985">
        <w:rPr>
          <w:iCs/>
          <w:sz w:val="24"/>
          <w:szCs w:val="24"/>
        </w:rPr>
        <w:t>j</w:t>
      </w:r>
      <w:r w:rsidRPr="00362850" w:rsidR="00362850">
        <w:rPr>
          <w:iCs/>
          <w:sz w:val="24"/>
          <w:szCs w:val="24"/>
        </w:rPr>
        <w:t>a atbalsta centienus mazināt pētniecības un inovāciju plaisu starp ES dalībvalstīm, kā būtisku instrumentu uzsverot Apvārsnis Eiropa Dalības paplašināšanas (</w:t>
      </w:r>
      <w:proofErr w:type="spellStart"/>
      <w:r w:rsidRPr="00EB495E" w:rsidR="00362850">
        <w:rPr>
          <w:i/>
          <w:iCs/>
          <w:sz w:val="24"/>
          <w:szCs w:val="24"/>
        </w:rPr>
        <w:t>Widening</w:t>
      </w:r>
      <w:proofErr w:type="spellEnd"/>
      <w:r w:rsidRPr="00EB495E" w:rsidR="00362850">
        <w:rPr>
          <w:i/>
          <w:iCs/>
          <w:sz w:val="24"/>
          <w:szCs w:val="24"/>
        </w:rPr>
        <w:t xml:space="preserve"> </w:t>
      </w:r>
      <w:proofErr w:type="spellStart"/>
      <w:r w:rsidRPr="00EB495E" w:rsidR="00362850">
        <w:rPr>
          <w:i/>
          <w:iCs/>
          <w:sz w:val="24"/>
          <w:szCs w:val="24"/>
        </w:rPr>
        <w:t>Participation</w:t>
      </w:r>
      <w:proofErr w:type="spellEnd"/>
      <w:r w:rsidRPr="00362850" w:rsidR="00362850">
        <w:rPr>
          <w:iCs/>
          <w:sz w:val="24"/>
          <w:szCs w:val="24"/>
        </w:rPr>
        <w:t>) instrumentu.</w:t>
      </w:r>
    </w:p>
    <w:p w:rsidR="00F43883" w:rsidP="00B97033" w:rsidRDefault="00EB10AE" w14:paraId="686E7337" w14:textId="66F68324">
      <w:pPr>
        <w:spacing w:after="120"/>
        <w:jc w:val="both"/>
        <w:rPr>
          <w:iCs/>
        </w:rPr>
      </w:pPr>
      <w:r>
        <w:rPr>
          <w:iCs/>
        </w:rPr>
        <w:t>Saskaņā ar</w:t>
      </w:r>
      <w:r w:rsidRPr="006E31B5">
        <w:rPr>
          <w:iCs/>
        </w:rPr>
        <w:t xml:space="preserve"> nacionāl</w:t>
      </w:r>
      <w:r>
        <w:rPr>
          <w:iCs/>
        </w:rPr>
        <w:t>o</w:t>
      </w:r>
      <w:r w:rsidRPr="006E31B5">
        <w:rPr>
          <w:iCs/>
        </w:rPr>
        <w:t xml:space="preserve"> pozīcij</w:t>
      </w:r>
      <w:r>
        <w:rPr>
          <w:iCs/>
        </w:rPr>
        <w:t>u</w:t>
      </w:r>
      <w:r w:rsidRPr="006E31B5">
        <w:rPr>
          <w:iCs/>
        </w:rPr>
        <w:t xml:space="preserve"> </w:t>
      </w:r>
      <w:r w:rsidR="00CD586F">
        <w:rPr>
          <w:iCs/>
        </w:rPr>
        <w:t xml:space="preserve">Nr. 1 </w:t>
      </w:r>
      <w:r w:rsidRPr="006E31B5">
        <w:rPr>
          <w:iCs/>
        </w:rPr>
        <w:t>“</w:t>
      </w:r>
      <w:r w:rsidRPr="00DE642C">
        <w:rPr>
          <w:iCs/>
        </w:rPr>
        <w:t>Par 2023. gada 8. decembra Eiropas Savienības Konkurētspējas ministru padomē izskatāmajiem jautājumiem</w:t>
      </w:r>
      <w:r w:rsidRPr="006E31B5">
        <w:rPr>
          <w:iCs/>
        </w:rPr>
        <w:t>”, kas apstiprināta Ministru kabinetā 202</w:t>
      </w:r>
      <w:r>
        <w:rPr>
          <w:iCs/>
        </w:rPr>
        <w:t>3</w:t>
      </w:r>
      <w:r w:rsidRPr="006E31B5">
        <w:rPr>
          <w:iCs/>
        </w:rPr>
        <w:t xml:space="preserve">. gada </w:t>
      </w:r>
      <w:r>
        <w:rPr>
          <w:iCs/>
        </w:rPr>
        <w:t>5. decembrī</w:t>
      </w:r>
      <w:r w:rsidRPr="006E31B5">
        <w:rPr>
          <w:iCs/>
        </w:rPr>
        <w:t xml:space="preserve"> un Saeimas Eiropas lietu komisijā </w:t>
      </w:r>
      <w:r>
        <w:rPr>
          <w:iCs/>
        </w:rPr>
        <w:t>6. decembrī.</w:t>
      </w:r>
    </w:p>
    <w:p w:rsidR="00CD586F" w:rsidP="00B97033" w:rsidRDefault="00CD586F" w14:paraId="1A11F3D1" w14:textId="77777777">
      <w:pPr>
        <w:spacing w:after="120"/>
        <w:jc w:val="both"/>
        <w:rPr>
          <w:iCs/>
        </w:rPr>
      </w:pPr>
    </w:p>
    <w:p w:rsidRPr="006E31B5" w:rsidR="00F43883" w:rsidP="00B97033" w:rsidRDefault="00505189" w14:paraId="06FD2493" w14:textId="5AFF4287">
      <w:pPr>
        <w:spacing w:after="120"/>
        <w:ind w:left="360" w:firstLine="360"/>
        <w:jc w:val="both"/>
        <w:rPr>
          <w:b/>
        </w:rPr>
      </w:pPr>
      <w:r w:rsidRPr="00446921">
        <w:rPr>
          <w:b/>
        </w:rPr>
        <w:t xml:space="preserve">2.3. </w:t>
      </w:r>
      <w:r w:rsidRPr="00446921" w:rsidR="002F3194">
        <w:rPr>
          <w:b/>
        </w:rPr>
        <w:t>Izaicinājumi saistībā ar v</w:t>
      </w:r>
      <w:r w:rsidRPr="00446921" w:rsidR="00F43883">
        <w:rPr>
          <w:b/>
        </w:rPr>
        <w:t>alsts un privāto finansējumu</w:t>
      </w:r>
    </w:p>
    <w:p w:rsidRPr="006E31B5" w:rsidR="00CE2D75" w:rsidP="00B97033" w:rsidRDefault="00CE2D75" w14:paraId="6B049F57" w14:textId="62CE19DA">
      <w:pPr>
        <w:pStyle w:val="Header"/>
        <w:tabs>
          <w:tab w:val="clear" w:pos="4320"/>
          <w:tab w:val="clear" w:pos="8640"/>
        </w:tabs>
        <w:spacing w:after="120"/>
        <w:jc w:val="both"/>
        <w:rPr>
          <w:iCs/>
          <w:sz w:val="24"/>
          <w:szCs w:val="24"/>
        </w:rPr>
      </w:pPr>
      <w:r>
        <w:rPr>
          <w:iCs/>
          <w:sz w:val="24"/>
          <w:szCs w:val="24"/>
        </w:rPr>
        <w:t xml:space="preserve">Lai stiprinātu ilgtermiņa konkurētspēju, ir nepieciešami ievērojami, kolektīvi ieguldījumi, efektīvāk mobilizējot gan publisko, gan privāto finansējumu, izmantojot arī Eiropas Investīciju banku (EIB). Pēc </w:t>
      </w:r>
      <w:r w:rsidR="006907F8">
        <w:rPr>
          <w:iCs/>
          <w:sz w:val="24"/>
          <w:szCs w:val="24"/>
        </w:rPr>
        <w:t>EK</w:t>
      </w:r>
      <w:r>
        <w:rPr>
          <w:iCs/>
          <w:sz w:val="24"/>
          <w:szCs w:val="24"/>
        </w:rPr>
        <w:t xml:space="preserve"> aprēķiniem zaļajai un digitālajai pārejai un citu ES stratēģisko mērķu sasniegšanai ik gadu būtu nepieciešamas papildu investīcijas vairāk nekā 620 miljardu </w:t>
      </w:r>
      <w:r w:rsidR="00AB00A8">
        <w:rPr>
          <w:iCs/>
          <w:sz w:val="24"/>
          <w:szCs w:val="24"/>
        </w:rPr>
        <w:t xml:space="preserve">eiro </w:t>
      </w:r>
      <w:r>
        <w:rPr>
          <w:iCs/>
          <w:sz w:val="24"/>
          <w:szCs w:val="24"/>
        </w:rPr>
        <w:t xml:space="preserve">apmērā. U. fon der </w:t>
      </w:r>
      <w:proofErr w:type="spellStart"/>
      <w:r>
        <w:rPr>
          <w:iCs/>
          <w:sz w:val="24"/>
          <w:szCs w:val="24"/>
        </w:rPr>
        <w:t>Leienas</w:t>
      </w:r>
      <w:proofErr w:type="spellEnd"/>
      <w:r>
        <w:rPr>
          <w:iCs/>
          <w:sz w:val="24"/>
          <w:szCs w:val="24"/>
        </w:rPr>
        <w:t xml:space="preserve"> politikas pamatnostādnēs 2024.-2029.</w:t>
      </w:r>
      <w:r w:rsidR="00E6331F">
        <w:rPr>
          <w:iCs/>
          <w:sz w:val="24"/>
          <w:szCs w:val="24"/>
        </w:rPr>
        <w:t> </w:t>
      </w:r>
      <w:r>
        <w:rPr>
          <w:iCs/>
          <w:sz w:val="24"/>
          <w:szCs w:val="24"/>
        </w:rPr>
        <w:t>gadam tika ietverta E. </w:t>
      </w:r>
      <w:proofErr w:type="spellStart"/>
      <w:r>
        <w:rPr>
          <w:iCs/>
          <w:sz w:val="24"/>
          <w:szCs w:val="24"/>
        </w:rPr>
        <w:t>Le</w:t>
      </w:r>
      <w:r w:rsidR="00AB00A8">
        <w:rPr>
          <w:iCs/>
          <w:sz w:val="24"/>
          <w:szCs w:val="24"/>
        </w:rPr>
        <w:t>t</w:t>
      </w:r>
      <w:r>
        <w:rPr>
          <w:iCs/>
          <w:sz w:val="24"/>
          <w:szCs w:val="24"/>
        </w:rPr>
        <w:t>as</w:t>
      </w:r>
      <w:proofErr w:type="spellEnd"/>
      <w:r>
        <w:rPr>
          <w:iCs/>
          <w:sz w:val="24"/>
          <w:szCs w:val="24"/>
        </w:rPr>
        <w:t xml:space="preserve"> ideja par uzkrājumu un investīciju savienības izveidi. Tiek meklēts piemērotākais investīciju finansējuma apvienojums īstermiņā, vidējā termiņā un ilgtermiņā, padziļinot kapitāla tirgu savienību (KTS), iesaistot EIB un izskatot papildu iespējas, plānojot nākamo daudzgadu budžetu.</w:t>
      </w:r>
    </w:p>
    <w:p w:rsidR="00CE2D75" w:rsidP="00B97033" w:rsidRDefault="00CE2D75" w14:paraId="2B61C8B0" w14:textId="61D1EF10">
      <w:pPr>
        <w:pStyle w:val="Header"/>
        <w:tabs>
          <w:tab w:val="clear" w:pos="4320"/>
          <w:tab w:val="clear" w:pos="8640"/>
        </w:tabs>
        <w:spacing w:after="120"/>
        <w:jc w:val="both"/>
        <w:rPr>
          <w:sz w:val="24"/>
          <w:szCs w:val="24"/>
        </w:rPr>
      </w:pPr>
      <w:r w:rsidRPr="000765EE">
        <w:rPr>
          <w:sz w:val="24"/>
          <w:szCs w:val="24"/>
          <w:u w:val="single"/>
        </w:rPr>
        <w:t>Latvijas nostāja</w:t>
      </w:r>
      <w:r w:rsidRPr="000765EE">
        <w:rPr>
          <w:sz w:val="24"/>
          <w:szCs w:val="24"/>
        </w:rPr>
        <w:t>:</w:t>
      </w:r>
      <w:r w:rsidR="00F0712D">
        <w:rPr>
          <w:sz w:val="24"/>
          <w:szCs w:val="24"/>
        </w:rPr>
        <w:t xml:space="preserve"> </w:t>
      </w:r>
    </w:p>
    <w:p w:rsidRPr="00581F0E" w:rsidR="00CE2D75" w:rsidP="00B97033" w:rsidRDefault="00CE2D75" w14:paraId="42236E6A" w14:textId="53F76CCC">
      <w:pPr>
        <w:pStyle w:val="Header"/>
        <w:tabs>
          <w:tab w:val="clear" w:pos="4320"/>
          <w:tab w:val="clear" w:pos="8640"/>
        </w:tabs>
        <w:spacing w:after="120"/>
        <w:jc w:val="both"/>
        <w:rPr>
          <w:iCs/>
          <w:sz w:val="24"/>
          <w:szCs w:val="24"/>
        </w:rPr>
      </w:pPr>
      <w:r>
        <w:rPr>
          <w:bCs/>
          <w:sz w:val="24"/>
          <w:szCs w:val="24"/>
        </w:rPr>
        <w:t>T</w:t>
      </w:r>
      <w:r w:rsidRPr="00A83FEC">
        <w:rPr>
          <w:bCs/>
          <w:sz w:val="24"/>
          <w:szCs w:val="24"/>
        </w:rPr>
        <w:t xml:space="preserve">urpmākajiem mērķiem ir jābūt reālistiskiem, novērtējot pašreizējo situāciju dalībvalstīs. </w:t>
      </w:r>
      <w:r>
        <w:rPr>
          <w:iCs/>
          <w:sz w:val="24"/>
          <w:szCs w:val="24"/>
        </w:rPr>
        <w:t>N</w:t>
      </w:r>
      <w:r w:rsidRPr="00875733">
        <w:rPr>
          <w:iCs/>
          <w:sz w:val="24"/>
          <w:szCs w:val="24"/>
        </w:rPr>
        <w:t xml:space="preserve">epieciešams nodrošināt vienotu </w:t>
      </w:r>
      <w:proofErr w:type="spellStart"/>
      <w:r w:rsidRPr="00875733">
        <w:rPr>
          <w:iCs/>
          <w:sz w:val="24"/>
          <w:szCs w:val="24"/>
        </w:rPr>
        <w:t>E</w:t>
      </w:r>
      <w:r>
        <w:rPr>
          <w:iCs/>
          <w:sz w:val="24"/>
          <w:szCs w:val="24"/>
        </w:rPr>
        <w:t>i</w:t>
      </w:r>
      <w:r w:rsidRPr="00875733">
        <w:rPr>
          <w:iCs/>
          <w:sz w:val="24"/>
          <w:szCs w:val="24"/>
        </w:rPr>
        <w:t>rogrupas</w:t>
      </w:r>
      <w:proofErr w:type="spellEnd"/>
      <w:r w:rsidRPr="00875733">
        <w:rPr>
          <w:iCs/>
          <w:sz w:val="24"/>
          <w:szCs w:val="24"/>
        </w:rPr>
        <w:t xml:space="preserve"> pieeju darba plūsmu īstenošanā. Nebūtu no kopuma sevišķi izceļams kāds atsevišķs KTS elements</w:t>
      </w:r>
      <w:r>
        <w:rPr>
          <w:iCs/>
          <w:sz w:val="24"/>
          <w:szCs w:val="24"/>
        </w:rPr>
        <w:t>.</w:t>
      </w:r>
    </w:p>
    <w:p w:rsidRPr="00581F0E" w:rsidR="00CE2D75" w:rsidP="00B97033" w:rsidRDefault="00CE2D75" w14:paraId="644FB87D" w14:textId="77777777">
      <w:pPr>
        <w:pStyle w:val="Header"/>
        <w:tabs>
          <w:tab w:val="clear" w:pos="4320"/>
          <w:tab w:val="clear" w:pos="8640"/>
        </w:tabs>
        <w:spacing w:after="120"/>
        <w:jc w:val="both"/>
        <w:rPr>
          <w:iCs/>
          <w:sz w:val="24"/>
          <w:szCs w:val="24"/>
        </w:rPr>
      </w:pPr>
      <w:r w:rsidRPr="00A83FEC">
        <w:rPr>
          <w:bCs/>
          <w:sz w:val="24"/>
          <w:szCs w:val="24"/>
        </w:rPr>
        <w:t xml:space="preserve">ES ir izveidojusi visaptverošu un detalizētu kapitāla tirgus noteikumu kopumu, kas piemērojams lielai daļai finanšu pakalpojumu nozares. </w:t>
      </w:r>
      <w:r w:rsidRPr="00F33C2E">
        <w:rPr>
          <w:bCs/>
          <w:sz w:val="24"/>
          <w:szCs w:val="24"/>
        </w:rPr>
        <w:t xml:space="preserve">Šobrīd ir būtiski panākt, ka investori un uzņēmumi praksē izmanto izstrādāto tirgus ietvaru. </w:t>
      </w:r>
    </w:p>
    <w:p w:rsidRPr="00F0712D" w:rsidR="00CE2D75" w:rsidP="00B97033" w:rsidRDefault="00CE2D75" w14:paraId="61658766" w14:textId="77777777">
      <w:pPr>
        <w:spacing w:after="120"/>
        <w:jc w:val="both"/>
        <w:rPr>
          <w:iCs/>
        </w:rPr>
      </w:pPr>
      <w:r w:rsidRPr="00F0712D">
        <w:rPr>
          <w:bCs/>
        </w:rPr>
        <w:t>Svarīgi sekmēt finanšu kompetenču pilnveidi mērķa grupās, nodrošinot nepieciešamos priekšnoteikumus un resursus ģimenēs, izglītības iestādēs un darba vidē.</w:t>
      </w:r>
    </w:p>
    <w:p w:rsidR="00CE2D75" w:rsidP="00B97033" w:rsidRDefault="00CE2D75" w14:paraId="0F0834CA" w14:textId="437ADE0A">
      <w:pPr>
        <w:spacing w:after="120"/>
        <w:jc w:val="both"/>
        <w:rPr>
          <w:iCs/>
        </w:rPr>
      </w:pPr>
      <w:r>
        <w:rPr>
          <w:iCs/>
        </w:rPr>
        <w:t>Saskaņā ar</w:t>
      </w:r>
      <w:r w:rsidRPr="006E31B5">
        <w:rPr>
          <w:iCs/>
        </w:rPr>
        <w:t xml:space="preserve"> nacionāl</w:t>
      </w:r>
      <w:r>
        <w:rPr>
          <w:iCs/>
        </w:rPr>
        <w:t>o</w:t>
      </w:r>
      <w:r w:rsidRPr="006E31B5">
        <w:rPr>
          <w:iCs/>
        </w:rPr>
        <w:t xml:space="preserve"> pozīcij</w:t>
      </w:r>
      <w:r>
        <w:rPr>
          <w:iCs/>
        </w:rPr>
        <w:t>u</w:t>
      </w:r>
      <w:r w:rsidRPr="006E31B5">
        <w:rPr>
          <w:iCs/>
        </w:rPr>
        <w:t xml:space="preserve"> </w:t>
      </w:r>
      <w:r w:rsidR="00AB00A8">
        <w:rPr>
          <w:iCs/>
        </w:rPr>
        <w:t xml:space="preserve">Nr. 1 </w:t>
      </w:r>
      <w:r w:rsidRPr="006E31B5">
        <w:rPr>
          <w:iCs/>
        </w:rPr>
        <w:t>“</w:t>
      </w:r>
      <w:r>
        <w:rPr>
          <w:iCs/>
        </w:rPr>
        <w:t>P</w:t>
      </w:r>
      <w:r w:rsidRPr="004B354B">
        <w:rPr>
          <w:iCs/>
        </w:rPr>
        <w:t>ar 2024. gada 27.-28. jūnija Eiropadomē izskatāmajiem jautājumiem</w:t>
      </w:r>
      <w:r w:rsidRPr="006E31B5">
        <w:rPr>
          <w:iCs/>
        </w:rPr>
        <w:t>”, kas apstiprināta Ministru kabinetā 202</w:t>
      </w:r>
      <w:r>
        <w:rPr>
          <w:iCs/>
        </w:rPr>
        <w:t>4</w:t>
      </w:r>
      <w:r w:rsidRPr="006E31B5">
        <w:rPr>
          <w:iCs/>
        </w:rPr>
        <w:t xml:space="preserve">. gada </w:t>
      </w:r>
      <w:r>
        <w:rPr>
          <w:iCs/>
        </w:rPr>
        <w:t xml:space="preserve">25. jūnijā </w:t>
      </w:r>
      <w:r w:rsidRPr="006E31B5">
        <w:rPr>
          <w:iCs/>
        </w:rPr>
        <w:t xml:space="preserve">un Saeimas Eiropas lietu komisijā </w:t>
      </w:r>
      <w:r>
        <w:rPr>
          <w:iCs/>
        </w:rPr>
        <w:t>26. jūnijā.</w:t>
      </w:r>
    </w:p>
    <w:p w:rsidR="00CE2D75" w:rsidP="00CE2D75" w:rsidRDefault="00CE2D75" w14:paraId="48DDEFF7" w14:textId="48A76DCF">
      <w:pPr>
        <w:spacing w:after="120"/>
        <w:jc w:val="both"/>
        <w:rPr>
          <w:iCs/>
        </w:rPr>
      </w:pPr>
      <w:r>
        <w:rPr>
          <w:iCs/>
        </w:rPr>
        <w:lastRenderedPageBreak/>
        <w:t>Saskaņā ar</w:t>
      </w:r>
      <w:r w:rsidRPr="006E31B5">
        <w:rPr>
          <w:iCs/>
        </w:rPr>
        <w:t xml:space="preserve"> nacionāl</w:t>
      </w:r>
      <w:r>
        <w:rPr>
          <w:iCs/>
        </w:rPr>
        <w:t>o</w:t>
      </w:r>
      <w:r w:rsidRPr="006E31B5">
        <w:rPr>
          <w:iCs/>
        </w:rPr>
        <w:t xml:space="preserve"> pozīcij</w:t>
      </w:r>
      <w:r>
        <w:rPr>
          <w:iCs/>
        </w:rPr>
        <w:t>u</w:t>
      </w:r>
      <w:r w:rsidRPr="006E31B5">
        <w:rPr>
          <w:iCs/>
        </w:rPr>
        <w:t xml:space="preserve"> </w:t>
      </w:r>
      <w:r w:rsidR="00AB00A8">
        <w:rPr>
          <w:iCs/>
        </w:rPr>
        <w:t xml:space="preserve">Nr. 1 </w:t>
      </w:r>
      <w:r w:rsidRPr="006E31B5">
        <w:rPr>
          <w:iCs/>
        </w:rPr>
        <w:t>“</w:t>
      </w:r>
      <w:r>
        <w:rPr>
          <w:iCs/>
        </w:rPr>
        <w:t>P</w:t>
      </w:r>
      <w:r w:rsidRPr="00B553E0">
        <w:rPr>
          <w:iCs/>
        </w:rPr>
        <w:t>ar Eiropas Savienības Padomes Stratēģisko programmu 2024.-2029. gadam</w:t>
      </w:r>
      <w:r w:rsidRPr="006E31B5">
        <w:rPr>
          <w:iCs/>
        </w:rPr>
        <w:t>”, kas apstiprināta Ministru kabinetā 202</w:t>
      </w:r>
      <w:r>
        <w:rPr>
          <w:iCs/>
        </w:rPr>
        <w:t>4</w:t>
      </w:r>
      <w:r w:rsidRPr="006E31B5">
        <w:rPr>
          <w:iCs/>
        </w:rPr>
        <w:t xml:space="preserve">. gada </w:t>
      </w:r>
      <w:r>
        <w:rPr>
          <w:iCs/>
        </w:rPr>
        <w:t xml:space="preserve">18. jūnijā </w:t>
      </w:r>
      <w:r w:rsidRPr="006E31B5">
        <w:rPr>
          <w:iCs/>
        </w:rPr>
        <w:t xml:space="preserve">un Saeimas Eiropas lietu komisijā </w:t>
      </w:r>
      <w:r>
        <w:rPr>
          <w:iCs/>
        </w:rPr>
        <w:t>21. jūnijā.</w:t>
      </w:r>
    </w:p>
    <w:p w:rsidR="00446921" w:rsidP="00F43883" w:rsidRDefault="00CE2D75" w14:paraId="0601A6BD" w14:textId="00708C49">
      <w:pPr>
        <w:spacing w:after="120"/>
        <w:jc w:val="both"/>
        <w:rPr>
          <w:iCs/>
        </w:rPr>
      </w:pPr>
      <w:r w:rsidRPr="00B24A0C">
        <w:rPr>
          <w:iCs/>
        </w:rPr>
        <w:t xml:space="preserve">Saskaņā ar Latvijas iedzīvotāju finanšu </w:t>
      </w:r>
      <w:proofErr w:type="spellStart"/>
      <w:r w:rsidRPr="00B24A0C">
        <w:rPr>
          <w:iCs/>
        </w:rPr>
        <w:t>pratības</w:t>
      </w:r>
      <w:proofErr w:type="spellEnd"/>
      <w:r w:rsidRPr="00B24A0C">
        <w:rPr>
          <w:iCs/>
        </w:rPr>
        <w:t xml:space="preserve"> stratēģij</w:t>
      </w:r>
      <w:r>
        <w:rPr>
          <w:iCs/>
        </w:rPr>
        <w:t xml:space="preserve">u </w:t>
      </w:r>
      <w:r w:rsidRPr="00B24A0C">
        <w:rPr>
          <w:iCs/>
        </w:rPr>
        <w:t>2021.</w:t>
      </w:r>
      <w:r>
        <w:rPr>
          <w:iCs/>
        </w:rPr>
        <w:t>-</w:t>
      </w:r>
      <w:r w:rsidRPr="00B24A0C">
        <w:rPr>
          <w:iCs/>
        </w:rPr>
        <w:t>2027. gadam</w:t>
      </w:r>
      <w:r>
        <w:rPr>
          <w:iCs/>
        </w:rPr>
        <w:t>.</w:t>
      </w:r>
    </w:p>
    <w:p w:rsidRPr="006E31B5" w:rsidR="00E23DAD" w:rsidP="00F43883" w:rsidRDefault="00E23DAD" w14:paraId="78C28610" w14:textId="77777777">
      <w:pPr>
        <w:spacing w:after="120"/>
        <w:jc w:val="both"/>
        <w:rPr>
          <w:iCs/>
        </w:rPr>
      </w:pPr>
    </w:p>
    <w:p w:rsidRPr="006E31B5" w:rsidR="00F43883" w:rsidP="00F43883" w:rsidRDefault="00446921" w14:paraId="3B1F8343" w14:textId="6148B9E5">
      <w:pPr>
        <w:spacing w:after="120"/>
        <w:ind w:left="360"/>
        <w:jc w:val="both"/>
        <w:rPr>
          <w:b/>
        </w:rPr>
      </w:pPr>
      <w:r>
        <w:rPr>
          <w:b/>
        </w:rPr>
        <w:t>3</w:t>
      </w:r>
      <w:r w:rsidRPr="006E31B5" w:rsidR="00F43883">
        <w:rPr>
          <w:b/>
        </w:rPr>
        <w:t xml:space="preserve">. </w:t>
      </w:r>
      <w:r w:rsidRPr="00446921">
        <w:rPr>
          <w:b/>
        </w:rPr>
        <w:t xml:space="preserve">Demogrāfiskā </w:t>
      </w:r>
      <w:r>
        <w:rPr>
          <w:b/>
        </w:rPr>
        <w:t>p</w:t>
      </w:r>
      <w:r w:rsidRPr="00446921">
        <w:rPr>
          <w:b/>
        </w:rPr>
        <w:t>āreja</w:t>
      </w:r>
    </w:p>
    <w:p w:rsidR="00EB10AE" w:rsidP="00EB10AE" w:rsidRDefault="00EB10AE" w14:paraId="0EB0FD82" w14:textId="259AF9F2">
      <w:pPr>
        <w:pStyle w:val="Header"/>
        <w:tabs>
          <w:tab w:val="clear" w:pos="4320"/>
          <w:tab w:val="clear" w:pos="8640"/>
        </w:tabs>
        <w:spacing w:after="120"/>
        <w:jc w:val="both"/>
        <w:rPr>
          <w:iCs/>
          <w:sz w:val="24"/>
          <w:szCs w:val="24"/>
        </w:rPr>
      </w:pPr>
      <w:r>
        <w:rPr>
          <w:iCs/>
          <w:sz w:val="24"/>
          <w:szCs w:val="24"/>
        </w:rPr>
        <w:t>Ņemot vērā pasaules populācijas izaugsmi vēl turpmākos 50 vai 60 gadus, sasniedzot aptuveni 10,3 miljardus cilvēkus 2080.</w:t>
      </w:r>
      <w:r w:rsidR="00AB00A8">
        <w:rPr>
          <w:iCs/>
          <w:sz w:val="24"/>
          <w:szCs w:val="24"/>
        </w:rPr>
        <w:t xml:space="preserve"> </w:t>
      </w:r>
      <w:r>
        <w:rPr>
          <w:iCs/>
          <w:sz w:val="24"/>
          <w:szCs w:val="24"/>
        </w:rPr>
        <w:t>gadu vidū, dzimstība ES norāda uz pretstatu, tai ievērojami samazinoties ar 3,8 miljoniem jaundzimušo 2022.</w:t>
      </w:r>
      <w:r w:rsidR="00AB00A8">
        <w:rPr>
          <w:iCs/>
          <w:sz w:val="24"/>
          <w:szCs w:val="24"/>
        </w:rPr>
        <w:t xml:space="preserve"> </w:t>
      </w:r>
      <w:r>
        <w:rPr>
          <w:iCs/>
          <w:sz w:val="24"/>
          <w:szCs w:val="24"/>
        </w:rPr>
        <w:t>gadā salīdzinājumā ar 4,7 miljoniem jaundzimušo 2008.</w:t>
      </w:r>
      <w:r w:rsidR="00AB00A8">
        <w:rPr>
          <w:iCs/>
          <w:sz w:val="24"/>
          <w:szCs w:val="24"/>
        </w:rPr>
        <w:t xml:space="preserve"> </w:t>
      </w:r>
      <w:r>
        <w:rPr>
          <w:iCs/>
          <w:sz w:val="24"/>
          <w:szCs w:val="24"/>
        </w:rPr>
        <w:t>gadā. Par spīti augošajam dzīves ilgumam, ES populācijas daļa, salīdzinājumā ar pārējo pasauli, ievērojami samazinās: no 12%, kas bija 1960.</w:t>
      </w:r>
      <w:r w:rsidR="00AB00A8">
        <w:rPr>
          <w:iCs/>
          <w:sz w:val="24"/>
          <w:szCs w:val="24"/>
        </w:rPr>
        <w:t xml:space="preserve"> </w:t>
      </w:r>
      <w:r>
        <w:rPr>
          <w:iCs/>
          <w:sz w:val="24"/>
          <w:szCs w:val="24"/>
        </w:rPr>
        <w:t>gadā, līdz mazāk kā 5,7% šobrīd, un līdz 2070.</w:t>
      </w:r>
      <w:r w:rsidR="00AB00A8">
        <w:rPr>
          <w:iCs/>
          <w:sz w:val="24"/>
          <w:szCs w:val="24"/>
        </w:rPr>
        <w:t xml:space="preserve"> </w:t>
      </w:r>
      <w:r>
        <w:rPr>
          <w:iCs/>
          <w:sz w:val="24"/>
          <w:szCs w:val="24"/>
        </w:rPr>
        <w:t>gadam ir sagaidāms, ka tā samazināsies līdz 3,7% no pasaules populācijas. Attiecīgās demogrāfiskās izmaiņas it īpaši manāmas ir reģiona novecošanas aspektā, paredzot, ka 2070.</w:t>
      </w:r>
      <w:r w:rsidR="00AB00A8">
        <w:rPr>
          <w:iCs/>
          <w:sz w:val="24"/>
          <w:szCs w:val="24"/>
        </w:rPr>
        <w:t xml:space="preserve"> </w:t>
      </w:r>
      <w:r>
        <w:rPr>
          <w:iCs/>
          <w:sz w:val="24"/>
          <w:szCs w:val="24"/>
        </w:rPr>
        <w:t>gadā 59,2% no ES sabiedrības būs virs darba spējas vecuma un tādējādi atkarīgi no ES publiskajiem līdzekļiem. Tādējādi sabiedrībā iezīmējas divi visizteiktākie demogrāfijas izaicinājumi: populācijas novecošana un darbaspēka vecuma populācijas samazināšanās ar tā saistīto darbaspēka trūkumu.</w:t>
      </w:r>
    </w:p>
    <w:p w:rsidR="00EB10AE" w:rsidP="00EB10AE" w:rsidRDefault="00EB10AE" w14:paraId="36FA2D48" w14:textId="54831988">
      <w:pPr>
        <w:pStyle w:val="Header"/>
        <w:spacing w:after="120"/>
        <w:jc w:val="both"/>
        <w:rPr>
          <w:iCs/>
          <w:sz w:val="24"/>
          <w:szCs w:val="24"/>
        </w:rPr>
      </w:pPr>
      <w:r>
        <w:rPr>
          <w:iCs/>
          <w:sz w:val="24"/>
          <w:szCs w:val="24"/>
        </w:rPr>
        <w:t>Tajā pašā laikā, p</w:t>
      </w:r>
      <w:r w:rsidRPr="00AA398B">
        <w:rPr>
          <w:iCs/>
          <w:sz w:val="24"/>
          <w:szCs w:val="24"/>
        </w:rPr>
        <w:t>laukstošā ilgmūžības sabiedrībā cilvēki, kas dzīvo</w:t>
      </w:r>
      <w:r>
        <w:rPr>
          <w:iCs/>
          <w:sz w:val="24"/>
          <w:szCs w:val="24"/>
        </w:rPr>
        <w:t xml:space="preserve"> ievērojami</w:t>
      </w:r>
      <w:r w:rsidRPr="00AA398B">
        <w:rPr>
          <w:iCs/>
          <w:sz w:val="24"/>
          <w:szCs w:val="24"/>
        </w:rPr>
        <w:t xml:space="preserve"> ilgāk un veselīgāk, var gūt labumu no jaunā</w:t>
      </w:r>
      <w:r>
        <w:rPr>
          <w:iCs/>
          <w:sz w:val="24"/>
          <w:szCs w:val="24"/>
        </w:rPr>
        <w:t xml:space="preserve">m </w:t>
      </w:r>
      <w:r w:rsidRPr="00AA398B">
        <w:rPr>
          <w:iCs/>
          <w:sz w:val="24"/>
          <w:szCs w:val="24"/>
        </w:rPr>
        <w:t>iespēj</w:t>
      </w:r>
      <w:r>
        <w:rPr>
          <w:iCs/>
          <w:sz w:val="24"/>
          <w:szCs w:val="24"/>
        </w:rPr>
        <w:t>ām</w:t>
      </w:r>
      <w:r w:rsidRPr="00AA398B">
        <w:rPr>
          <w:iCs/>
          <w:sz w:val="24"/>
          <w:szCs w:val="24"/>
        </w:rPr>
        <w:t xml:space="preserve"> turpināt personīgo attīstību, daudzveidīgākas</w:t>
      </w:r>
      <w:r>
        <w:rPr>
          <w:iCs/>
          <w:sz w:val="24"/>
          <w:szCs w:val="24"/>
        </w:rPr>
        <w:t xml:space="preserve"> </w:t>
      </w:r>
      <w:r w:rsidRPr="00AA398B">
        <w:rPr>
          <w:iCs/>
          <w:sz w:val="24"/>
          <w:szCs w:val="24"/>
        </w:rPr>
        <w:t xml:space="preserve">karjeras un aktīvas novecošanas iespējas, </w:t>
      </w:r>
      <w:r>
        <w:rPr>
          <w:iCs/>
          <w:sz w:val="24"/>
          <w:szCs w:val="24"/>
        </w:rPr>
        <w:t>ta</w:t>
      </w:r>
      <w:r w:rsidR="00AB00A8">
        <w:rPr>
          <w:iCs/>
          <w:sz w:val="24"/>
          <w:szCs w:val="24"/>
        </w:rPr>
        <w:t>i</w:t>
      </w:r>
      <w:r>
        <w:rPr>
          <w:iCs/>
          <w:sz w:val="24"/>
          <w:szCs w:val="24"/>
        </w:rPr>
        <w:t xml:space="preserve"> skaitā veicinot spēcīgāku uzņēmējdarbības vidi jeb sudraba ekonomiku. </w:t>
      </w:r>
      <w:r w:rsidRPr="00363B94">
        <w:rPr>
          <w:iCs/>
          <w:sz w:val="24"/>
          <w:szCs w:val="24"/>
        </w:rPr>
        <w:t xml:space="preserve">Lai uzlabotu ES konkurētspēju un nodrošinātu tās spēju uzplaukt pastāvīgi mainīgajā globālajā vidē, ir svarīgi par prioritāti noteikt demogrāfisko noturību un demogrāfiskos apsvērumus visaptveroši integrēt stratēģiskajā un politikas plānošanā.  </w:t>
      </w:r>
    </w:p>
    <w:p w:rsidRPr="006E31B5" w:rsidR="00EB10AE" w:rsidP="00EB10AE" w:rsidRDefault="00EB10AE" w14:paraId="66342DB6" w14:textId="3648522D">
      <w:pPr>
        <w:spacing w:after="120"/>
        <w:jc w:val="both"/>
        <w:rPr>
          <w:iCs/>
        </w:rPr>
      </w:pPr>
      <w:r>
        <w:t xml:space="preserve">Lai izmantotu </w:t>
      </w:r>
      <w:r w:rsidR="00AB00A8">
        <w:t>VLP</w:t>
      </w:r>
      <w:r>
        <w:t xml:space="preserve"> horizontālo un koordinējošo lomu un nodrošinātu konsekvenci visu Padomes sastāvu darbā, ministri tiek aicināti apmainīties viedokļiem un sniegt norādes par to, kā, ievērojot valstu kompetences, reaģēt uz demogrāfiskajām problēmām ES līmenī: </w:t>
      </w:r>
      <w:r w:rsidRPr="005F5509">
        <w:rPr>
          <w:iCs/>
        </w:rPr>
        <w:t>1.</w:t>
      </w:r>
      <w:r>
        <w:rPr>
          <w:iCs/>
        </w:rPr>
        <w:t xml:space="preserve"> </w:t>
      </w:r>
      <w:r w:rsidRPr="005F5509">
        <w:rPr>
          <w:iCs/>
        </w:rPr>
        <w:t>Kurās politikas jomās būs jāpievērš īpaša uzmanība demogrāfisko problēmu risināšanai, lai uzlabotu ES konkurētspēju?</w:t>
      </w:r>
      <w:r>
        <w:rPr>
          <w:iCs/>
        </w:rPr>
        <w:t xml:space="preserve"> </w:t>
      </w:r>
      <w:r w:rsidRPr="005F5509">
        <w:rPr>
          <w:iCs/>
        </w:rPr>
        <w:t>2.</w:t>
      </w:r>
      <w:r>
        <w:rPr>
          <w:iCs/>
        </w:rPr>
        <w:t xml:space="preserve"> </w:t>
      </w:r>
      <w:r w:rsidRPr="005F5509">
        <w:rPr>
          <w:iCs/>
        </w:rPr>
        <w:t>Ņemot vērā to, ka demogrāfiskās pārmaiņas kļūst par atsevišķu trešo pāreju, kā dalībvalstis plāno integrēt demogrāfiskos apsvērumus politikas satvaros dažādās nozarēs un pārvaldības līmeņos?</w:t>
      </w:r>
    </w:p>
    <w:p w:rsidRPr="000765EE" w:rsidR="00EB10AE" w:rsidP="00EB10AE" w:rsidRDefault="00EB10AE" w14:paraId="7ACA8C82" w14:textId="77777777">
      <w:pPr>
        <w:pStyle w:val="Header"/>
        <w:tabs>
          <w:tab w:val="clear" w:pos="4320"/>
          <w:tab w:val="clear" w:pos="8640"/>
        </w:tabs>
        <w:spacing w:after="120"/>
        <w:jc w:val="both"/>
        <w:rPr>
          <w:sz w:val="24"/>
          <w:szCs w:val="24"/>
          <w:u w:val="single"/>
        </w:rPr>
      </w:pPr>
      <w:r w:rsidRPr="000765EE">
        <w:rPr>
          <w:sz w:val="24"/>
          <w:szCs w:val="24"/>
          <w:u w:val="single"/>
        </w:rPr>
        <w:t>Latvijas nostāja</w:t>
      </w:r>
      <w:r w:rsidRPr="000765EE">
        <w:rPr>
          <w:sz w:val="24"/>
          <w:szCs w:val="24"/>
        </w:rPr>
        <w:t>:</w:t>
      </w:r>
    </w:p>
    <w:p w:rsidR="00EB10AE" w:rsidP="00EB10AE" w:rsidRDefault="00EB10AE" w14:paraId="477D5EEC" w14:textId="77777777">
      <w:pPr>
        <w:pStyle w:val="Header"/>
        <w:tabs>
          <w:tab w:val="clear" w:pos="4320"/>
          <w:tab w:val="clear" w:pos="8640"/>
        </w:tabs>
        <w:spacing w:after="120"/>
        <w:jc w:val="both"/>
        <w:rPr>
          <w:bCs/>
          <w:sz w:val="24"/>
          <w:szCs w:val="24"/>
        </w:rPr>
      </w:pPr>
      <w:r w:rsidRPr="00B55837">
        <w:rPr>
          <w:bCs/>
          <w:sz w:val="24"/>
          <w:szCs w:val="24"/>
        </w:rPr>
        <w:t>Pieaugot demogrāfiskaj</w:t>
      </w:r>
      <w:r>
        <w:rPr>
          <w:bCs/>
          <w:sz w:val="24"/>
          <w:szCs w:val="24"/>
        </w:rPr>
        <w:t>iem izaicinājumiem</w:t>
      </w:r>
      <w:r w:rsidRPr="00B55837">
        <w:rPr>
          <w:bCs/>
          <w:sz w:val="24"/>
          <w:szCs w:val="24"/>
        </w:rPr>
        <w:t xml:space="preserve"> ES, </w:t>
      </w:r>
      <w:r>
        <w:rPr>
          <w:bCs/>
          <w:sz w:val="24"/>
          <w:szCs w:val="24"/>
        </w:rPr>
        <w:t xml:space="preserve">to risināšanai ir nepieciešama </w:t>
      </w:r>
      <w:r w:rsidRPr="00B55837">
        <w:rPr>
          <w:bCs/>
          <w:sz w:val="24"/>
          <w:szCs w:val="24"/>
        </w:rPr>
        <w:t>holistiska pieeja — ES</w:t>
      </w:r>
      <w:r>
        <w:rPr>
          <w:bCs/>
          <w:sz w:val="24"/>
          <w:szCs w:val="24"/>
        </w:rPr>
        <w:t xml:space="preserve"> rīcībā esošo</w:t>
      </w:r>
      <w:r w:rsidRPr="00B55837">
        <w:rPr>
          <w:bCs/>
          <w:sz w:val="24"/>
          <w:szCs w:val="24"/>
        </w:rPr>
        <w:t xml:space="preserve"> instrumentu apvienošana ar valsts un reģionālo politiku.</w:t>
      </w:r>
      <w:r>
        <w:rPr>
          <w:bCs/>
          <w:sz w:val="24"/>
          <w:szCs w:val="24"/>
        </w:rPr>
        <w:t xml:space="preserve"> Latvija atbalsta nepieciešamību </w:t>
      </w:r>
      <w:proofErr w:type="spellStart"/>
      <w:r>
        <w:rPr>
          <w:bCs/>
          <w:sz w:val="24"/>
          <w:szCs w:val="24"/>
        </w:rPr>
        <w:t>prioritizēt</w:t>
      </w:r>
      <w:proofErr w:type="spellEnd"/>
      <w:r>
        <w:rPr>
          <w:bCs/>
          <w:sz w:val="24"/>
          <w:szCs w:val="24"/>
        </w:rPr>
        <w:t xml:space="preserve"> demogrāfijas noturību un visaptverošā veidā integrēt demogrāfiskos aspektus gan stratēģiskajā, gan politikas plānošanā. </w:t>
      </w:r>
    </w:p>
    <w:p w:rsidR="00EB10AE" w:rsidP="00EB10AE" w:rsidRDefault="00EB10AE" w14:paraId="2FAF5BC7" w14:textId="25CFBFD7">
      <w:pPr>
        <w:pStyle w:val="Header"/>
        <w:tabs>
          <w:tab w:val="clear" w:pos="4320"/>
          <w:tab w:val="clear" w:pos="8640"/>
        </w:tabs>
        <w:spacing w:after="120"/>
        <w:jc w:val="both"/>
        <w:rPr>
          <w:bCs/>
          <w:sz w:val="24"/>
          <w:szCs w:val="24"/>
        </w:rPr>
      </w:pPr>
      <w:r>
        <w:rPr>
          <w:bCs/>
          <w:sz w:val="24"/>
          <w:szCs w:val="24"/>
        </w:rPr>
        <w:t>Lai veicinātu ES konkurētspēju Latvija uzskata</w:t>
      </w:r>
      <w:r w:rsidRPr="00B55837">
        <w:rPr>
          <w:bCs/>
          <w:sz w:val="24"/>
          <w:szCs w:val="24"/>
        </w:rPr>
        <w:t>, ka ir nepieciešams</w:t>
      </w:r>
      <w:r>
        <w:rPr>
          <w:bCs/>
          <w:sz w:val="24"/>
          <w:szCs w:val="24"/>
        </w:rPr>
        <w:t xml:space="preserve"> </w:t>
      </w:r>
      <w:r w:rsidRPr="00640604" w:rsidR="00640604">
        <w:rPr>
          <w:bCs/>
          <w:sz w:val="24"/>
          <w:szCs w:val="24"/>
        </w:rPr>
        <w:t xml:space="preserve">nodrošināt atbalstu mazkvalificētam darbaspēkam, kā arī </w:t>
      </w:r>
      <w:r>
        <w:rPr>
          <w:bCs/>
          <w:sz w:val="24"/>
          <w:szCs w:val="24"/>
        </w:rPr>
        <w:t>darba tirgū iesaistīt</w:t>
      </w:r>
      <w:r w:rsidRPr="00B55837">
        <w:rPr>
          <w:bCs/>
          <w:sz w:val="24"/>
          <w:szCs w:val="24"/>
        </w:rPr>
        <w:t xml:space="preserve"> ekonomiski neaktīvos iedzīvotājus, </w:t>
      </w:r>
      <w:r w:rsidR="00640604">
        <w:rPr>
          <w:bCs/>
          <w:sz w:val="24"/>
          <w:szCs w:val="24"/>
        </w:rPr>
        <w:t>tostarp</w:t>
      </w:r>
      <w:r w:rsidRPr="00B55837">
        <w:rPr>
          <w:bCs/>
          <w:sz w:val="24"/>
          <w:szCs w:val="24"/>
        </w:rPr>
        <w:t xml:space="preserve"> paaugstin</w:t>
      </w:r>
      <w:r w:rsidR="00640604">
        <w:rPr>
          <w:bCs/>
          <w:sz w:val="24"/>
          <w:szCs w:val="24"/>
        </w:rPr>
        <w:t>o</w:t>
      </w:r>
      <w:r w:rsidRPr="00B55837">
        <w:rPr>
          <w:bCs/>
          <w:sz w:val="24"/>
          <w:szCs w:val="24"/>
        </w:rPr>
        <w:t xml:space="preserve">t viņu prasmes un kvalifikāciju, </w:t>
      </w:r>
      <w:r>
        <w:rPr>
          <w:bCs/>
          <w:sz w:val="24"/>
          <w:szCs w:val="24"/>
        </w:rPr>
        <w:t>tādējādi veicinot</w:t>
      </w:r>
      <w:r w:rsidRPr="00B55837">
        <w:rPr>
          <w:bCs/>
          <w:sz w:val="24"/>
          <w:szCs w:val="24"/>
        </w:rPr>
        <w:t xml:space="preserve"> ilgtspējīgu izaugsmi un uzlabo</w:t>
      </w:r>
      <w:r>
        <w:rPr>
          <w:bCs/>
          <w:sz w:val="24"/>
          <w:szCs w:val="24"/>
        </w:rPr>
        <w:t>jot</w:t>
      </w:r>
      <w:r w:rsidRPr="00B55837">
        <w:rPr>
          <w:bCs/>
          <w:sz w:val="24"/>
          <w:szCs w:val="24"/>
        </w:rPr>
        <w:t xml:space="preserve"> piekļuvi </w:t>
      </w:r>
      <w:proofErr w:type="spellStart"/>
      <w:r w:rsidRPr="00B55837">
        <w:rPr>
          <w:bCs/>
          <w:sz w:val="24"/>
          <w:szCs w:val="24"/>
        </w:rPr>
        <w:t>cilvēkkapitālam</w:t>
      </w:r>
      <w:proofErr w:type="spellEnd"/>
      <w:r>
        <w:rPr>
          <w:bCs/>
          <w:sz w:val="24"/>
          <w:szCs w:val="24"/>
        </w:rPr>
        <w:t xml:space="preserve">. Būtiska loma </w:t>
      </w:r>
      <w:proofErr w:type="spellStart"/>
      <w:r>
        <w:rPr>
          <w:bCs/>
          <w:sz w:val="24"/>
          <w:szCs w:val="24"/>
        </w:rPr>
        <w:t>cilvēkkapitāla</w:t>
      </w:r>
      <w:proofErr w:type="spellEnd"/>
      <w:r>
        <w:rPr>
          <w:bCs/>
          <w:sz w:val="24"/>
          <w:szCs w:val="24"/>
        </w:rPr>
        <w:t xml:space="preserve"> pieejas veicināšanā ir arī legālās migrācijas pienesuma rakursā.</w:t>
      </w:r>
    </w:p>
    <w:p w:rsidRPr="006E31B5" w:rsidR="00EB10AE" w:rsidP="00B97033" w:rsidRDefault="00EB10AE" w14:paraId="7560A52D" w14:textId="458166EA">
      <w:pPr>
        <w:pStyle w:val="Header"/>
        <w:tabs>
          <w:tab w:val="clear" w:pos="4320"/>
          <w:tab w:val="clear" w:pos="8640"/>
        </w:tabs>
        <w:spacing w:after="120"/>
        <w:jc w:val="both"/>
        <w:rPr>
          <w:iCs/>
          <w:sz w:val="24"/>
          <w:szCs w:val="24"/>
        </w:rPr>
      </w:pPr>
      <w:r>
        <w:rPr>
          <w:bCs/>
          <w:sz w:val="24"/>
          <w:szCs w:val="24"/>
        </w:rPr>
        <w:t>Latvija norāda, ka, ņ</w:t>
      </w:r>
      <w:r w:rsidRPr="00AA398B">
        <w:rPr>
          <w:bCs/>
          <w:sz w:val="24"/>
          <w:szCs w:val="24"/>
        </w:rPr>
        <w:t xml:space="preserve">emot vērā cilvēkresursu trūkumu reģionos, </w:t>
      </w:r>
      <w:r>
        <w:rPr>
          <w:bCs/>
          <w:sz w:val="24"/>
          <w:szCs w:val="24"/>
        </w:rPr>
        <w:t xml:space="preserve">ir </w:t>
      </w:r>
      <w:r w:rsidRPr="00AA398B">
        <w:rPr>
          <w:bCs/>
          <w:sz w:val="24"/>
          <w:szCs w:val="24"/>
        </w:rPr>
        <w:t>būtiski veidot tādus atbalsta instrumentus, kas tiešā veidā būtu mērķēti uz darba algu pieaugumu un cilvēkresursu piesaisti reģioniem</w:t>
      </w:r>
      <w:r w:rsidR="004E382E">
        <w:rPr>
          <w:bCs/>
          <w:sz w:val="24"/>
          <w:szCs w:val="24"/>
        </w:rPr>
        <w:t>, uzņēmējdarbības veicināšanu un darba vietu radīšanu, vienlaikus nodrošinot iedzīvotājiem pievilcīgu dzīves telpu, pakalpojumu pieejamību un sasniedzamību, mājokļu pieejamību</w:t>
      </w:r>
      <w:r w:rsidRPr="00AA398B">
        <w:rPr>
          <w:bCs/>
          <w:sz w:val="24"/>
          <w:szCs w:val="24"/>
        </w:rPr>
        <w:t>.</w:t>
      </w:r>
      <w:r>
        <w:rPr>
          <w:bCs/>
          <w:sz w:val="24"/>
          <w:szCs w:val="24"/>
        </w:rPr>
        <w:t xml:space="preserve"> Latvija uzsver, ka demogrāfisko izaicinājumu risināšanā ir būtiski rast inovatīvus, nebijušus risinājumus izaicinājumu pārvarēšanai un konkurētspējas celšanai, kuriem ir jābūt </w:t>
      </w:r>
      <w:r>
        <w:rPr>
          <w:bCs/>
          <w:sz w:val="24"/>
          <w:szCs w:val="24"/>
        </w:rPr>
        <w:lastRenderedPageBreak/>
        <w:t>jēgpilniem, kā arī jānodrošina racionālāka un efektīvāka resursu izmantošana, izmantojot inovatīvus, uz zināšanām un datos balstītus risinājumus teritoriju izaugsmes veicināšanai visos pārvaldes līmeņos. Latvija norāda, ka tādējādi kopumā tiks veicināta teritoriju konkurētspēja un iedzīvotāju labklājība.</w:t>
      </w:r>
    </w:p>
    <w:p w:rsidR="00EB10AE" w:rsidP="00B97033" w:rsidRDefault="00EB10AE" w14:paraId="17AD9EEB" w14:textId="530D9A64">
      <w:pPr>
        <w:spacing w:after="120"/>
        <w:jc w:val="both"/>
        <w:rPr>
          <w:iCs/>
        </w:rPr>
      </w:pPr>
      <w:r>
        <w:rPr>
          <w:iCs/>
        </w:rPr>
        <w:t>Saskaņā ar</w:t>
      </w:r>
      <w:r w:rsidRPr="006E31B5">
        <w:rPr>
          <w:iCs/>
        </w:rPr>
        <w:t xml:space="preserve"> nacionāl</w:t>
      </w:r>
      <w:r>
        <w:rPr>
          <w:iCs/>
        </w:rPr>
        <w:t>o</w:t>
      </w:r>
      <w:r w:rsidRPr="006E31B5">
        <w:rPr>
          <w:iCs/>
        </w:rPr>
        <w:t xml:space="preserve"> pozīcij</w:t>
      </w:r>
      <w:r>
        <w:rPr>
          <w:iCs/>
        </w:rPr>
        <w:t>u</w:t>
      </w:r>
      <w:r w:rsidRPr="006E31B5">
        <w:rPr>
          <w:iCs/>
        </w:rPr>
        <w:t xml:space="preserve"> </w:t>
      </w:r>
      <w:r w:rsidR="00AB00A8">
        <w:rPr>
          <w:iCs/>
        </w:rPr>
        <w:t xml:space="preserve">Nr. 1 </w:t>
      </w:r>
      <w:r w:rsidRPr="006E31B5">
        <w:rPr>
          <w:iCs/>
        </w:rPr>
        <w:t>“</w:t>
      </w:r>
      <w:r w:rsidRPr="00AA398B">
        <w:rPr>
          <w:iCs/>
        </w:rPr>
        <w:t>Par  Eiropas  Savienības  Vispārējo  lietu  padomes 2023.</w:t>
      </w:r>
      <w:r w:rsidR="00AB00A8">
        <w:rPr>
          <w:iCs/>
        </w:rPr>
        <w:t> </w:t>
      </w:r>
      <w:r w:rsidRPr="00AA398B">
        <w:rPr>
          <w:iCs/>
        </w:rPr>
        <w:t>gada 24. oktobra</w:t>
      </w:r>
      <w:r>
        <w:rPr>
          <w:iCs/>
        </w:rPr>
        <w:t xml:space="preserve"> </w:t>
      </w:r>
      <w:r w:rsidRPr="00AA398B">
        <w:rPr>
          <w:iCs/>
        </w:rPr>
        <w:t>sanāksmē izskatāmajiem jautājumiem</w:t>
      </w:r>
      <w:r w:rsidRPr="006E31B5">
        <w:rPr>
          <w:iCs/>
        </w:rPr>
        <w:t>”, kas apstiprināta Ministru kabinetā 202</w:t>
      </w:r>
      <w:r>
        <w:rPr>
          <w:iCs/>
        </w:rPr>
        <w:t>3</w:t>
      </w:r>
      <w:r w:rsidRPr="006E31B5">
        <w:rPr>
          <w:iCs/>
        </w:rPr>
        <w:t xml:space="preserve">. gada </w:t>
      </w:r>
      <w:r>
        <w:rPr>
          <w:iCs/>
        </w:rPr>
        <w:t>17</w:t>
      </w:r>
      <w:r w:rsidRPr="006E31B5">
        <w:rPr>
          <w:iCs/>
        </w:rPr>
        <w:t>.</w:t>
      </w:r>
      <w:r w:rsidR="00AB00A8">
        <w:rPr>
          <w:iCs/>
        </w:rPr>
        <w:t xml:space="preserve"> </w:t>
      </w:r>
      <w:r>
        <w:rPr>
          <w:iCs/>
        </w:rPr>
        <w:t>oktobrī</w:t>
      </w:r>
      <w:r w:rsidRPr="006E31B5">
        <w:rPr>
          <w:iCs/>
        </w:rPr>
        <w:t xml:space="preserve"> un Saeimas Eiropas lietu komisijā </w:t>
      </w:r>
      <w:r>
        <w:rPr>
          <w:iCs/>
        </w:rPr>
        <w:t>20</w:t>
      </w:r>
      <w:r w:rsidRPr="006E31B5">
        <w:rPr>
          <w:iCs/>
        </w:rPr>
        <w:t>.</w:t>
      </w:r>
      <w:r w:rsidR="00AB00A8">
        <w:rPr>
          <w:iCs/>
        </w:rPr>
        <w:t xml:space="preserve"> </w:t>
      </w:r>
      <w:r>
        <w:rPr>
          <w:iCs/>
        </w:rPr>
        <w:t>oktobrī</w:t>
      </w:r>
      <w:r w:rsidR="00AB00A8">
        <w:rPr>
          <w:iCs/>
        </w:rPr>
        <w:t>,</w:t>
      </w:r>
      <w:r>
        <w:rPr>
          <w:iCs/>
        </w:rPr>
        <w:t xml:space="preserve"> un politikas plānošanas dokumentu “</w:t>
      </w:r>
      <w:r w:rsidRPr="006C22AF">
        <w:rPr>
          <w:iCs/>
        </w:rPr>
        <w:t>Reģionālās politikas pamatnostādnes 2021.–2027. gadam</w:t>
      </w:r>
      <w:r>
        <w:rPr>
          <w:iCs/>
        </w:rPr>
        <w:t>”</w:t>
      </w:r>
      <w:r w:rsidR="00AB00A8">
        <w:rPr>
          <w:iCs/>
        </w:rPr>
        <w:t>.</w:t>
      </w:r>
      <w:r>
        <w:rPr>
          <w:iCs/>
        </w:rPr>
        <w:t xml:space="preserve"> </w:t>
      </w:r>
    </w:p>
    <w:p w:rsidR="009D3FA7" w:rsidP="00B97033" w:rsidRDefault="009D3FA7" w14:paraId="2310F1DD" w14:textId="032F17F8">
      <w:pPr>
        <w:spacing w:after="120"/>
        <w:jc w:val="both"/>
        <w:rPr>
          <w:noProof/>
          <w:color w:val="000000" w:themeColor="text1"/>
        </w:rPr>
      </w:pPr>
    </w:p>
    <w:p w:rsidRPr="00203662" w:rsidR="00C2494E" w:rsidP="00B97033" w:rsidRDefault="00C2494E" w14:paraId="501909AE" w14:textId="08D09105">
      <w:pPr>
        <w:spacing w:after="120"/>
        <w:jc w:val="both"/>
        <w:rPr>
          <w:b/>
          <w:noProof/>
        </w:rPr>
      </w:pPr>
      <w:r w:rsidRPr="00203662">
        <w:rPr>
          <w:b/>
          <w:noProof/>
        </w:rPr>
        <w:t>Latvijas delegācija neformālajā ES Vispārējo lietu padomes 202</w:t>
      </w:r>
      <w:r>
        <w:rPr>
          <w:b/>
          <w:noProof/>
        </w:rPr>
        <w:t>4</w:t>
      </w:r>
      <w:r w:rsidRPr="00203662">
        <w:rPr>
          <w:b/>
          <w:noProof/>
        </w:rPr>
        <w:t xml:space="preserve">. gada </w:t>
      </w:r>
      <w:r w:rsidR="00650F31">
        <w:rPr>
          <w:b/>
          <w:noProof/>
        </w:rPr>
        <w:t>2</w:t>
      </w:r>
      <w:r w:rsidRPr="00203662">
        <w:rPr>
          <w:b/>
          <w:noProof/>
        </w:rPr>
        <w:t>.-</w:t>
      </w:r>
      <w:r w:rsidR="00650F31">
        <w:rPr>
          <w:b/>
          <w:noProof/>
        </w:rPr>
        <w:t>3</w:t>
      </w:r>
      <w:r w:rsidRPr="00203662">
        <w:rPr>
          <w:b/>
          <w:noProof/>
        </w:rPr>
        <w:t>. </w:t>
      </w:r>
      <w:r>
        <w:rPr>
          <w:b/>
          <w:noProof/>
        </w:rPr>
        <w:t>septembra</w:t>
      </w:r>
    </w:p>
    <w:p w:rsidR="00650F31" w:rsidP="00B97033" w:rsidRDefault="00C2494E" w14:paraId="173FA652" w14:textId="4C64A7BC">
      <w:pPr>
        <w:spacing w:after="120"/>
        <w:jc w:val="both"/>
        <w:rPr>
          <w:b/>
          <w:noProof/>
        </w:rPr>
      </w:pPr>
      <w:r w:rsidRPr="00203662">
        <w:rPr>
          <w:b/>
          <w:noProof/>
        </w:rPr>
        <w:t>sanāksmē</w:t>
      </w:r>
    </w:p>
    <w:p w:rsidRPr="00650F31" w:rsidR="00650F31" w:rsidP="00B97033" w:rsidRDefault="00650F31" w14:paraId="4C83BBB3" w14:textId="77777777">
      <w:pPr>
        <w:spacing w:after="120"/>
        <w:jc w:val="both"/>
        <w:rPr>
          <w:b/>
          <w:noProof/>
        </w:rPr>
      </w:pPr>
    </w:p>
    <w:p w:rsidRPr="00954B78" w:rsidR="00C2494E" w:rsidP="00B97033" w:rsidRDefault="00C2494E" w14:paraId="2C63F35B" w14:textId="0EBCB2FE">
      <w:pPr>
        <w:pStyle w:val="BodyText2"/>
        <w:spacing w:after="120"/>
        <w:ind w:left="2880" w:hanging="2880"/>
        <w:rPr>
          <w:noProof/>
          <w:szCs w:val="24"/>
        </w:rPr>
      </w:pPr>
      <w:r w:rsidRPr="00153407">
        <w:rPr>
          <w:bCs/>
          <w:noProof/>
          <w:szCs w:val="24"/>
        </w:rPr>
        <w:t>Delegācijas vadītājs:</w:t>
      </w:r>
      <w:r w:rsidRPr="00153407">
        <w:rPr>
          <w:bCs/>
          <w:noProof/>
          <w:szCs w:val="24"/>
        </w:rPr>
        <w:tab/>
      </w:r>
      <w:r w:rsidR="00AE4A6F">
        <w:rPr>
          <w:bCs/>
          <w:noProof/>
          <w:szCs w:val="24"/>
        </w:rPr>
        <w:t xml:space="preserve">Mārtiņš Kreitus, vēstnieks, </w:t>
      </w:r>
      <w:r w:rsidR="00A44B56">
        <w:rPr>
          <w:bCs/>
          <w:noProof/>
          <w:szCs w:val="24"/>
        </w:rPr>
        <w:t xml:space="preserve">Latvijas Republikas </w:t>
      </w:r>
      <w:r w:rsidRPr="00AE4A6F" w:rsidR="00AE4A6F">
        <w:rPr>
          <w:bCs/>
          <w:noProof/>
          <w:szCs w:val="24"/>
        </w:rPr>
        <w:t>pastāvīgās pārstāves Eiropas Savienībā vietnieks</w:t>
      </w:r>
      <w:r w:rsidR="00AE4A6F">
        <w:rPr>
          <w:bCs/>
          <w:noProof/>
          <w:szCs w:val="24"/>
        </w:rPr>
        <w:t>.</w:t>
      </w:r>
    </w:p>
    <w:p w:rsidR="00C2494E" w:rsidP="00B97033" w:rsidRDefault="00C2494E" w14:paraId="40B7392B" w14:textId="5EC48A58">
      <w:pPr>
        <w:spacing w:after="120"/>
        <w:ind w:left="2880" w:hanging="2880"/>
        <w:jc w:val="both"/>
        <w:rPr>
          <w:noProof/>
          <w:color w:val="000000" w:themeColor="text1"/>
        </w:rPr>
      </w:pPr>
      <w:r w:rsidRPr="00153407">
        <w:rPr>
          <w:bCs/>
          <w:noProof/>
        </w:rPr>
        <w:t>Delegācijas dalībnieki:</w:t>
      </w:r>
      <w:r>
        <w:rPr>
          <w:noProof/>
          <w:color w:val="000000" w:themeColor="text1"/>
        </w:rPr>
        <w:tab/>
      </w:r>
      <w:r w:rsidR="009278A4">
        <w:rPr>
          <w:noProof/>
          <w:color w:val="000000" w:themeColor="text1"/>
        </w:rPr>
        <w:t>Evita</w:t>
      </w:r>
      <w:r w:rsidR="00AE4A6F">
        <w:rPr>
          <w:noProof/>
          <w:color w:val="000000" w:themeColor="text1"/>
        </w:rPr>
        <w:t xml:space="preserve"> </w:t>
      </w:r>
      <w:r w:rsidR="009278A4">
        <w:rPr>
          <w:noProof/>
          <w:color w:val="000000" w:themeColor="text1"/>
        </w:rPr>
        <w:t>Kuriga</w:t>
      </w:r>
      <w:r w:rsidR="00AE4A6F">
        <w:rPr>
          <w:noProof/>
          <w:color w:val="000000" w:themeColor="text1"/>
        </w:rPr>
        <w:t xml:space="preserve">, </w:t>
      </w:r>
      <w:r w:rsidRPr="00AE4A6F" w:rsidR="00AE4A6F">
        <w:rPr>
          <w:noProof/>
          <w:color w:val="000000" w:themeColor="text1"/>
        </w:rPr>
        <w:t>Pastāvīgo pārstāvju komitejas I daļas sagatavošanas nodaļas</w:t>
      </w:r>
      <w:r w:rsidR="00AE4A6F">
        <w:rPr>
          <w:noProof/>
          <w:color w:val="000000" w:themeColor="text1"/>
        </w:rPr>
        <w:t xml:space="preserve"> </w:t>
      </w:r>
      <w:r w:rsidR="009278A4">
        <w:rPr>
          <w:noProof/>
          <w:color w:val="000000" w:themeColor="text1"/>
        </w:rPr>
        <w:t>vecākā referente</w:t>
      </w:r>
      <w:r w:rsidR="00AE4A6F">
        <w:rPr>
          <w:noProof/>
          <w:color w:val="000000" w:themeColor="text1"/>
        </w:rPr>
        <w:t>.</w:t>
      </w:r>
    </w:p>
    <w:p w:rsidRPr="006E31B5" w:rsidR="00650F31" w:rsidP="00B97033" w:rsidRDefault="00650F31" w14:paraId="02A34C90" w14:textId="77777777">
      <w:pPr>
        <w:spacing w:after="120"/>
        <w:ind w:left="2880" w:hanging="2880"/>
        <w:jc w:val="both"/>
        <w:rPr>
          <w:noProof/>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6E31B5" w:rsidR="009D3FA7" w:rsidTr="00CF337A" w14:paraId="03E0C10D" w14:textId="77777777">
        <w:tc>
          <w:tcPr>
            <w:tcW w:w="6379" w:type="dxa"/>
          </w:tcPr>
          <w:p w:rsidRPr="001F4825" w:rsidR="009D3FA7" w:rsidP="00B97033" w:rsidRDefault="009D3FA7" w14:paraId="5C1B6B0C" w14:textId="4988D5DF">
            <w:pPr>
              <w:pStyle w:val="BodyText2"/>
              <w:tabs>
                <w:tab w:val="left" w:pos="6840"/>
              </w:tabs>
              <w:suppressAutoHyphens/>
              <w:spacing w:after="120"/>
              <w:ind w:hanging="105"/>
              <w:rPr>
                <w:rFonts w:ascii="Times New Roman" w:hAnsi="Times New Roman" w:eastAsia="Times New Roman" w:cs="Times New Roman"/>
                <w:noProof/>
              </w:rPr>
            </w:pPr>
            <w:r w:rsidRPr="001F4825">
              <w:rPr>
                <w:rFonts w:ascii="Times New Roman" w:hAnsi="Times New Roman" w:eastAsia="Times New Roman" w:cs="Times New Roman"/>
                <w:noProof/>
              </w:rPr>
              <w:t xml:space="preserve">Iesniedzējs: </w:t>
            </w:r>
            <w:r w:rsidRPr="001F4825" w:rsidR="001F4825">
              <w:rPr>
                <w:rFonts w:ascii="Times New Roman" w:hAnsi="Times New Roman" w:eastAsia="Times New Roman" w:cs="Times New Roman"/>
                <w:noProof/>
              </w:rPr>
              <w:t>ārlietu</w:t>
            </w:r>
            <w:r w:rsidRPr="001F4825" w:rsidR="003842B3">
              <w:rPr>
                <w:rFonts w:ascii="Times New Roman" w:hAnsi="Times New Roman" w:eastAsia="Times New Roman" w:cs="Times New Roman"/>
                <w:noProof/>
              </w:rPr>
              <w:t xml:space="preserve"> </w:t>
            </w:r>
            <w:r w:rsidRPr="001F4825" w:rsidR="001F4825">
              <w:rPr>
                <w:rFonts w:ascii="Times New Roman" w:hAnsi="Times New Roman" w:eastAsia="Times New Roman" w:cs="Times New Roman"/>
                <w:noProof/>
              </w:rPr>
              <w:t>ministre</w:t>
            </w:r>
            <w:r w:rsidRPr="001F4825">
              <w:rPr>
                <w:rFonts w:ascii="Times New Roman" w:hAnsi="Times New Roman" w:eastAsia="Times New Roman" w:cs="Times New Roman"/>
                <w:noProof/>
              </w:rPr>
              <w:t xml:space="preserve">  </w:t>
            </w:r>
          </w:p>
        </w:tc>
        <w:tc>
          <w:tcPr>
            <w:tcW w:w="3368" w:type="dxa"/>
            <w:hideMark/>
          </w:tcPr>
          <w:p w:rsidRPr="001F4825" w:rsidR="009D3FA7" w:rsidP="00B97033" w:rsidRDefault="009D3FA7" w14:paraId="22E69B4E" w14:textId="46883E03">
            <w:pPr>
              <w:pStyle w:val="BodyText2"/>
              <w:tabs>
                <w:tab w:val="left" w:pos="6840"/>
              </w:tabs>
              <w:suppressAutoHyphens/>
              <w:spacing w:after="120"/>
              <w:rPr>
                <w:rFonts w:ascii="Times New Roman" w:hAnsi="Times New Roman" w:cs="Times New Roman"/>
                <w:noProof/>
              </w:rPr>
            </w:pPr>
            <w:r w:rsidRPr="001F4825">
              <w:rPr>
                <w:rFonts w:ascii="Times New Roman" w:hAnsi="Times New Roman" w:cs="Times New Roman"/>
                <w:noProof/>
              </w:rPr>
              <w:t xml:space="preserve">  </w:t>
            </w:r>
            <w:r w:rsidRPr="001F4825" w:rsidR="00B27B23">
              <w:rPr>
                <w:rFonts w:ascii="Times New Roman" w:hAnsi="Times New Roman" w:cs="Times New Roman"/>
                <w:noProof/>
              </w:rPr>
              <w:t xml:space="preserve">                  </w:t>
            </w:r>
            <w:r w:rsidRPr="001F4825">
              <w:rPr>
                <w:rFonts w:ascii="Times New Roman" w:hAnsi="Times New Roman" w:cs="Times New Roman"/>
                <w:noProof/>
              </w:rPr>
              <w:t xml:space="preserve"> </w:t>
            </w:r>
            <w:r w:rsidRPr="001F4825" w:rsidR="001F4825">
              <w:rPr>
                <w:rFonts w:ascii="Times New Roman" w:hAnsi="Times New Roman" w:cs="Times New Roman"/>
                <w:noProof/>
              </w:rPr>
              <w:t>Baiba</w:t>
            </w:r>
            <w:r w:rsidRPr="001F4825" w:rsidR="00B27B23">
              <w:rPr>
                <w:rFonts w:ascii="Times New Roman" w:hAnsi="Times New Roman" w:cs="Times New Roman"/>
                <w:noProof/>
              </w:rPr>
              <w:t xml:space="preserve"> </w:t>
            </w:r>
            <w:r w:rsidRPr="001F4825" w:rsidR="001F4825">
              <w:rPr>
                <w:rFonts w:ascii="Times New Roman" w:hAnsi="Times New Roman" w:cs="Times New Roman"/>
                <w:noProof/>
              </w:rPr>
              <w:t>Braže</w:t>
            </w:r>
          </w:p>
        </w:tc>
      </w:tr>
    </w:tbl>
    <w:p w:rsidRPr="006E31B5" w:rsidR="009D3FA7" w:rsidP="00B97033" w:rsidRDefault="009D3FA7" w14:paraId="16B7196A" w14:textId="456070CE">
      <w:pPr>
        <w:pStyle w:val="Header"/>
        <w:tabs>
          <w:tab w:val="clear" w:pos="4320"/>
          <w:tab w:val="clear" w:pos="8640"/>
        </w:tabs>
        <w:spacing w:after="120"/>
        <w:jc w:val="both"/>
        <w:rPr>
          <w:bCs/>
          <w:noProof/>
          <w:sz w:val="24"/>
          <w:szCs w:val="24"/>
        </w:rPr>
      </w:pPr>
      <w:r w:rsidRPr="006E31B5">
        <w:rPr>
          <w:bCs/>
          <w:noProof/>
          <w:sz w:val="24"/>
          <w:szCs w:val="24"/>
        </w:rPr>
        <w:t>Vīza: valsts sekretār</w:t>
      </w:r>
      <w:r w:rsidR="00B70038">
        <w:rPr>
          <w:bCs/>
          <w:noProof/>
          <w:sz w:val="24"/>
          <w:szCs w:val="24"/>
        </w:rPr>
        <w:t>a p.i.</w:t>
      </w:r>
      <w:r w:rsidRPr="006E31B5">
        <w:rPr>
          <w:bCs/>
          <w:noProof/>
          <w:sz w:val="24"/>
          <w:szCs w:val="24"/>
        </w:rPr>
        <w:t xml:space="preserve"> </w:t>
      </w:r>
      <w:r w:rsidRPr="006E31B5">
        <w:rPr>
          <w:bCs/>
          <w:noProof/>
          <w:sz w:val="24"/>
          <w:szCs w:val="24"/>
        </w:rPr>
        <w:tab/>
      </w:r>
      <w:r w:rsidRPr="006E31B5">
        <w:rPr>
          <w:bCs/>
          <w:noProof/>
          <w:sz w:val="24"/>
          <w:szCs w:val="24"/>
        </w:rPr>
        <w:tab/>
      </w:r>
      <w:r w:rsidRPr="006E31B5">
        <w:rPr>
          <w:bCs/>
          <w:noProof/>
          <w:sz w:val="24"/>
          <w:szCs w:val="24"/>
        </w:rPr>
        <w:tab/>
      </w:r>
      <w:r w:rsidRPr="006E31B5">
        <w:rPr>
          <w:bCs/>
          <w:noProof/>
          <w:sz w:val="24"/>
          <w:szCs w:val="24"/>
        </w:rPr>
        <w:tab/>
      </w:r>
      <w:r w:rsidRPr="006E31B5">
        <w:rPr>
          <w:bCs/>
          <w:noProof/>
          <w:sz w:val="24"/>
          <w:szCs w:val="24"/>
        </w:rPr>
        <w:tab/>
      </w:r>
      <w:r w:rsidRPr="006E31B5">
        <w:rPr>
          <w:bCs/>
          <w:noProof/>
          <w:sz w:val="24"/>
          <w:szCs w:val="24"/>
        </w:rPr>
        <w:tab/>
        <w:t xml:space="preserve">        </w:t>
      </w:r>
      <w:r w:rsidR="00AC0007">
        <w:rPr>
          <w:bCs/>
          <w:noProof/>
          <w:sz w:val="24"/>
          <w:szCs w:val="24"/>
        </w:rPr>
        <w:t xml:space="preserve"> </w:t>
      </w:r>
      <w:r w:rsidR="00B70038">
        <w:rPr>
          <w:bCs/>
          <w:noProof/>
          <w:sz w:val="24"/>
          <w:szCs w:val="24"/>
        </w:rPr>
        <w:t xml:space="preserve">                 Atis Lots</w:t>
      </w:r>
    </w:p>
    <w:p w:rsidRPr="006E31B5" w:rsidR="009D3FA7" w:rsidP="00B97033" w:rsidRDefault="009D3FA7" w14:paraId="6017D29E" w14:textId="77777777">
      <w:pPr>
        <w:pStyle w:val="NoSpacing"/>
        <w:spacing w:after="120"/>
        <w:rPr>
          <w:rFonts w:ascii="Times New Roman" w:hAnsi="Times New Roman"/>
          <w:noProof/>
          <w:sz w:val="24"/>
          <w:szCs w:val="24"/>
          <w:lang w:val="lv-LV"/>
        </w:rPr>
      </w:pPr>
      <w:bookmarkStart w:id="14" w:name="_GoBack"/>
      <w:bookmarkEnd w:id="14"/>
    </w:p>
    <w:p w:rsidRPr="006E31B5" w:rsidR="009D3FA7" w:rsidP="00B97033" w:rsidRDefault="009D3FA7" w14:paraId="0CF7E7CB" w14:textId="77777777">
      <w:pPr>
        <w:pStyle w:val="NoSpacing"/>
        <w:spacing w:after="120"/>
        <w:rPr>
          <w:rFonts w:ascii="Times New Roman" w:hAnsi="Times New Roman"/>
          <w:noProof/>
          <w:sz w:val="20"/>
          <w:szCs w:val="20"/>
          <w:lang w:val="lv-LV"/>
        </w:rPr>
      </w:pPr>
    </w:p>
    <w:p w:rsidR="009D3FA7" w:rsidP="009D3FA7" w:rsidRDefault="009D3FA7" w14:paraId="1D841BE8" w14:textId="6BC3DD99">
      <w:pPr>
        <w:pStyle w:val="NoSpacing"/>
        <w:rPr>
          <w:rFonts w:ascii="Times New Roman" w:hAnsi="Times New Roman"/>
          <w:noProof/>
          <w:sz w:val="20"/>
          <w:szCs w:val="20"/>
          <w:lang w:val="lv-LV"/>
        </w:rPr>
      </w:pPr>
      <w:r w:rsidRPr="006E31B5">
        <w:rPr>
          <w:rFonts w:ascii="Times New Roman" w:hAnsi="Times New Roman"/>
          <w:noProof/>
          <w:sz w:val="20"/>
          <w:szCs w:val="20"/>
          <w:lang w:val="lv-LV"/>
        </w:rPr>
        <w:t>Elīza Beļauniece, 67016332</w:t>
      </w:r>
    </w:p>
    <w:p w:rsidRPr="00D2429D" w:rsidR="009D3FA7" w:rsidP="009D3FA7" w:rsidRDefault="009D3FA7" w14:paraId="702F5FDB" w14:textId="372035C9">
      <w:pPr>
        <w:pStyle w:val="NoSpacing"/>
        <w:rPr>
          <w:rFonts w:ascii="Times New Roman" w:hAnsi="Times New Roman"/>
          <w:bCs/>
          <w:noProof/>
          <w:color w:val="0000FF"/>
          <w:sz w:val="20"/>
          <w:szCs w:val="20"/>
          <w:u w:val="single"/>
          <w:lang w:val="lv-LV"/>
        </w:rPr>
      </w:pPr>
      <w:r w:rsidRPr="00BA3D44">
        <w:rPr>
          <w:rFonts w:ascii="Times New Roman" w:hAnsi="Times New Roman"/>
          <w:bCs/>
          <w:noProof/>
          <w:sz w:val="20"/>
          <w:szCs w:val="20"/>
          <w:lang w:val="lv-LV"/>
        </w:rPr>
        <w:t>eliza.belauniece@mfa.gov.lv</w:t>
      </w:r>
    </w:p>
    <w:p w:rsidRPr="001B3C40" w:rsidR="009D3FA7" w:rsidP="001B3C40" w:rsidRDefault="009D3FA7" w14:paraId="676CE54B" w14:textId="77777777">
      <w:pPr>
        <w:pStyle w:val="Header"/>
        <w:tabs>
          <w:tab w:val="clear" w:pos="4320"/>
          <w:tab w:val="clear" w:pos="8640"/>
        </w:tabs>
        <w:spacing w:before="120"/>
        <w:rPr>
          <w:bCs/>
          <w:sz w:val="24"/>
          <w:szCs w:val="24"/>
        </w:rPr>
      </w:pPr>
    </w:p>
    <w:sectPr w:rsidRPr="001B3C40" w:rsidR="009D3FA7" w:rsidSect="00A0190E">
      <w:headerReference r:id="rId62" w:type="even"/>
      <w:headerReference r:id="rId63" w:type="default"/>
      <w:footerReference r:id="rId64" w:type="even"/>
      <w:footerReference r:id="rId65" w:type="default"/>
      <w:headerReference r:id="rId66" w:type="first"/>
      <w:footerReference r:id="rId67"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ADB80" w14:textId="77777777" w:rsidR="0094037C" w:rsidRDefault="0094037C">
      <w:r>
        <w:separator/>
      </w:r>
    </w:p>
  </w:endnote>
  <w:endnote w:type="continuationSeparator" w:id="0">
    <w:p w14:paraId="478470CA" w14:textId="77777777" w:rsidR="0094037C" w:rsidRDefault="0094037C">
      <w:r>
        <w:continuationSeparator/>
      </w:r>
    </w:p>
  </w:endnote>
  <w:endnote w:type="continuationNotice" w:id="1">
    <w:p w14:paraId="5E13EEBB" w14:textId="77777777" w:rsidR="0094037C" w:rsidRDefault="00940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49B2F7CD" w14:textId="2458C59F" w:rsidR="008178A1" w:rsidRDefault="000A6B22" w:rsidP="000A6B22">
    <w:pPr>
      <w:pStyle w:val="Footer"/>
      <w:jc w:val="both"/>
      <w:rPr>
        <w:sz w:val="18"/>
      </w:rPr>
    </w:pPr>
    <w:r w:rsidRPr="008C31F6">
      <w:rPr>
        <w:sz w:val="18"/>
      </w:rPr>
      <w:t>AMzino</w:t>
    </w:r>
    <w:r w:rsidR="00A56E4B" w:rsidRPr="00A56E4B">
      <w:rPr>
        <w:iCs/>
        <w:szCs w:val="24"/>
      </w:rPr>
      <w:t>_</w:t>
    </w:r>
    <w:r w:rsidR="00C2494E">
      <w:rPr>
        <w:sz w:val="18"/>
      </w:rPr>
      <w:t>2</w:t>
    </w:r>
    <w:r w:rsidR="00650F31">
      <w:rPr>
        <w:sz w:val="18"/>
      </w:rPr>
      <w:t>3</w:t>
    </w:r>
    <w:r w:rsidR="00820506">
      <w:rPr>
        <w:sz w:val="18"/>
      </w:rPr>
      <w:t>0</w:t>
    </w:r>
    <w:r w:rsidR="00C2494E">
      <w:rPr>
        <w:sz w:val="18"/>
      </w:rPr>
      <w:t>8</w:t>
    </w:r>
    <w:r w:rsidR="00285226" w:rsidRPr="00857A48">
      <w:rPr>
        <w:sz w:val="18"/>
      </w:rPr>
      <w:t>202</w:t>
    </w:r>
    <w:r w:rsidR="008178A1">
      <w:rPr>
        <w:sz w:val="18"/>
      </w:rPr>
      <w:t>4</w:t>
    </w:r>
    <w:r>
      <w:rPr>
        <w:sz w:val="18"/>
      </w:rPr>
      <w:t xml:space="preserve">; Informatīvais ziņojums </w:t>
    </w:r>
    <w:r w:rsidRPr="003A1F27">
      <w:rPr>
        <w:sz w:val="18"/>
      </w:rPr>
      <w:t>“</w:t>
    </w:r>
    <w:r w:rsidRPr="00A11323">
      <w:rPr>
        <w:sz w:val="18"/>
      </w:rPr>
      <w:t xml:space="preserve">Par </w:t>
    </w:r>
    <w:r w:rsidR="002F61FA">
      <w:rPr>
        <w:sz w:val="18"/>
      </w:rPr>
      <w:t>neformāl</w:t>
    </w:r>
    <w:r w:rsidR="00DD190A">
      <w:rPr>
        <w:sz w:val="18"/>
      </w:rPr>
      <w:t>ajā</w:t>
    </w:r>
    <w:r w:rsidR="002F61FA">
      <w:rPr>
        <w:sz w:val="18"/>
      </w:rPr>
      <w:t xml:space="preserve"> </w:t>
    </w:r>
    <w:r w:rsidRPr="00A11323">
      <w:rPr>
        <w:sz w:val="18"/>
      </w:rPr>
      <w:t>Eiropas Savienības Vispārējo lietu padomes 202</w:t>
    </w:r>
    <w:r w:rsidR="008178A1">
      <w:rPr>
        <w:sz w:val="18"/>
      </w:rPr>
      <w:t>4</w:t>
    </w:r>
    <w:r w:rsidRPr="00A11323">
      <w:rPr>
        <w:sz w:val="18"/>
      </w:rPr>
      <w:t xml:space="preserve">. gada </w:t>
    </w:r>
  </w:p>
  <w:p w14:paraId="64CA0C01" w14:textId="5A699717" w:rsidR="000A6B22" w:rsidRDefault="00650F31" w:rsidP="000A6B22">
    <w:pPr>
      <w:pStyle w:val="Footer"/>
      <w:jc w:val="both"/>
      <w:rPr>
        <w:sz w:val="18"/>
      </w:rPr>
    </w:pPr>
    <w:r>
      <w:rPr>
        <w:sz w:val="18"/>
      </w:rPr>
      <w:t>2</w:t>
    </w:r>
    <w:r w:rsidR="000A6B22">
      <w:rPr>
        <w:sz w:val="18"/>
      </w:rPr>
      <w:t>.</w:t>
    </w:r>
    <w:r w:rsidR="007625EB">
      <w:rPr>
        <w:sz w:val="18"/>
      </w:rPr>
      <w:t>-</w:t>
    </w:r>
    <w:r>
      <w:rPr>
        <w:sz w:val="18"/>
      </w:rPr>
      <w:t>3</w:t>
    </w:r>
    <w:r w:rsidR="007625EB">
      <w:rPr>
        <w:sz w:val="18"/>
      </w:rPr>
      <w:t>.</w:t>
    </w:r>
    <w:r w:rsidR="000A6B22">
      <w:rPr>
        <w:sz w:val="18"/>
      </w:rPr>
      <w:t> </w:t>
    </w:r>
    <w:r w:rsidR="00C2494E">
      <w:rPr>
        <w:sz w:val="18"/>
      </w:rPr>
      <w:t>septembra</w:t>
    </w:r>
    <w:r w:rsidR="000A6B22">
      <w:rPr>
        <w:sz w:val="18"/>
      </w:rPr>
      <w:t xml:space="preserve"> </w:t>
    </w:r>
    <w:r w:rsidR="000A6B22" w:rsidRPr="00A11323">
      <w:rPr>
        <w:sz w:val="18"/>
      </w:rPr>
      <w:t>sanāksmē</w:t>
    </w:r>
    <w:r w:rsidR="000A6B22">
      <w:rPr>
        <w:sz w:val="18"/>
      </w:rPr>
      <w:t xml:space="preserve"> izskatāmajiem jautājumiem</w:t>
    </w:r>
    <w:r w:rsidR="000A6B22"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479F4" w14:textId="77777777" w:rsidR="0094037C" w:rsidRDefault="0094037C">
      <w:r>
        <w:separator/>
      </w:r>
    </w:p>
  </w:footnote>
  <w:footnote w:type="continuationSeparator" w:id="0">
    <w:p w14:paraId="70DA8B6D" w14:textId="77777777" w:rsidR="0094037C" w:rsidRDefault="0094037C">
      <w:r>
        <w:continuationSeparator/>
      </w:r>
    </w:p>
  </w:footnote>
  <w:footnote w:type="continuationNotice" w:id="1">
    <w:p w14:paraId="795126A9" w14:textId="77777777" w:rsidR="0094037C" w:rsidRDefault="009403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4CF3469E" w:rsidR="00847B05" w:rsidRPr="009D3FA7" w:rsidRDefault="00503EBC">
    <w:pPr>
      <w:pStyle w:val="Header"/>
      <w:framePr w:wrap="around" w:vAnchor="text" w:hAnchor="margin" w:xAlign="right" w:y="1"/>
      <w:rPr>
        <w:rStyle w:val="PageNumber"/>
        <w:sz w:val="24"/>
      </w:rPr>
    </w:pPr>
    <w:r w:rsidRPr="009D3FA7">
      <w:rPr>
        <w:rStyle w:val="PageNumber"/>
        <w:sz w:val="24"/>
      </w:rPr>
      <w:fldChar w:fldCharType="begin"/>
    </w:r>
    <w:r w:rsidR="00847B05" w:rsidRPr="009D3FA7">
      <w:rPr>
        <w:rStyle w:val="PageNumber"/>
        <w:sz w:val="24"/>
      </w:rPr>
      <w:instrText xml:space="preserve">PAGE  </w:instrText>
    </w:r>
    <w:r w:rsidRPr="009D3FA7">
      <w:rPr>
        <w:rStyle w:val="PageNumber"/>
        <w:sz w:val="24"/>
      </w:rPr>
      <w:fldChar w:fldCharType="separate"/>
    </w:r>
    <w:r w:rsidR="00BC3BF1" w:rsidRPr="009D3FA7">
      <w:rPr>
        <w:rStyle w:val="PageNumber"/>
        <w:noProof/>
        <w:sz w:val="24"/>
      </w:rPr>
      <w:t>2</w:t>
    </w:r>
    <w:r w:rsidRPr="009D3FA7">
      <w:rPr>
        <w:rStyle w:val="PageNumber"/>
        <w:sz w:val="24"/>
      </w:rPr>
      <w:fldChar w:fldCharType="end"/>
    </w:r>
  </w:p>
  <w:p w14:paraId="64D6A3B0" w14:textId="4BE8077A" w:rsidR="00847B05" w:rsidRPr="009D3FA7" w:rsidRDefault="00847B05" w:rsidP="00876AEE">
    <w:pPr>
      <w:pStyle w:val="Header"/>
      <w:tabs>
        <w:tab w:val="clear" w:pos="4320"/>
        <w:tab w:val="center" w:pos="9356"/>
      </w:tabs>
      <w:jc w:val="cent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043D8"/>
    <w:multiLevelType w:val="hybridMultilevel"/>
    <w:tmpl w:val="0ADAB1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D1876F5"/>
    <w:multiLevelType w:val="hybridMultilevel"/>
    <w:tmpl w:val="E22075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BD02177"/>
    <w:multiLevelType w:val="hybridMultilevel"/>
    <w:tmpl w:val="2D46260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EC07C2"/>
    <w:multiLevelType w:val="hybridMultilevel"/>
    <w:tmpl w:val="AF3896E4"/>
    <w:lvl w:ilvl="0" w:tplc="0426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07D1E4E"/>
    <w:multiLevelType w:val="hybridMultilevel"/>
    <w:tmpl w:val="7102DF80"/>
    <w:lvl w:ilvl="0" w:tplc="C78E45A8">
      <w:start w:val="1"/>
      <w:numFmt w:val="decimal"/>
      <w:lvlText w:val="%1."/>
      <w:lvlJc w:val="left"/>
      <w:pPr>
        <w:ind w:left="720" w:hanging="360"/>
      </w:pPr>
      <w:rPr>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2D62AC4"/>
    <w:multiLevelType w:val="hybridMultilevel"/>
    <w:tmpl w:val="6CA8DA32"/>
    <w:lvl w:ilvl="0" w:tplc="4810EB48">
      <w:start w:val="1"/>
      <w:numFmt w:val="decimal"/>
      <w:lvlText w:val="%1."/>
      <w:lvlJc w:val="left"/>
      <w:pPr>
        <w:ind w:left="720" w:hanging="360"/>
      </w:pPr>
      <w:rPr>
        <w:rFonts w:ascii="Verdana" w:eastAsia="Times New Roman" w:hAnsi="Verdana"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274B1584"/>
    <w:multiLevelType w:val="hybridMultilevel"/>
    <w:tmpl w:val="682032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757A88"/>
    <w:multiLevelType w:val="hybridMultilevel"/>
    <w:tmpl w:val="276CA598"/>
    <w:lvl w:ilvl="0" w:tplc="E96C854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3" w15:restartNumberingAfterBreak="0">
    <w:nsid w:val="32693001"/>
    <w:multiLevelType w:val="hybridMultilevel"/>
    <w:tmpl w:val="C8CE1E9C"/>
    <w:lvl w:ilvl="0" w:tplc="76005308">
      <w:start w:val="1"/>
      <w:numFmt w:val="decimal"/>
      <w:lvlText w:val="%1."/>
      <w:lvlJc w:val="left"/>
      <w:pPr>
        <w:ind w:left="360" w:hanging="360"/>
      </w:pPr>
      <w:rPr>
        <w:b/>
      </w:rPr>
    </w:lvl>
    <w:lvl w:ilvl="1" w:tplc="04260019" w:tentative="1">
      <w:start w:val="1"/>
      <w:numFmt w:val="lowerLetter"/>
      <w:lvlText w:val="%2."/>
      <w:lvlJc w:val="left"/>
      <w:pPr>
        <w:ind w:left="1014" w:hanging="360"/>
      </w:pPr>
    </w:lvl>
    <w:lvl w:ilvl="2" w:tplc="0426001B" w:tentative="1">
      <w:start w:val="1"/>
      <w:numFmt w:val="lowerRoman"/>
      <w:lvlText w:val="%3."/>
      <w:lvlJc w:val="right"/>
      <w:pPr>
        <w:ind w:left="1734" w:hanging="180"/>
      </w:pPr>
    </w:lvl>
    <w:lvl w:ilvl="3" w:tplc="0426000F" w:tentative="1">
      <w:start w:val="1"/>
      <w:numFmt w:val="decimal"/>
      <w:lvlText w:val="%4."/>
      <w:lvlJc w:val="left"/>
      <w:pPr>
        <w:ind w:left="2454" w:hanging="360"/>
      </w:pPr>
    </w:lvl>
    <w:lvl w:ilvl="4" w:tplc="04260019" w:tentative="1">
      <w:start w:val="1"/>
      <w:numFmt w:val="lowerLetter"/>
      <w:lvlText w:val="%5."/>
      <w:lvlJc w:val="left"/>
      <w:pPr>
        <w:ind w:left="3174" w:hanging="360"/>
      </w:pPr>
    </w:lvl>
    <w:lvl w:ilvl="5" w:tplc="0426001B" w:tentative="1">
      <w:start w:val="1"/>
      <w:numFmt w:val="lowerRoman"/>
      <w:lvlText w:val="%6."/>
      <w:lvlJc w:val="right"/>
      <w:pPr>
        <w:ind w:left="3894" w:hanging="180"/>
      </w:pPr>
    </w:lvl>
    <w:lvl w:ilvl="6" w:tplc="0426000F" w:tentative="1">
      <w:start w:val="1"/>
      <w:numFmt w:val="decimal"/>
      <w:lvlText w:val="%7."/>
      <w:lvlJc w:val="left"/>
      <w:pPr>
        <w:ind w:left="4614" w:hanging="360"/>
      </w:pPr>
    </w:lvl>
    <w:lvl w:ilvl="7" w:tplc="04260019" w:tentative="1">
      <w:start w:val="1"/>
      <w:numFmt w:val="lowerLetter"/>
      <w:lvlText w:val="%8."/>
      <w:lvlJc w:val="left"/>
      <w:pPr>
        <w:ind w:left="5334" w:hanging="360"/>
      </w:pPr>
    </w:lvl>
    <w:lvl w:ilvl="8" w:tplc="0426001B" w:tentative="1">
      <w:start w:val="1"/>
      <w:numFmt w:val="lowerRoman"/>
      <w:lvlText w:val="%9."/>
      <w:lvlJc w:val="right"/>
      <w:pPr>
        <w:ind w:left="6054" w:hanging="180"/>
      </w:pPr>
    </w:lvl>
  </w:abstractNum>
  <w:abstractNum w:abstractNumId="14"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51237B2"/>
    <w:multiLevelType w:val="hybridMultilevel"/>
    <w:tmpl w:val="5AB8BDF0"/>
    <w:lvl w:ilvl="0" w:tplc="326A61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7"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19"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31D66D4"/>
    <w:multiLevelType w:val="hybridMultilevel"/>
    <w:tmpl w:val="09AA11A4"/>
    <w:lvl w:ilvl="0" w:tplc="FFDAFE3E">
      <w:start w:val="1"/>
      <w:numFmt w:val="lowerLetter"/>
      <w:lvlText w:val="%1)"/>
      <w:lvlJc w:val="left"/>
      <w:pPr>
        <w:ind w:left="1080" w:hanging="360"/>
      </w:pPr>
      <w:rPr>
        <w:rFonts w:ascii="Times New Roman" w:hAnsi="Times New Roman" w:cs="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D8A3ACB"/>
    <w:multiLevelType w:val="hybridMultilevel"/>
    <w:tmpl w:val="61E6509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BD50D97"/>
    <w:multiLevelType w:val="hybridMultilevel"/>
    <w:tmpl w:val="F594E2B8"/>
    <w:lvl w:ilvl="0" w:tplc="04090011">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AC37B5"/>
    <w:multiLevelType w:val="hybridMultilevel"/>
    <w:tmpl w:val="D5746F44"/>
    <w:lvl w:ilvl="0" w:tplc="0B2AC70A">
      <w:start w:val="1"/>
      <w:numFmt w:val="decimal"/>
      <w:lvlText w:val="%1."/>
      <w:lvlJc w:val="left"/>
      <w:pPr>
        <w:ind w:left="720"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6F2F1F0C"/>
    <w:multiLevelType w:val="hybridMultilevel"/>
    <w:tmpl w:val="6086656A"/>
    <w:lvl w:ilvl="0" w:tplc="C2F27A1E">
      <w:start w:val="23"/>
      <w:numFmt w:val="bullet"/>
      <w:lvlText w:val="-"/>
      <w:lvlJc w:val="left"/>
      <w:pPr>
        <w:ind w:left="720" w:hanging="360"/>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704B416C"/>
    <w:multiLevelType w:val="hybridMultilevel"/>
    <w:tmpl w:val="F6FCD4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4" w15:restartNumberingAfterBreak="0">
    <w:nsid w:val="731428A5"/>
    <w:multiLevelType w:val="hybridMultilevel"/>
    <w:tmpl w:val="A2FAF91A"/>
    <w:lvl w:ilvl="0" w:tplc="D0C47F8C">
      <w:numFmt w:val="bullet"/>
      <w:lvlText w:val="-"/>
      <w:lvlJc w:val="left"/>
      <w:pPr>
        <w:ind w:left="765" w:hanging="405"/>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15:restartNumberingAfterBreak="0">
    <w:nsid w:val="7559305B"/>
    <w:multiLevelType w:val="hybridMultilevel"/>
    <w:tmpl w:val="B5A2BF4A"/>
    <w:lvl w:ilvl="0" w:tplc="0409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B577F0"/>
    <w:multiLevelType w:val="hybridMultilevel"/>
    <w:tmpl w:val="F4E0DD3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7"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6"/>
  </w:num>
  <w:num w:numId="4">
    <w:abstractNumId w:val="27"/>
  </w:num>
  <w:num w:numId="5">
    <w:abstractNumId w:val="18"/>
  </w:num>
  <w:num w:numId="6">
    <w:abstractNumId w:val="17"/>
  </w:num>
  <w:num w:numId="7">
    <w:abstractNumId w:val="24"/>
  </w:num>
  <w:num w:numId="8">
    <w:abstractNumId w:val="2"/>
  </w:num>
  <w:num w:numId="9">
    <w:abstractNumId w:val="37"/>
  </w:num>
  <w:num w:numId="10">
    <w:abstractNumId w:val="19"/>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25"/>
  </w:num>
  <w:num w:numId="15">
    <w:abstractNumId w:val="30"/>
  </w:num>
  <w:num w:numId="16">
    <w:abstractNumId w:val="8"/>
  </w:num>
  <w:num w:numId="17">
    <w:abstractNumId w:val="22"/>
  </w:num>
  <w:num w:numId="18">
    <w:abstractNumId w:val="14"/>
  </w:num>
  <w:num w:numId="19">
    <w:abstractNumId w:val="4"/>
  </w:num>
  <w:num w:numId="20">
    <w:abstractNumId w:val="23"/>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1"/>
  </w:num>
  <w:num w:numId="25">
    <w:abstractNumId w:val="3"/>
  </w:num>
  <w:num w:numId="26">
    <w:abstractNumId w:val="33"/>
  </w:num>
  <w:num w:numId="27">
    <w:abstractNumId w:val="33"/>
  </w:num>
  <w:num w:numId="28">
    <w:abstractNumId w:val="33"/>
  </w:num>
  <w:num w:numId="29">
    <w:abstractNumId w:val="31"/>
  </w:num>
  <w:num w:numId="30">
    <w:abstractNumId w:val="6"/>
  </w:num>
  <w:num w:numId="31">
    <w:abstractNumId w:val="32"/>
  </w:num>
  <w:num w:numId="32">
    <w:abstractNumId w:val="34"/>
  </w:num>
  <w:num w:numId="33">
    <w:abstractNumId w:val="26"/>
  </w:num>
  <w:num w:numId="34">
    <w:abstractNumId w:val="34"/>
  </w:num>
  <w:num w:numId="35">
    <w:abstractNumId w:val="11"/>
  </w:num>
  <w:num w:numId="36">
    <w:abstractNumId w:val="20"/>
  </w:num>
  <w:num w:numId="37">
    <w:abstractNumId w:val="5"/>
  </w:num>
  <w:num w:numId="38">
    <w:abstractNumId w:val="10"/>
  </w:num>
  <w:num w:numId="39">
    <w:abstractNumId w:val="35"/>
  </w:num>
  <w:num w:numId="40">
    <w:abstractNumId w:val="29"/>
  </w:num>
  <w:num w:numId="41">
    <w:abstractNumId w:val="7"/>
  </w:num>
  <w:num w:numId="42">
    <w:abstractNumId w:val="36"/>
  </w:num>
  <w:num w:numId="43">
    <w:abstractNumId w:val="13"/>
  </w:num>
  <w:num w:numId="4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0BA8"/>
    <w:rsid w:val="00000EDD"/>
    <w:rsid w:val="00001242"/>
    <w:rsid w:val="00001DD3"/>
    <w:rsid w:val="00001EF3"/>
    <w:rsid w:val="00002207"/>
    <w:rsid w:val="00002BD7"/>
    <w:rsid w:val="00003D91"/>
    <w:rsid w:val="000041FA"/>
    <w:rsid w:val="00004263"/>
    <w:rsid w:val="00004393"/>
    <w:rsid w:val="000049EF"/>
    <w:rsid w:val="00004FF9"/>
    <w:rsid w:val="0000564C"/>
    <w:rsid w:val="00005793"/>
    <w:rsid w:val="00005CF4"/>
    <w:rsid w:val="00006E22"/>
    <w:rsid w:val="00007C27"/>
    <w:rsid w:val="00007E0C"/>
    <w:rsid w:val="000103CC"/>
    <w:rsid w:val="000103F9"/>
    <w:rsid w:val="00011382"/>
    <w:rsid w:val="00011F18"/>
    <w:rsid w:val="00012AAC"/>
    <w:rsid w:val="0001391E"/>
    <w:rsid w:val="000143FC"/>
    <w:rsid w:val="00014E53"/>
    <w:rsid w:val="00014FDD"/>
    <w:rsid w:val="000151EE"/>
    <w:rsid w:val="00015CB1"/>
    <w:rsid w:val="00016063"/>
    <w:rsid w:val="000161AC"/>
    <w:rsid w:val="000173AB"/>
    <w:rsid w:val="00017FF1"/>
    <w:rsid w:val="0002121B"/>
    <w:rsid w:val="00021348"/>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C4B"/>
    <w:rsid w:val="00046D0B"/>
    <w:rsid w:val="000476DB"/>
    <w:rsid w:val="00047C06"/>
    <w:rsid w:val="00047C97"/>
    <w:rsid w:val="000503D5"/>
    <w:rsid w:val="00050669"/>
    <w:rsid w:val="00050A31"/>
    <w:rsid w:val="00051389"/>
    <w:rsid w:val="00052619"/>
    <w:rsid w:val="000527B8"/>
    <w:rsid w:val="0005333C"/>
    <w:rsid w:val="00053DC0"/>
    <w:rsid w:val="00053DC5"/>
    <w:rsid w:val="00054B67"/>
    <w:rsid w:val="00054B93"/>
    <w:rsid w:val="0005515F"/>
    <w:rsid w:val="000552C9"/>
    <w:rsid w:val="000554B0"/>
    <w:rsid w:val="00055535"/>
    <w:rsid w:val="00055E97"/>
    <w:rsid w:val="00055EFC"/>
    <w:rsid w:val="000565D3"/>
    <w:rsid w:val="00056B5D"/>
    <w:rsid w:val="00056D9D"/>
    <w:rsid w:val="00057271"/>
    <w:rsid w:val="000575E2"/>
    <w:rsid w:val="00057FAF"/>
    <w:rsid w:val="00060383"/>
    <w:rsid w:val="00060E82"/>
    <w:rsid w:val="00060FC3"/>
    <w:rsid w:val="00062018"/>
    <w:rsid w:val="00062050"/>
    <w:rsid w:val="00062837"/>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5EE"/>
    <w:rsid w:val="0007662E"/>
    <w:rsid w:val="00076BF5"/>
    <w:rsid w:val="00076C5A"/>
    <w:rsid w:val="00076DFF"/>
    <w:rsid w:val="00076E20"/>
    <w:rsid w:val="0008019E"/>
    <w:rsid w:val="00080873"/>
    <w:rsid w:val="00080BA1"/>
    <w:rsid w:val="000817DC"/>
    <w:rsid w:val="00082E0B"/>
    <w:rsid w:val="000830BD"/>
    <w:rsid w:val="00083249"/>
    <w:rsid w:val="00084319"/>
    <w:rsid w:val="000846D0"/>
    <w:rsid w:val="00084FAE"/>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730"/>
    <w:rsid w:val="00093D97"/>
    <w:rsid w:val="0009454C"/>
    <w:rsid w:val="0009485E"/>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C76"/>
    <w:rsid w:val="000A615D"/>
    <w:rsid w:val="000A6B22"/>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5AE1"/>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0BA"/>
    <w:rsid w:val="000D66E9"/>
    <w:rsid w:val="000D6827"/>
    <w:rsid w:val="000D6AA6"/>
    <w:rsid w:val="000D7FF7"/>
    <w:rsid w:val="000E01BC"/>
    <w:rsid w:val="000E0948"/>
    <w:rsid w:val="000E20D4"/>
    <w:rsid w:val="000E2277"/>
    <w:rsid w:val="000E28A2"/>
    <w:rsid w:val="000E2A27"/>
    <w:rsid w:val="000E2B37"/>
    <w:rsid w:val="000E30AC"/>
    <w:rsid w:val="000E3349"/>
    <w:rsid w:val="000E39F1"/>
    <w:rsid w:val="000E46B6"/>
    <w:rsid w:val="000E5D19"/>
    <w:rsid w:val="000E7889"/>
    <w:rsid w:val="000E7C2D"/>
    <w:rsid w:val="000E7D24"/>
    <w:rsid w:val="000F004F"/>
    <w:rsid w:val="000F0E5E"/>
    <w:rsid w:val="000F1D88"/>
    <w:rsid w:val="000F1F47"/>
    <w:rsid w:val="000F37FF"/>
    <w:rsid w:val="000F3C20"/>
    <w:rsid w:val="000F443A"/>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965"/>
    <w:rsid w:val="00122C88"/>
    <w:rsid w:val="00122E33"/>
    <w:rsid w:val="001234DF"/>
    <w:rsid w:val="00123F40"/>
    <w:rsid w:val="0012429C"/>
    <w:rsid w:val="00124499"/>
    <w:rsid w:val="001247CC"/>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2F3"/>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468"/>
    <w:rsid w:val="00145E2A"/>
    <w:rsid w:val="00146068"/>
    <w:rsid w:val="00146D44"/>
    <w:rsid w:val="001478E7"/>
    <w:rsid w:val="00147ECB"/>
    <w:rsid w:val="00150103"/>
    <w:rsid w:val="00150539"/>
    <w:rsid w:val="00150662"/>
    <w:rsid w:val="00150D76"/>
    <w:rsid w:val="001510A6"/>
    <w:rsid w:val="0015172E"/>
    <w:rsid w:val="001519D4"/>
    <w:rsid w:val="001519EB"/>
    <w:rsid w:val="00152064"/>
    <w:rsid w:val="001521E0"/>
    <w:rsid w:val="001529D1"/>
    <w:rsid w:val="00152CF7"/>
    <w:rsid w:val="00153407"/>
    <w:rsid w:val="0015398D"/>
    <w:rsid w:val="001539F2"/>
    <w:rsid w:val="00154533"/>
    <w:rsid w:val="00154670"/>
    <w:rsid w:val="0015522B"/>
    <w:rsid w:val="0015530E"/>
    <w:rsid w:val="00155558"/>
    <w:rsid w:val="001559CE"/>
    <w:rsid w:val="00155C0C"/>
    <w:rsid w:val="001560DD"/>
    <w:rsid w:val="0015616B"/>
    <w:rsid w:val="00156466"/>
    <w:rsid w:val="0016131B"/>
    <w:rsid w:val="00161E2C"/>
    <w:rsid w:val="00163200"/>
    <w:rsid w:val="00163243"/>
    <w:rsid w:val="00163F65"/>
    <w:rsid w:val="00163F79"/>
    <w:rsid w:val="00164410"/>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6D98"/>
    <w:rsid w:val="00177301"/>
    <w:rsid w:val="00177A04"/>
    <w:rsid w:val="00177B35"/>
    <w:rsid w:val="00180E98"/>
    <w:rsid w:val="00180F4F"/>
    <w:rsid w:val="001812A1"/>
    <w:rsid w:val="0018147E"/>
    <w:rsid w:val="001815BD"/>
    <w:rsid w:val="0018189E"/>
    <w:rsid w:val="00181FF9"/>
    <w:rsid w:val="00182A9A"/>
    <w:rsid w:val="00182F83"/>
    <w:rsid w:val="00183292"/>
    <w:rsid w:val="00183A98"/>
    <w:rsid w:val="00184AB9"/>
    <w:rsid w:val="00185438"/>
    <w:rsid w:val="001856B9"/>
    <w:rsid w:val="001901EF"/>
    <w:rsid w:val="00190437"/>
    <w:rsid w:val="00190D58"/>
    <w:rsid w:val="00190E0C"/>
    <w:rsid w:val="001916DA"/>
    <w:rsid w:val="001916E3"/>
    <w:rsid w:val="00191AED"/>
    <w:rsid w:val="00191DE8"/>
    <w:rsid w:val="001920D8"/>
    <w:rsid w:val="00192F29"/>
    <w:rsid w:val="00193201"/>
    <w:rsid w:val="00193311"/>
    <w:rsid w:val="00193590"/>
    <w:rsid w:val="00193FEA"/>
    <w:rsid w:val="0019419D"/>
    <w:rsid w:val="0019480F"/>
    <w:rsid w:val="00194C3C"/>
    <w:rsid w:val="00194DFE"/>
    <w:rsid w:val="0019503E"/>
    <w:rsid w:val="001950B6"/>
    <w:rsid w:val="001959E5"/>
    <w:rsid w:val="00195C73"/>
    <w:rsid w:val="00195D44"/>
    <w:rsid w:val="00196C10"/>
    <w:rsid w:val="0019728C"/>
    <w:rsid w:val="00197335"/>
    <w:rsid w:val="00197795"/>
    <w:rsid w:val="00197E13"/>
    <w:rsid w:val="001A0476"/>
    <w:rsid w:val="001A0608"/>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C40"/>
    <w:rsid w:val="001B3D72"/>
    <w:rsid w:val="001B46B2"/>
    <w:rsid w:val="001B5B2C"/>
    <w:rsid w:val="001B616F"/>
    <w:rsid w:val="001B68EB"/>
    <w:rsid w:val="001B704E"/>
    <w:rsid w:val="001B732B"/>
    <w:rsid w:val="001B7731"/>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AA0"/>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766A"/>
    <w:rsid w:val="001E7B9D"/>
    <w:rsid w:val="001E7E5C"/>
    <w:rsid w:val="001F0738"/>
    <w:rsid w:val="001F0BA3"/>
    <w:rsid w:val="001F1749"/>
    <w:rsid w:val="001F1E33"/>
    <w:rsid w:val="001F1EEC"/>
    <w:rsid w:val="001F2109"/>
    <w:rsid w:val="001F3220"/>
    <w:rsid w:val="001F3BE0"/>
    <w:rsid w:val="001F4825"/>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32C5"/>
    <w:rsid w:val="00203662"/>
    <w:rsid w:val="00204367"/>
    <w:rsid w:val="002054DE"/>
    <w:rsid w:val="0020612D"/>
    <w:rsid w:val="00206490"/>
    <w:rsid w:val="002071DF"/>
    <w:rsid w:val="00207300"/>
    <w:rsid w:val="002107D4"/>
    <w:rsid w:val="00211261"/>
    <w:rsid w:val="00211656"/>
    <w:rsid w:val="002129C4"/>
    <w:rsid w:val="00212BB8"/>
    <w:rsid w:val="0021333A"/>
    <w:rsid w:val="00213C94"/>
    <w:rsid w:val="0021405A"/>
    <w:rsid w:val="00214296"/>
    <w:rsid w:val="0021460B"/>
    <w:rsid w:val="00214796"/>
    <w:rsid w:val="002156CA"/>
    <w:rsid w:val="00215EF3"/>
    <w:rsid w:val="002163D0"/>
    <w:rsid w:val="0021799A"/>
    <w:rsid w:val="00217A83"/>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29"/>
    <w:rsid w:val="00236747"/>
    <w:rsid w:val="00237BD2"/>
    <w:rsid w:val="002400B8"/>
    <w:rsid w:val="002409AB"/>
    <w:rsid w:val="002410D0"/>
    <w:rsid w:val="002422D4"/>
    <w:rsid w:val="002425DB"/>
    <w:rsid w:val="00242919"/>
    <w:rsid w:val="00242F27"/>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2F2"/>
    <w:rsid w:val="00263892"/>
    <w:rsid w:val="00263C66"/>
    <w:rsid w:val="00264B6B"/>
    <w:rsid w:val="0026593E"/>
    <w:rsid w:val="00265E8E"/>
    <w:rsid w:val="00266256"/>
    <w:rsid w:val="0026628B"/>
    <w:rsid w:val="002666F5"/>
    <w:rsid w:val="00266CBF"/>
    <w:rsid w:val="00267648"/>
    <w:rsid w:val="00267A21"/>
    <w:rsid w:val="00267E47"/>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2F4E"/>
    <w:rsid w:val="002B3734"/>
    <w:rsid w:val="002B3BA0"/>
    <w:rsid w:val="002B3D70"/>
    <w:rsid w:val="002B42B0"/>
    <w:rsid w:val="002B42CF"/>
    <w:rsid w:val="002B4890"/>
    <w:rsid w:val="002B4CA3"/>
    <w:rsid w:val="002B4CEE"/>
    <w:rsid w:val="002B5159"/>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912"/>
    <w:rsid w:val="002C6C4F"/>
    <w:rsid w:val="002C6E8B"/>
    <w:rsid w:val="002C7DBE"/>
    <w:rsid w:val="002D10D9"/>
    <w:rsid w:val="002D16A7"/>
    <w:rsid w:val="002D17C1"/>
    <w:rsid w:val="002D1DEC"/>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3194"/>
    <w:rsid w:val="002F4827"/>
    <w:rsid w:val="002F5C99"/>
    <w:rsid w:val="002F61FA"/>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374"/>
    <w:rsid w:val="00307700"/>
    <w:rsid w:val="00307E21"/>
    <w:rsid w:val="00307E2E"/>
    <w:rsid w:val="00310046"/>
    <w:rsid w:val="0031056B"/>
    <w:rsid w:val="0031080D"/>
    <w:rsid w:val="00311C0C"/>
    <w:rsid w:val="00311FC0"/>
    <w:rsid w:val="00312197"/>
    <w:rsid w:val="0031251A"/>
    <w:rsid w:val="0031352B"/>
    <w:rsid w:val="0031367D"/>
    <w:rsid w:val="00313D41"/>
    <w:rsid w:val="0031483B"/>
    <w:rsid w:val="00314DA7"/>
    <w:rsid w:val="00315331"/>
    <w:rsid w:val="003156FD"/>
    <w:rsid w:val="00315901"/>
    <w:rsid w:val="00315A3D"/>
    <w:rsid w:val="00315B23"/>
    <w:rsid w:val="0032055F"/>
    <w:rsid w:val="00320595"/>
    <w:rsid w:val="0032099D"/>
    <w:rsid w:val="00320BE3"/>
    <w:rsid w:val="0032201B"/>
    <w:rsid w:val="003223EB"/>
    <w:rsid w:val="00322B63"/>
    <w:rsid w:val="00323E53"/>
    <w:rsid w:val="00324678"/>
    <w:rsid w:val="00324E19"/>
    <w:rsid w:val="00325600"/>
    <w:rsid w:val="003268FF"/>
    <w:rsid w:val="00326A1F"/>
    <w:rsid w:val="00326E4E"/>
    <w:rsid w:val="00326F72"/>
    <w:rsid w:val="00330B64"/>
    <w:rsid w:val="00331923"/>
    <w:rsid w:val="00331AD9"/>
    <w:rsid w:val="00332BB4"/>
    <w:rsid w:val="00333827"/>
    <w:rsid w:val="0033464D"/>
    <w:rsid w:val="0033471F"/>
    <w:rsid w:val="00334985"/>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557"/>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919"/>
    <w:rsid w:val="00355BF9"/>
    <w:rsid w:val="00357167"/>
    <w:rsid w:val="00357560"/>
    <w:rsid w:val="00360C5F"/>
    <w:rsid w:val="00360D8E"/>
    <w:rsid w:val="0036146C"/>
    <w:rsid w:val="0036179C"/>
    <w:rsid w:val="0036195B"/>
    <w:rsid w:val="00362282"/>
    <w:rsid w:val="003623E5"/>
    <w:rsid w:val="00362850"/>
    <w:rsid w:val="00362875"/>
    <w:rsid w:val="00363327"/>
    <w:rsid w:val="00363622"/>
    <w:rsid w:val="00363F36"/>
    <w:rsid w:val="003647E6"/>
    <w:rsid w:val="00364892"/>
    <w:rsid w:val="00364A8D"/>
    <w:rsid w:val="00364EB7"/>
    <w:rsid w:val="00365CE3"/>
    <w:rsid w:val="00365E71"/>
    <w:rsid w:val="00366046"/>
    <w:rsid w:val="003670C3"/>
    <w:rsid w:val="00367764"/>
    <w:rsid w:val="00367E0C"/>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2B3"/>
    <w:rsid w:val="00384A88"/>
    <w:rsid w:val="00385882"/>
    <w:rsid w:val="00385B80"/>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3A90"/>
    <w:rsid w:val="00394E96"/>
    <w:rsid w:val="00395047"/>
    <w:rsid w:val="0039563B"/>
    <w:rsid w:val="00397260"/>
    <w:rsid w:val="003974B5"/>
    <w:rsid w:val="00397DD4"/>
    <w:rsid w:val="003A09BB"/>
    <w:rsid w:val="003A09BC"/>
    <w:rsid w:val="003A09E7"/>
    <w:rsid w:val="003A1A9B"/>
    <w:rsid w:val="003A1F27"/>
    <w:rsid w:val="003A24C3"/>
    <w:rsid w:val="003A3615"/>
    <w:rsid w:val="003A3B4E"/>
    <w:rsid w:val="003A45D2"/>
    <w:rsid w:val="003A4AFB"/>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70"/>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35F"/>
    <w:rsid w:val="00437E04"/>
    <w:rsid w:val="0044037C"/>
    <w:rsid w:val="00440381"/>
    <w:rsid w:val="00440CB8"/>
    <w:rsid w:val="00441145"/>
    <w:rsid w:val="00441264"/>
    <w:rsid w:val="0044132F"/>
    <w:rsid w:val="0044191C"/>
    <w:rsid w:val="00441DA4"/>
    <w:rsid w:val="00442985"/>
    <w:rsid w:val="004432E5"/>
    <w:rsid w:val="00443490"/>
    <w:rsid w:val="0044354F"/>
    <w:rsid w:val="004443ED"/>
    <w:rsid w:val="00444942"/>
    <w:rsid w:val="00444DD5"/>
    <w:rsid w:val="004451FE"/>
    <w:rsid w:val="004452C4"/>
    <w:rsid w:val="00445E19"/>
    <w:rsid w:val="00446921"/>
    <w:rsid w:val="00446A62"/>
    <w:rsid w:val="00446A76"/>
    <w:rsid w:val="004471FB"/>
    <w:rsid w:val="004476DF"/>
    <w:rsid w:val="0044779E"/>
    <w:rsid w:val="004479D1"/>
    <w:rsid w:val="00447DF8"/>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67ED6"/>
    <w:rsid w:val="00470DBA"/>
    <w:rsid w:val="004712A6"/>
    <w:rsid w:val="00471835"/>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5C82"/>
    <w:rsid w:val="004872F0"/>
    <w:rsid w:val="004872FC"/>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A59"/>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584"/>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41"/>
    <w:rsid w:val="004D5EAB"/>
    <w:rsid w:val="004D6519"/>
    <w:rsid w:val="004D6592"/>
    <w:rsid w:val="004D6CD2"/>
    <w:rsid w:val="004D6DD7"/>
    <w:rsid w:val="004D7BA3"/>
    <w:rsid w:val="004E0B79"/>
    <w:rsid w:val="004E0F60"/>
    <w:rsid w:val="004E220D"/>
    <w:rsid w:val="004E3722"/>
    <w:rsid w:val="004E382E"/>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189"/>
    <w:rsid w:val="0050543B"/>
    <w:rsid w:val="00505CFE"/>
    <w:rsid w:val="00505F9E"/>
    <w:rsid w:val="0050630A"/>
    <w:rsid w:val="005069F8"/>
    <w:rsid w:val="00506D5A"/>
    <w:rsid w:val="00506FED"/>
    <w:rsid w:val="005076BB"/>
    <w:rsid w:val="00507B19"/>
    <w:rsid w:val="005101FF"/>
    <w:rsid w:val="005108F3"/>
    <w:rsid w:val="00510AC0"/>
    <w:rsid w:val="0051135A"/>
    <w:rsid w:val="0051184D"/>
    <w:rsid w:val="00511F9E"/>
    <w:rsid w:val="00512041"/>
    <w:rsid w:val="00512726"/>
    <w:rsid w:val="005131E2"/>
    <w:rsid w:val="005139FE"/>
    <w:rsid w:val="005149C5"/>
    <w:rsid w:val="00514F3F"/>
    <w:rsid w:val="00515777"/>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3DB3"/>
    <w:rsid w:val="005744A3"/>
    <w:rsid w:val="00574554"/>
    <w:rsid w:val="0057583F"/>
    <w:rsid w:val="00575FA2"/>
    <w:rsid w:val="00576521"/>
    <w:rsid w:val="00577171"/>
    <w:rsid w:val="005778F3"/>
    <w:rsid w:val="005802A1"/>
    <w:rsid w:val="00580463"/>
    <w:rsid w:val="0058066D"/>
    <w:rsid w:val="00581A08"/>
    <w:rsid w:val="0058278C"/>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0F8"/>
    <w:rsid w:val="00594180"/>
    <w:rsid w:val="00594866"/>
    <w:rsid w:val="0059555D"/>
    <w:rsid w:val="005956C7"/>
    <w:rsid w:val="00595D13"/>
    <w:rsid w:val="00595F90"/>
    <w:rsid w:val="00596202"/>
    <w:rsid w:val="00597643"/>
    <w:rsid w:val="00597790"/>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F75"/>
    <w:rsid w:val="005B13D5"/>
    <w:rsid w:val="005B2758"/>
    <w:rsid w:val="005B2843"/>
    <w:rsid w:val="005B2A5E"/>
    <w:rsid w:val="005B2C1E"/>
    <w:rsid w:val="005B331A"/>
    <w:rsid w:val="005B3411"/>
    <w:rsid w:val="005B360C"/>
    <w:rsid w:val="005B3EDF"/>
    <w:rsid w:val="005B5538"/>
    <w:rsid w:val="005B57AA"/>
    <w:rsid w:val="005B5A41"/>
    <w:rsid w:val="005B5C6A"/>
    <w:rsid w:val="005B5E99"/>
    <w:rsid w:val="005B603C"/>
    <w:rsid w:val="005B6220"/>
    <w:rsid w:val="005B6642"/>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1F4E"/>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4DCD"/>
    <w:rsid w:val="005E5043"/>
    <w:rsid w:val="005E5A0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2B66"/>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C31"/>
    <w:rsid w:val="00623F54"/>
    <w:rsid w:val="00623FD3"/>
    <w:rsid w:val="0062401B"/>
    <w:rsid w:val="006242BB"/>
    <w:rsid w:val="00624C8A"/>
    <w:rsid w:val="006257F8"/>
    <w:rsid w:val="0062582D"/>
    <w:rsid w:val="00626165"/>
    <w:rsid w:val="006265A5"/>
    <w:rsid w:val="00626809"/>
    <w:rsid w:val="00626A44"/>
    <w:rsid w:val="00626ADD"/>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604"/>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0F31"/>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03D"/>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797"/>
    <w:rsid w:val="00683B59"/>
    <w:rsid w:val="006847FA"/>
    <w:rsid w:val="00684B44"/>
    <w:rsid w:val="00684C7F"/>
    <w:rsid w:val="00684D93"/>
    <w:rsid w:val="00685B12"/>
    <w:rsid w:val="00685D6F"/>
    <w:rsid w:val="006864F2"/>
    <w:rsid w:val="00686C36"/>
    <w:rsid w:val="00687742"/>
    <w:rsid w:val="00687B08"/>
    <w:rsid w:val="00687E64"/>
    <w:rsid w:val="006907F8"/>
    <w:rsid w:val="00690C19"/>
    <w:rsid w:val="006917C3"/>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B9A"/>
    <w:rsid w:val="006A0CFF"/>
    <w:rsid w:val="006A0D89"/>
    <w:rsid w:val="006A13CB"/>
    <w:rsid w:val="006A14E3"/>
    <w:rsid w:val="006A1CEA"/>
    <w:rsid w:val="006A21E9"/>
    <w:rsid w:val="006A2AA5"/>
    <w:rsid w:val="006A3F17"/>
    <w:rsid w:val="006A4176"/>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9D5"/>
    <w:rsid w:val="006C2AD1"/>
    <w:rsid w:val="006C3806"/>
    <w:rsid w:val="006C4721"/>
    <w:rsid w:val="006C4B5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1B5"/>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015"/>
    <w:rsid w:val="00700217"/>
    <w:rsid w:val="00700F1B"/>
    <w:rsid w:val="007012C5"/>
    <w:rsid w:val="007013E4"/>
    <w:rsid w:val="00701EBF"/>
    <w:rsid w:val="00702720"/>
    <w:rsid w:val="007029F6"/>
    <w:rsid w:val="00702F3B"/>
    <w:rsid w:val="00703463"/>
    <w:rsid w:val="00703A20"/>
    <w:rsid w:val="007047D9"/>
    <w:rsid w:val="007055E3"/>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6A69"/>
    <w:rsid w:val="0071767A"/>
    <w:rsid w:val="00717680"/>
    <w:rsid w:val="007177D1"/>
    <w:rsid w:val="007207B1"/>
    <w:rsid w:val="0072090F"/>
    <w:rsid w:val="00720E87"/>
    <w:rsid w:val="00720EE0"/>
    <w:rsid w:val="00721BEE"/>
    <w:rsid w:val="00721DEF"/>
    <w:rsid w:val="00722120"/>
    <w:rsid w:val="00722685"/>
    <w:rsid w:val="00723B2B"/>
    <w:rsid w:val="00724AFC"/>
    <w:rsid w:val="00725147"/>
    <w:rsid w:val="00725EB3"/>
    <w:rsid w:val="00725F01"/>
    <w:rsid w:val="00725F78"/>
    <w:rsid w:val="00726018"/>
    <w:rsid w:val="0072614A"/>
    <w:rsid w:val="0072685B"/>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854"/>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5D13"/>
    <w:rsid w:val="00756182"/>
    <w:rsid w:val="007562D0"/>
    <w:rsid w:val="00757911"/>
    <w:rsid w:val="0076145F"/>
    <w:rsid w:val="007616EE"/>
    <w:rsid w:val="00761A1F"/>
    <w:rsid w:val="007625EB"/>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5E2C"/>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CEF"/>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13F6"/>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620"/>
    <w:rsid w:val="007C0B98"/>
    <w:rsid w:val="007C1BA0"/>
    <w:rsid w:val="007C1BEE"/>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07BA"/>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178A1"/>
    <w:rsid w:val="0082016D"/>
    <w:rsid w:val="008204A5"/>
    <w:rsid w:val="00820506"/>
    <w:rsid w:val="00820784"/>
    <w:rsid w:val="008208B6"/>
    <w:rsid w:val="00820D65"/>
    <w:rsid w:val="00821136"/>
    <w:rsid w:val="008213CB"/>
    <w:rsid w:val="00821CEC"/>
    <w:rsid w:val="0082228A"/>
    <w:rsid w:val="0082236A"/>
    <w:rsid w:val="00822473"/>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57A48"/>
    <w:rsid w:val="008606D6"/>
    <w:rsid w:val="008608EC"/>
    <w:rsid w:val="0086095D"/>
    <w:rsid w:val="008619D4"/>
    <w:rsid w:val="00861A1D"/>
    <w:rsid w:val="00862019"/>
    <w:rsid w:val="008621CF"/>
    <w:rsid w:val="00863020"/>
    <w:rsid w:val="00863029"/>
    <w:rsid w:val="00863319"/>
    <w:rsid w:val="0086386C"/>
    <w:rsid w:val="00863941"/>
    <w:rsid w:val="00863B20"/>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397B"/>
    <w:rsid w:val="0087401F"/>
    <w:rsid w:val="00874E5D"/>
    <w:rsid w:val="00874E85"/>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51E"/>
    <w:rsid w:val="008A666D"/>
    <w:rsid w:val="008A6D93"/>
    <w:rsid w:val="008A6E93"/>
    <w:rsid w:val="008A70A9"/>
    <w:rsid w:val="008A77DC"/>
    <w:rsid w:val="008B004A"/>
    <w:rsid w:val="008B02AE"/>
    <w:rsid w:val="008B056A"/>
    <w:rsid w:val="008B07D0"/>
    <w:rsid w:val="008B1644"/>
    <w:rsid w:val="008B3EFF"/>
    <w:rsid w:val="008B41FC"/>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3D2C"/>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0D25"/>
    <w:rsid w:val="00920FB4"/>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4"/>
    <w:rsid w:val="009278A5"/>
    <w:rsid w:val="0092794C"/>
    <w:rsid w:val="00927AF5"/>
    <w:rsid w:val="00930ADF"/>
    <w:rsid w:val="00930B07"/>
    <w:rsid w:val="0093117D"/>
    <w:rsid w:val="00931AB8"/>
    <w:rsid w:val="00931AF8"/>
    <w:rsid w:val="00931C75"/>
    <w:rsid w:val="00931EB8"/>
    <w:rsid w:val="00931FA0"/>
    <w:rsid w:val="00932B6D"/>
    <w:rsid w:val="00932D2A"/>
    <w:rsid w:val="0093353E"/>
    <w:rsid w:val="0093367C"/>
    <w:rsid w:val="009338E4"/>
    <w:rsid w:val="009340F6"/>
    <w:rsid w:val="009346A1"/>
    <w:rsid w:val="00934EA1"/>
    <w:rsid w:val="00935194"/>
    <w:rsid w:val="009355E5"/>
    <w:rsid w:val="00935652"/>
    <w:rsid w:val="009368DA"/>
    <w:rsid w:val="0094002B"/>
    <w:rsid w:val="0094037C"/>
    <w:rsid w:val="009404A9"/>
    <w:rsid w:val="00940FB4"/>
    <w:rsid w:val="0094127D"/>
    <w:rsid w:val="009418B5"/>
    <w:rsid w:val="00942AFB"/>
    <w:rsid w:val="00942CBF"/>
    <w:rsid w:val="0094342C"/>
    <w:rsid w:val="009447A4"/>
    <w:rsid w:val="00944B8D"/>
    <w:rsid w:val="00945397"/>
    <w:rsid w:val="00945454"/>
    <w:rsid w:val="0094590A"/>
    <w:rsid w:val="0094655E"/>
    <w:rsid w:val="00946A4C"/>
    <w:rsid w:val="00946D80"/>
    <w:rsid w:val="0094770C"/>
    <w:rsid w:val="00947DBF"/>
    <w:rsid w:val="00950203"/>
    <w:rsid w:val="00952222"/>
    <w:rsid w:val="009525D5"/>
    <w:rsid w:val="00952781"/>
    <w:rsid w:val="00952939"/>
    <w:rsid w:val="00952A33"/>
    <w:rsid w:val="00952D8B"/>
    <w:rsid w:val="00952E0D"/>
    <w:rsid w:val="00953358"/>
    <w:rsid w:val="00953DD5"/>
    <w:rsid w:val="009544A1"/>
    <w:rsid w:val="00954B78"/>
    <w:rsid w:val="009550E0"/>
    <w:rsid w:val="0095527B"/>
    <w:rsid w:val="009553AA"/>
    <w:rsid w:val="009558C0"/>
    <w:rsid w:val="00955A7C"/>
    <w:rsid w:val="00955DA1"/>
    <w:rsid w:val="00956394"/>
    <w:rsid w:val="009564D2"/>
    <w:rsid w:val="00957B47"/>
    <w:rsid w:val="00957BCB"/>
    <w:rsid w:val="00960430"/>
    <w:rsid w:val="009608D2"/>
    <w:rsid w:val="00960C9B"/>
    <w:rsid w:val="00961A64"/>
    <w:rsid w:val="00961CBE"/>
    <w:rsid w:val="00961D31"/>
    <w:rsid w:val="0096206F"/>
    <w:rsid w:val="009627AE"/>
    <w:rsid w:val="009628DF"/>
    <w:rsid w:val="00962D29"/>
    <w:rsid w:val="00963327"/>
    <w:rsid w:val="00963C3F"/>
    <w:rsid w:val="00963D4A"/>
    <w:rsid w:val="00963DD4"/>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6DE4"/>
    <w:rsid w:val="009772EF"/>
    <w:rsid w:val="009773F0"/>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49D"/>
    <w:rsid w:val="009A1509"/>
    <w:rsid w:val="009A1DC8"/>
    <w:rsid w:val="009A2276"/>
    <w:rsid w:val="009A25C2"/>
    <w:rsid w:val="009A2F3C"/>
    <w:rsid w:val="009A3E17"/>
    <w:rsid w:val="009A3ED0"/>
    <w:rsid w:val="009A4010"/>
    <w:rsid w:val="009A40EE"/>
    <w:rsid w:val="009A572E"/>
    <w:rsid w:val="009A5B29"/>
    <w:rsid w:val="009A670F"/>
    <w:rsid w:val="009A6CB0"/>
    <w:rsid w:val="009A6D93"/>
    <w:rsid w:val="009A6F9F"/>
    <w:rsid w:val="009A7787"/>
    <w:rsid w:val="009A790C"/>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06C"/>
    <w:rsid w:val="009D0401"/>
    <w:rsid w:val="009D0620"/>
    <w:rsid w:val="009D0D41"/>
    <w:rsid w:val="009D0F91"/>
    <w:rsid w:val="009D13BF"/>
    <w:rsid w:val="009D1954"/>
    <w:rsid w:val="009D1E99"/>
    <w:rsid w:val="009D2107"/>
    <w:rsid w:val="009D2A8D"/>
    <w:rsid w:val="009D2D48"/>
    <w:rsid w:val="009D2F29"/>
    <w:rsid w:val="009D3B77"/>
    <w:rsid w:val="009D3D9E"/>
    <w:rsid w:val="009D3FA7"/>
    <w:rsid w:val="009D44AB"/>
    <w:rsid w:val="009D4ACD"/>
    <w:rsid w:val="009D4DC1"/>
    <w:rsid w:val="009D5369"/>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263"/>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E94"/>
    <w:rsid w:val="009F1873"/>
    <w:rsid w:val="009F1E85"/>
    <w:rsid w:val="009F248D"/>
    <w:rsid w:val="009F2C4A"/>
    <w:rsid w:val="009F3005"/>
    <w:rsid w:val="009F4A4C"/>
    <w:rsid w:val="009F50AD"/>
    <w:rsid w:val="009F56DC"/>
    <w:rsid w:val="009F5BA5"/>
    <w:rsid w:val="009F6695"/>
    <w:rsid w:val="009F67A4"/>
    <w:rsid w:val="009F78D6"/>
    <w:rsid w:val="00A00CCA"/>
    <w:rsid w:val="00A00DA0"/>
    <w:rsid w:val="00A0147A"/>
    <w:rsid w:val="00A0190E"/>
    <w:rsid w:val="00A01C04"/>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AF7"/>
    <w:rsid w:val="00A41E99"/>
    <w:rsid w:val="00A4207C"/>
    <w:rsid w:val="00A4283E"/>
    <w:rsid w:val="00A4292A"/>
    <w:rsid w:val="00A432A4"/>
    <w:rsid w:val="00A433BE"/>
    <w:rsid w:val="00A43540"/>
    <w:rsid w:val="00A4429D"/>
    <w:rsid w:val="00A44960"/>
    <w:rsid w:val="00A44B56"/>
    <w:rsid w:val="00A451A0"/>
    <w:rsid w:val="00A45D5B"/>
    <w:rsid w:val="00A46346"/>
    <w:rsid w:val="00A4792A"/>
    <w:rsid w:val="00A47F8F"/>
    <w:rsid w:val="00A5080C"/>
    <w:rsid w:val="00A50969"/>
    <w:rsid w:val="00A51C6C"/>
    <w:rsid w:val="00A52667"/>
    <w:rsid w:val="00A52E06"/>
    <w:rsid w:val="00A52F72"/>
    <w:rsid w:val="00A53090"/>
    <w:rsid w:val="00A531EC"/>
    <w:rsid w:val="00A532E2"/>
    <w:rsid w:val="00A54848"/>
    <w:rsid w:val="00A5540E"/>
    <w:rsid w:val="00A56E4B"/>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2862"/>
    <w:rsid w:val="00A741FF"/>
    <w:rsid w:val="00A742CD"/>
    <w:rsid w:val="00A748F7"/>
    <w:rsid w:val="00A74B53"/>
    <w:rsid w:val="00A75B2D"/>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2953"/>
    <w:rsid w:val="00A93D95"/>
    <w:rsid w:val="00A94A48"/>
    <w:rsid w:val="00A94AE1"/>
    <w:rsid w:val="00A94D47"/>
    <w:rsid w:val="00A9507A"/>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0A8"/>
    <w:rsid w:val="00AB0757"/>
    <w:rsid w:val="00AB0AEE"/>
    <w:rsid w:val="00AB0F93"/>
    <w:rsid w:val="00AB1126"/>
    <w:rsid w:val="00AB1711"/>
    <w:rsid w:val="00AB1A99"/>
    <w:rsid w:val="00AB2DDD"/>
    <w:rsid w:val="00AB32AD"/>
    <w:rsid w:val="00AB4313"/>
    <w:rsid w:val="00AB457F"/>
    <w:rsid w:val="00AB52AE"/>
    <w:rsid w:val="00AB5CC6"/>
    <w:rsid w:val="00AB6000"/>
    <w:rsid w:val="00AB76B1"/>
    <w:rsid w:val="00AB787A"/>
    <w:rsid w:val="00AC0007"/>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D76"/>
    <w:rsid w:val="00AD2FDB"/>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5AD"/>
    <w:rsid w:val="00AE18CC"/>
    <w:rsid w:val="00AE1904"/>
    <w:rsid w:val="00AE1E31"/>
    <w:rsid w:val="00AE2B43"/>
    <w:rsid w:val="00AE3D89"/>
    <w:rsid w:val="00AE3F31"/>
    <w:rsid w:val="00AE42AB"/>
    <w:rsid w:val="00AE4A6F"/>
    <w:rsid w:val="00AE5098"/>
    <w:rsid w:val="00AE5623"/>
    <w:rsid w:val="00AE58B7"/>
    <w:rsid w:val="00AE5A4C"/>
    <w:rsid w:val="00AE6051"/>
    <w:rsid w:val="00AE6306"/>
    <w:rsid w:val="00AE6BDB"/>
    <w:rsid w:val="00AE6E32"/>
    <w:rsid w:val="00AE6E9F"/>
    <w:rsid w:val="00AF0A7F"/>
    <w:rsid w:val="00AF0B31"/>
    <w:rsid w:val="00AF1A1F"/>
    <w:rsid w:val="00AF2B34"/>
    <w:rsid w:val="00AF2DDF"/>
    <w:rsid w:val="00AF3561"/>
    <w:rsid w:val="00AF4595"/>
    <w:rsid w:val="00AF48B5"/>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4C1A"/>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42C"/>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27B23"/>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AF6"/>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66E"/>
    <w:rsid w:val="00B4595B"/>
    <w:rsid w:val="00B45E14"/>
    <w:rsid w:val="00B45ED6"/>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5E84"/>
    <w:rsid w:val="00B660EF"/>
    <w:rsid w:val="00B66654"/>
    <w:rsid w:val="00B66EAE"/>
    <w:rsid w:val="00B67003"/>
    <w:rsid w:val="00B67B48"/>
    <w:rsid w:val="00B70038"/>
    <w:rsid w:val="00B70EB8"/>
    <w:rsid w:val="00B71271"/>
    <w:rsid w:val="00B7264F"/>
    <w:rsid w:val="00B72D15"/>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81D"/>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033"/>
    <w:rsid w:val="00B97E2B"/>
    <w:rsid w:val="00BA0E65"/>
    <w:rsid w:val="00BA1168"/>
    <w:rsid w:val="00BA153D"/>
    <w:rsid w:val="00BA184F"/>
    <w:rsid w:val="00BA1D0B"/>
    <w:rsid w:val="00BA2016"/>
    <w:rsid w:val="00BA2AFF"/>
    <w:rsid w:val="00BA3504"/>
    <w:rsid w:val="00BA3D4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BF1"/>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05"/>
    <w:rsid w:val="00BD6316"/>
    <w:rsid w:val="00BD66BA"/>
    <w:rsid w:val="00BD732C"/>
    <w:rsid w:val="00BD753F"/>
    <w:rsid w:val="00BD78E3"/>
    <w:rsid w:val="00BD7E54"/>
    <w:rsid w:val="00BD7E7E"/>
    <w:rsid w:val="00BE0647"/>
    <w:rsid w:val="00BE0A95"/>
    <w:rsid w:val="00BE1052"/>
    <w:rsid w:val="00BE10FC"/>
    <w:rsid w:val="00BE1A53"/>
    <w:rsid w:val="00BE2A3A"/>
    <w:rsid w:val="00BE3076"/>
    <w:rsid w:val="00BE31AF"/>
    <w:rsid w:val="00BE3440"/>
    <w:rsid w:val="00BE36C3"/>
    <w:rsid w:val="00BE36DE"/>
    <w:rsid w:val="00BE484D"/>
    <w:rsid w:val="00BE4D79"/>
    <w:rsid w:val="00BE562D"/>
    <w:rsid w:val="00BE5903"/>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88E"/>
    <w:rsid w:val="00C15D38"/>
    <w:rsid w:val="00C15FA9"/>
    <w:rsid w:val="00C16E19"/>
    <w:rsid w:val="00C170B3"/>
    <w:rsid w:val="00C17219"/>
    <w:rsid w:val="00C172A3"/>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94E"/>
    <w:rsid w:val="00C24C50"/>
    <w:rsid w:val="00C24F6E"/>
    <w:rsid w:val="00C2562B"/>
    <w:rsid w:val="00C257D5"/>
    <w:rsid w:val="00C25C63"/>
    <w:rsid w:val="00C25DA8"/>
    <w:rsid w:val="00C26126"/>
    <w:rsid w:val="00C267C0"/>
    <w:rsid w:val="00C272A8"/>
    <w:rsid w:val="00C27906"/>
    <w:rsid w:val="00C27A93"/>
    <w:rsid w:val="00C27A9B"/>
    <w:rsid w:val="00C27D90"/>
    <w:rsid w:val="00C30025"/>
    <w:rsid w:val="00C304C3"/>
    <w:rsid w:val="00C3089D"/>
    <w:rsid w:val="00C30BBA"/>
    <w:rsid w:val="00C31C27"/>
    <w:rsid w:val="00C32006"/>
    <w:rsid w:val="00C320DB"/>
    <w:rsid w:val="00C32279"/>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96B"/>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4B1"/>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A6E"/>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0E16"/>
    <w:rsid w:val="00C81005"/>
    <w:rsid w:val="00C82012"/>
    <w:rsid w:val="00C828D1"/>
    <w:rsid w:val="00C82D1E"/>
    <w:rsid w:val="00C82FF4"/>
    <w:rsid w:val="00C83269"/>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09F6"/>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374F"/>
    <w:rsid w:val="00CC4E0E"/>
    <w:rsid w:val="00CC4F32"/>
    <w:rsid w:val="00CC519E"/>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2F61"/>
    <w:rsid w:val="00CD4BE4"/>
    <w:rsid w:val="00CD5829"/>
    <w:rsid w:val="00CD586F"/>
    <w:rsid w:val="00CD5C88"/>
    <w:rsid w:val="00CD61AB"/>
    <w:rsid w:val="00CD6B3A"/>
    <w:rsid w:val="00CD7CDB"/>
    <w:rsid w:val="00CE09B8"/>
    <w:rsid w:val="00CE0FC0"/>
    <w:rsid w:val="00CE212A"/>
    <w:rsid w:val="00CE2460"/>
    <w:rsid w:val="00CE2D75"/>
    <w:rsid w:val="00CE2DAB"/>
    <w:rsid w:val="00CE30E7"/>
    <w:rsid w:val="00CE33A0"/>
    <w:rsid w:val="00CE3FB8"/>
    <w:rsid w:val="00CE4367"/>
    <w:rsid w:val="00CE450E"/>
    <w:rsid w:val="00CE51A0"/>
    <w:rsid w:val="00CE5715"/>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254"/>
    <w:rsid w:val="00D10A20"/>
    <w:rsid w:val="00D10D07"/>
    <w:rsid w:val="00D10EE8"/>
    <w:rsid w:val="00D11121"/>
    <w:rsid w:val="00D119D7"/>
    <w:rsid w:val="00D11EC1"/>
    <w:rsid w:val="00D12BDB"/>
    <w:rsid w:val="00D13366"/>
    <w:rsid w:val="00D144DB"/>
    <w:rsid w:val="00D1467C"/>
    <w:rsid w:val="00D14D36"/>
    <w:rsid w:val="00D152F6"/>
    <w:rsid w:val="00D15375"/>
    <w:rsid w:val="00D15CEE"/>
    <w:rsid w:val="00D15EB5"/>
    <w:rsid w:val="00D16365"/>
    <w:rsid w:val="00D1710D"/>
    <w:rsid w:val="00D17574"/>
    <w:rsid w:val="00D177FF"/>
    <w:rsid w:val="00D17EAD"/>
    <w:rsid w:val="00D2016B"/>
    <w:rsid w:val="00D20781"/>
    <w:rsid w:val="00D208FA"/>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39"/>
    <w:rsid w:val="00D46EEE"/>
    <w:rsid w:val="00D4796A"/>
    <w:rsid w:val="00D502D4"/>
    <w:rsid w:val="00D50488"/>
    <w:rsid w:val="00D5099D"/>
    <w:rsid w:val="00D50D0A"/>
    <w:rsid w:val="00D511F8"/>
    <w:rsid w:val="00D511FA"/>
    <w:rsid w:val="00D51A6B"/>
    <w:rsid w:val="00D51C04"/>
    <w:rsid w:val="00D52027"/>
    <w:rsid w:val="00D53055"/>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1E74"/>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2854"/>
    <w:rsid w:val="00D832BC"/>
    <w:rsid w:val="00D83356"/>
    <w:rsid w:val="00D83E21"/>
    <w:rsid w:val="00D84779"/>
    <w:rsid w:val="00D847DD"/>
    <w:rsid w:val="00D84BC2"/>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ADC"/>
    <w:rsid w:val="00DA3B58"/>
    <w:rsid w:val="00DA3BB6"/>
    <w:rsid w:val="00DA3BFC"/>
    <w:rsid w:val="00DA4204"/>
    <w:rsid w:val="00DA4678"/>
    <w:rsid w:val="00DA4AE6"/>
    <w:rsid w:val="00DA4C61"/>
    <w:rsid w:val="00DA56CD"/>
    <w:rsid w:val="00DA5ADD"/>
    <w:rsid w:val="00DA5B74"/>
    <w:rsid w:val="00DA6047"/>
    <w:rsid w:val="00DA642F"/>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6D85"/>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527"/>
    <w:rsid w:val="00DC7A1F"/>
    <w:rsid w:val="00DC7ADA"/>
    <w:rsid w:val="00DD0664"/>
    <w:rsid w:val="00DD09CE"/>
    <w:rsid w:val="00DD0BFA"/>
    <w:rsid w:val="00DD0E4B"/>
    <w:rsid w:val="00DD190A"/>
    <w:rsid w:val="00DD2752"/>
    <w:rsid w:val="00DD37D3"/>
    <w:rsid w:val="00DD38EB"/>
    <w:rsid w:val="00DD4E96"/>
    <w:rsid w:val="00DD5204"/>
    <w:rsid w:val="00DD581C"/>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4290"/>
    <w:rsid w:val="00DF577F"/>
    <w:rsid w:val="00DF5DE0"/>
    <w:rsid w:val="00DF62CB"/>
    <w:rsid w:val="00DF6921"/>
    <w:rsid w:val="00DF6E35"/>
    <w:rsid w:val="00DF73CD"/>
    <w:rsid w:val="00DF7793"/>
    <w:rsid w:val="00DF79BF"/>
    <w:rsid w:val="00DF7A92"/>
    <w:rsid w:val="00E01883"/>
    <w:rsid w:val="00E02371"/>
    <w:rsid w:val="00E0302F"/>
    <w:rsid w:val="00E03A27"/>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84"/>
    <w:rsid w:val="00E16C94"/>
    <w:rsid w:val="00E16CCC"/>
    <w:rsid w:val="00E16FCF"/>
    <w:rsid w:val="00E1747D"/>
    <w:rsid w:val="00E17B7E"/>
    <w:rsid w:val="00E20443"/>
    <w:rsid w:val="00E206DC"/>
    <w:rsid w:val="00E20F6D"/>
    <w:rsid w:val="00E221A4"/>
    <w:rsid w:val="00E22ABE"/>
    <w:rsid w:val="00E22B7F"/>
    <w:rsid w:val="00E23126"/>
    <w:rsid w:val="00E2312F"/>
    <w:rsid w:val="00E23DAD"/>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2E3C"/>
    <w:rsid w:val="00E430CD"/>
    <w:rsid w:val="00E4342D"/>
    <w:rsid w:val="00E43FEC"/>
    <w:rsid w:val="00E44C5F"/>
    <w:rsid w:val="00E44E08"/>
    <w:rsid w:val="00E45665"/>
    <w:rsid w:val="00E45B7C"/>
    <w:rsid w:val="00E45C66"/>
    <w:rsid w:val="00E4660F"/>
    <w:rsid w:val="00E46E53"/>
    <w:rsid w:val="00E476C8"/>
    <w:rsid w:val="00E502AD"/>
    <w:rsid w:val="00E50366"/>
    <w:rsid w:val="00E50858"/>
    <w:rsid w:val="00E50B8F"/>
    <w:rsid w:val="00E50D6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1C5A"/>
    <w:rsid w:val="00E62669"/>
    <w:rsid w:val="00E626DD"/>
    <w:rsid w:val="00E6296C"/>
    <w:rsid w:val="00E62E7C"/>
    <w:rsid w:val="00E6331F"/>
    <w:rsid w:val="00E63EE4"/>
    <w:rsid w:val="00E6404B"/>
    <w:rsid w:val="00E653B0"/>
    <w:rsid w:val="00E664FB"/>
    <w:rsid w:val="00E66CA5"/>
    <w:rsid w:val="00E70C86"/>
    <w:rsid w:val="00E7130A"/>
    <w:rsid w:val="00E71F92"/>
    <w:rsid w:val="00E726BB"/>
    <w:rsid w:val="00E72962"/>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69F"/>
    <w:rsid w:val="00E927A5"/>
    <w:rsid w:val="00E927D5"/>
    <w:rsid w:val="00E929EC"/>
    <w:rsid w:val="00E92CD8"/>
    <w:rsid w:val="00E938E3"/>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410"/>
    <w:rsid w:val="00EA3812"/>
    <w:rsid w:val="00EA3CC2"/>
    <w:rsid w:val="00EA3E67"/>
    <w:rsid w:val="00EA3F37"/>
    <w:rsid w:val="00EA4996"/>
    <w:rsid w:val="00EA5006"/>
    <w:rsid w:val="00EA661D"/>
    <w:rsid w:val="00EA685F"/>
    <w:rsid w:val="00EA7BAD"/>
    <w:rsid w:val="00EA7EEB"/>
    <w:rsid w:val="00EA7FF4"/>
    <w:rsid w:val="00EB0944"/>
    <w:rsid w:val="00EB10AE"/>
    <w:rsid w:val="00EB16B1"/>
    <w:rsid w:val="00EB17B6"/>
    <w:rsid w:val="00EB19D9"/>
    <w:rsid w:val="00EB1BDE"/>
    <w:rsid w:val="00EB1D97"/>
    <w:rsid w:val="00EB203E"/>
    <w:rsid w:val="00EB2584"/>
    <w:rsid w:val="00EB2A3C"/>
    <w:rsid w:val="00EB2A49"/>
    <w:rsid w:val="00EB304D"/>
    <w:rsid w:val="00EB366B"/>
    <w:rsid w:val="00EB425D"/>
    <w:rsid w:val="00EB495E"/>
    <w:rsid w:val="00EB4A34"/>
    <w:rsid w:val="00EB4ABB"/>
    <w:rsid w:val="00EB53C0"/>
    <w:rsid w:val="00EB53ED"/>
    <w:rsid w:val="00EB557A"/>
    <w:rsid w:val="00EB5F05"/>
    <w:rsid w:val="00EB5FD8"/>
    <w:rsid w:val="00EB687C"/>
    <w:rsid w:val="00EB7F1E"/>
    <w:rsid w:val="00EC04F0"/>
    <w:rsid w:val="00EC08EB"/>
    <w:rsid w:val="00EC164F"/>
    <w:rsid w:val="00EC1B78"/>
    <w:rsid w:val="00EC2D9D"/>
    <w:rsid w:val="00EC3840"/>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358"/>
    <w:rsid w:val="00EE1A02"/>
    <w:rsid w:val="00EE28A5"/>
    <w:rsid w:val="00EE2F90"/>
    <w:rsid w:val="00EE31FC"/>
    <w:rsid w:val="00EE36D9"/>
    <w:rsid w:val="00EE395F"/>
    <w:rsid w:val="00EE48A9"/>
    <w:rsid w:val="00EE48D0"/>
    <w:rsid w:val="00EE4C69"/>
    <w:rsid w:val="00EE5B0A"/>
    <w:rsid w:val="00EE6019"/>
    <w:rsid w:val="00EE603F"/>
    <w:rsid w:val="00EE6F67"/>
    <w:rsid w:val="00EE6F92"/>
    <w:rsid w:val="00EE703C"/>
    <w:rsid w:val="00EE7670"/>
    <w:rsid w:val="00EE7D90"/>
    <w:rsid w:val="00EF127E"/>
    <w:rsid w:val="00EF1CD1"/>
    <w:rsid w:val="00EF1EC1"/>
    <w:rsid w:val="00EF20AA"/>
    <w:rsid w:val="00EF25FE"/>
    <w:rsid w:val="00EF285B"/>
    <w:rsid w:val="00EF2CB4"/>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36C3"/>
    <w:rsid w:val="00F0456F"/>
    <w:rsid w:val="00F047D0"/>
    <w:rsid w:val="00F0495D"/>
    <w:rsid w:val="00F054F1"/>
    <w:rsid w:val="00F055E4"/>
    <w:rsid w:val="00F057F2"/>
    <w:rsid w:val="00F05C0B"/>
    <w:rsid w:val="00F05D39"/>
    <w:rsid w:val="00F0645D"/>
    <w:rsid w:val="00F0712D"/>
    <w:rsid w:val="00F07A24"/>
    <w:rsid w:val="00F07A63"/>
    <w:rsid w:val="00F07BD4"/>
    <w:rsid w:val="00F10F94"/>
    <w:rsid w:val="00F11B70"/>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B84"/>
    <w:rsid w:val="00F41E84"/>
    <w:rsid w:val="00F42EC8"/>
    <w:rsid w:val="00F4321F"/>
    <w:rsid w:val="00F43525"/>
    <w:rsid w:val="00F43883"/>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87C"/>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4A70"/>
    <w:rsid w:val="00F7500A"/>
    <w:rsid w:val="00F76864"/>
    <w:rsid w:val="00F76D80"/>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54"/>
    <w:rsid w:val="00F87AF2"/>
    <w:rsid w:val="00F9002A"/>
    <w:rsid w:val="00F90D63"/>
    <w:rsid w:val="00F90FCC"/>
    <w:rsid w:val="00F9194C"/>
    <w:rsid w:val="00F92116"/>
    <w:rsid w:val="00F92419"/>
    <w:rsid w:val="00F927E7"/>
    <w:rsid w:val="00F928DD"/>
    <w:rsid w:val="00F9304A"/>
    <w:rsid w:val="00F930C7"/>
    <w:rsid w:val="00F93998"/>
    <w:rsid w:val="00F94079"/>
    <w:rsid w:val="00F940B4"/>
    <w:rsid w:val="00F94B79"/>
    <w:rsid w:val="00F94CC0"/>
    <w:rsid w:val="00F961E5"/>
    <w:rsid w:val="00F96321"/>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41C"/>
    <w:rsid w:val="00FB57D3"/>
    <w:rsid w:val="00FB5CF1"/>
    <w:rsid w:val="00FB5FBD"/>
    <w:rsid w:val="00FB60DA"/>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666"/>
    <w:rsid w:val="00FD595D"/>
    <w:rsid w:val="00FD67D6"/>
    <w:rsid w:val="00FD759B"/>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129"/>
    <w:rsid w:val="00FF3A80"/>
    <w:rsid w:val="00FF3B68"/>
    <w:rsid w:val="00FF3F44"/>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4BC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77583002">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18511897">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2820FC86-631F-4421-BC1C-54D8ABABDC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86A8ACC8-C15D-4EB1-B47C-4F86F87EEF6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A4236D35-89EC-45BB-96BC-E24B52E6B2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62E40873-F10D-4821-9FDE-FA0CF4F76D4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8661DCEF-7929-4548-87F2-0DD5018EBC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A002A398-A048-4708-B8D6-A3FCB6582BD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37271C47-8B2E-402B-9E72-63D525B51DF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142FBBFA-07B4-45C6-92E9-BC568852AEB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795BA9D4-1AA6-44AC-897B-503FFD79428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7D6F398B-3CA5-4512-A48D-9B33A39852B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3A576A32-9D83-4627-B4EA-5792899FA7C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17AC5A75-5973-4DE0-B52D-DB4CD7609FA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1CD61BC3-B91A-4DD3-ADB5-38FC6505E25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FE31D2C7-CD72-4B6D-A694-4789B29DDC1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66796263-3C98-4B2D-9729-F013632ED1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963A8E61-465F-4856-ACDF-E28DE889269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74EFB2A8-48BE-4AC3-B392-1AD6AC6F441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675DFB7F-1169-467C-B36A-8DBD502517F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E175183A-C316-4FA2-B5FC-4FC20A8B57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DF78275A-A1F9-4FEE-965F-704544B15E0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4DB8EA2F-8FB2-4749-B21B-44F4BF26ED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5051A8E9-FBEF-4A5F-9F57-92C21F012AF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C9A18921-69B8-4FB2-87AC-1EE8174E373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0D60DF53-FB9A-4963-A2CD-5AD97FC29F9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BE629FCE-85B3-49F6-91F6-692B8576435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51E76B82-0FAE-465A-9773-80FA8931443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CFF3C63F-47F6-411F-ABFE-BD8A6BA4D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56746782-1447-4211-9643-3A274A58DF3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E97BB06A-F159-4668-9737-C451A838C8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193365B2-A905-4B5A-A4C7-E2B1CD3508F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A08D61B1-6DB5-4A31-8312-300B2500F4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4E0C4EC3-42ED-4A47-AFA0-EDD57944E8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75BAFAEB-EDFC-45A5-A85F-4B7D58628E3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94F1BEA5-0CA1-4EC9-BBEF-889257525CD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16311FCB-1E27-4C96-87A8-EBBD2D87342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ABC2C540-8163-4317-96A1-04E7FF86BB5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A1B18295-B12F-4F98-895B-68A91112E0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F3C5B841-F253-4DCE-8186-00A85768AC0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09E2C4A0-44E9-4C4A-9EDB-ABC7B4E1C8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D8580D29-2395-43C4-80EA-8CD4E8F143E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63544B25-4557-4FD0-9823-C8415076B8E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7CC92EC3-3CCE-4DFA-957A-248E3A2613C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11714E2B-A544-43BA-9E27-BF25342F6B7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3F373502-2F5C-44A5-A3BD-65DE61B3F3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A930991D-564A-49C4-B4E6-A83363596CE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86CD8758-4237-4425-89DF-7721D1BD517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3F59C427-5189-4AEB-A791-D15A23CC570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5E54168B-12DB-4E35-9262-B354BDAE97D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43C4C116-E829-46B7-AC99-3A912E9CE2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A2D59AF1-CE28-4B8D-8BBE-22566E816A1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03505C7D-8123-48ED-9433-89A6AFDB214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908EEFEF-00AF-46F9-BE0A-F5E74DB32B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5C767156-9766-49CA-86C8-1A339E3E74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0BA5BCB0-D5AD-48EE-9B27-EBC1891FA67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A413BFB7-6F98-4AFA-8755-FC33CA57F7D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2732</Words>
  <Characters>19553</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2024-08-19T12:39:00Z</dcterms:created>
  <dcterms:modified xsi:type="dcterms:W3CDTF">2024-08-23T10:37:00Z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68" name="DISCesvisMeetingDate">
    <vt:lpwstr>2024-09-02</vt:lpwstr>
  </property>
  <property fmtid="{D5CDD505-2E9C-101B-9397-08002B2CF9AE}" pid="69" name="DISCesvisAdditionalMakers">
    <vt:lpwstr>Vecākā referente Elīza Beļauniece</vt:lpwstr>
  </property>
  <property fmtid="{D5CDD505-2E9C-101B-9397-08002B2CF9AE}" pid="70" name="DIScgiUrl">
    <vt:lpwstr>https://lim.esvis.gov.lv/cs/idcplg</vt:lpwstr>
  </property>
  <property fmtid="{D5CDD505-2E9C-101B-9397-08002B2CF9AE}" pid="71" name="DISdDocName">
    <vt:lpwstr>L493756</vt:lpwstr>
  </property>
  <property fmtid="{D5CDD505-2E9C-101B-9397-08002B2CF9AE}" pid="72" name="DISCesvisAdditionalTutors">
    <vt:lpwstr>Vecākā eksperte Aija Vēja</vt:lpwstr>
  </property>
  <property fmtid="{D5CDD505-2E9C-101B-9397-08002B2CF9AE}" pid="73" name="DISCesvisSigner">
    <vt:lpwstr>Ārlietu ministre Baiba Braže</vt:lpwstr>
  </property>
  <property fmtid="{D5CDD505-2E9C-101B-9397-08002B2CF9AE}" pid="74" name="DISCesvisSafetyLevel">
    <vt:lpwstr>Vispārpieejams</vt:lpwstr>
  </property>
  <property fmtid="{D5CDD505-2E9C-101B-9397-08002B2CF9AE}" pid="75" name="DISTaskPaneUrl">
    <vt:lpwstr>https://lim.esvis.gov.lv/cs/idcplg?ClientControlled=DocMan&amp;coreContentOnly=1&amp;WebdavRequest=1&amp;IdcService=DOC_INFO&amp;dID=573317</vt:lpwstr>
  </property>
  <property fmtid="{D5CDD505-2E9C-101B-9397-08002B2CF9AE}" pid="76" name="DISCesvisTitle">
    <vt:lpwstr>Informatīvais ziņojums “Par neformālajā Eiropas Savienības Vispārējo lietu padomes 2024. gada 2.-3. septembra sanāksmē izskatāmajiem jautājumiem”</vt:lpwstr>
  </property>
  <property fmtid="{D5CDD505-2E9C-101B-9397-08002B2CF9AE}" pid="77" name="DISCesvisMinistryOfMinister">
    <vt:lpwstr>wwTemplateNP_MinistryOfMinister(Ārlietu,)</vt:lpwstr>
  </property>
  <property fmtid="{D5CDD505-2E9C-101B-9397-08002B2CF9AE}" pid="78" name="DISCesvisAuthor">
    <vt:lpwstr>Ārlietu ministrija</vt:lpwstr>
  </property>
  <property fmtid="{D5CDD505-2E9C-101B-9397-08002B2CF9AE}" pid="79" name="DISCesvisMainMaker">
    <vt:lpwstr>Vecākā referente Elīza Beļauniece</vt:lpwstr>
  </property>
  <property fmtid="{D5CDD505-2E9C-101B-9397-08002B2CF9AE}" pid="80" name="DISCesvisAdditionalTutorsMail">
    <vt:lpwstr>aija.veja@mfa.gov.lv</vt:lpwstr>
  </property>
  <property fmtid="{D5CDD505-2E9C-101B-9397-08002B2CF9AE}" pid="81" name="DISCesvisAdditionalTutorsPhone">
    <vt:lpwstr>67016487</vt:lpwstr>
  </property>
  <property fmtid="{D5CDD505-2E9C-101B-9397-08002B2CF9AE}" pid="82" name="DISidcName">
    <vt:lpwstr>1020404016200</vt:lpwstr>
  </property>
  <property fmtid="{D5CDD505-2E9C-101B-9397-08002B2CF9AE}" pid="83"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84" name="DISCesvisAdditionalMakersMail">
    <vt:lpwstr>eliza.belauniece@mfa.gov.lv</vt:lpwstr>
  </property>
  <property fmtid="{D5CDD505-2E9C-101B-9397-08002B2CF9AE}" pid="85" name="DISdUser">
    <vt:lpwstr>weblogic</vt:lpwstr>
  </property>
  <property fmtid="{D5CDD505-2E9C-101B-9397-08002B2CF9AE}" pid="86" name="DISCesvisOrgApprovers">
    <vt:lpwstr>Aizsardzības ministrija, Ekonomikas ministrija, Finanšu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vt:lpwstr>
  </property>
  <property fmtid="{D5CDD505-2E9C-101B-9397-08002B2CF9AE}" pid="87" name="DISdID">
    <vt:lpwstr>573317</vt:lpwstr>
  </property>
  <property fmtid="{D5CDD505-2E9C-101B-9397-08002B2CF9AE}" pid="88" name="DISCesvisAdditionalMakersPhone">
    <vt:lpwstr>67016332</vt:lpwstr>
  </property>
  <property fmtid="{D5CDD505-2E9C-101B-9397-08002B2CF9AE}" pid="89" name="DISCesvisMainMakerOrgUnitTitle">
    <vt:lpwstr>Vispārējo un institucionālo lietu nodaļa</vt:lpwstr>
  </property>
</Properties>
</file>