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89130D" w:rsidR="00502290" w:rsidP="00174AD2" w:rsidRDefault="002A27D9" w14:paraId="48972844" w14:textId="4DB267C2">
      <w:pPr>
        <w:jc w:val="center"/>
        <w15:collapsed w:val="false"/>
        <w:rPr>
          <w:b/>
          <w:bCs/>
        </w:rPr>
      </w:pPr>
      <w:r w:rsidRPr="0089130D">
        <w:rPr>
          <w:b/>
          <w:bCs/>
        </w:rPr>
        <w:t xml:space="preserve">Informatīvais ziņojums </w:t>
      </w:r>
    </w:p>
    <w:p w:rsidRPr="0089130D" w:rsidR="005B1E12" w:rsidP="00174AD2" w:rsidRDefault="005B1E12" w14:paraId="2421F500" w14:textId="77777777">
      <w:pPr>
        <w:jc w:val="center"/>
        <w:rPr>
          <w:b/>
          <w:bCs/>
        </w:rPr>
      </w:pPr>
    </w:p>
    <w:p w:rsidRPr="0089130D" w:rsidR="00502290" w:rsidP="0059038D" w:rsidRDefault="00E920D4" w14:paraId="4CA8B660" w14:textId="059E892C">
      <w:pPr>
        <w:jc w:val="center"/>
        <w:rPr>
          <w:b/>
          <w:bCs/>
        </w:rPr>
      </w:pPr>
      <w:bookmarkStart w:id="0" w:name="_Hlk46742949"/>
      <w:r w:rsidRPr="0089130D">
        <w:rPr>
          <w:b/>
          <w:bCs/>
        </w:rPr>
        <w:t>Latvijas Republikas nacionālā pozīcija Nr. 1 “</w:t>
      </w:r>
      <w:r w:rsidRPr="00106DAA" w:rsidR="00106DAA">
        <w:rPr>
          <w:b/>
          <w:bCs/>
        </w:rPr>
        <w:t>Priekšlikums Eiropas Parlamenta un Padomes Direktīvai, ar ko groza Direktīvu 2014/45/ES par mehānisko transportlīdzekļu un to piekabju periodiskajām tehniskajām apskatēm un Direktīvu 2014/47/ES par Savienībā izmantotu komerciālo transportlīdzekļu tehniskajām pārbaudēm uz ceļiem</w:t>
      </w:r>
      <w:r w:rsidRPr="0089130D" w:rsidR="003E5FCF">
        <w:rPr>
          <w:b/>
          <w:bCs/>
        </w:rPr>
        <w:t>”</w:t>
      </w:r>
    </w:p>
    <w:p w:rsidRPr="0089130D" w:rsidR="00C8378E" w:rsidP="0059038D" w:rsidRDefault="00C8378E" w14:paraId="5A3D917E" w14:textId="77777777">
      <w:pPr>
        <w:jc w:val="center"/>
        <w:rPr>
          <w:b/>
          <w:bCs/>
        </w:rPr>
      </w:pPr>
    </w:p>
    <w:bookmarkEnd w:id="0"/>
    <w:p w:rsidRPr="0089130D" w:rsidR="002A27D9" w:rsidP="2B3E1191" w:rsidRDefault="002A27D9" w14:paraId="689A86AA" w14:textId="280AFB98">
      <w:pPr>
        <w:ind w:firstLine="720"/>
        <w:jc w:val="both"/>
        <w:rPr>
          <w:b/>
          <w:bCs/>
        </w:rPr>
      </w:pPr>
      <w:r w:rsidRPr="0089130D">
        <w:t xml:space="preserve">Satiksmes ministrija ir sagatavojusi nacionālās pozīcijas projektu </w:t>
      </w:r>
      <w:r w:rsidRPr="0089130D" w:rsidR="009B039F">
        <w:t xml:space="preserve">Nr. </w:t>
      </w:r>
      <w:r w:rsidRPr="0089130D" w:rsidR="0035318A">
        <w:t>1</w:t>
      </w:r>
      <w:r w:rsidRPr="0089130D">
        <w:rPr>
          <w:b/>
          <w:bCs/>
        </w:rPr>
        <w:t xml:space="preserve"> </w:t>
      </w:r>
      <w:r w:rsidRPr="0089130D" w:rsidR="00AD53ED">
        <w:rPr>
          <w:b/>
          <w:bCs/>
        </w:rPr>
        <w:t>“</w:t>
      </w:r>
      <w:r w:rsidRPr="00106DAA" w:rsidR="00106DAA">
        <w:rPr>
          <w:b/>
          <w:bCs/>
        </w:rPr>
        <w:t>Priekšlikums Eiropas Parlamenta un Padomes Direktīvai, ar ko groza Direktīvu 2014/45/ES par mehānisko transportlīdzekļu un to piekabju periodiskajām tehniskajām apskatēm un Direktīvu 2014/47/ES par Savienībā izmantotu komerciālo transportlīdzekļu tehniskajām pārbaudēm uz ceļiem</w:t>
      </w:r>
      <w:r w:rsidRPr="0089130D" w:rsidR="00AD53ED">
        <w:rPr>
          <w:b/>
          <w:bCs/>
        </w:rPr>
        <w:t>”</w:t>
      </w:r>
      <w:r w:rsidRPr="0089130D" w:rsidR="003B7F13">
        <w:rPr>
          <w:b/>
          <w:bCs/>
        </w:rPr>
        <w:t>.</w:t>
      </w:r>
    </w:p>
    <w:p w:rsidRPr="0089130D" w:rsidR="00126FF3" w:rsidP="2B3E1191" w:rsidRDefault="0035318A" w14:paraId="520652FF" w14:textId="4062DD6B">
      <w:pPr>
        <w:ind w:firstLine="720"/>
        <w:jc w:val="both"/>
      </w:pPr>
      <w:r w:rsidRPr="0089130D">
        <w:rPr>
          <w:color w:val="000000" w:themeColor="text1"/>
        </w:rPr>
        <w:t>P</w:t>
      </w:r>
      <w:r w:rsidRPr="0089130D" w:rsidR="003B7F13">
        <w:rPr>
          <w:color w:val="000000" w:themeColor="text1"/>
        </w:rPr>
        <w:t>ozīcijas projekts skar Latvijas Republikas intereses, tādēļ, atbilstoši Ministru kabineta 2009. gada 6. februāra noteikumu Nr. 96 „Kārtība, kādā izstrādā, saskaņo, apstiprina un aktualizē Latvijas Republikas nacionālās pozīcijas Eiropas Savienības jautājumos” prasībām, nacionālā pozīcija tiek virzīta apstiprināšanai Ministru kabinetā.</w:t>
      </w:r>
      <w:r w:rsidRPr="0089130D" w:rsidR="00030A24">
        <w:rPr>
          <w:color w:val="000000" w:themeColor="text1"/>
        </w:rPr>
        <w:t xml:space="preserve"> </w:t>
      </w:r>
      <w:r w:rsidRPr="0089130D" w:rsidR="00C37347">
        <w:rPr>
          <w:color w:val="000000" w:themeColor="text1"/>
        </w:rPr>
        <w:t xml:space="preserve">Pozīcijas projekts, atbilstoši Ministru kabineta 2009. gada 6. februāra instrukcijā Nr. 4 „Latvijas Republikas nacionālo pozīciju Eiropas Savienības jautājumos un ar tām saistīto instrukciju izstrādes un informācijas aprites kārtība” noteiktajai kārtībai, ir elektroniski saskaņots ar </w:t>
      </w:r>
      <w:r w:rsidRPr="0089130D" w:rsidR="0089130D">
        <w:t xml:space="preserve">Ārlietu ministriju, Finanšu ministriju, Ekonomikas ministriju, </w:t>
      </w:r>
      <w:proofErr w:type="spellStart"/>
      <w:r w:rsidRPr="0089130D" w:rsidR="0089130D">
        <w:t>Iekšlietu</w:t>
      </w:r>
      <w:proofErr w:type="spellEnd"/>
      <w:r w:rsidRPr="0089130D" w:rsidR="0089130D">
        <w:t xml:space="preserve"> ministriju (t.sk. Valsts policiju)</w:t>
      </w:r>
      <w:r w:rsidR="00A11C3F">
        <w:t>, Tieslietu ministriju</w:t>
      </w:r>
      <w:r w:rsidRPr="0089130D" w:rsidR="0089130D">
        <w:t>.</w:t>
      </w:r>
    </w:p>
    <w:p w:rsidR="00D4223E" w:rsidP="00D4223E" w:rsidRDefault="0089130D" w14:paraId="307368BD" w14:textId="04E6A30F">
      <w:pPr>
        <w:ind w:firstLine="720"/>
        <w:jc w:val="both"/>
        <w:rPr>
          <w:noProof/>
        </w:rPr>
      </w:pPr>
      <w:r w:rsidRPr="00D4223E">
        <w:rPr>
          <w:noProof/>
        </w:rPr>
        <w:t xml:space="preserve">Šis priekšlikums ir daļa no t.sk. “tehniskās apskates pakotnes” un tā mērķis ir uzlabot ceļu satiksmes drošību Eiropas Savienībā (turpmāk – ES), veicinot ilgtspējīgu mobilitāti un atvieglojot personu brīvu pārvietošanos un preču brīvu apriti ES. </w:t>
      </w:r>
      <w:r w:rsidR="00D4223E">
        <w:rPr>
          <w:noProof/>
        </w:rPr>
        <w:t>Ar priekšlikumu tiek papildināti Direktīvas 2014/45/ES un Direktīvas 2014/47/ES pielikumi attiecībā uz minimālajām prasībām apskates saturam un ieteicamajām metodēm, tehniskās apskates iekārtām un diagnostikas aprīkojumam, inspektoru kompetenci, apmācīb</w:t>
      </w:r>
      <w:r w:rsidR="00F8647B">
        <w:rPr>
          <w:noProof/>
        </w:rPr>
        <w:t>ām</w:t>
      </w:r>
      <w:r w:rsidR="00D4223E">
        <w:rPr>
          <w:noProof/>
        </w:rPr>
        <w:t xml:space="preserve"> un sertifikācij</w:t>
      </w:r>
      <w:r w:rsidR="00F8647B">
        <w:rPr>
          <w:noProof/>
        </w:rPr>
        <w:t>ām</w:t>
      </w:r>
      <w:r w:rsidR="00D4223E">
        <w:rPr>
          <w:noProof/>
        </w:rPr>
        <w:t xml:space="preserve">, tehnisko pārbaužu uz ceļa tvērumu, </w:t>
      </w:r>
      <w:r w:rsidR="00F8647B">
        <w:rPr>
          <w:noProof/>
        </w:rPr>
        <w:t>kā arī</w:t>
      </w:r>
      <w:r w:rsidR="00D4223E">
        <w:rPr>
          <w:noProof/>
        </w:rPr>
        <w:t xml:space="preserve"> kontrolsarakstu ziņojumam par tehnisko pārbaudi uz ceļa.</w:t>
      </w:r>
    </w:p>
    <w:p w:rsidR="00D4223E" w:rsidP="00D4223E" w:rsidRDefault="00D4223E" w14:paraId="2853D529" w14:textId="2B41587B">
      <w:pPr>
        <w:ind w:firstLine="720"/>
        <w:jc w:val="both"/>
        <w:rPr>
          <w:noProof/>
        </w:rPr>
      </w:pPr>
      <w:r>
        <w:rPr>
          <w:noProof/>
        </w:rPr>
        <w:t xml:space="preserve">Lai atvieglotu personu brīvu pārvietošanos un preču brīvu apriti, </w:t>
      </w:r>
      <w:r w:rsidR="00F8647B">
        <w:rPr>
          <w:noProof/>
        </w:rPr>
        <w:t xml:space="preserve">Direktīvas </w:t>
      </w:r>
      <w:r>
        <w:rPr>
          <w:noProof/>
        </w:rPr>
        <w:t>spēkā esošā prasība, ka tehniskās apskates jāveic dalībvalstij, kas reģistrē transportlīdzekli, ir papildināta ar noteikumiem, lai ieviestu iespēju vieglo pasažieru automobiļu īpašniekiem vai turētājiem veikt periodiskas tehniskās apskates dalībvalstī, kas nav transportlīdzekļa reģistrācijas dalībvalsts. Šajā gadījumā izdotais pagaidu tehniskās apskates sertifikāts būs derīgs sešus mēnešus, kur nākamā apskate ir jāveic reģistrācijas dalībvalstī, ja vien attiecīgā dalībvalsts vienpusēji neatzīst citu dalībvalstu izdotos tehniskās apskates sertifikātus. Šī iespēja dalībvalstīm ir pieejama attiecībā uz jebkuru transportlīdzekļu kategoriju.</w:t>
      </w:r>
      <w:r w:rsidRPr="00D4223E">
        <w:rPr>
          <w:noProof/>
        </w:rPr>
        <w:t xml:space="preserve"> </w:t>
      </w:r>
      <w:r>
        <w:rPr>
          <w:noProof/>
        </w:rPr>
        <w:t xml:space="preserve">Direktīvas priekšlikumā </w:t>
      </w:r>
      <w:r w:rsidR="00F8647B">
        <w:rPr>
          <w:noProof/>
        </w:rPr>
        <w:t xml:space="preserve">ir arī </w:t>
      </w:r>
      <w:r>
        <w:rPr>
          <w:noProof/>
        </w:rPr>
        <w:t>noteikta prasība veikt ikgadēju tehnisko apskati vieglajiem pasažieru automobiļiem un autofurgoniem, kas ir vecāki par 10 gadiem, kā</w:t>
      </w:r>
      <w:r w:rsidR="00F8647B">
        <w:rPr>
          <w:noProof/>
        </w:rPr>
        <w:t xml:space="preserve"> arī noteikts, ka</w:t>
      </w:r>
      <w:r>
        <w:rPr>
          <w:noProof/>
        </w:rPr>
        <w:t xml:space="preserve"> autofurgoniem ir jāveic izplūdes emisiju testi katru gadu pēc to pirmās reģistrācijas datuma.</w:t>
      </w:r>
    </w:p>
    <w:p w:rsidR="00D4223E" w:rsidP="00D4223E" w:rsidRDefault="00D4223E" w14:paraId="6CD1C235" w14:textId="42BB0DC9">
      <w:pPr>
        <w:ind w:firstLine="720"/>
        <w:jc w:val="both"/>
        <w:rPr>
          <w:noProof/>
        </w:rPr>
      </w:pPr>
      <w:r>
        <w:rPr>
          <w:noProof/>
        </w:rPr>
        <w:t xml:space="preserve">Priekšlikums arī paredz paplašināt pienākumu reģistrēt odometra rādījumus ne tikai </w:t>
      </w:r>
      <w:r w:rsidRPr="00AC7855">
        <w:rPr>
          <w:noProof/>
          <w:lang w:val="de-DE"/>
        </w:rPr>
        <w:t>periodisk</w:t>
      </w:r>
      <w:r>
        <w:rPr>
          <w:noProof/>
          <w:lang w:val="de-DE"/>
        </w:rPr>
        <w:t>ās</w:t>
      </w:r>
      <w:r w:rsidRPr="00AC7855">
        <w:rPr>
          <w:noProof/>
          <w:lang w:val="de-DE"/>
        </w:rPr>
        <w:t xml:space="preserve"> tehnisk</w:t>
      </w:r>
      <w:r>
        <w:rPr>
          <w:noProof/>
          <w:lang w:val="de-DE"/>
        </w:rPr>
        <w:t>ās</w:t>
      </w:r>
      <w:r w:rsidRPr="00AC7855">
        <w:rPr>
          <w:noProof/>
          <w:lang w:val="de-DE"/>
        </w:rPr>
        <w:t xml:space="preserve"> apska</w:t>
      </w:r>
      <w:r>
        <w:rPr>
          <w:noProof/>
          <w:lang w:val="de-DE"/>
        </w:rPr>
        <w:t>tes (</w:t>
      </w:r>
      <w:r>
        <w:rPr>
          <w:noProof/>
        </w:rPr>
        <w:t xml:space="preserve">PAT) stacijās, bet arī attiecinot to uz jebkuru pakalpojumu sniedzēju, kas veic transportlīdzekļa remonta vai uzturēšanas darbus par samaksu. Reģistrētos rādījumus var glabāt īpašā valsts datubāzē vai valsts transportlīdzekļu reģistrā. </w:t>
      </w:r>
    </w:p>
    <w:p w:rsidR="00D4223E" w:rsidP="00D4223E" w:rsidRDefault="00F8647B" w14:paraId="479E5833" w14:textId="44E4DECD">
      <w:pPr>
        <w:ind w:firstLine="720"/>
        <w:jc w:val="both"/>
        <w:rPr>
          <w:noProof/>
        </w:rPr>
      </w:pPr>
      <w:r>
        <w:rPr>
          <w:noProof/>
        </w:rPr>
        <w:t>Papildus d</w:t>
      </w:r>
      <w:r w:rsidR="00D4223E">
        <w:rPr>
          <w:noProof/>
        </w:rPr>
        <w:t xml:space="preserve">alībvalstīm tiek ieviests pienākums savienot savus valsts transportlīdzekļu reģistrus un tehnisko apskašu datubāzes ar Komisijas izstrādāto MOVE-HUB platformu, lai periodisko tehnisko apskašu laikā apmainītos ar attiecīgajiem datiem. Informācijas apmaiņa ietver transportlīdzekļu reģistrācijas datus, datus par atbilstības sertifikāta, pēdējās tehniskās apskates sertifikāta un jebkura ziņojuma par pārbaudēm uz ceļiem saturu. </w:t>
      </w:r>
      <w:r>
        <w:rPr>
          <w:noProof/>
        </w:rPr>
        <w:t>Vienlaikus p</w:t>
      </w:r>
      <w:r w:rsidR="00D4223E">
        <w:rPr>
          <w:noProof/>
        </w:rPr>
        <w:t xml:space="preserve">riekšlikums </w:t>
      </w:r>
      <w:r>
        <w:rPr>
          <w:noProof/>
        </w:rPr>
        <w:t xml:space="preserve">arī </w:t>
      </w:r>
      <w:r w:rsidR="00D4223E">
        <w:rPr>
          <w:noProof/>
        </w:rPr>
        <w:t>nosaka dalībvalstīm pienākumu izmantot attālās uzrādes tehnoloģiju nolūkā pārbaudīt trokšņa un izplūdes emisijas, ko rada liela to autoparka daļa, un identificēt transportlīdzekļus, kuri, iespējams, rada lielas emisijas (jebkuras kategorijas transportlīdzekļus).</w:t>
      </w:r>
    </w:p>
    <w:p w:rsidRPr="0089130D" w:rsidR="0089130D" w:rsidP="0089130D" w:rsidRDefault="0089130D" w14:paraId="31FE2599" w14:textId="7D3B285F">
      <w:pPr>
        <w:ind w:firstLine="720"/>
        <w:jc w:val="both"/>
        <w:rPr>
          <w:color w:val="000000" w:themeColor="text1"/>
        </w:rPr>
      </w:pPr>
      <w:r w:rsidRPr="0089130D">
        <w:rPr>
          <w:rStyle w:val="normaltextrun"/>
          <w:color w:val="000000"/>
          <w:shd w:val="clear" w:color="auto" w:fill="FFFFFF"/>
        </w:rPr>
        <w:t xml:space="preserve">Priekšlikums tiks skatīts </w:t>
      </w:r>
      <w:r w:rsidRPr="0089130D">
        <w:t>Padomes Sauszemes transporta jautājumu darba grupā.</w:t>
      </w:r>
    </w:p>
    <w:p w:rsidR="00D4223E" w:rsidP="00D4223E" w:rsidRDefault="00D4223E" w14:paraId="0E4BBDAF" w14:textId="20EB5D96">
      <w:pPr>
        <w:ind w:firstLine="720"/>
        <w:jc w:val="both"/>
      </w:pPr>
      <w:r w:rsidRPr="00C76726">
        <w:rPr>
          <w:b/>
          <w:bCs/>
        </w:rPr>
        <w:lastRenderedPageBreak/>
        <w:t xml:space="preserve">Latvija kopumā atbalsta </w:t>
      </w:r>
      <w:r w:rsidRPr="00C76726">
        <w:t>priekšlikum</w:t>
      </w:r>
      <w:r w:rsidR="00F8647B">
        <w:t xml:space="preserve">a mērķi </w:t>
      </w:r>
      <w:r w:rsidRPr="00C76726">
        <w:t>uzlabot ceļu satiksmes drošību ES, veicinot ilgtspējīgu mobilitāti un atvieglojot personu brīvu pārvietošanos un preču brīvu apriti ES</w:t>
      </w:r>
      <w:r w:rsidR="00F8647B">
        <w:t>,</w:t>
      </w:r>
      <w:r>
        <w:t xml:space="preserve"> </w:t>
      </w:r>
      <w:r w:rsidR="00F8647B">
        <w:t>t</w:t>
      </w:r>
      <w:r w:rsidRPr="00D4223E">
        <w:t>omēr</w:t>
      </w:r>
      <w:r>
        <w:rPr>
          <w:b/>
          <w:bCs/>
        </w:rPr>
        <w:t xml:space="preserve"> Komisijas piedāvātajā </w:t>
      </w:r>
      <w:r w:rsidRPr="00BD061E">
        <w:rPr>
          <w:b/>
          <w:bCs/>
        </w:rPr>
        <w:t>redakcijā Direktīvas projektu Latvija atbalstīt nevar</w:t>
      </w:r>
      <w:r w:rsidRPr="00BD061E">
        <w:t>, jo piedāvātais regulējums nenodrošina saskaņotu noteikumu prasību ieviešanu un vienlaikus būtiski palielina administratīvo un finansiālo slogu, turklāt minētajā priekšlikumā netiek ņemta vērā atšķirīgā dalībvalstu situācija. </w:t>
      </w:r>
    </w:p>
    <w:p w:rsidR="00D4223E" w:rsidP="00D4223E" w:rsidRDefault="00D4223E" w14:paraId="4AC656CB" w14:textId="28539BB3">
      <w:pPr>
        <w:ind w:firstLine="720"/>
        <w:jc w:val="both"/>
      </w:pPr>
      <w:r>
        <w:t xml:space="preserve">Latvijai ir </w:t>
      </w:r>
      <w:r w:rsidRPr="00D4223E">
        <w:rPr>
          <w:b/>
          <w:bCs/>
        </w:rPr>
        <w:t xml:space="preserve">īpaši svarīgi, ka datu apmaiņai </w:t>
      </w:r>
      <w:r>
        <w:rPr>
          <w:b/>
          <w:bCs/>
        </w:rPr>
        <w:t>tiktu izmantota</w:t>
      </w:r>
      <w:r w:rsidRPr="00D4223E">
        <w:rPr>
          <w:b/>
          <w:bCs/>
        </w:rPr>
        <w:t xml:space="preserve"> jau esoš</w:t>
      </w:r>
      <w:r>
        <w:rPr>
          <w:b/>
          <w:bCs/>
        </w:rPr>
        <w:t>ā</w:t>
      </w:r>
      <w:r w:rsidRPr="00D4223E">
        <w:rPr>
          <w:b/>
          <w:bCs/>
        </w:rPr>
        <w:t xml:space="preserve"> informācijas platform</w:t>
      </w:r>
      <w:r>
        <w:rPr>
          <w:b/>
          <w:bCs/>
        </w:rPr>
        <w:t>a</w:t>
      </w:r>
      <w:r w:rsidRPr="00D4223E">
        <w:rPr>
          <w:b/>
          <w:bCs/>
        </w:rPr>
        <w:t xml:space="preserve"> EUCARIS</w:t>
      </w:r>
      <w:r>
        <w:t xml:space="preserve"> (Eiropas transportlīdzekļu un vadītāju apliecību informācijas sistēma), ko ES dalībvalstis un Latvija jau ilgus gadus izmanto, lai apmainītos ar transportlīdzekļu tehniskās apskates un ceļu kontroles datiem, tehniskajiem datiem, to statusiem, odometru rādījumiem un citu ar transportlīdzekli saistītu informāciju.</w:t>
      </w:r>
      <w:r w:rsidRPr="00F8647B" w:rsidR="00F8647B">
        <w:t xml:space="preserve"> Uzskatām, ka obligāta MOVE-HUB sistēmas izmantošana EUCARIS platformas vietā būtu solis atpakaļ transportlīdzekļu reģistrācijas iestāžu datu apmaiņas jomā</w:t>
      </w:r>
      <w:r w:rsidR="00F8647B">
        <w:t xml:space="preserve">, kas radītu augstākas izmaksas un pasliktinātu </w:t>
      </w:r>
      <w:r w:rsidRPr="0029128D" w:rsidR="00F8647B">
        <w:t>informācijas apmaiņas kvalitāti un efektivitāti</w:t>
      </w:r>
      <w:r w:rsidR="00F8647B">
        <w:t>.</w:t>
      </w:r>
    </w:p>
    <w:p w:rsidRPr="00F8647B" w:rsidR="00D4223E" w:rsidP="00D4223E" w:rsidRDefault="00D4223E" w14:paraId="36927DA9" w14:textId="5166410D">
      <w:pPr>
        <w:ind w:firstLine="720"/>
        <w:jc w:val="both"/>
      </w:pPr>
      <w:r w:rsidRPr="00F8647B">
        <w:t xml:space="preserve">Papildus Latvija uzskata, ka Direktīvas priekšlikuma projektā </w:t>
      </w:r>
      <w:r w:rsidRPr="00F8647B">
        <w:rPr>
          <w:b/>
          <w:bCs/>
        </w:rPr>
        <w:t>nepieciešams saglabāt  pienākumu transportlīdzekļa izgatavotājiem tehniskās apskates vajadzībām sniegt informāciju bez maksas</w:t>
      </w:r>
      <w:r w:rsidRPr="00F8647B">
        <w:t xml:space="preserve">.  Bez transportlīdzekļu izgatavotāju sniegtās informācijas nav iespējams  nodrošināt Direktīvas prasību izpildi attiecībā uz  elektronisko sistēmu pārbaudi, izmantojot </w:t>
      </w:r>
      <w:r w:rsidRPr="00F8647B" w:rsidR="00F51B10">
        <w:t xml:space="preserve">iebūvētās diagnostikas jeb </w:t>
      </w:r>
      <w:r w:rsidRPr="00F8647B">
        <w:t>OBD skeneri, jo īpaši elektroniskās drošības sistēmas.</w:t>
      </w:r>
    </w:p>
    <w:p w:rsidR="00D4223E" w:rsidP="00D4223E" w:rsidRDefault="00F51B10" w14:paraId="7007ED24" w14:textId="413F5318">
      <w:pPr>
        <w:ind w:firstLine="720"/>
        <w:jc w:val="both"/>
      </w:pPr>
      <w:r w:rsidRPr="00F8647B">
        <w:t xml:space="preserve">Latvijas ieskatā svarīgi ir arī Direktīvas projektā </w:t>
      </w:r>
      <w:r w:rsidRPr="00F8647B" w:rsidR="00D4223E">
        <w:t>sa</w:t>
      </w:r>
      <w:r w:rsidRPr="00F8647B" w:rsidR="00D4223E">
        <w:rPr>
          <w:b/>
          <w:bCs/>
        </w:rPr>
        <w:t>glabāt priekšlikumu biežākām tehniskajām apskatēm vecākiem transportlīdzekļiem</w:t>
      </w:r>
      <w:r w:rsidRPr="00F8647B">
        <w:t>, kā arī uzskatām, ka j</w:t>
      </w:r>
      <w:r w:rsidRPr="00F8647B" w:rsidR="00D4223E">
        <w:t xml:space="preserve">aunām pārbaudes metodēm nepieciešams noteikt pakāpenisku ieviešanas laiku, proti, dot papildus laiku Komisijai izstrādāt atbilstošas metodoloģijas un prasības un </w:t>
      </w:r>
      <w:r w:rsidRPr="00F8647B">
        <w:t>d</w:t>
      </w:r>
      <w:r w:rsidRPr="00F8647B" w:rsidR="00D4223E">
        <w:t>alībvalstīm dot pietiekamu laiku aprīkot stacijas ar piemērotām iekārtām, līdzko tirgū tās ir pieejamas.</w:t>
      </w:r>
    </w:p>
    <w:p w:rsidR="000C204D" w:rsidP="00D4223E" w:rsidRDefault="000C204D" w14:paraId="42DBEC5B" w14:textId="500D4CB4">
      <w:pPr>
        <w:ind w:firstLine="720"/>
        <w:jc w:val="both"/>
      </w:pPr>
      <w:r>
        <w:t>Latvijai ir būtiski, ka priekšlikums j</w:t>
      </w:r>
      <w:r w:rsidRPr="000C204D">
        <w:t>aunām pārbaudes metodēm (</w:t>
      </w:r>
      <w:proofErr w:type="spellStart"/>
      <w:r w:rsidRPr="000C204D">
        <w:t>piem</w:t>
      </w:r>
      <w:proofErr w:type="spellEnd"/>
      <w:r w:rsidRPr="000C204D">
        <w:t xml:space="preserve">, NOX, </w:t>
      </w:r>
      <w:proofErr w:type="spellStart"/>
      <w:r w:rsidRPr="000C204D">
        <w:t>remote</w:t>
      </w:r>
      <w:proofErr w:type="spellEnd"/>
      <w:r w:rsidRPr="000C204D">
        <w:t xml:space="preserve"> </w:t>
      </w:r>
      <w:proofErr w:type="spellStart"/>
      <w:r w:rsidRPr="000C204D">
        <w:t>sensing</w:t>
      </w:r>
      <w:proofErr w:type="spellEnd"/>
      <w:r w:rsidRPr="000C204D">
        <w:t xml:space="preserve">, </w:t>
      </w:r>
      <w:proofErr w:type="spellStart"/>
      <w:r w:rsidRPr="000C204D">
        <w:t>utt</w:t>
      </w:r>
      <w:proofErr w:type="spellEnd"/>
      <w:r w:rsidRPr="000C204D">
        <w:t xml:space="preserve">) </w:t>
      </w:r>
      <w:r>
        <w:t xml:space="preserve">paredz </w:t>
      </w:r>
      <w:r w:rsidRPr="000C204D">
        <w:t>noteikt pakāpenisku ieviešanas laiku, proti, dot papildus laiku Komisijai izstrādāt atbilstošas metodoloģijas un prasības un dalībvalstīm dot pietiekamu laiku aprīkot stacijas ar piemērotām iekārtām, līdzko tirgū tās ir pieejamas.</w:t>
      </w:r>
    </w:p>
    <w:p w:rsidRPr="00BD061E" w:rsidR="000C204D" w:rsidP="00D4223E" w:rsidRDefault="000C204D" w14:paraId="21BDC857" w14:textId="39100C3C">
      <w:pPr>
        <w:ind w:firstLine="720"/>
        <w:jc w:val="both"/>
      </w:pPr>
      <w:r>
        <w:t xml:space="preserve">Latvija uzskata, ka noteiktais pagaidu tehniskās apskates </w:t>
      </w:r>
      <w:r w:rsidRPr="000C204D">
        <w:t>6 mēnešu termiņš, kas vecākiem M1 kategorijas transportlīdzekļiem saskan ar pusi no pilnā tehniskās apskates termiņa, nevar tikt uzskatīts par īstermiņa atļauju. Latvija piedāvā to noteikt līdz 2 mēnešiem</w:t>
      </w:r>
      <w:r>
        <w:t>.</w:t>
      </w:r>
    </w:p>
    <w:p w:rsidR="00106DAA" w:rsidP="2B3E1191" w:rsidRDefault="00106DAA" w14:paraId="1D1A5B45" w14:textId="77777777">
      <w:pPr>
        <w:ind w:left="720"/>
      </w:pPr>
    </w:p>
    <w:p w:rsidR="00F51B10" w:rsidP="2B3E1191" w:rsidRDefault="00F51B10" w14:paraId="396349A0" w14:textId="77777777">
      <w:pPr>
        <w:ind w:left="720"/>
      </w:pPr>
    </w:p>
    <w:p w:rsidRPr="0089130D" w:rsidR="002A27D9" w:rsidP="2B3E1191" w:rsidRDefault="002A27D9" w14:paraId="3D691D8C" w14:textId="4DC86D6A">
      <w:pPr>
        <w:ind w:left="720"/>
      </w:pPr>
      <w:r w:rsidRPr="0089130D">
        <w:t>Satiksmes ministrs</w:t>
      </w:r>
      <w:r w:rsidRPr="0089130D">
        <w:tab/>
      </w:r>
      <w:r w:rsidRPr="0089130D">
        <w:tab/>
      </w:r>
      <w:r w:rsidRPr="0089130D">
        <w:tab/>
      </w:r>
      <w:r w:rsidRPr="0089130D">
        <w:tab/>
      </w:r>
      <w:r w:rsidRPr="0089130D">
        <w:tab/>
      </w:r>
      <w:r w:rsidRPr="0089130D">
        <w:tab/>
      </w:r>
      <w:r w:rsidRPr="0089130D" w:rsidR="007640D2">
        <w:t xml:space="preserve">A. </w:t>
      </w:r>
      <w:proofErr w:type="spellStart"/>
      <w:r w:rsidRPr="0089130D" w:rsidR="007640D2">
        <w:t>Švinka</w:t>
      </w:r>
      <w:proofErr w:type="spellEnd"/>
      <w:r w:rsidRPr="0089130D">
        <w:t xml:space="preserve">  </w:t>
      </w:r>
    </w:p>
    <w:p w:rsidR="003D438D" w:rsidP="2B3E1191" w:rsidRDefault="003D438D" w14:paraId="2439A523" w14:textId="2BC76684"/>
    <w:p w:rsidRPr="0089130D" w:rsidR="00106DAA" w:rsidP="2B3E1191" w:rsidRDefault="00106DAA" w14:paraId="02093E97" w14:textId="77777777"/>
    <w:p w:rsidRPr="0089130D" w:rsidR="003D438D" w:rsidP="2B3E1191" w:rsidRDefault="003D438D" w14:paraId="19624B60" w14:textId="3FF37FDC">
      <w:pPr>
        <w:ind w:left="720"/>
      </w:pPr>
      <w:r w:rsidRPr="0089130D">
        <w:t>V</w:t>
      </w:r>
      <w:r w:rsidRPr="0089130D" w:rsidR="00B346C8">
        <w:t>i</w:t>
      </w:r>
      <w:r w:rsidRPr="0089130D">
        <w:t>z</w:t>
      </w:r>
      <w:r w:rsidRPr="0089130D" w:rsidR="00374148">
        <w:t>ē</w:t>
      </w:r>
      <w:r w:rsidRPr="0089130D">
        <w:t>:</w:t>
      </w:r>
    </w:p>
    <w:p w:rsidRPr="0089130D" w:rsidR="009B039F" w:rsidP="2B3E1191" w:rsidRDefault="00014887" w14:paraId="0C5F02A6" w14:textId="48D91F22">
      <w:pPr>
        <w:ind w:firstLine="720"/>
      </w:pPr>
      <w:r w:rsidRPr="0089130D">
        <w:t>Valsts sekretār</w:t>
      </w:r>
      <w:r w:rsidR="00FB7B7B">
        <w:t>s</w:t>
      </w:r>
      <w:r w:rsidRPr="0089130D">
        <w:tab/>
      </w:r>
      <w:r w:rsidRPr="0089130D">
        <w:tab/>
      </w:r>
      <w:r w:rsidRPr="0089130D">
        <w:tab/>
      </w:r>
      <w:r w:rsidRPr="0089130D">
        <w:tab/>
      </w:r>
      <w:r w:rsidRPr="0089130D">
        <w:tab/>
      </w:r>
      <w:r w:rsidRPr="0089130D">
        <w:tab/>
      </w:r>
      <w:r w:rsidR="00FB7B7B">
        <w:t>A. Židkovs</w:t>
      </w:r>
    </w:p>
    <w:p w:rsidR="00106DAA" w:rsidP="2B3E1191" w:rsidRDefault="00014887" w14:paraId="7A2A6AD7" w14:textId="77777777">
      <w:pPr>
        <w:ind w:firstLine="720"/>
      </w:pPr>
      <w:r w:rsidRPr="0089130D">
        <w:tab/>
      </w:r>
    </w:p>
    <w:p w:rsidRPr="0089130D" w:rsidR="00014887" w:rsidP="2B3E1191" w:rsidRDefault="00014887" w14:paraId="33F55606" w14:textId="65F81AD6">
      <w:pPr>
        <w:ind w:firstLine="720"/>
      </w:pPr>
      <w:r w:rsidRPr="0089130D">
        <w:tab/>
        <w:t xml:space="preserve"> </w:t>
      </w:r>
    </w:p>
    <w:p w:rsidRPr="0089130D" w:rsidR="000630CA" w:rsidP="2B3E1191" w:rsidRDefault="000630CA" w14:paraId="4C44E13D" w14:textId="77777777">
      <w:pPr>
        <w:ind w:firstLine="720"/>
        <w:rPr>
          <w:sz w:val="18"/>
          <w:szCs w:val="18"/>
        </w:rPr>
      </w:pPr>
    </w:p>
    <w:p w:rsidRPr="0089130D" w:rsidR="00000F43" w:rsidP="2B3E1191" w:rsidRDefault="00000F43" w14:paraId="4695A0AD" w14:textId="1C60E52E">
      <w:pPr>
        <w:ind w:firstLine="720"/>
        <w:rPr>
          <w:sz w:val="18"/>
          <w:szCs w:val="18"/>
        </w:rPr>
      </w:pPr>
      <w:r w:rsidRPr="0089130D">
        <w:rPr>
          <w:sz w:val="18"/>
          <w:szCs w:val="18"/>
        </w:rPr>
        <w:t>Evita Nagle</w:t>
      </w:r>
    </w:p>
    <w:p w:rsidR="00106DAA" w:rsidP="2B3E1191" w:rsidRDefault="00000F43" w14:paraId="603B8206" w14:textId="77777777">
      <w:pPr>
        <w:ind w:firstLine="720"/>
        <w:rPr>
          <w:sz w:val="18"/>
          <w:szCs w:val="18"/>
        </w:rPr>
      </w:pPr>
      <w:r w:rsidRPr="0089130D">
        <w:rPr>
          <w:sz w:val="18"/>
          <w:szCs w:val="18"/>
        </w:rPr>
        <w:t>Tel. 67028190</w:t>
      </w:r>
    </w:p>
    <w:p w:rsidRPr="0089130D" w:rsidR="00000F43" w:rsidP="2B3E1191" w:rsidRDefault="00000F43" w14:paraId="4ADA16C7" w14:textId="2DC4569D">
      <w:pPr>
        <w:ind w:firstLine="720"/>
        <w:rPr>
          <w:sz w:val="18"/>
          <w:szCs w:val="18"/>
        </w:rPr>
      </w:pPr>
      <w:r w:rsidRPr="0089130D">
        <w:rPr>
          <w:sz w:val="18"/>
          <w:szCs w:val="18"/>
        </w:rPr>
        <w:t xml:space="preserve">Evita.nagle@sam.gov.lv </w:t>
      </w:r>
    </w:p>
    <w:sectPr w:rsidRPr="0089130D" w:rsidR="00000F43" w:rsidSect="00B00CBB">
      <w:footerReference r:id="rId8" w:type="even"/>
      <w:footerReference r:id="rId9" w:type="default"/>
      <w:footerReference r:id="rId10" w:type="first"/>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B052E" w14:textId="77777777" w:rsidR="00F4303D" w:rsidRDefault="00F4303D" w:rsidP="002A27D9">
      <w:r>
        <w:separator/>
      </w:r>
    </w:p>
  </w:endnote>
  <w:endnote w:type="continuationSeparator" w:id="0">
    <w:p w14:paraId="3B2A15A8" w14:textId="77777777" w:rsidR="00F4303D" w:rsidRDefault="00F4303D" w:rsidP="002A2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1C74A" w14:textId="41E228CD" w:rsidR="0012241D" w:rsidRDefault="008B1148" w:rsidP="00383C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3442">
      <w:rPr>
        <w:rStyle w:val="PageNumber"/>
        <w:noProof/>
      </w:rPr>
      <w:t>2</w:t>
    </w:r>
    <w:r>
      <w:rPr>
        <w:rStyle w:val="PageNumber"/>
      </w:rPr>
      <w:fldChar w:fldCharType="end"/>
    </w:r>
  </w:p>
  <w:p w14:paraId="34A72CAA" w14:textId="77777777" w:rsidR="0012241D" w:rsidRDefault="0012241D" w:rsidP="00383C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B8DA2" w14:textId="7C908B27" w:rsidR="00760168" w:rsidRDefault="00B00CBB" w:rsidP="004725B5">
    <w:pPr>
      <w:pStyle w:val="Footer"/>
      <w:jc w:val="right"/>
      <w:rPr>
        <w:rStyle w:val="PageNumber"/>
      </w:rPr>
    </w:pPr>
    <w:r>
      <w:rPr>
        <w:rStyle w:val="PageNumber"/>
      </w:rPr>
      <w:t>2-2</w:t>
    </w:r>
  </w:p>
  <w:p w14:paraId="24A11077" w14:textId="238A174D" w:rsidR="00760168" w:rsidRDefault="000630CA" w:rsidP="000630CA">
    <w:pPr>
      <w:pStyle w:val="Footer"/>
    </w:pPr>
    <w:r>
      <w:t>SAMzino_</w:t>
    </w:r>
    <w:r w:rsidR="00FB7B7B" w:rsidRPr="00FB7B7B">
      <w:t>010925</w:t>
    </w:r>
    <w:r w:rsidR="00FB7B7B">
      <w:t>_tehniskas_apskates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1DC30" w14:textId="3756E7CD" w:rsidR="00B00CBB" w:rsidRDefault="00B00CBB" w:rsidP="00B00CBB">
    <w:pPr>
      <w:pStyle w:val="Footer"/>
      <w:jc w:val="right"/>
    </w:pPr>
    <w:r>
      <w:t>1-</w:t>
    </w:r>
    <w:r w:rsidR="00106DAA">
      <w:t>2</w:t>
    </w:r>
  </w:p>
  <w:p w14:paraId="0CA846E0" w14:textId="305652CF" w:rsidR="00B00CBB" w:rsidRDefault="007640D2" w:rsidP="007640D2">
    <w:pPr>
      <w:pStyle w:val="Footer"/>
    </w:pPr>
    <w:r w:rsidRPr="007640D2">
      <w:t>SAMzino_</w:t>
    </w:r>
    <w:r w:rsidR="00FB7B7B" w:rsidRPr="00FB7B7B">
      <w:t>010925</w:t>
    </w:r>
    <w:r w:rsidR="00FB7B7B">
      <w:t>_tehniskas_apskates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35524" w14:textId="77777777" w:rsidR="00F4303D" w:rsidRDefault="00F4303D" w:rsidP="002A27D9">
      <w:r>
        <w:separator/>
      </w:r>
    </w:p>
  </w:footnote>
  <w:footnote w:type="continuationSeparator" w:id="0">
    <w:p w14:paraId="75DC97CB" w14:textId="77777777" w:rsidR="00F4303D" w:rsidRDefault="00F4303D" w:rsidP="002A27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1097"/>
    <w:multiLevelType w:val="hybridMultilevel"/>
    <w:tmpl w:val="557CE8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D7D1EA6"/>
    <w:multiLevelType w:val="hybridMultilevel"/>
    <w:tmpl w:val="195E8612"/>
    <w:lvl w:ilvl="0" w:tplc="F1C6F14E">
      <w:start w:val="1"/>
      <w:numFmt w:val="bullet"/>
      <w:lvlText w:val="·"/>
      <w:lvlJc w:val="left"/>
      <w:pPr>
        <w:ind w:left="720" w:hanging="360"/>
      </w:pPr>
      <w:rPr>
        <w:rFonts w:ascii="Symbol" w:hAnsi="Symbol" w:hint="default"/>
      </w:rPr>
    </w:lvl>
    <w:lvl w:ilvl="1" w:tplc="044C5B06">
      <w:start w:val="1"/>
      <w:numFmt w:val="bullet"/>
      <w:lvlText w:val="o"/>
      <w:lvlJc w:val="left"/>
      <w:pPr>
        <w:ind w:left="1440" w:hanging="360"/>
      </w:pPr>
      <w:rPr>
        <w:rFonts w:ascii="Courier New" w:hAnsi="Courier New" w:hint="default"/>
      </w:rPr>
    </w:lvl>
    <w:lvl w:ilvl="2" w:tplc="759AF0BC">
      <w:start w:val="1"/>
      <w:numFmt w:val="bullet"/>
      <w:lvlText w:val=""/>
      <w:lvlJc w:val="left"/>
      <w:pPr>
        <w:ind w:left="2160" w:hanging="360"/>
      </w:pPr>
      <w:rPr>
        <w:rFonts w:ascii="Wingdings" w:hAnsi="Wingdings" w:hint="default"/>
      </w:rPr>
    </w:lvl>
    <w:lvl w:ilvl="3" w:tplc="E5BE260E">
      <w:start w:val="1"/>
      <w:numFmt w:val="bullet"/>
      <w:lvlText w:val=""/>
      <w:lvlJc w:val="left"/>
      <w:pPr>
        <w:ind w:left="2880" w:hanging="360"/>
      </w:pPr>
      <w:rPr>
        <w:rFonts w:ascii="Symbol" w:hAnsi="Symbol" w:hint="default"/>
      </w:rPr>
    </w:lvl>
    <w:lvl w:ilvl="4" w:tplc="4CE6A250">
      <w:start w:val="1"/>
      <w:numFmt w:val="bullet"/>
      <w:lvlText w:val="o"/>
      <w:lvlJc w:val="left"/>
      <w:pPr>
        <w:ind w:left="3600" w:hanging="360"/>
      </w:pPr>
      <w:rPr>
        <w:rFonts w:ascii="Courier New" w:hAnsi="Courier New" w:hint="default"/>
      </w:rPr>
    </w:lvl>
    <w:lvl w:ilvl="5" w:tplc="7D8E15D8">
      <w:start w:val="1"/>
      <w:numFmt w:val="bullet"/>
      <w:lvlText w:val=""/>
      <w:lvlJc w:val="left"/>
      <w:pPr>
        <w:ind w:left="4320" w:hanging="360"/>
      </w:pPr>
      <w:rPr>
        <w:rFonts w:ascii="Wingdings" w:hAnsi="Wingdings" w:hint="default"/>
      </w:rPr>
    </w:lvl>
    <w:lvl w:ilvl="6" w:tplc="6628A55E">
      <w:start w:val="1"/>
      <w:numFmt w:val="bullet"/>
      <w:lvlText w:val=""/>
      <w:lvlJc w:val="left"/>
      <w:pPr>
        <w:ind w:left="5040" w:hanging="360"/>
      </w:pPr>
      <w:rPr>
        <w:rFonts w:ascii="Symbol" w:hAnsi="Symbol" w:hint="default"/>
      </w:rPr>
    </w:lvl>
    <w:lvl w:ilvl="7" w:tplc="AAB46FD2">
      <w:start w:val="1"/>
      <w:numFmt w:val="bullet"/>
      <w:lvlText w:val="o"/>
      <w:lvlJc w:val="left"/>
      <w:pPr>
        <w:ind w:left="5760" w:hanging="360"/>
      </w:pPr>
      <w:rPr>
        <w:rFonts w:ascii="Courier New" w:hAnsi="Courier New" w:hint="default"/>
      </w:rPr>
    </w:lvl>
    <w:lvl w:ilvl="8" w:tplc="67280786">
      <w:start w:val="1"/>
      <w:numFmt w:val="bullet"/>
      <w:lvlText w:val=""/>
      <w:lvlJc w:val="left"/>
      <w:pPr>
        <w:ind w:left="6480" w:hanging="360"/>
      </w:pPr>
      <w:rPr>
        <w:rFonts w:ascii="Wingdings" w:hAnsi="Wingdings" w:hint="default"/>
      </w:rPr>
    </w:lvl>
  </w:abstractNum>
  <w:num w:numId="1" w16cid:durableId="362362038">
    <w:abstractNumId w:val="1"/>
  </w:num>
  <w:num w:numId="2" w16cid:durableId="121196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D9"/>
    <w:rsid w:val="00000F43"/>
    <w:rsid w:val="00001CDE"/>
    <w:rsid w:val="00002488"/>
    <w:rsid w:val="00014887"/>
    <w:rsid w:val="00015C08"/>
    <w:rsid w:val="00026722"/>
    <w:rsid w:val="0002742C"/>
    <w:rsid w:val="00030A24"/>
    <w:rsid w:val="00044C39"/>
    <w:rsid w:val="000630CA"/>
    <w:rsid w:val="000719D1"/>
    <w:rsid w:val="00090631"/>
    <w:rsid w:val="00093FD4"/>
    <w:rsid w:val="000C204D"/>
    <w:rsid w:val="000C374C"/>
    <w:rsid w:val="000C58D3"/>
    <w:rsid w:val="000D41F4"/>
    <w:rsid w:val="000E23ED"/>
    <w:rsid w:val="0010296C"/>
    <w:rsid w:val="00105185"/>
    <w:rsid w:val="00106DAA"/>
    <w:rsid w:val="0012241D"/>
    <w:rsid w:val="00126FF3"/>
    <w:rsid w:val="00135589"/>
    <w:rsid w:val="00136C56"/>
    <w:rsid w:val="001436E1"/>
    <w:rsid w:val="001504D7"/>
    <w:rsid w:val="00164AD9"/>
    <w:rsid w:val="00170128"/>
    <w:rsid w:val="00170FE4"/>
    <w:rsid w:val="00174AD2"/>
    <w:rsid w:val="00183052"/>
    <w:rsid w:val="001834D5"/>
    <w:rsid w:val="00187C12"/>
    <w:rsid w:val="001A0B4C"/>
    <w:rsid w:val="001A2B9D"/>
    <w:rsid w:val="001B3982"/>
    <w:rsid w:val="001B5A08"/>
    <w:rsid w:val="001B6B03"/>
    <w:rsid w:val="001C78AC"/>
    <w:rsid w:val="001D55A8"/>
    <w:rsid w:val="001D5A72"/>
    <w:rsid w:val="001D613F"/>
    <w:rsid w:val="001E736D"/>
    <w:rsid w:val="001F1FAD"/>
    <w:rsid w:val="001F7AEF"/>
    <w:rsid w:val="00221B62"/>
    <w:rsid w:val="002248BE"/>
    <w:rsid w:val="00233F8D"/>
    <w:rsid w:val="0023703C"/>
    <w:rsid w:val="00247815"/>
    <w:rsid w:val="00262239"/>
    <w:rsid w:val="002813BE"/>
    <w:rsid w:val="0028401A"/>
    <w:rsid w:val="00286F3B"/>
    <w:rsid w:val="00292A7B"/>
    <w:rsid w:val="00292AAA"/>
    <w:rsid w:val="002A27D9"/>
    <w:rsid w:val="002A325C"/>
    <w:rsid w:val="002B034A"/>
    <w:rsid w:val="002B1FE3"/>
    <w:rsid w:val="002B2211"/>
    <w:rsid w:val="002D3FF7"/>
    <w:rsid w:val="002D7226"/>
    <w:rsid w:val="00322DE6"/>
    <w:rsid w:val="0032506E"/>
    <w:rsid w:val="00334B24"/>
    <w:rsid w:val="00334CA8"/>
    <w:rsid w:val="00341A84"/>
    <w:rsid w:val="00345F3C"/>
    <w:rsid w:val="0035318A"/>
    <w:rsid w:val="00366D71"/>
    <w:rsid w:val="00371208"/>
    <w:rsid w:val="00374148"/>
    <w:rsid w:val="00387525"/>
    <w:rsid w:val="003961BD"/>
    <w:rsid w:val="00396446"/>
    <w:rsid w:val="003A130B"/>
    <w:rsid w:val="003A39B2"/>
    <w:rsid w:val="003B7F13"/>
    <w:rsid w:val="003D0D99"/>
    <w:rsid w:val="003D2ABC"/>
    <w:rsid w:val="003D438D"/>
    <w:rsid w:val="003E5FCF"/>
    <w:rsid w:val="003F1AFC"/>
    <w:rsid w:val="003F5614"/>
    <w:rsid w:val="004037B9"/>
    <w:rsid w:val="004158F3"/>
    <w:rsid w:val="00417821"/>
    <w:rsid w:val="00421468"/>
    <w:rsid w:val="004248D7"/>
    <w:rsid w:val="00437BE4"/>
    <w:rsid w:val="004401C6"/>
    <w:rsid w:val="004434BE"/>
    <w:rsid w:val="004506F6"/>
    <w:rsid w:val="00471D2E"/>
    <w:rsid w:val="00477D65"/>
    <w:rsid w:val="0048165C"/>
    <w:rsid w:val="004833C9"/>
    <w:rsid w:val="0049776D"/>
    <w:rsid w:val="004A3116"/>
    <w:rsid w:val="004C0971"/>
    <w:rsid w:val="004C47C5"/>
    <w:rsid w:val="004C5BB6"/>
    <w:rsid w:val="004C704D"/>
    <w:rsid w:val="004D0957"/>
    <w:rsid w:val="004D26DF"/>
    <w:rsid w:val="00501038"/>
    <w:rsid w:val="00502290"/>
    <w:rsid w:val="00507F2F"/>
    <w:rsid w:val="00510B89"/>
    <w:rsid w:val="00511462"/>
    <w:rsid w:val="00513E2B"/>
    <w:rsid w:val="005168B7"/>
    <w:rsid w:val="00535444"/>
    <w:rsid w:val="0054499E"/>
    <w:rsid w:val="00556FFC"/>
    <w:rsid w:val="00573662"/>
    <w:rsid w:val="0059038D"/>
    <w:rsid w:val="005906C5"/>
    <w:rsid w:val="00592D43"/>
    <w:rsid w:val="00594F7C"/>
    <w:rsid w:val="005A490E"/>
    <w:rsid w:val="005B1E12"/>
    <w:rsid w:val="005B3CA6"/>
    <w:rsid w:val="005B5E6D"/>
    <w:rsid w:val="005D5BF5"/>
    <w:rsid w:val="005D6A24"/>
    <w:rsid w:val="005E3B41"/>
    <w:rsid w:val="005F6D94"/>
    <w:rsid w:val="00601879"/>
    <w:rsid w:val="00620577"/>
    <w:rsid w:val="006205FE"/>
    <w:rsid w:val="006374FD"/>
    <w:rsid w:val="00641B46"/>
    <w:rsid w:val="0065611A"/>
    <w:rsid w:val="006773A2"/>
    <w:rsid w:val="006A60A1"/>
    <w:rsid w:val="006C18E7"/>
    <w:rsid w:val="006D1B0A"/>
    <w:rsid w:val="006D36BA"/>
    <w:rsid w:val="006D3A84"/>
    <w:rsid w:val="006D507D"/>
    <w:rsid w:val="006E447B"/>
    <w:rsid w:val="006F462C"/>
    <w:rsid w:val="006F4F72"/>
    <w:rsid w:val="00710C1B"/>
    <w:rsid w:val="0072192B"/>
    <w:rsid w:val="00743468"/>
    <w:rsid w:val="007500D8"/>
    <w:rsid w:val="00750824"/>
    <w:rsid w:val="00752323"/>
    <w:rsid w:val="00760168"/>
    <w:rsid w:val="007640D2"/>
    <w:rsid w:val="00765BF1"/>
    <w:rsid w:val="007803A3"/>
    <w:rsid w:val="00796F60"/>
    <w:rsid w:val="007A05F5"/>
    <w:rsid w:val="007A2636"/>
    <w:rsid w:val="007A5ECB"/>
    <w:rsid w:val="007C4BB2"/>
    <w:rsid w:val="007C595A"/>
    <w:rsid w:val="007C6CDC"/>
    <w:rsid w:val="007C71B2"/>
    <w:rsid w:val="007D11C6"/>
    <w:rsid w:val="007D5434"/>
    <w:rsid w:val="007F212B"/>
    <w:rsid w:val="007F4FE5"/>
    <w:rsid w:val="00804EC5"/>
    <w:rsid w:val="00826B84"/>
    <w:rsid w:val="00835E29"/>
    <w:rsid w:val="0084049C"/>
    <w:rsid w:val="008463AD"/>
    <w:rsid w:val="00861B81"/>
    <w:rsid w:val="0087061F"/>
    <w:rsid w:val="0087793F"/>
    <w:rsid w:val="00884C33"/>
    <w:rsid w:val="0089130D"/>
    <w:rsid w:val="00892DA0"/>
    <w:rsid w:val="008A3709"/>
    <w:rsid w:val="008B0099"/>
    <w:rsid w:val="008B1148"/>
    <w:rsid w:val="008B7EDD"/>
    <w:rsid w:val="008D6999"/>
    <w:rsid w:val="008E2857"/>
    <w:rsid w:val="008F1A70"/>
    <w:rsid w:val="008F5CA7"/>
    <w:rsid w:val="009316D3"/>
    <w:rsid w:val="00967722"/>
    <w:rsid w:val="00967A74"/>
    <w:rsid w:val="009819A1"/>
    <w:rsid w:val="009854C3"/>
    <w:rsid w:val="009A313A"/>
    <w:rsid w:val="009A76C0"/>
    <w:rsid w:val="009B039F"/>
    <w:rsid w:val="009B2DA1"/>
    <w:rsid w:val="009C1C8F"/>
    <w:rsid w:val="009F00CA"/>
    <w:rsid w:val="00A0190C"/>
    <w:rsid w:val="00A11C3F"/>
    <w:rsid w:val="00A1392C"/>
    <w:rsid w:val="00A34AE6"/>
    <w:rsid w:val="00A425F3"/>
    <w:rsid w:val="00A61779"/>
    <w:rsid w:val="00A62D37"/>
    <w:rsid w:val="00A64237"/>
    <w:rsid w:val="00A74483"/>
    <w:rsid w:val="00A8023A"/>
    <w:rsid w:val="00A93A05"/>
    <w:rsid w:val="00AA5FB9"/>
    <w:rsid w:val="00AB3A16"/>
    <w:rsid w:val="00AB417F"/>
    <w:rsid w:val="00AD04C0"/>
    <w:rsid w:val="00AD53ED"/>
    <w:rsid w:val="00AE7F6B"/>
    <w:rsid w:val="00B00CBB"/>
    <w:rsid w:val="00B039B2"/>
    <w:rsid w:val="00B05E50"/>
    <w:rsid w:val="00B06093"/>
    <w:rsid w:val="00B208F3"/>
    <w:rsid w:val="00B26B14"/>
    <w:rsid w:val="00B32BDC"/>
    <w:rsid w:val="00B346C8"/>
    <w:rsid w:val="00B43442"/>
    <w:rsid w:val="00B52C87"/>
    <w:rsid w:val="00B5341E"/>
    <w:rsid w:val="00B55071"/>
    <w:rsid w:val="00B82C2E"/>
    <w:rsid w:val="00B86A1E"/>
    <w:rsid w:val="00B86F02"/>
    <w:rsid w:val="00B8788E"/>
    <w:rsid w:val="00BA2CC0"/>
    <w:rsid w:val="00BA3EFC"/>
    <w:rsid w:val="00BA7D72"/>
    <w:rsid w:val="00BB3808"/>
    <w:rsid w:val="00BC13F6"/>
    <w:rsid w:val="00BD1A6C"/>
    <w:rsid w:val="00BE1035"/>
    <w:rsid w:val="00BF1AC0"/>
    <w:rsid w:val="00C07752"/>
    <w:rsid w:val="00C15AFC"/>
    <w:rsid w:val="00C2793F"/>
    <w:rsid w:val="00C37347"/>
    <w:rsid w:val="00C432E1"/>
    <w:rsid w:val="00C45116"/>
    <w:rsid w:val="00C46C6E"/>
    <w:rsid w:val="00C53952"/>
    <w:rsid w:val="00C5409F"/>
    <w:rsid w:val="00C611B1"/>
    <w:rsid w:val="00C63961"/>
    <w:rsid w:val="00C63A29"/>
    <w:rsid w:val="00C706FD"/>
    <w:rsid w:val="00C81CEB"/>
    <w:rsid w:val="00C83490"/>
    <w:rsid w:val="00C8378E"/>
    <w:rsid w:val="00C935A3"/>
    <w:rsid w:val="00CA3170"/>
    <w:rsid w:val="00CA4732"/>
    <w:rsid w:val="00CB0A65"/>
    <w:rsid w:val="00CB68B4"/>
    <w:rsid w:val="00CE091B"/>
    <w:rsid w:val="00CF1CA1"/>
    <w:rsid w:val="00D1700E"/>
    <w:rsid w:val="00D23316"/>
    <w:rsid w:val="00D2357E"/>
    <w:rsid w:val="00D268E9"/>
    <w:rsid w:val="00D4223E"/>
    <w:rsid w:val="00D5742D"/>
    <w:rsid w:val="00D70BB3"/>
    <w:rsid w:val="00D74646"/>
    <w:rsid w:val="00D754FF"/>
    <w:rsid w:val="00D874E5"/>
    <w:rsid w:val="00DC3B65"/>
    <w:rsid w:val="00DC655A"/>
    <w:rsid w:val="00DD77FB"/>
    <w:rsid w:val="00DE1D02"/>
    <w:rsid w:val="00DE2ABD"/>
    <w:rsid w:val="00E27FD6"/>
    <w:rsid w:val="00E32AEC"/>
    <w:rsid w:val="00E32DB4"/>
    <w:rsid w:val="00E35D35"/>
    <w:rsid w:val="00E40535"/>
    <w:rsid w:val="00E920D4"/>
    <w:rsid w:val="00E92A91"/>
    <w:rsid w:val="00EB27ED"/>
    <w:rsid w:val="00EC660A"/>
    <w:rsid w:val="00ED1B50"/>
    <w:rsid w:val="00ED4083"/>
    <w:rsid w:val="00EE7E1B"/>
    <w:rsid w:val="00EF4DD2"/>
    <w:rsid w:val="00EF6BA1"/>
    <w:rsid w:val="00F04303"/>
    <w:rsid w:val="00F04AF8"/>
    <w:rsid w:val="00F06ED1"/>
    <w:rsid w:val="00F07E81"/>
    <w:rsid w:val="00F169D6"/>
    <w:rsid w:val="00F20469"/>
    <w:rsid w:val="00F30F22"/>
    <w:rsid w:val="00F34613"/>
    <w:rsid w:val="00F3725B"/>
    <w:rsid w:val="00F42C3A"/>
    <w:rsid w:val="00F4303D"/>
    <w:rsid w:val="00F43B76"/>
    <w:rsid w:val="00F51B10"/>
    <w:rsid w:val="00F66290"/>
    <w:rsid w:val="00F76A94"/>
    <w:rsid w:val="00F82F7C"/>
    <w:rsid w:val="00F8647B"/>
    <w:rsid w:val="00F90958"/>
    <w:rsid w:val="00F90DD6"/>
    <w:rsid w:val="00F92E0C"/>
    <w:rsid w:val="00F93EC2"/>
    <w:rsid w:val="00FA3CD5"/>
    <w:rsid w:val="00FB424F"/>
    <w:rsid w:val="00FB5AB8"/>
    <w:rsid w:val="00FB7B7B"/>
    <w:rsid w:val="00FF2B8D"/>
    <w:rsid w:val="069F870E"/>
    <w:rsid w:val="0D846643"/>
    <w:rsid w:val="1BE1AB23"/>
    <w:rsid w:val="24BEF5FC"/>
    <w:rsid w:val="2574702C"/>
    <w:rsid w:val="260D21CF"/>
    <w:rsid w:val="28D632DE"/>
    <w:rsid w:val="2B3E1191"/>
    <w:rsid w:val="30DDD5DA"/>
    <w:rsid w:val="327B19B1"/>
    <w:rsid w:val="336A7F23"/>
    <w:rsid w:val="35C4B24F"/>
    <w:rsid w:val="39D902ED"/>
    <w:rsid w:val="3C247B4D"/>
    <w:rsid w:val="3C53CDBE"/>
    <w:rsid w:val="3D136AAC"/>
    <w:rsid w:val="41A261F7"/>
    <w:rsid w:val="4675D31A"/>
    <w:rsid w:val="4C0461D5"/>
    <w:rsid w:val="4E67BCA2"/>
    <w:rsid w:val="54F04C83"/>
    <w:rsid w:val="610D73C0"/>
    <w:rsid w:val="6FC1A964"/>
    <w:rsid w:val="739E82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830CD"/>
  <w15:docId w15:val="{74119BBD-5D1C-4451-9D5A-315B163FB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7D9"/>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A27D9"/>
    <w:rPr>
      <w:color w:val="0000FF"/>
      <w:u w:val="single"/>
    </w:rPr>
  </w:style>
  <w:style w:type="paragraph" w:styleId="Header">
    <w:name w:val="header"/>
    <w:basedOn w:val="Normal"/>
    <w:link w:val="HeaderChar"/>
    <w:rsid w:val="002A27D9"/>
    <w:pPr>
      <w:tabs>
        <w:tab w:val="center" w:pos="4153"/>
        <w:tab w:val="right" w:pos="8306"/>
      </w:tabs>
    </w:pPr>
  </w:style>
  <w:style w:type="character" w:customStyle="1" w:styleId="HeaderChar">
    <w:name w:val="Header Char"/>
    <w:basedOn w:val="DefaultParagraphFont"/>
    <w:link w:val="Header"/>
    <w:rsid w:val="002A27D9"/>
    <w:rPr>
      <w:rFonts w:ascii="Times New Roman" w:eastAsia="Times New Roman" w:hAnsi="Times New Roman" w:cs="Times New Roman"/>
      <w:sz w:val="24"/>
      <w:szCs w:val="24"/>
      <w:lang w:eastAsia="lv-LV"/>
    </w:rPr>
  </w:style>
  <w:style w:type="paragraph" w:styleId="Footer">
    <w:name w:val="footer"/>
    <w:basedOn w:val="Normal"/>
    <w:link w:val="FooterChar"/>
    <w:rsid w:val="002A27D9"/>
    <w:pPr>
      <w:tabs>
        <w:tab w:val="center" w:pos="4153"/>
        <w:tab w:val="right" w:pos="8306"/>
      </w:tabs>
    </w:pPr>
  </w:style>
  <w:style w:type="character" w:customStyle="1" w:styleId="FooterChar">
    <w:name w:val="Footer Char"/>
    <w:basedOn w:val="DefaultParagraphFont"/>
    <w:link w:val="Footer"/>
    <w:rsid w:val="002A27D9"/>
    <w:rPr>
      <w:rFonts w:ascii="Times New Roman" w:eastAsia="Times New Roman" w:hAnsi="Times New Roman" w:cs="Times New Roman"/>
      <w:sz w:val="24"/>
      <w:szCs w:val="24"/>
      <w:lang w:eastAsia="lv-LV"/>
    </w:rPr>
  </w:style>
  <w:style w:type="character" w:styleId="PageNumber">
    <w:name w:val="page number"/>
    <w:basedOn w:val="DefaultParagraphFont"/>
    <w:rsid w:val="002A27D9"/>
  </w:style>
  <w:style w:type="paragraph" w:customStyle="1" w:styleId="Prliminairetitre">
    <w:name w:val="Préliminaire titre"/>
    <w:basedOn w:val="Normal"/>
    <w:next w:val="Normal"/>
    <w:rsid w:val="002A27D9"/>
    <w:pPr>
      <w:spacing w:before="360" w:after="360"/>
      <w:jc w:val="center"/>
    </w:pPr>
    <w:rPr>
      <w:b/>
      <w:snapToGrid w:val="0"/>
      <w:lang w:eastAsia="en-GB"/>
    </w:rPr>
  </w:style>
  <w:style w:type="paragraph" w:customStyle="1" w:styleId="naiskr">
    <w:name w:val="naiskr"/>
    <w:basedOn w:val="Normal"/>
    <w:rsid w:val="002A27D9"/>
    <w:pPr>
      <w:spacing w:before="100" w:after="100"/>
    </w:pPr>
    <w:rPr>
      <w:lang w:val="en-GB" w:eastAsia="en-US"/>
    </w:rPr>
  </w:style>
  <w:style w:type="paragraph" w:styleId="FootnoteText">
    <w:name w:val="footnote text"/>
    <w:aliases w:val="Stinking Styles23,Schriftart: 9 pt,Schriftart: 10 pt,Schriftart: 8 pt,Fußnotentext Char Char,WB-Fußnotentext,Footnote Char,fußn,Reference,Footnote text,o,Voetnoottekst Char,Voetnoottekst Char1,Voetnoottekst Char2 Char Char,Fußnote,Fußn,f"/>
    <w:basedOn w:val="Normal"/>
    <w:link w:val="FootnoteTextChar"/>
    <w:uiPriority w:val="99"/>
    <w:unhideWhenUsed/>
    <w:qFormat/>
    <w:rsid w:val="00884C33"/>
    <w:rPr>
      <w:sz w:val="20"/>
      <w:szCs w:val="20"/>
      <w:lang w:eastAsia="en-US"/>
    </w:rPr>
  </w:style>
  <w:style w:type="character" w:customStyle="1" w:styleId="FootnoteTextChar">
    <w:name w:val="Footnote Text Char"/>
    <w:aliases w:val="Stinking Styles23 Char,Schriftart: 9 pt Char,Schriftart: 10 pt Char,Schriftart: 8 pt Char,Fußnotentext Char Char Char,WB-Fußnotentext Char,Footnote Char Char,fußn Char,Reference Char,Footnote text Char,o Char,Voetnoottekst Char Char"/>
    <w:basedOn w:val="DefaultParagraphFont"/>
    <w:link w:val="FootnoteText"/>
    <w:uiPriority w:val="99"/>
    <w:rsid w:val="00884C33"/>
    <w:rPr>
      <w:rFonts w:ascii="Times New Roman" w:eastAsia="Times New Roman" w:hAnsi="Times New Roman" w:cs="Times New Roman"/>
      <w:sz w:val="20"/>
      <w:szCs w:val="20"/>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
    <w:link w:val="FootnotesymbolCarZchn"/>
    <w:uiPriority w:val="99"/>
    <w:unhideWhenUsed/>
    <w:qFormat/>
    <w:rsid w:val="00884C33"/>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rsid w:val="00884C33"/>
    <w:pPr>
      <w:spacing w:after="160" w:line="240" w:lineRule="exact"/>
      <w:jc w:val="both"/>
    </w:pPr>
    <w:rPr>
      <w:rFonts w:asciiTheme="minorHAnsi" w:eastAsiaTheme="minorHAnsi" w:hAnsiTheme="minorHAnsi" w:cstheme="minorBidi"/>
      <w:sz w:val="22"/>
      <w:szCs w:val="22"/>
      <w:vertAlign w:val="superscript"/>
      <w:lang w:eastAsia="en-US"/>
    </w:rPr>
  </w:style>
  <w:style w:type="paragraph" w:styleId="NormalWeb">
    <w:name w:val="Normal (Web)"/>
    <w:basedOn w:val="Normal"/>
    <w:uiPriority w:val="99"/>
    <w:rsid w:val="00884C33"/>
    <w:pPr>
      <w:spacing w:before="100" w:beforeAutospacing="1" w:after="100" w:afterAutospacing="1"/>
    </w:pPr>
    <w:rPr>
      <w:rFonts w:eastAsia="Arial Unicode MS"/>
      <w:lang w:val="en-GB" w:eastAsia="en-US"/>
    </w:rPr>
  </w:style>
  <w:style w:type="character" w:styleId="CommentReference">
    <w:name w:val="annotation reference"/>
    <w:basedOn w:val="DefaultParagraphFont"/>
    <w:uiPriority w:val="99"/>
    <w:semiHidden/>
    <w:unhideWhenUsed/>
    <w:rsid w:val="00556FFC"/>
    <w:rPr>
      <w:sz w:val="16"/>
      <w:szCs w:val="16"/>
    </w:rPr>
  </w:style>
  <w:style w:type="paragraph" w:styleId="CommentText">
    <w:name w:val="annotation text"/>
    <w:basedOn w:val="Normal"/>
    <w:link w:val="CommentTextChar"/>
    <w:uiPriority w:val="99"/>
    <w:unhideWhenUsed/>
    <w:rsid w:val="00556FFC"/>
    <w:rPr>
      <w:sz w:val="20"/>
      <w:szCs w:val="20"/>
    </w:rPr>
  </w:style>
  <w:style w:type="character" w:customStyle="1" w:styleId="CommentTextChar">
    <w:name w:val="Comment Text Char"/>
    <w:basedOn w:val="DefaultParagraphFont"/>
    <w:link w:val="CommentText"/>
    <w:uiPriority w:val="99"/>
    <w:rsid w:val="00556FF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56FFC"/>
    <w:rPr>
      <w:b/>
      <w:bCs/>
    </w:rPr>
  </w:style>
  <w:style w:type="character" w:customStyle="1" w:styleId="CommentSubjectChar">
    <w:name w:val="Comment Subject Char"/>
    <w:basedOn w:val="CommentTextChar"/>
    <w:link w:val="CommentSubject"/>
    <w:uiPriority w:val="99"/>
    <w:semiHidden/>
    <w:rsid w:val="00556FF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556FFC"/>
    <w:rPr>
      <w:rFonts w:ascii="Tahoma" w:hAnsi="Tahoma" w:cs="Tahoma"/>
      <w:sz w:val="16"/>
      <w:szCs w:val="16"/>
    </w:rPr>
  </w:style>
  <w:style w:type="character" w:customStyle="1" w:styleId="BalloonTextChar">
    <w:name w:val="Balloon Text Char"/>
    <w:basedOn w:val="DefaultParagraphFont"/>
    <w:link w:val="BalloonText"/>
    <w:uiPriority w:val="99"/>
    <w:semiHidden/>
    <w:rsid w:val="00556FFC"/>
    <w:rPr>
      <w:rFonts w:ascii="Tahoma" w:eastAsia="Times New Roman" w:hAnsi="Tahoma" w:cs="Tahoma"/>
      <w:sz w:val="16"/>
      <w:szCs w:val="16"/>
      <w:lang w:eastAsia="lv-LV"/>
    </w:rPr>
  </w:style>
  <w:style w:type="character" w:customStyle="1" w:styleId="UnresolvedMention1">
    <w:name w:val="Unresolved Mention1"/>
    <w:basedOn w:val="DefaultParagraphFont"/>
    <w:uiPriority w:val="99"/>
    <w:semiHidden/>
    <w:unhideWhenUsed/>
    <w:rsid w:val="00000F43"/>
    <w:rPr>
      <w:color w:val="605E5C"/>
      <w:shd w:val="clear" w:color="auto" w:fill="E1DFDD"/>
    </w:rPr>
  </w:style>
  <w:style w:type="paragraph" w:customStyle="1" w:styleId="Text1">
    <w:name w:val="Text 1"/>
    <w:basedOn w:val="Normal"/>
    <w:rsid w:val="002B034A"/>
    <w:pPr>
      <w:spacing w:before="120" w:after="120"/>
      <w:ind w:left="850"/>
      <w:jc w:val="both"/>
    </w:pPr>
    <w:rPr>
      <w:rFonts w:eastAsiaTheme="minorHAnsi"/>
      <w:szCs w:val="22"/>
      <w:lang w:eastAsia="en-US"/>
    </w:rPr>
  </w:style>
  <w:style w:type="character" w:customStyle="1" w:styleId="normaltextrun">
    <w:name w:val="normaltextrun"/>
    <w:basedOn w:val="DefaultParagraphFont"/>
    <w:rsid w:val="00ED4083"/>
  </w:style>
  <w:style w:type="paragraph" w:styleId="NoSpacing">
    <w:name w:val="No Spacing"/>
    <w:uiPriority w:val="99"/>
    <w:qFormat/>
    <w:rsid w:val="00ED4083"/>
    <w:pPr>
      <w:spacing w:after="0" w:line="240" w:lineRule="auto"/>
    </w:pPr>
    <w:rPr>
      <w:rFonts w:ascii="Times New Roman" w:eastAsia="Calibri" w:hAnsi="Times New Roman" w:cs="Times New Roman"/>
      <w:sz w:val="28"/>
    </w:rPr>
  </w:style>
  <w:style w:type="paragraph" w:styleId="ListParagraph">
    <w:name w:val="List Paragraph"/>
    <w:aliases w:val="2,Strip,LP1."/>
    <w:basedOn w:val="Normal"/>
    <w:link w:val="ListParagraphChar"/>
    <w:uiPriority w:val="34"/>
    <w:qFormat/>
    <w:pPr>
      <w:ind w:left="720"/>
      <w:contextualSpacing/>
    </w:pPr>
  </w:style>
  <w:style w:type="paragraph" w:styleId="Revision">
    <w:name w:val="Revision"/>
    <w:hidden/>
    <w:uiPriority w:val="99"/>
    <w:semiHidden/>
    <w:rsid w:val="0087061F"/>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Strip Char,LP1. Char"/>
    <w:basedOn w:val="DefaultParagraphFont"/>
    <w:link w:val="ListParagraph"/>
    <w:uiPriority w:val="34"/>
    <w:locked/>
    <w:rsid w:val="000630CA"/>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04255">
      <w:bodyDiv w:val="1"/>
      <w:marLeft w:val="0"/>
      <w:marRight w:val="0"/>
      <w:marTop w:val="0"/>
      <w:marBottom w:val="0"/>
      <w:divBdr>
        <w:top w:val="none" w:sz="0" w:space="0" w:color="auto"/>
        <w:left w:val="none" w:sz="0" w:space="0" w:color="auto"/>
        <w:bottom w:val="none" w:sz="0" w:space="0" w:color="auto"/>
        <w:right w:val="none" w:sz="0" w:space="0" w:color="auto"/>
      </w:divBdr>
    </w:div>
    <w:div w:id="120151861">
      <w:bodyDiv w:val="1"/>
      <w:marLeft w:val="0"/>
      <w:marRight w:val="0"/>
      <w:marTop w:val="0"/>
      <w:marBottom w:val="0"/>
      <w:divBdr>
        <w:top w:val="none" w:sz="0" w:space="0" w:color="auto"/>
        <w:left w:val="none" w:sz="0" w:space="0" w:color="auto"/>
        <w:bottom w:val="none" w:sz="0" w:space="0" w:color="auto"/>
        <w:right w:val="none" w:sz="0" w:space="0" w:color="auto"/>
      </w:divBdr>
    </w:div>
    <w:div w:id="366833113">
      <w:bodyDiv w:val="1"/>
      <w:marLeft w:val="0"/>
      <w:marRight w:val="0"/>
      <w:marTop w:val="0"/>
      <w:marBottom w:val="0"/>
      <w:divBdr>
        <w:top w:val="none" w:sz="0" w:space="0" w:color="auto"/>
        <w:left w:val="none" w:sz="0" w:space="0" w:color="auto"/>
        <w:bottom w:val="none" w:sz="0" w:space="0" w:color="auto"/>
        <w:right w:val="none" w:sz="0" w:space="0" w:color="auto"/>
      </w:divBdr>
    </w:div>
    <w:div w:id="912665767">
      <w:bodyDiv w:val="1"/>
      <w:marLeft w:val="0"/>
      <w:marRight w:val="0"/>
      <w:marTop w:val="0"/>
      <w:marBottom w:val="0"/>
      <w:divBdr>
        <w:top w:val="none" w:sz="0" w:space="0" w:color="auto"/>
        <w:left w:val="none" w:sz="0" w:space="0" w:color="auto"/>
        <w:bottom w:val="none" w:sz="0" w:space="0" w:color="auto"/>
        <w:right w:val="none" w:sz="0" w:space="0" w:color="auto"/>
      </w:divBdr>
    </w:div>
    <w:div w:id="1078214307">
      <w:bodyDiv w:val="1"/>
      <w:marLeft w:val="0"/>
      <w:marRight w:val="0"/>
      <w:marTop w:val="0"/>
      <w:marBottom w:val="0"/>
      <w:divBdr>
        <w:top w:val="none" w:sz="0" w:space="0" w:color="auto"/>
        <w:left w:val="none" w:sz="0" w:space="0" w:color="auto"/>
        <w:bottom w:val="none" w:sz="0" w:space="0" w:color="auto"/>
        <w:right w:val="none" w:sz="0" w:space="0" w:color="auto"/>
      </w:divBdr>
    </w:div>
    <w:div w:id="1706326067">
      <w:bodyDiv w:val="1"/>
      <w:marLeft w:val="0"/>
      <w:marRight w:val="0"/>
      <w:marTop w:val="0"/>
      <w:marBottom w:val="0"/>
      <w:divBdr>
        <w:top w:val="none" w:sz="0" w:space="0" w:color="auto"/>
        <w:left w:val="none" w:sz="0" w:space="0" w:color="auto"/>
        <w:bottom w:val="none" w:sz="0" w:space="0" w:color="auto"/>
        <w:right w:val="none" w:sz="0" w:space="0" w:color="auto"/>
      </w:divBdr>
    </w:div>
    <w:div w:id="172814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3.xml" Type="http://schemas.openxmlformats.org/officeDocument/2006/relationships/footer" Id="rId10"/>
   <Relationship Target="settings.xml" Type="http://schemas.openxmlformats.org/officeDocument/2006/relationships/settings" Id="rId4"/>
   <Relationship Target="footer2.xml" Type="http://schemas.openxmlformats.org/officeDocument/2006/relationships/foot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61F6270D-3235-46F8-9E51-351D1ED3917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4447</Words>
  <Characters>2536</Characters>
  <Application>Microsoft Office Word</Application>
  <DocSecurity>0</DocSecurity>
  <Lines>21</Lines>
  <Paragraphs>13</Paragraphs>
  <ScaleCrop>false</ScaleCrop>
  <HeadingPairs>
    <vt:vector size="2" baseType="variant">
      <vt:variant>
        <vt:lpstr>Title</vt:lpstr>
      </vt:variant>
      <vt:variant>
        <vt:i4>1</vt:i4>
      </vt:variant>
    </vt:vector>
  </HeadingPairs>
  <TitlesOfParts>
    <vt:vector size="1" baseType="lpstr">
      <vt:lpstr>Informatīvais ziņojums "Latvijas Republikas nacionālā pozīcija Nr. 1 “Priekšlikums Eiropas Parlamenta un Padomes Direktīvai, ar ko groza Direktīvu 2014/45/ES par mehānisko transportlīdzekļu un to piekabju periodiskajām tehniskajām apskatēm un Direktīvu 20</vt:lpstr>
    </vt:vector>
  </TitlesOfParts>
  <Company/>
  <LinksUpToDate>false</LinksUpToDate>
  <CharactersWithSpaces>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"Latvijas Republikas nacionālā pozīcija Nr. 1 “Priekšlikums Eiropas Parlamenta un Padomes Direktīvai, ar ko groza Direktīvu 2014/45/ES par mehānisko transportlīdzekļu un to piekabju periodiskajām tehniskajām apskatēm un Direktīvu 2014/47/ES par Savienībā izmantotu komerciālo transportlīdzekļu tehniskajām pārbaudēm uz ceļiem”"</dc:title>
  <dc:subject>Informatīvais ziņojums</dc:subject>
  <dc:creator>Satiksmes ministrija</dc:creator>
  <cp:keywords>Satiksmes ministrija</cp:keywords>
  <dc:description>Evita Nagle _x000d_
67028190_x000d_
evita.nagle@sam.gov.lv</dc:description>
  <cp:lastModifiedBy>Evita Nagle</cp:lastModifiedBy>
  <cp:revision>3</cp:revision>
  <cp:lastPrinted>2017-05-18T08:16:00Z</cp:lastPrinted>
  <dcterms:created xsi:type="dcterms:W3CDTF">2025-08-28T06:27:00Z</dcterms:created>
  <dcterms:modified xsi:type="dcterms:W3CDTF">2025-08-28T06:44:00Z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2021-11-02</vt:lpwstr>
  </property>
  <property fmtid="{D5CDD505-2E9C-101B-9397-08002B2CF9AE}" pid="15" name="DISCesvisDescription">
    <vt:lpwstr>
</vt:lpwstr>
  </property>
  <property fmtid="{D5CDD505-2E9C-101B-9397-08002B2CF9AE}" pid="23" name="DISCesvisDocRegDate">
    <vt:lpwstr>2021-11-08</vt:lpwstr>
  </property>
  <property fmtid="{D5CDD505-2E9C-101B-9397-08002B2CF9AE}" pid="24" name="DISCesvisRegDate">
    <vt:lpwstr>2021-11-08</vt:lpwstr>
  </property>
  <property fmtid="{D5CDD505-2E9C-101B-9397-08002B2CF9AE}" pid="25" name="DISCesvisDocRegNr">
    <vt:lpwstr>IZ-17</vt:lpwstr>
  </property>
  <property fmtid="{D5CDD505-2E9C-101B-9397-08002B2CF9AE}" pid="86" name="DISCesvisAdditionalMakers">
    <vt:lpwstr>Vecākā referente Evita Nagle</vt:lpwstr>
  </property>
  <property fmtid="{D5CDD505-2E9C-101B-9397-08002B2CF9AE}" pid="87" name="DIScgiUrl">
    <vt:lpwstr>https://lim.esvis.gov.lv/cs/idcplg</vt:lpwstr>
  </property>
  <property fmtid="{D5CDD505-2E9C-101B-9397-08002B2CF9AE}" pid="88" name="DISdDocName">
    <vt:lpwstr>L565373</vt:lpwstr>
  </property>
  <property fmtid="{D5CDD505-2E9C-101B-9397-08002B2CF9AE}" pid="89" name="DISCesvisAdditionalTutors">
    <vt:lpwstr>Vecākā referente Evita Nagle, Direktore Laima Rituma</vt:lpwstr>
  </property>
  <property fmtid="{D5CDD505-2E9C-101B-9397-08002B2CF9AE}" pid="90" name="DISCesvisSigner">
    <vt:lpwstr> Atis Švinka</vt:lpwstr>
  </property>
  <property fmtid="{D5CDD505-2E9C-101B-9397-08002B2CF9AE}" pid="91" name="DISCesvisSafetyLevel">
    <vt:lpwstr>Vispārpieejams</vt:lpwstr>
  </property>
  <property fmtid="{D5CDD505-2E9C-101B-9397-08002B2CF9AE}" pid="92" name="DISTaskPaneUrl">
    <vt:lpwstr>https://lim.esvis.gov.lv/cs/idcplg?ClientControlled=DocMan&amp;coreContentOnly=1&amp;WebdavRequest=1&amp;IdcService=DOC_INFO&amp;dID=652241</vt:lpwstr>
  </property>
  <property fmtid="{D5CDD505-2E9C-101B-9397-08002B2CF9AE}" pid="93" name="DISCesvisTitle">
    <vt:lpwstr>Informatīvais ziņojums "Latvijas Republikas nacionālā pozīcija Nr. 1 “Priekšlikums Eiropas Parlamenta un Padomes Direktīvai, ar ko groza Direktīvu 2014/45/ES par mehānisko transportlīdzekļu un to piekabju periodiskajām tehniskajām apskatēm un Direktīvu 2014/47/ES par Savienībā izmantotu komerciālo transportlīdzekļu tehniskajām pārbaudēm uz ceļiem”"</vt:lpwstr>
  </property>
  <property fmtid="{D5CDD505-2E9C-101B-9397-08002B2CF9AE}" pid="94" name="DISCesvisMinistryOfMinister">
    <vt:lpwstr>wwTemplateNP_MinistryOfMinister(Satiksmes,)</vt:lpwstr>
  </property>
  <property fmtid="{D5CDD505-2E9C-101B-9397-08002B2CF9AE}" pid="95" name="DISCesvisAuthor">
    <vt:lpwstr>Satiksmes ministrija</vt:lpwstr>
  </property>
  <property fmtid="{D5CDD505-2E9C-101B-9397-08002B2CF9AE}" pid="96" name="DISCesvisMainMaker">
    <vt:lpwstr>Vecākā referente Evita Nagle</vt:lpwstr>
  </property>
  <property fmtid="{D5CDD505-2E9C-101B-9397-08002B2CF9AE}" pid="97" name="DISCesvisAdditionalTutorsMail">
    <vt:lpwstr>evita.nagle@sam.gov.lv, laima.rituma@sam.gov.lv</vt:lpwstr>
  </property>
  <property fmtid="{D5CDD505-2E9C-101B-9397-08002B2CF9AE}" pid="98" name="DISCesvisAdditionalTutorsPhone">
    <vt:lpwstr>67028198</vt:lpwstr>
  </property>
  <property fmtid="{D5CDD505-2E9C-101B-9397-08002B2CF9AE}" pid="99" name="DISidcName">
    <vt:lpwstr>1020404016200</vt:lpwstr>
  </property>
  <property fmtid="{D5CDD505-2E9C-101B-9397-08002B2CF9AE}" pid="100" name="DISProperties">
    <vt:lpwstr>DISCesvisAdditionalMakers,DIScgiUrl,DISdDocName,DISCesvisAdditionalTutors,DISCesvisSigner,DISTaskPaneUrl,DISCesvisSafetyLeve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01" name="DISCesvisAdditionalMakersMail">
    <vt:lpwstr>evita.nagle@sam.gov.lv</vt:lpwstr>
  </property>
  <property fmtid="{D5CDD505-2E9C-101B-9397-08002B2CF9AE}" pid="102" name="DISdUser">
    <vt:lpwstr>weblogic</vt:lpwstr>
  </property>
  <property fmtid="{D5CDD505-2E9C-101B-9397-08002B2CF9AE}" pid="103" name="DISCesvisOrgApprovers">
    <vt:lpwstr>Ārlietu ministrija, Finanšu ministrija, Ekonomikas ministrija, Iekšlietu ministrija, Tieslietu ministrija</vt:lpwstr>
  </property>
  <property fmtid="{D5CDD505-2E9C-101B-9397-08002B2CF9AE}" pid="104" name="DISdID">
    <vt:lpwstr>652241</vt:lpwstr>
  </property>
  <property fmtid="{D5CDD505-2E9C-101B-9397-08002B2CF9AE}" pid="105" name="DISCesvisMainMakerOrgUnitTitle">
    <vt:lpwstr>Eiropas Savienības lietu koordinācijas departaments</vt:lpwstr>
  </property>
</Properties>
</file>