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25F" w14:textId="77777777" w:rsidR="00584BC7" w:rsidRPr="008C4475" w:rsidRDefault="002B0A36" w:rsidP="00BA1ECF">
      <w:pPr>
        <w:pStyle w:val="1pakapesvirsraksts"/>
        <w:numPr>
          <w:ilvl w:val="0"/>
          <w:numId w:val="0"/>
        </w:numPr>
        <w:spacing w:before="0" w:after="0"/>
        <w:ind w:left="426"/>
        <w:jc w:val="right"/>
        <w:rPr>
          <w:b w:val="0"/>
          <w:i/>
          <w:iCs/>
          <w:sz w:val="24"/>
        </w:rPr>
      </w:pPr>
      <w:bookmarkStart w:id="0" w:name="_Toc389811787"/>
      <w:r>
        <w:rPr>
          <w:b w:val="0"/>
          <w:i/>
          <w:iCs/>
          <w:sz w:val="24"/>
        </w:rPr>
        <w:t>3</w:t>
      </w:r>
      <w:r w:rsidR="00596F4A" w:rsidRPr="008C4475">
        <w:rPr>
          <w:b w:val="0"/>
          <w:i/>
          <w:iCs/>
          <w:sz w:val="24"/>
        </w:rPr>
        <w:t>.</w:t>
      </w:r>
      <w:r w:rsidR="001C108E" w:rsidRPr="008C4475">
        <w:rPr>
          <w:b w:val="0"/>
          <w:i/>
          <w:iCs/>
          <w:sz w:val="24"/>
        </w:rPr>
        <w:t xml:space="preserve"> </w:t>
      </w:r>
      <w:r w:rsidR="00584BC7" w:rsidRPr="008C4475">
        <w:rPr>
          <w:b w:val="0"/>
          <w:i/>
          <w:iCs/>
          <w:sz w:val="24"/>
        </w:rPr>
        <w:t>pielikums</w:t>
      </w:r>
      <w:bookmarkEnd w:id="0"/>
    </w:p>
    <w:p w14:paraId="1AC6A1AB" w14:textId="77777777" w:rsidR="00584BC7" w:rsidRPr="008C4475" w:rsidRDefault="00584BC7" w:rsidP="00BA1ECF">
      <w:pPr>
        <w:jc w:val="right"/>
        <w:rPr>
          <w:i/>
          <w:iCs/>
        </w:rPr>
      </w:pPr>
      <w:r w:rsidRPr="008C4475">
        <w:rPr>
          <w:i/>
          <w:iCs/>
        </w:rPr>
        <w:t>Sabiedrības veselības pamatnostādnēm</w:t>
      </w:r>
    </w:p>
    <w:p w14:paraId="5134D7B7" w14:textId="77777777" w:rsidR="00584BC7" w:rsidRPr="008C4475" w:rsidRDefault="00584BC7" w:rsidP="00BA1ECF">
      <w:pPr>
        <w:jc w:val="right"/>
        <w:rPr>
          <w:i/>
          <w:iCs/>
        </w:rPr>
      </w:pPr>
      <w:r w:rsidRPr="008C4475">
        <w:rPr>
          <w:i/>
          <w:iCs/>
        </w:rPr>
        <w:t>20</w:t>
      </w:r>
      <w:r w:rsidR="002878A0" w:rsidRPr="008C4475">
        <w:rPr>
          <w:i/>
          <w:iCs/>
        </w:rPr>
        <w:t>21</w:t>
      </w:r>
      <w:r w:rsidRPr="008C4475">
        <w:rPr>
          <w:i/>
          <w:iCs/>
        </w:rPr>
        <w:t>.-202</w:t>
      </w:r>
      <w:r w:rsidR="002878A0" w:rsidRPr="008C4475">
        <w:rPr>
          <w:i/>
          <w:iCs/>
        </w:rPr>
        <w:t>7</w:t>
      </w:r>
      <w:r w:rsidRPr="008C4475">
        <w:rPr>
          <w:i/>
          <w:iCs/>
        </w:rPr>
        <w:t>.</w:t>
      </w:r>
      <w:r w:rsidR="002878A0" w:rsidRPr="008C4475">
        <w:rPr>
          <w:i/>
          <w:iCs/>
        </w:rPr>
        <w:t xml:space="preserve"> </w:t>
      </w:r>
      <w:r w:rsidRPr="008C4475">
        <w:rPr>
          <w:i/>
          <w:iCs/>
        </w:rPr>
        <w:t>gadam</w:t>
      </w:r>
    </w:p>
    <w:p w14:paraId="734462F7" w14:textId="77777777" w:rsidR="00584BC7" w:rsidRPr="008C4475" w:rsidRDefault="00584BC7" w:rsidP="000F418A">
      <w:pPr>
        <w:jc w:val="both"/>
      </w:pPr>
    </w:p>
    <w:p w14:paraId="2195959E" w14:textId="77777777" w:rsidR="00584BC7" w:rsidRPr="007B757C" w:rsidRDefault="00584BC7" w:rsidP="004954C6">
      <w:pPr>
        <w:pStyle w:val="1pakapesvirsraksts"/>
        <w:numPr>
          <w:ilvl w:val="0"/>
          <w:numId w:val="0"/>
        </w:numPr>
        <w:spacing w:before="0" w:after="0"/>
        <w:jc w:val="center"/>
        <w:rPr>
          <w:sz w:val="28"/>
          <w:szCs w:val="28"/>
        </w:rPr>
      </w:pPr>
      <w:bookmarkStart w:id="1" w:name="_Toc389811788"/>
      <w:bookmarkStart w:id="2" w:name="_Hlk71555515"/>
      <w:r w:rsidRPr="007B757C">
        <w:rPr>
          <w:sz w:val="28"/>
          <w:szCs w:val="28"/>
        </w:rPr>
        <w:t>Tekstā lietoto terminu skaidrojums</w:t>
      </w:r>
      <w:bookmarkEnd w:id="1"/>
    </w:p>
    <w:bookmarkEnd w:id="2"/>
    <w:p w14:paraId="029999DB" w14:textId="77777777" w:rsidR="001E167D" w:rsidRPr="008C4475" w:rsidRDefault="001E167D" w:rsidP="000F418A">
      <w:pPr>
        <w:jc w:val="both"/>
        <w:rPr>
          <w:rFonts w:eastAsia="Segoe UI"/>
          <w:color w:val="333333"/>
        </w:rPr>
      </w:pPr>
    </w:p>
    <w:p w14:paraId="59B016A9" w14:textId="77777777" w:rsidR="00A932EC" w:rsidRPr="00A932EC" w:rsidRDefault="00584BC7" w:rsidP="00A932EC">
      <w:pPr>
        <w:spacing w:after="120"/>
        <w:jc w:val="both"/>
        <w:rPr>
          <w:bCs/>
        </w:rPr>
      </w:pPr>
      <w:r w:rsidRPr="008C4475">
        <w:rPr>
          <w:rFonts w:eastAsia="Cambria"/>
          <w:b/>
          <w:bCs/>
        </w:rPr>
        <w:t xml:space="preserve">Alkoholisko dzērienu </w:t>
      </w:r>
      <w:r w:rsidR="00A932EC">
        <w:rPr>
          <w:rFonts w:eastAsia="Cambria"/>
          <w:b/>
          <w:bCs/>
        </w:rPr>
        <w:t xml:space="preserve">reģistrētais </w:t>
      </w:r>
      <w:r w:rsidRPr="008C4475">
        <w:rPr>
          <w:rFonts w:eastAsia="Cambria"/>
          <w:b/>
          <w:bCs/>
        </w:rPr>
        <w:t xml:space="preserve">patēriņš uz vienu iedzīvotāju </w:t>
      </w:r>
      <w:r w:rsidR="00217830" w:rsidRPr="008C4475">
        <w:t>–</w:t>
      </w:r>
      <w:r w:rsidRPr="008C4475">
        <w:rPr>
          <w:rFonts w:eastAsia="Cambria"/>
          <w:bCs/>
        </w:rPr>
        <w:t xml:space="preserve"> </w:t>
      </w:r>
      <w:r w:rsidR="00A932EC" w:rsidRPr="00A932EC">
        <w:rPr>
          <w:bCs/>
        </w:rPr>
        <w:t>rādītājs, kas raksturo patēriņam nodoto un valstī reģistrēto alkoholisko dzērienu tilpuma attiecību gadā uz vienu iedzīvotāju no 15 gadu vecuma.</w:t>
      </w:r>
      <w:r w:rsidR="00A932EC">
        <w:rPr>
          <w:rStyle w:val="FootnoteReference"/>
          <w:bCs/>
        </w:rPr>
        <w:footnoteReference w:id="2"/>
      </w:r>
    </w:p>
    <w:p w14:paraId="536242C3" w14:textId="77777777" w:rsidR="00A51190" w:rsidRPr="008C4475" w:rsidRDefault="00584BC7" w:rsidP="00A51190">
      <w:pPr>
        <w:spacing w:after="120"/>
        <w:jc w:val="both"/>
        <w:rPr>
          <w:bCs/>
        </w:rPr>
      </w:pPr>
      <w:r w:rsidRPr="008C4475">
        <w:rPr>
          <w:rFonts w:eastAsia="Cambria"/>
          <w:b/>
          <w:bCs/>
        </w:rPr>
        <w:t>Alkoholisko dzērienu patēriņš, pārrēķinot absolūtajā alkoholā</w:t>
      </w:r>
      <w:r w:rsidRPr="008C4475">
        <w:rPr>
          <w:rFonts w:eastAsia="Cambria"/>
          <w:bCs/>
        </w:rPr>
        <w:t xml:space="preserve"> </w:t>
      </w:r>
      <w:r w:rsidR="00217830" w:rsidRPr="008C4475">
        <w:t>–</w:t>
      </w:r>
      <w:r w:rsidRPr="008C4475">
        <w:rPr>
          <w:rFonts w:eastAsia="Cambria"/>
          <w:bCs/>
        </w:rPr>
        <w:t xml:space="preserve"> </w:t>
      </w:r>
      <w:r w:rsidR="00A932EC" w:rsidRPr="00A932EC">
        <w:rPr>
          <w:bCs/>
        </w:rPr>
        <w:t>valstī patēriņam nodoto alkoholisko dzērienu rādītājs gadā, kas aprēķināts atsevišķi par katru dzērienu grupu (degvīns, vīni, konjaks, alus u.tml.), kā arī visiem dzērieniem kopā, pārrēķinot absolūtā (100%) alkohola tilpuma litros, attiecinot uz vidējo iedzīvotāju skaitu no 15 gad</w:t>
      </w:r>
      <w:r w:rsidR="00023C4D">
        <w:rPr>
          <w:bCs/>
        </w:rPr>
        <w:t>u vecuma</w:t>
      </w:r>
      <w:r w:rsidR="00A932EC" w:rsidRPr="00A932EC">
        <w:rPr>
          <w:bCs/>
        </w:rPr>
        <w:t xml:space="preserve"> attiecīgajā gadā</w:t>
      </w:r>
      <w:r w:rsidR="00660A39">
        <w:rPr>
          <w:bCs/>
        </w:rPr>
        <w:t>.</w:t>
      </w:r>
    </w:p>
    <w:p w14:paraId="7BA81CDC" w14:textId="77777777" w:rsidR="00B70C84" w:rsidRDefault="00A51190" w:rsidP="000F418A">
      <w:pPr>
        <w:pStyle w:val="ListParagraph"/>
        <w:spacing w:after="120" w:line="240" w:lineRule="auto"/>
        <w:ind w:left="0"/>
        <w:contextualSpacing w:val="0"/>
        <w:jc w:val="both"/>
        <w:rPr>
          <w:rFonts w:ascii="Times New Roman" w:hAnsi="Times New Roman" w:cs="Times New Roman"/>
          <w:bCs/>
          <w:sz w:val="24"/>
          <w:szCs w:val="24"/>
        </w:rPr>
      </w:pPr>
      <w:r w:rsidRPr="004561BD">
        <w:rPr>
          <w:rFonts w:ascii="Times New Roman" w:hAnsi="Times New Roman" w:cs="Times New Roman"/>
          <w:b/>
          <w:sz w:val="24"/>
          <w:szCs w:val="24"/>
        </w:rPr>
        <w:t>A</w:t>
      </w:r>
      <w:r w:rsidRPr="008C4475">
        <w:rPr>
          <w:rFonts w:ascii="Times New Roman" w:hAnsi="Times New Roman" w:cs="Times New Roman"/>
          <w:b/>
          <w:bCs/>
          <w:sz w:val="24"/>
          <w:szCs w:val="24"/>
        </w:rPr>
        <w:t>prūpe mājās</w:t>
      </w:r>
      <w:r w:rsidRPr="008C4475">
        <w:rPr>
          <w:rFonts w:ascii="Times New Roman" w:hAnsi="Times New Roman" w:cs="Times New Roman"/>
          <w:bCs/>
          <w:sz w:val="24"/>
          <w:szCs w:val="24"/>
        </w:rPr>
        <w:t> — pakalpojumi mājās pamatvajadzību apmierināšanai personām, kuras objektīvu apstākļu dēļ nevar sevi aprūpēt. Sociālā aprūpe mājās šķirama no veselības aprūpes mājās, kas ir māsu vai ārsta palīgu (feldšeru) sniegtie veselības aprūpes pakalpojumi pacientam viņa dzīvesvietā. Veselības aprūpes mājās nolūks ir to turpināt secīgi, tiklīdz pacientam vairs nav nepieciešama veselības aprūpes pakalpojumu saņemšana stacionārā.</w:t>
      </w:r>
    </w:p>
    <w:p w14:paraId="7B6824F2" w14:textId="77777777" w:rsidR="00B1647C" w:rsidRPr="008C4475" w:rsidRDefault="00B1647C"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 xml:space="preserve">Ar </w:t>
      </w:r>
      <w:r w:rsidR="000773EB" w:rsidRPr="008C4475">
        <w:rPr>
          <w:rFonts w:ascii="Times New Roman" w:hAnsi="Times New Roman" w:cs="Times New Roman"/>
          <w:b/>
          <w:bCs/>
          <w:sz w:val="24"/>
          <w:szCs w:val="24"/>
        </w:rPr>
        <w:t xml:space="preserve">ārstniecību </w:t>
      </w:r>
      <w:r w:rsidRPr="008C4475">
        <w:rPr>
          <w:rFonts w:ascii="Times New Roman" w:hAnsi="Times New Roman" w:cs="Times New Roman"/>
          <w:b/>
          <w:bCs/>
          <w:sz w:val="24"/>
          <w:szCs w:val="24"/>
        </w:rPr>
        <w:t>novēršam</w:t>
      </w:r>
      <w:r w:rsidR="000773EB" w:rsidRPr="008C4475">
        <w:rPr>
          <w:rFonts w:ascii="Times New Roman" w:hAnsi="Times New Roman" w:cs="Times New Roman"/>
          <w:b/>
          <w:bCs/>
          <w:sz w:val="24"/>
          <w:szCs w:val="24"/>
        </w:rPr>
        <w:t>ā</w:t>
      </w:r>
      <w:r w:rsidRPr="008C4475">
        <w:rPr>
          <w:rFonts w:ascii="Times New Roman" w:hAnsi="Times New Roman" w:cs="Times New Roman"/>
          <w:b/>
          <w:bCs/>
          <w:sz w:val="24"/>
          <w:szCs w:val="24"/>
        </w:rPr>
        <w:t xml:space="preserve"> mirstība</w:t>
      </w:r>
      <w:r w:rsidR="00134152" w:rsidRPr="008C4475">
        <w:rPr>
          <w:rFonts w:ascii="Times New Roman" w:hAnsi="Times New Roman" w:cs="Times New Roman"/>
          <w:b/>
          <w:bCs/>
          <w:sz w:val="24"/>
          <w:szCs w:val="24"/>
        </w:rPr>
        <w:t xml:space="preserve"> </w:t>
      </w:r>
      <w:r w:rsidR="00134152" w:rsidRPr="008C4475">
        <w:rPr>
          <w:rFonts w:ascii="Times New Roman" w:hAnsi="Times New Roman" w:cs="Times New Roman"/>
          <w:iCs/>
          <w:sz w:val="24"/>
          <w:szCs w:val="24"/>
        </w:rPr>
        <w:t>(</w:t>
      </w:r>
      <w:r w:rsidR="00134152" w:rsidRPr="008C4475">
        <w:rPr>
          <w:rFonts w:ascii="Times New Roman" w:hAnsi="Times New Roman" w:cs="Times New Roman"/>
          <w:i/>
          <w:iCs/>
          <w:sz w:val="24"/>
          <w:szCs w:val="24"/>
        </w:rPr>
        <w:t>treatable mortality</w:t>
      </w:r>
      <w:r w:rsidR="00134152" w:rsidRPr="008C4475">
        <w:rPr>
          <w:rFonts w:ascii="Times New Roman" w:hAnsi="Times New Roman" w:cs="Times New Roman"/>
          <w:iCs/>
          <w:sz w:val="24"/>
          <w:szCs w:val="24"/>
        </w:rPr>
        <w:t>)</w:t>
      </w:r>
      <w:r w:rsidRPr="008C4475">
        <w:rPr>
          <w:rFonts w:ascii="Times New Roman" w:hAnsi="Times New Roman" w:cs="Times New Roman"/>
          <w:sz w:val="24"/>
          <w:szCs w:val="24"/>
        </w:rPr>
        <w:t xml:space="preserve"> </w:t>
      </w:r>
      <w:r w:rsidR="000773EB" w:rsidRPr="008C4475">
        <w:rPr>
          <w:rFonts w:ascii="Times New Roman" w:hAnsi="Times New Roman" w:cs="Times New Roman"/>
          <w:sz w:val="24"/>
          <w:szCs w:val="24"/>
        </w:rPr>
        <w:t xml:space="preserve">– </w:t>
      </w:r>
      <w:r w:rsidR="00C67E6B" w:rsidRPr="008C4475">
        <w:rPr>
          <w:rFonts w:ascii="Times New Roman" w:hAnsi="Times New Roman" w:cs="Times New Roman"/>
          <w:sz w:val="24"/>
          <w:szCs w:val="24"/>
        </w:rPr>
        <w:t xml:space="preserve">viens no </w:t>
      </w:r>
      <w:r w:rsidR="00433F49" w:rsidRPr="008C4475">
        <w:rPr>
          <w:rFonts w:ascii="Times New Roman" w:hAnsi="Times New Roman" w:cs="Times New Roman"/>
          <w:sz w:val="24"/>
          <w:szCs w:val="24"/>
        </w:rPr>
        <w:t>priekšlaicīgas</w:t>
      </w:r>
      <w:r w:rsidR="00531F27" w:rsidRPr="008C4475">
        <w:rPr>
          <w:rStyle w:val="FootnoteReference"/>
          <w:rFonts w:ascii="Times New Roman" w:hAnsi="Times New Roman" w:cs="Times New Roman"/>
          <w:sz w:val="24"/>
          <w:szCs w:val="24"/>
        </w:rPr>
        <w:footnoteReference w:id="3"/>
      </w:r>
      <w:r w:rsidR="00433F49" w:rsidRPr="008C4475">
        <w:rPr>
          <w:rFonts w:ascii="Times New Roman" w:hAnsi="Times New Roman" w:cs="Times New Roman"/>
          <w:sz w:val="24"/>
          <w:szCs w:val="24"/>
        </w:rPr>
        <w:t xml:space="preserve"> mirstības </w:t>
      </w:r>
      <w:r w:rsidR="004879FF" w:rsidRPr="008C4475">
        <w:rPr>
          <w:rFonts w:ascii="Times New Roman" w:hAnsi="Times New Roman" w:cs="Times New Roman"/>
          <w:sz w:val="24"/>
          <w:szCs w:val="24"/>
        </w:rPr>
        <w:t>rādīt</w:t>
      </w:r>
      <w:r w:rsidR="00433F49" w:rsidRPr="008C4475">
        <w:rPr>
          <w:rFonts w:ascii="Times New Roman" w:hAnsi="Times New Roman" w:cs="Times New Roman"/>
          <w:sz w:val="24"/>
          <w:szCs w:val="24"/>
        </w:rPr>
        <w:t>ājiem</w:t>
      </w:r>
      <w:r w:rsidR="00AE2CAA" w:rsidRPr="008C4475">
        <w:rPr>
          <w:rFonts w:ascii="Times New Roman" w:hAnsi="Times New Roman" w:cs="Times New Roman"/>
          <w:sz w:val="24"/>
          <w:szCs w:val="24"/>
        </w:rPr>
        <w:t>, k</w:t>
      </w:r>
      <w:r w:rsidR="00B16AF3">
        <w:rPr>
          <w:rFonts w:ascii="Times New Roman" w:hAnsi="Times New Roman" w:cs="Times New Roman"/>
          <w:sz w:val="24"/>
          <w:szCs w:val="24"/>
        </w:rPr>
        <w:t>as</w:t>
      </w:r>
      <w:r w:rsidR="00AE2CAA" w:rsidRPr="008C4475">
        <w:rPr>
          <w:rFonts w:ascii="Times New Roman" w:hAnsi="Times New Roman" w:cs="Times New Roman"/>
          <w:sz w:val="24"/>
          <w:szCs w:val="24"/>
        </w:rPr>
        <w:t xml:space="preserve"> raksturo mirstību no tādiem nāves cēloņiem</w:t>
      </w:r>
      <w:r w:rsidR="004879FF" w:rsidRPr="008C4475">
        <w:rPr>
          <w:rFonts w:ascii="Times New Roman" w:hAnsi="Times New Roman" w:cs="Times New Roman"/>
          <w:sz w:val="24"/>
          <w:szCs w:val="24"/>
        </w:rPr>
        <w:t xml:space="preserve">, </w:t>
      </w:r>
      <w:r w:rsidRPr="008C4475">
        <w:rPr>
          <w:rFonts w:ascii="Times New Roman" w:hAnsi="Times New Roman" w:cs="Times New Roman"/>
          <w:sz w:val="24"/>
          <w:szCs w:val="24"/>
        </w:rPr>
        <w:t>kurus</w:t>
      </w:r>
      <w:r w:rsidR="00AE2CAA" w:rsidRPr="008C4475">
        <w:rPr>
          <w:rFonts w:ascii="Times New Roman" w:hAnsi="Times New Roman" w:cs="Times New Roman"/>
          <w:sz w:val="24"/>
          <w:szCs w:val="24"/>
        </w:rPr>
        <w:t xml:space="preserve">, iespējams, </w:t>
      </w:r>
      <w:r w:rsidRPr="008C4475">
        <w:rPr>
          <w:rFonts w:ascii="Times New Roman" w:hAnsi="Times New Roman" w:cs="Times New Roman"/>
          <w:sz w:val="24"/>
          <w:szCs w:val="24"/>
        </w:rPr>
        <w:t xml:space="preserve"> varē</w:t>
      </w:r>
      <w:r w:rsidR="004879FF" w:rsidRPr="008C4475">
        <w:rPr>
          <w:rFonts w:ascii="Times New Roman" w:hAnsi="Times New Roman" w:cs="Times New Roman"/>
          <w:sz w:val="24"/>
          <w:szCs w:val="24"/>
        </w:rPr>
        <w:t>ja</w:t>
      </w:r>
      <w:r w:rsidR="002C0887" w:rsidRPr="008C4475">
        <w:rPr>
          <w:rFonts w:ascii="Times New Roman" w:hAnsi="Times New Roman" w:cs="Times New Roman"/>
          <w:sz w:val="24"/>
          <w:szCs w:val="24"/>
        </w:rPr>
        <w:t xml:space="preserve"> </w:t>
      </w:r>
      <w:r w:rsidRPr="008C4475">
        <w:rPr>
          <w:rFonts w:ascii="Times New Roman" w:hAnsi="Times New Roman" w:cs="Times New Roman"/>
          <w:sz w:val="24"/>
          <w:szCs w:val="24"/>
        </w:rPr>
        <w:t>novērst</w:t>
      </w:r>
      <w:r w:rsidR="00AE2CAA" w:rsidRPr="008C4475">
        <w:rPr>
          <w:rFonts w:ascii="Times New Roman" w:hAnsi="Times New Roman" w:cs="Times New Roman"/>
          <w:sz w:val="24"/>
          <w:szCs w:val="24"/>
        </w:rPr>
        <w:t xml:space="preserve"> ar savlaicīgu</w:t>
      </w:r>
      <w:r w:rsidR="006A4897" w:rsidRPr="008C4475">
        <w:rPr>
          <w:rFonts w:ascii="Times New Roman" w:hAnsi="Times New Roman" w:cs="Times New Roman"/>
          <w:sz w:val="24"/>
          <w:szCs w:val="24"/>
        </w:rPr>
        <w:t xml:space="preserve"> un efektīvu ārstniecību</w:t>
      </w:r>
      <w:r w:rsidR="00433F49" w:rsidRPr="008C4475">
        <w:rPr>
          <w:rFonts w:ascii="Times New Roman" w:hAnsi="Times New Roman" w:cs="Times New Roman"/>
          <w:sz w:val="24"/>
          <w:szCs w:val="24"/>
        </w:rPr>
        <w:t>,</w:t>
      </w:r>
      <w:r w:rsidRPr="008C4475">
        <w:rPr>
          <w:rFonts w:ascii="Times New Roman" w:hAnsi="Times New Roman" w:cs="Times New Roman"/>
          <w:sz w:val="24"/>
          <w:szCs w:val="24"/>
        </w:rPr>
        <w:t xml:space="preserve"> </w:t>
      </w:r>
      <w:r w:rsidR="00433F49" w:rsidRPr="008C4475">
        <w:rPr>
          <w:rFonts w:ascii="Times New Roman" w:hAnsi="Times New Roman" w:cs="Times New Roman"/>
          <w:sz w:val="24"/>
          <w:szCs w:val="24"/>
        </w:rPr>
        <w:t>t</w:t>
      </w:r>
      <w:r w:rsidR="00DB2122" w:rsidRPr="008C4475">
        <w:rPr>
          <w:rFonts w:ascii="Times New Roman" w:hAnsi="Times New Roman" w:cs="Times New Roman"/>
          <w:sz w:val="24"/>
          <w:szCs w:val="24"/>
        </w:rPr>
        <w:t>ai skaitā</w:t>
      </w:r>
      <w:r w:rsidR="00531F27" w:rsidRPr="008C4475">
        <w:rPr>
          <w:rFonts w:ascii="Times New Roman" w:hAnsi="Times New Roman" w:cs="Times New Roman"/>
          <w:sz w:val="24"/>
          <w:szCs w:val="24"/>
        </w:rPr>
        <w:t>,</w:t>
      </w:r>
      <w:r w:rsidR="00433F49" w:rsidRPr="008C4475">
        <w:rPr>
          <w:rFonts w:ascii="Times New Roman" w:hAnsi="Times New Roman" w:cs="Times New Roman"/>
          <w:sz w:val="24"/>
          <w:szCs w:val="24"/>
        </w:rPr>
        <w:t xml:space="preserve"> piemēram, sekundāro profilaksi vai </w:t>
      </w:r>
      <w:r w:rsidRPr="008C4475">
        <w:rPr>
          <w:rFonts w:ascii="Times New Roman" w:hAnsi="Times New Roman" w:cs="Times New Roman"/>
          <w:sz w:val="24"/>
          <w:szCs w:val="24"/>
        </w:rPr>
        <w:t>ārstēšanu</w:t>
      </w:r>
      <w:r w:rsidR="00433F49" w:rsidRPr="008C4475">
        <w:rPr>
          <w:rFonts w:ascii="Times New Roman" w:hAnsi="Times New Roman" w:cs="Times New Roman"/>
          <w:sz w:val="24"/>
          <w:szCs w:val="24"/>
        </w:rPr>
        <w:t xml:space="preserve">, </w:t>
      </w:r>
      <w:r w:rsidR="00AE2CAA" w:rsidRPr="008C4475">
        <w:rPr>
          <w:rFonts w:ascii="Times New Roman" w:hAnsi="Times New Roman" w:cs="Times New Roman"/>
          <w:sz w:val="24"/>
          <w:szCs w:val="24"/>
        </w:rPr>
        <w:t xml:space="preserve">parasti attiecinot </w:t>
      </w:r>
      <w:r w:rsidR="00433F49" w:rsidRPr="008C4475">
        <w:rPr>
          <w:rFonts w:ascii="Times New Roman" w:hAnsi="Times New Roman" w:cs="Times New Roman"/>
          <w:sz w:val="24"/>
          <w:szCs w:val="24"/>
        </w:rPr>
        <w:t>uz 100 000 iedzīvotāju</w:t>
      </w:r>
      <w:r w:rsidRPr="008C4475">
        <w:rPr>
          <w:rFonts w:ascii="Times New Roman" w:hAnsi="Times New Roman" w:cs="Times New Roman"/>
          <w:sz w:val="24"/>
          <w:szCs w:val="24"/>
        </w:rPr>
        <w:t>.</w:t>
      </w:r>
    </w:p>
    <w:p w14:paraId="655E5006" w14:textId="77777777" w:rsidR="00B1647C" w:rsidRPr="008C4475" w:rsidRDefault="00B1647C"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Ar profilaksi novēršam</w:t>
      </w:r>
      <w:r w:rsidR="000C621F" w:rsidRPr="008C4475">
        <w:rPr>
          <w:rFonts w:ascii="Times New Roman" w:hAnsi="Times New Roman" w:cs="Times New Roman"/>
          <w:b/>
          <w:bCs/>
          <w:sz w:val="24"/>
          <w:szCs w:val="24"/>
        </w:rPr>
        <w:t>ā</w:t>
      </w:r>
      <w:r w:rsidRPr="008C4475">
        <w:rPr>
          <w:rFonts w:ascii="Times New Roman" w:hAnsi="Times New Roman" w:cs="Times New Roman"/>
          <w:b/>
          <w:bCs/>
          <w:sz w:val="24"/>
          <w:szCs w:val="24"/>
        </w:rPr>
        <w:t xml:space="preserve"> mirstība</w:t>
      </w:r>
      <w:r w:rsidRPr="008C4475">
        <w:rPr>
          <w:rFonts w:ascii="Times New Roman" w:hAnsi="Times New Roman" w:cs="Times New Roman"/>
          <w:sz w:val="24"/>
          <w:szCs w:val="24"/>
        </w:rPr>
        <w:t xml:space="preserve"> </w:t>
      </w:r>
      <w:r w:rsidRPr="008C4475">
        <w:rPr>
          <w:rFonts w:ascii="Times New Roman" w:hAnsi="Times New Roman" w:cs="Times New Roman"/>
          <w:i/>
          <w:iCs/>
          <w:sz w:val="24"/>
          <w:szCs w:val="24"/>
        </w:rPr>
        <w:t>(preventable mortality)</w:t>
      </w:r>
      <w:r w:rsidR="000C621F" w:rsidRPr="008C4475">
        <w:rPr>
          <w:rFonts w:ascii="Times New Roman" w:hAnsi="Times New Roman" w:cs="Times New Roman"/>
          <w:i/>
          <w:iCs/>
          <w:sz w:val="24"/>
          <w:szCs w:val="24"/>
        </w:rPr>
        <w:t xml:space="preserve"> –</w:t>
      </w:r>
      <w:r w:rsidR="002C0887" w:rsidRPr="008C4475">
        <w:rPr>
          <w:rFonts w:ascii="Times New Roman" w:hAnsi="Times New Roman" w:cs="Times New Roman"/>
          <w:i/>
          <w:iCs/>
          <w:sz w:val="24"/>
          <w:szCs w:val="24"/>
        </w:rPr>
        <w:t xml:space="preserve"> </w:t>
      </w:r>
      <w:r w:rsidR="002C0887" w:rsidRPr="008C4475">
        <w:rPr>
          <w:rFonts w:ascii="Times New Roman" w:hAnsi="Times New Roman" w:cs="Times New Roman"/>
          <w:sz w:val="24"/>
          <w:szCs w:val="24"/>
        </w:rPr>
        <w:t xml:space="preserve">viens no priekšlaicīgas mirstības rādītājiem, kuru </w:t>
      </w:r>
      <w:r w:rsidR="002E07B1" w:rsidRPr="008C4475">
        <w:rPr>
          <w:rFonts w:ascii="Times New Roman" w:hAnsi="Times New Roman" w:cs="Times New Roman"/>
          <w:sz w:val="24"/>
          <w:szCs w:val="24"/>
        </w:rPr>
        <w:t>raksturo mirstību no tādiem nāves</w:t>
      </w:r>
      <w:r w:rsidR="002C0887" w:rsidRPr="008C4475">
        <w:rPr>
          <w:rFonts w:ascii="Times New Roman" w:hAnsi="Times New Roman" w:cs="Times New Roman"/>
          <w:sz w:val="24"/>
          <w:szCs w:val="24"/>
        </w:rPr>
        <w:t xml:space="preserve"> </w:t>
      </w:r>
      <w:r w:rsidR="002E07B1" w:rsidRPr="008C4475">
        <w:rPr>
          <w:rFonts w:ascii="Times New Roman" w:hAnsi="Times New Roman" w:cs="Times New Roman"/>
          <w:sz w:val="24"/>
          <w:szCs w:val="24"/>
        </w:rPr>
        <w:t>cēloņiem</w:t>
      </w:r>
      <w:r w:rsidR="002C0887" w:rsidRPr="008C4475">
        <w:rPr>
          <w:rFonts w:ascii="Times New Roman" w:hAnsi="Times New Roman" w:cs="Times New Roman"/>
          <w:sz w:val="24"/>
          <w:szCs w:val="24"/>
        </w:rPr>
        <w:t>, kurus</w:t>
      </w:r>
      <w:r w:rsidR="002E07B1" w:rsidRPr="008C4475">
        <w:rPr>
          <w:rFonts w:ascii="Times New Roman" w:hAnsi="Times New Roman" w:cs="Times New Roman"/>
          <w:sz w:val="24"/>
          <w:szCs w:val="24"/>
        </w:rPr>
        <w:t>, iespējams,</w:t>
      </w:r>
      <w:r w:rsidR="002C0887" w:rsidRPr="008C4475">
        <w:rPr>
          <w:rFonts w:ascii="Times New Roman" w:hAnsi="Times New Roman" w:cs="Times New Roman"/>
          <w:sz w:val="24"/>
          <w:szCs w:val="24"/>
        </w:rPr>
        <w:t xml:space="preserve"> varēja novērst </w:t>
      </w:r>
      <w:r w:rsidRPr="008C4475">
        <w:rPr>
          <w:rFonts w:ascii="Times New Roman" w:hAnsi="Times New Roman" w:cs="Times New Roman"/>
          <w:sz w:val="24"/>
          <w:szCs w:val="24"/>
        </w:rPr>
        <w:t xml:space="preserve">ar </w:t>
      </w:r>
      <w:r w:rsidR="002C0887" w:rsidRPr="008C4475">
        <w:rPr>
          <w:rFonts w:ascii="Times New Roman" w:hAnsi="Times New Roman" w:cs="Times New Roman"/>
          <w:sz w:val="24"/>
          <w:szCs w:val="24"/>
        </w:rPr>
        <w:t xml:space="preserve">efektīviem sabiedrības veselības vai </w:t>
      </w:r>
      <w:r w:rsidRPr="008C4475">
        <w:rPr>
          <w:rFonts w:ascii="Times New Roman" w:hAnsi="Times New Roman" w:cs="Times New Roman"/>
          <w:sz w:val="24"/>
          <w:szCs w:val="24"/>
        </w:rPr>
        <w:t>primārās profilakses pasākumiem</w:t>
      </w:r>
      <w:r w:rsidR="002C0887" w:rsidRPr="008C4475">
        <w:rPr>
          <w:rFonts w:ascii="Times New Roman" w:hAnsi="Times New Roman" w:cs="Times New Roman"/>
          <w:sz w:val="24"/>
          <w:szCs w:val="24"/>
        </w:rPr>
        <w:t>,</w:t>
      </w:r>
      <w:r w:rsidRPr="008C4475">
        <w:rPr>
          <w:rFonts w:ascii="Times New Roman" w:hAnsi="Times New Roman" w:cs="Times New Roman"/>
          <w:sz w:val="24"/>
          <w:szCs w:val="24"/>
        </w:rPr>
        <w:t xml:space="preserve"> </w:t>
      </w:r>
      <w:r w:rsidR="002E07B1" w:rsidRPr="008C4475">
        <w:rPr>
          <w:rFonts w:ascii="Times New Roman" w:hAnsi="Times New Roman" w:cs="Times New Roman"/>
          <w:sz w:val="24"/>
          <w:szCs w:val="24"/>
        </w:rPr>
        <w:t>parasti attiecinot uz 100 000 iedzīvotāju.</w:t>
      </w:r>
    </w:p>
    <w:p w14:paraId="6E30D69C" w14:textId="77777777" w:rsidR="0068698A" w:rsidRPr="008C4475" w:rsidRDefault="00C14543"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Ā</w:t>
      </w:r>
      <w:r w:rsidR="0068698A" w:rsidRPr="008C4475">
        <w:rPr>
          <w:rFonts w:ascii="Times New Roman" w:hAnsi="Times New Roman" w:cs="Times New Roman"/>
          <w:b/>
          <w:bCs/>
          <w:sz w:val="24"/>
          <w:szCs w:val="24"/>
        </w:rPr>
        <w:t xml:space="preserve">rstniecība </w:t>
      </w:r>
      <w:r w:rsidR="0068698A" w:rsidRPr="008C4475">
        <w:rPr>
          <w:rFonts w:ascii="Times New Roman" w:hAnsi="Times New Roman" w:cs="Times New Roman"/>
          <w:i/>
          <w:sz w:val="24"/>
          <w:szCs w:val="24"/>
        </w:rPr>
        <w:t>(medical care)</w:t>
      </w:r>
      <w:r w:rsidR="00BC7D6E" w:rsidRPr="008C4475">
        <w:rPr>
          <w:rFonts w:ascii="Times New Roman" w:hAnsi="Times New Roman" w:cs="Times New Roman"/>
          <w:sz w:val="24"/>
          <w:szCs w:val="24"/>
        </w:rPr>
        <w:t xml:space="preserve"> –</w:t>
      </w:r>
      <w:r w:rsidR="002C0887" w:rsidRPr="008C4475">
        <w:rPr>
          <w:rFonts w:ascii="Times New Roman" w:hAnsi="Times New Roman" w:cs="Times New Roman"/>
          <w:sz w:val="24"/>
          <w:szCs w:val="24"/>
        </w:rPr>
        <w:t xml:space="preserve"> profesionāla un individuāla slimību profilakse, diagnostika un ārstēšana </w:t>
      </w:r>
      <w:r w:rsidR="002C0887" w:rsidRPr="008C4475">
        <w:rPr>
          <w:rFonts w:ascii="Times New Roman" w:hAnsi="Times New Roman" w:cs="Times New Roman"/>
          <w:i/>
          <w:sz w:val="24"/>
          <w:szCs w:val="24"/>
        </w:rPr>
        <w:t>(treatment, surgery)</w:t>
      </w:r>
      <w:r w:rsidR="002C0887" w:rsidRPr="008C4475">
        <w:rPr>
          <w:rFonts w:ascii="Times New Roman" w:hAnsi="Times New Roman" w:cs="Times New Roman"/>
          <w:sz w:val="24"/>
          <w:szCs w:val="24"/>
        </w:rPr>
        <w:t xml:space="preserve">, pacientu aprūpe </w:t>
      </w:r>
      <w:r w:rsidR="002C0887" w:rsidRPr="008C4475">
        <w:rPr>
          <w:rFonts w:ascii="Times New Roman" w:hAnsi="Times New Roman" w:cs="Times New Roman"/>
          <w:i/>
          <w:sz w:val="24"/>
          <w:szCs w:val="24"/>
        </w:rPr>
        <w:t>(nursing)</w:t>
      </w:r>
      <w:r w:rsidR="00B56FEF" w:rsidRPr="008C4475">
        <w:rPr>
          <w:rFonts w:ascii="Times New Roman" w:hAnsi="Times New Roman" w:cs="Times New Roman"/>
          <w:sz w:val="24"/>
          <w:szCs w:val="24"/>
        </w:rPr>
        <w:t xml:space="preserve"> </w:t>
      </w:r>
      <w:r w:rsidR="0068698A" w:rsidRPr="008C4475">
        <w:rPr>
          <w:rFonts w:ascii="Times New Roman" w:hAnsi="Times New Roman" w:cs="Times New Roman"/>
          <w:sz w:val="24"/>
          <w:szCs w:val="24"/>
        </w:rPr>
        <w:t xml:space="preserve">un </w:t>
      </w:r>
      <w:r w:rsidR="00B56FEF" w:rsidRPr="008C4475">
        <w:rPr>
          <w:rFonts w:ascii="Times New Roman" w:hAnsi="Times New Roman" w:cs="Times New Roman"/>
          <w:sz w:val="24"/>
          <w:szCs w:val="24"/>
        </w:rPr>
        <w:t>medicīniskā rehabilitācija</w:t>
      </w:r>
      <w:r w:rsidRPr="008C4475">
        <w:rPr>
          <w:rFonts w:ascii="Times New Roman" w:hAnsi="Times New Roman" w:cs="Times New Roman"/>
          <w:sz w:val="24"/>
          <w:szCs w:val="24"/>
        </w:rPr>
        <w:t>.</w:t>
      </w:r>
    </w:p>
    <w:p w14:paraId="0D7F6F8C" w14:textId="0D400D68" w:rsidR="00EB10BC" w:rsidRPr="00EB10BC" w:rsidRDefault="00DD0EBC" w:rsidP="00EB10BC">
      <w:pPr>
        <w:tabs>
          <w:tab w:val="left" w:pos="540"/>
        </w:tabs>
        <w:spacing w:after="120"/>
        <w:jc w:val="both"/>
        <w:rPr>
          <w:rFonts w:eastAsia="Cambria"/>
        </w:rPr>
      </w:pPr>
      <w:r>
        <w:rPr>
          <w:rFonts w:eastAsia="Cambria"/>
          <w:b/>
          <w:bCs/>
        </w:rPr>
        <w:t xml:space="preserve">Biomonitorings </w:t>
      </w:r>
      <w:r w:rsidR="00EB10BC" w:rsidRPr="00EB10BC">
        <w:rPr>
          <w:rFonts w:eastAsia="Cambria"/>
        </w:rPr>
        <w:t>–</w:t>
      </w:r>
      <w:r w:rsidRPr="00EB10BC">
        <w:rPr>
          <w:rFonts w:eastAsia="Cambria"/>
        </w:rPr>
        <w:t xml:space="preserve"> </w:t>
      </w:r>
      <w:r w:rsidR="00EB10BC" w:rsidRPr="00EB10BC">
        <w:rPr>
          <w:rFonts w:eastAsia="Cambria"/>
        </w:rPr>
        <w:t>ķīmisko vielu vai to metabolisma starpproduktu mērījumi cilvēka organismā (</w:t>
      </w:r>
      <w:r w:rsidR="00EB10BC">
        <w:rPr>
          <w:rFonts w:eastAsia="Cambria"/>
        </w:rPr>
        <w:t xml:space="preserve">asinīs, </w:t>
      </w:r>
      <w:r w:rsidR="009F1246">
        <w:rPr>
          <w:rFonts w:eastAsia="Cambria"/>
        </w:rPr>
        <w:t>urīnā, matos, mātes pienā</w:t>
      </w:r>
      <w:r w:rsidR="00A05AE6">
        <w:rPr>
          <w:rFonts w:eastAsia="Cambria"/>
        </w:rPr>
        <w:t>, kaulos</w:t>
      </w:r>
      <w:r w:rsidR="00E33276">
        <w:rPr>
          <w:rFonts w:eastAsia="Cambria"/>
        </w:rPr>
        <w:t>, taukaudos, nagos</w:t>
      </w:r>
      <w:r w:rsidR="009F1246">
        <w:rPr>
          <w:rFonts w:eastAsia="Cambria"/>
        </w:rPr>
        <w:t xml:space="preserve"> u.c.)</w:t>
      </w:r>
      <w:r w:rsidR="00361692">
        <w:rPr>
          <w:rFonts w:eastAsia="Cambria"/>
        </w:rPr>
        <w:t>, lai novērtētu</w:t>
      </w:r>
      <w:r w:rsidR="007235CF">
        <w:rPr>
          <w:rFonts w:eastAsia="Cambria"/>
        </w:rPr>
        <w:t xml:space="preserve"> </w:t>
      </w:r>
      <w:r w:rsidR="00A05AE6">
        <w:rPr>
          <w:rFonts w:eastAsia="Cambria"/>
        </w:rPr>
        <w:t>piesārņojuma ietekmi</w:t>
      </w:r>
      <w:r w:rsidR="007235CF">
        <w:rPr>
          <w:rFonts w:eastAsia="Cambria"/>
        </w:rPr>
        <w:t xml:space="preserve"> uz cilvēk</w:t>
      </w:r>
      <w:r w:rsidR="00A05AE6">
        <w:rPr>
          <w:rFonts w:eastAsia="Cambria"/>
        </w:rPr>
        <w:t>a organismu</w:t>
      </w:r>
    </w:p>
    <w:p w14:paraId="62A6161B" w14:textId="77777777" w:rsidR="00584BC7" w:rsidRPr="008C4475" w:rsidRDefault="00584BC7" w:rsidP="000F418A">
      <w:pPr>
        <w:tabs>
          <w:tab w:val="left" w:pos="540"/>
        </w:tabs>
        <w:spacing w:after="120"/>
        <w:jc w:val="both"/>
        <w:rPr>
          <w:bCs/>
          <w:iCs/>
        </w:rPr>
      </w:pPr>
      <w:r w:rsidRPr="008C4475">
        <w:rPr>
          <w:rFonts w:eastAsia="Cambria"/>
          <w:b/>
          <w:bCs/>
        </w:rPr>
        <w:t>Dienas stacionārs</w:t>
      </w:r>
      <w:r w:rsidRPr="008C4475">
        <w:rPr>
          <w:rFonts w:eastAsia="Cambria"/>
          <w:b/>
          <w:bCs/>
          <w:i/>
          <w:iCs/>
        </w:rPr>
        <w:t> </w:t>
      </w:r>
      <w:r w:rsidR="00217830" w:rsidRPr="008C4475">
        <w:t>–</w:t>
      </w:r>
      <w:r w:rsidR="009437A0" w:rsidRPr="008C4475">
        <w:t xml:space="preserve"> </w:t>
      </w:r>
      <w:r w:rsidRPr="008C4475">
        <w:rPr>
          <w:rFonts w:eastAsia="Cambria"/>
        </w:rPr>
        <w:t>ārstniecības iestāde, kur</w:t>
      </w:r>
      <w:r w:rsidR="00B56FEF" w:rsidRPr="008C4475">
        <w:rPr>
          <w:rFonts w:eastAsia="Cambria"/>
        </w:rPr>
        <w:t>ā</w:t>
      </w:r>
      <w:r w:rsidRPr="008C4475">
        <w:rPr>
          <w:rFonts w:eastAsia="Cambria"/>
        </w:rPr>
        <w:t xml:space="preserve"> pacientam, kam nav nepieciešama ārstniecības personu aprūpe un uzraudzība visu diennakti, sniedz diagnostisko un ārstniecisko palīdzību. Dienas stacionārā diagnosticē slimības un </w:t>
      </w:r>
      <w:r w:rsidR="00B56FEF" w:rsidRPr="008C4475">
        <w:rPr>
          <w:rFonts w:eastAsia="Cambria"/>
        </w:rPr>
        <w:t xml:space="preserve">veselības </w:t>
      </w:r>
      <w:r w:rsidRPr="008C4475">
        <w:rPr>
          <w:rFonts w:eastAsia="Cambria"/>
        </w:rPr>
        <w:t>traucējumus, ārstē un aprūpē pacientus.</w:t>
      </w:r>
    </w:p>
    <w:p w14:paraId="4E845D3C" w14:textId="6285CFA5" w:rsidR="003E4874" w:rsidRPr="00AC4E6E" w:rsidRDefault="003E4874" w:rsidP="000F418A">
      <w:pPr>
        <w:spacing w:after="120"/>
        <w:jc w:val="both"/>
        <w:rPr>
          <w:bCs/>
        </w:rPr>
      </w:pPr>
      <w:r>
        <w:rPr>
          <w:b/>
        </w:rPr>
        <w:t xml:space="preserve">Dinamiskā novērošana </w:t>
      </w:r>
      <w:r w:rsidR="00827774">
        <w:rPr>
          <w:b/>
        </w:rPr>
        <w:t>–</w:t>
      </w:r>
      <w:r>
        <w:rPr>
          <w:b/>
        </w:rPr>
        <w:t xml:space="preserve"> </w:t>
      </w:r>
      <w:r w:rsidR="00827774" w:rsidRPr="00AC4E6E">
        <w:rPr>
          <w:bCs/>
        </w:rPr>
        <w:t xml:space="preserve">regulāras </w:t>
      </w:r>
      <w:r w:rsidR="00920F75" w:rsidRPr="00AC4E6E">
        <w:rPr>
          <w:bCs/>
        </w:rPr>
        <w:t xml:space="preserve">veselības stāvokļa </w:t>
      </w:r>
      <w:r w:rsidR="00827774" w:rsidRPr="00AC4E6E">
        <w:rPr>
          <w:bCs/>
        </w:rPr>
        <w:t xml:space="preserve">pārbaudes </w:t>
      </w:r>
      <w:r w:rsidR="00920F75" w:rsidRPr="00AC4E6E">
        <w:rPr>
          <w:bCs/>
        </w:rPr>
        <w:t xml:space="preserve">pacientiem, kuri slimo ar hroniskām slimībām, </w:t>
      </w:r>
      <w:r w:rsidR="00ED43AA" w:rsidRPr="00AC4E6E">
        <w:rPr>
          <w:bCs/>
        </w:rPr>
        <w:t xml:space="preserve">ar mērķi novērst </w:t>
      </w:r>
      <w:r w:rsidR="00AC4E6E" w:rsidRPr="00AC4E6E">
        <w:rPr>
          <w:bCs/>
        </w:rPr>
        <w:t xml:space="preserve">un savlaicīgi diagnosticēt </w:t>
      </w:r>
      <w:r w:rsidR="00ED43AA" w:rsidRPr="00AC4E6E">
        <w:rPr>
          <w:bCs/>
        </w:rPr>
        <w:t xml:space="preserve">slimības komplikācijas </w:t>
      </w:r>
      <w:r w:rsidR="00AC4E6E" w:rsidRPr="00AC4E6E">
        <w:rPr>
          <w:bCs/>
        </w:rPr>
        <w:t>vai</w:t>
      </w:r>
      <w:r w:rsidR="00ED43AA" w:rsidRPr="00AC4E6E">
        <w:rPr>
          <w:bCs/>
        </w:rPr>
        <w:t xml:space="preserve"> </w:t>
      </w:r>
      <w:r w:rsidR="001F2A22" w:rsidRPr="00AC4E6E">
        <w:rPr>
          <w:bCs/>
        </w:rPr>
        <w:t>slimības atkārtošanos</w:t>
      </w:r>
      <w:r w:rsidR="00AC4E6E" w:rsidRPr="00AC4E6E">
        <w:rPr>
          <w:bCs/>
        </w:rPr>
        <w:t>.</w:t>
      </w:r>
    </w:p>
    <w:p w14:paraId="18AAF855" w14:textId="1CE9C056" w:rsidR="00584BC7" w:rsidRPr="008C4475" w:rsidRDefault="00584BC7" w:rsidP="000F418A">
      <w:pPr>
        <w:spacing w:after="120"/>
        <w:jc w:val="both"/>
      </w:pPr>
      <w:r w:rsidRPr="008C4475">
        <w:rPr>
          <w:b/>
        </w:rPr>
        <w:lastRenderedPageBreak/>
        <w:t>Dzīves kvalitāte</w:t>
      </w:r>
      <w:r w:rsidRPr="008C4475">
        <w:t xml:space="preserve"> – personas, ģimenes, personu grupas</w:t>
      </w:r>
      <w:r w:rsidR="00B56FEF" w:rsidRPr="008C4475">
        <w:t xml:space="preserve"> vai</w:t>
      </w:r>
      <w:r w:rsidRPr="008C4475">
        <w:t xml:space="preserve"> sabiedrības labklājības rādītājs, k</w:t>
      </w:r>
      <w:r w:rsidR="00B56FEF" w:rsidRPr="008C4475">
        <w:t>urā</w:t>
      </w:r>
      <w:r w:rsidRPr="008C4475">
        <w:t xml:space="preserve"> ietver fizisko un </w:t>
      </w:r>
      <w:r w:rsidR="00B56FEF" w:rsidRPr="008C4475">
        <w:t>psihisko</w:t>
      </w:r>
      <w:r w:rsidRPr="008C4475">
        <w:t xml:space="preserve"> veselību, brīvo laiku un tā izmantošanu, darbu, saikni ar sabiedrību, tiesības patstāvīgi pieņemt lēmumus un tos realizēt, kā arī materiālo nodrošinājumu.</w:t>
      </w:r>
    </w:p>
    <w:p w14:paraId="72058548" w14:textId="1BD72DA1" w:rsidR="006C36CE" w:rsidRPr="008C4475" w:rsidRDefault="006C36CE" w:rsidP="000F418A">
      <w:pPr>
        <w:spacing w:after="120"/>
        <w:jc w:val="both"/>
      </w:pPr>
      <w:r w:rsidRPr="008C4475">
        <w:rPr>
          <w:b/>
          <w:bCs/>
        </w:rPr>
        <w:t>Ekskluzīvā zīdīšana</w:t>
      </w:r>
      <w:r w:rsidRPr="008C4475">
        <w:t xml:space="preserve"> – </w:t>
      </w:r>
      <w:r w:rsidR="00CB6007" w:rsidRPr="008C4475">
        <w:t xml:space="preserve">bērns saņem mātes pienu un </w:t>
      </w:r>
      <w:r w:rsidR="00DC355B">
        <w:t xml:space="preserve">papildus </w:t>
      </w:r>
      <w:r w:rsidR="00CB6007" w:rsidRPr="008C4475">
        <w:t>no 4-6 nedēļu vecuma 1</w:t>
      </w:r>
      <w:r w:rsidR="00B56FEF" w:rsidRPr="008C4475">
        <w:t> </w:t>
      </w:r>
      <w:r w:rsidR="00CB6007" w:rsidRPr="008C4475">
        <w:t>tējkaroti zivju eļļas vai kādu citu produktu, kas satur D vitamīnu.</w:t>
      </w:r>
    </w:p>
    <w:p w14:paraId="58D70208" w14:textId="77777777" w:rsidR="000E7C7A" w:rsidRPr="008C4475" w:rsidRDefault="000E7C7A" w:rsidP="000F418A">
      <w:pPr>
        <w:pStyle w:val="ListParagraph"/>
        <w:spacing w:after="120" w:line="240" w:lineRule="auto"/>
        <w:ind w:left="0"/>
        <w:contextualSpacing w:val="0"/>
        <w:jc w:val="both"/>
        <w:rPr>
          <w:rFonts w:ascii="Times New Roman" w:hAnsi="Times New Roman" w:cs="Times New Roman"/>
          <w:sz w:val="24"/>
          <w:szCs w:val="24"/>
          <w:lang w:eastAsia="lv-LV"/>
        </w:rPr>
      </w:pPr>
      <w:r w:rsidRPr="008C4475">
        <w:rPr>
          <w:rFonts w:ascii="Times New Roman" w:hAnsi="Times New Roman" w:cs="Times New Roman"/>
          <w:b/>
          <w:bCs/>
          <w:sz w:val="24"/>
          <w:szCs w:val="24"/>
          <w:lang w:eastAsia="lv-LV"/>
        </w:rPr>
        <w:t>Epidemioloģiskā drošība</w:t>
      </w:r>
      <w:r w:rsidRPr="008C4475">
        <w:rPr>
          <w:rFonts w:ascii="Times New Roman" w:hAnsi="Times New Roman" w:cs="Times New Roman"/>
          <w:sz w:val="24"/>
          <w:szCs w:val="24"/>
          <w:lang w:eastAsia="lv-LV"/>
        </w:rPr>
        <w:t xml:space="preserve"> </w:t>
      </w:r>
      <w:r w:rsidR="00217830" w:rsidRPr="008C4475">
        <w:rPr>
          <w:rFonts w:ascii="Times New Roman" w:hAnsi="Times New Roman" w:cs="Times New Roman"/>
          <w:sz w:val="24"/>
          <w:szCs w:val="24"/>
        </w:rPr>
        <w:t>–</w:t>
      </w:r>
      <w:r w:rsidRPr="008C4475">
        <w:rPr>
          <w:rFonts w:ascii="Times New Roman" w:hAnsi="Times New Roman" w:cs="Times New Roman"/>
          <w:sz w:val="24"/>
          <w:szCs w:val="24"/>
          <w:lang w:eastAsia="lv-LV"/>
        </w:rPr>
        <w:t xml:space="preserve"> profilakses, arī higiēnas, pretepidēmijas, ārstniecības un organizatorisko nosacījumu un pasākumu sistēma, kuras mērķis ir mazināt sabiedrības veselības apdraudējumu, ko izraisa infekcijas slimības un veselību ietekmējošo vides faktoru kaitīgā iedarbība. Epidemioloģiskās drošības sistēmas funkcionēšanu valstī nosaka Epidemioloģiskās drošības likums, saistībā ar šo likumu izdotie Ministru kabineta noteikumi, vadlīnijas un rekomendācijas. </w:t>
      </w:r>
    </w:p>
    <w:p w14:paraId="4B75D5E1" w14:textId="77777777" w:rsidR="000739AB" w:rsidRDefault="00584BC7" w:rsidP="00FB56B3">
      <w:pPr>
        <w:spacing w:after="120"/>
        <w:jc w:val="both"/>
        <w:rPr>
          <w:rFonts w:eastAsia="Cambria"/>
        </w:rPr>
      </w:pPr>
      <w:r w:rsidRPr="008C4475">
        <w:rPr>
          <w:rFonts w:eastAsia="Cambria"/>
          <w:b/>
          <w:bCs/>
        </w:rPr>
        <w:t>Farmaceitiskā aprūpe</w:t>
      </w:r>
      <w:r w:rsidR="009545A9">
        <w:rPr>
          <w:rStyle w:val="FootnoteReference"/>
          <w:rFonts w:eastAsia="Cambria"/>
          <w:b/>
          <w:bCs/>
        </w:rPr>
        <w:footnoteReference w:id="4"/>
      </w:r>
      <w:r w:rsidRPr="008C4475">
        <w:rPr>
          <w:rFonts w:eastAsia="Cambria"/>
        </w:rPr>
        <w:t xml:space="preserve"> –</w:t>
      </w:r>
      <w:r w:rsidR="00B32C05">
        <w:rPr>
          <w:rFonts w:eastAsia="Cambria"/>
        </w:rPr>
        <w:t xml:space="preserve"> </w:t>
      </w:r>
      <w:r w:rsidR="000739AB" w:rsidRPr="000739AB">
        <w:rPr>
          <w:rFonts w:eastAsia="Cambria"/>
        </w:rPr>
        <w:t>Farmaceitiskā aprūpe ir atbildīga zāļu terapijas nodrošināšana ar mērķi sasniegt noteiktu rezultātu, kas uzlabo pacienta dzīves kvalitāti, un tā ietver procesus, kurā farmaceits sadarbojas ar pacientu un citiem speciālistiem izstrādājot, īstenojot un pārraugot terapeitisko plānu, kas pacientam sniegs noteiktus terapeitiskos rezultātus</w:t>
      </w:r>
      <w:r w:rsidR="000739AB">
        <w:rPr>
          <w:rFonts w:eastAsia="Cambria"/>
        </w:rPr>
        <w:t>.</w:t>
      </w:r>
    </w:p>
    <w:p w14:paraId="101929C2" w14:textId="7BC3E3AB" w:rsidR="00C009F3" w:rsidRPr="008C4475" w:rsidRDefault="00FD3274" w:rsidP="000F418A">
      <w:pPr>
        <w:tabs>
          <w:tab w:val="left" w:pos="540"/>
        </w:tabs>
        <w:spacing w:after="120"/>
        <w:jc w:val="both"/>
      </w:pPr>
      <w:r w:rsidRPr="008C4475">
        <w:rPr>
          <w:rFonts w:eastAsia="Calibri"/>
          <w:b/>
          <w:lang w:eastAsia="en-US"/>
        </w:rPr>
        <w:t>G</w:t>
      </w:r>
      <w:r w:rsidR="00C009F3" w:rsidRPr="008C4475">
        <w:rPr>
          <w:rFonts w:eastAsia="Calibri"/>
          <w:b/>
          <w:lang w:eastAsia="en-US"/>
        </w:rPr>
        <w:t>ados vecu cilvēku aprūpe</w:t>
      </w:r>
      <w:r w:rsidRPr="008C4475">
        <w:rPr>
          <w:rFonts w:eastAsia="Calibri"/>
          <w:b/>
          <w:lang w:eastAsia="en-US"/>
        </w:rPr>
        <w:t xml:space="preserve"> (geriatrija)</w:t>
      </w:r>
      <w:r w:rsidR="000F418A" w:rsidRPr="008C4475">
        <w:rPr>
          <w:rFonts w:eastAsia="Calibri"/>
          <w:b/>
          <w:lang w:eastAsia="en-US"/>
        </w:rPr>
        <w:t xml:space="preserve"> –</w:t>
      </w:r>
      <w:r w:rsidR="00B56FEF" w:rsidRPr="008C4475">
        <w:rPr>
          <w:rFonts w:eastAsia="Calibri"/>
          <w:lang w:eastAsia="en-US"/>
        </w:rPr>
        <w:t xml:space="preserve"> </w:t>
      </w:r>
      <w:r w:rsidR="004200D1" w:rsidRPr="008C4475">
        <w:rPr>
          <w:rFonts w:eastAsia="Calibri"/>
          <w:lang w:eastAsia="en-US"/>
        </w:rPr>
        <w:t xml:space="preserve">mācība par novecojoša cilvēka slimībām un </w:t>
      </w:r>
      <w:r w:rsidR="002D2FDE" w:rsidRPr="008C4475">
        <w:rPr>
          <w:rFonts w:eastAsia="Calibri"/>
          <w:lang w:eastAsia="en-US"/>
        </w:rPr>
        <w:t>funkcionēšanas</w:t>
      </w:r>
      <w:r w:rsidR="004200D1" w:rsidRPr="008C4475">
        <w:rPr>
          <w:rFonts w:eastAsia="Calibri"/>
          <w:lang w:eastAsia="en-US"/>
        </w:rPr>
        <w:t xml:space="preserve"> traucējumiem</w:t>
      </w:r>
      <w:r w:rsidR="002D2FDE" w:rsidRPr="008C4475">
        <w:rPr>
          <w:rFonts w:eastAsia="Calibri"/>
          <w:lang w:eastAsia="en-US"/>
        </w:rPr>
        <w:t xml:space="preserve"> un to aprūpe –</w:t>
      </w:r>
      <w:r w:rsidR="00E00A5B" w:rsidRPr="008C4475">
        <w:rPr>
          <w:rFonts w:eastAsia="Calibri"/>
          <w:lang w:eastAsia="en-US"/>
        </w:rPr>
        <w:t xml:space="preserve"> </w:t>
      </w:r>
      <w:r w:rsidR="002D2FDE" w:rsidRPr="008C4475">
        <w:rPr>
          <w:rFonts w:eastAsia="Calibri"/>
          <w:lang w:eastAsia="en-US"/>
        </w:rPr>
        <w:t xml:space="preserve">zinātnes </w:t>
      </w:r>
      <w:r w:rsidR="00E00A5B" w:rsidRPr="008C4475">
        <w:rPr>
          <w:rFonts w:eastAsia="Calibri"/>
          <w:lang w:eastAsia="en-US"/>
        </w:rPr>
        <w:t xml:space="preserve">daļa </w:t>
      </w:r>
      <w:r w:rsidR="002D2FDE" w:rsidRPr="008C4475">
        <w:rPr>
          <w:rFonts w:eastAsia="Calibri"/>
          <w:lang w:eastAsia="en-US"/>
        </w:rPr>
        <w:t>par gados vecu cilvēku psiholoģisko, sociālo, profilakses, ārstniecības, paliatīvās aprūpes un citu vajadzību (gerontolo</w:t>
      </w:r>
      <w:r w:rsidR="005F5D26" w:rsidRPr="008C4475">
        <w:rPr>
          <w:rFonts w:eastAsia="Calibri"/>
          <w:lang w:eastAsia="en-US"/>
        </w:rPr>
        <w:t>ģijas</w:t>
      </w:r>
      <w:r w:rsidR="002D2FDE" w:rsidRPr="008C4475">
        <w:rPr>
          <w:rFonts w:eastAsia="Calibri"/>
          <w:lang w:eastAsia="en-US"/>
        </w:rPr>
        <w:t>).</w:t>
      </w:r>
      <w:r w:rsidR="005F5D26" w:rsidRPr="008C4475">
        <w:rPr>
          <w:rFonts w:eastAsia="Calibri"/>
          <w:lang w:eastAsia="en-US"/>
        </w:rPr>
        <w:t xml:space="preserve"> Vecuma nespējas dēļ, kuru biežāk izraisa mobilitātes ierobežojumi, redzes, dzirdes, kognitīvie traucējumi, depresīvie simptomi, malnutrīcija un inkontinence, kā vairāku vienlaikus noritošu hronisko slimību sekas</w:t>
      </w:r>
      <w:r w:rsidR="003A458C" w:rsidRPr="008C4475">
        <w:rPr>
          <w:rFonts w:eastAsia="Calibri"/>
          <w:lang w:eastAsia="en-US"/>
        </w:rPr>
        <w:t xml:space="preserve">, raksturīga plaša nepieciešamo pakalpojumu dažādība, kā arī veselības un sociālo pakalpojumu integrācija.   </w:t>
      </w:r>
      <w:r w:rsidR="00C009F3" w:rsidRPr="008C4475">
        <w:rPr>
          <w:rFonts w:eastAsia="Calibri"/>
          <w:b/>
          <w:bCs/>
          <w:lang w:eastAsia="en-US"/>
        </w:rPr>
        <w:t>Integrēt</w:t>
      </w:r>
      <w:r w:rsidR="003A458C" w:rsidRPr="008C4475">
        <w:rPr>
          <w:rFonts w:eastAsia="Calibri"/>
          <w:b/>
          <w:bCs/>
          <w:lang w:eastAsia="en-US"/>
        </w:rPr>
        <w:t>ā</w:t>
      </w:r>
      <w:r w:rsidR="00C009F3" w:rsidRPr="008C4475">
        <w:rPr>
          <w:rFonts w:eastAsia="Calibri"/>
          <w:b/>
          <w:bCs/>
          <w:lang w:eastAsia="en-US"/>
        </w:rPr>
        <w:t xml:space="preserve"> aprūpe</w:t>
      </w:r>
      <w:r w:rsidR="00887DF0" w:rsidRPr="008C4475">
        <w:rPr>
          <w:rFonts w:eastAsia="Calibri"/>
          <w:lang w:eastAsia="en-US"/>
        </w:rPr>
        <w:t xml:space="preserve"> – </w:t>
      </w:r>
      <w:r w:rsidR="00E7162E" w:rsidRPr="008C4475">
        <w:rPr>
          <w:rFonts w:eastAsia="Calibri"/>
          <w:lang w:eastAsia="en-US"/>
        </w:rPr>
        <w:t>jēdziens, lai raksturotu koordin</w:t>
      </w:r>
      <w:r w:rsidR="00B80939" w:rsidRPr="008C4475">
        <w:rPr>
          <w:rFonts w:eastAsia="Calibri"/>
          <w:lang w:eastAsia="en-US"/>
        </w:rPr>
        <w:t>ētu</w:t>
      </w:r>
      <w:r w:rsidR="00E7162E" w:rsidRPr="008C4475">
        <w:rPr>
          <w:rFonts w:eastAsia="Calibri"/>
          <w:lang w:eastAsia="en-US"/>
        </w:rPr>
        <w:t xml:space="preserve"> un </w:t>
      </w:r>
      <w:r w:rsidR="00B80939" w:rsidRPr="008C4475">
        <w:rPr>
          <w:rFonts w:eastAsia="Calibri"/>
          <w:lang w:eastAsia="en-US"/>
        </w:rPr>
        <w:t xml:space="preserve">secīgu veselības aprūpi, pretnostatot fragmentārai vai epizodiskai veselības aprūpei. </w:t>
      </w:r>
      <w:r w:rsidR="00C009F3" w:rsidRPr="008C4475">
        <w:rPr>
          <w:rFonts w:eastAsia="Calibri"/>
          <w:lang w:eastAsia="en-US"/>
        </w:rPr>
        <w:t>Tā ir pieeja, lai veicinātu kvalitatīvu un visaptverošu pakalpojumu sniegšanu sabiedrībai un iedzīvotājiem visā mūža garumā, kas atbilst iedzīvotāju vajadzībām un gaidām, un ko koordinēti nodrošina dažādu specialitāšu pakalpojumu sniedzēju komanda, kas strādā dažādās veselības aprūpes iestādēs un līmeņos.</w:t>
      </w:r>
      <w:r w:rsidR="00C009F3" w:rsidRPr="008C4475">
        <w:rPr>
          <w:rStyle w:val="FootnoteReference"/>
          <w:rFonts w:eastAsia="Calibri"/>
          <w:lang w:eastAsia="en-US"/>
        </w:rPr>
        <w:footnoteReference w:id="5"/>
      </w:r>
    </w:p>
    <w:p w14:paraId="30639E4B" w14:textId="77777777" w:rsidR="000E7C7A" w:rsidRPr="008C4475" w:rsidRDefault="00584BC7" w:rsidP="000F418A">
      <w:pPr>
        <w:spacing w:after="120"/>
        <w:jc w:val="both"/>
      </w:pPr>
      <w:r w:rsidRPr="008C4475">
        <w:rPr>
          <w:b/>
        </w:rPr>
        <w:t xml:space="preserve">Jaundzimušo vidējais paredzamais mūža ilgums – </w:t>
      </w:r>
      <w:r w:rsidRPr="008C4475">
        <w:t>gadu skaits, kādu vidēji nodzīvotu attiecīgajā gadā dzimušie, ja viņu dzīves laikā mirstības līmenis katrā vecumā paliktu tāds, kāds tas bija dzimšanas gadā.</w:t>
      </w:r>
    </w:p>
    <w:p w14:paraId="78BC712B" w14:textId="77777777" w:rsidR="000E7C7A" w:rsidRPr="008C4475" w:rsidRDefault="000E7C7A" w:rsidP="000F418A">
      <w:pPr>
        <w:pStyle w:val="FootnoteText"/>
        <w:spacing w:after="120"/>
        <w:jc w:val="both"/>
        <w:rPr>
          <w:rFonts w:ascii="Times New Roman" w:hAnsi="Times New Roman" w:cs="Times New Roman"/>
          <w:sz w:val="24"/>
          <w:szCs w:val="24"/>
          <w:lang w:val="lv-LV"/>
        </w:rPr>
      </w:pPr>
      <w:r w:rsidRPr="008C4475">
        <w:rPr>
          <w:rFonts w:ascii="Times New Roman" w:hAnsi="Times New Roman" w:cs="Times New Roman"/>
          <w:b/>
          <w:bCs/>
          <w:sz w:val="24"/>
          <w:szCs w:val="24"/>
          <w:lang w:val="lv-LV"/>
        </w:rPr>
        <w:t>Katastrofālie personīgie maksājumi</w:t>
      </w:r>
      <w:r w:rsidRPr="008C4475">
        <w:rPr>
          <w:rFonts w:ascii="Times New Roman" w:hAnsi="Times New Roman" w:cs="Times New Roman"/>
          <w:sz w:val="24"/>
          <w:szCs w:val="24"/>
          <w:lang w:val="lv-LV"/>
        </w:rPr>
        <w:t xml:space="preserve"> </w:t>
      </w:r>
      <w:r w:rsidR="00217830" w:rsidRPr="00EB64E8">
        <w:rPr>
          <w:rFonts w:ascii="Times New Roman" w:hAnsi="Times New Roman" w:cs="Times New Roman"/>
          <w:sz w:val="24"/>
          <w:szCs w:val="24"/>
          <w:lang w:val="lv-LV"/>
        </w:rPr>
        <w:t>–</w:t>
      </w:r>
      <w:r w:rsidRPr="008C4475">
        <w:rPr>
          <w:rFonts w:ascii="Times New Roman" w:hAnsi="Times New Roman" w:cs="Times New Roman"/>
          <w:sz w:val="24"/>
          <w:szCs w:val="24"/>
          <w:lang w:val="lv-LV"/>
        </w:rPr>
        <w:t xml:space="preserve"> </w:t>
      </w:r>
      <w:r w:rsidR="009437A0" w:rsidRPr="008C4475">
        <w:rPr>
          <w:rFonts w:ascii="Times New Roman" w:hAnsi="Times New Roman" w:cs="Times New Roman"/>
          <w:sz w:val="24"/>
          <w:szCs w:val="24"/>
          <w:lang w:val="lv-LV"/>
        </w:rPr>
        <w:t>rādītājs, k</w:t>
      </w:r>
      <w:r w:rsidR="00B16AF3">
        <w:rPr>
          <w:rFonts w:ascii="Times New Roman" w:hAnsi="Times New Roman" w:cs="Times New Roman"/>
          <w:sz w:val="24"/>
          <w:szCs w:val="24"/>
          <w:lang w:val="lv-LV"/>
        </w:rPr>
        <w:t>as</w:t>
      </w:r>
      <w:r w:rsidR="009437A0" w:rsidRPr="008C4475">
        <w:rPr>
          <w:rFonts w:ascii="Times New Roman" w:hAnsi="Times New Roman" w:cs="Times New Roman"/>
          <w:sz w:val="24"/>
          <w:szCs w:val="24"/>
          <w:lang w:val="lv-LV"/>
        </w:rPr>
        <w:t xml:space="preserve"> raksturo to mājsaimniecību daļu, kurā personīgie maksājumi par kāda mājsaimniecības</w:t>
      </w:r>
      <w:r w:rsidR="00C667AB" w:rsidRPr="008C4475">
        <w:rPr>
          <w:rFonts w:ascii="Times New Roman" w:hAnsi="Times New Roman" w:cs="Times New Roman"/>
          <w:sz w:val="24"/>
          <w:szCs w:val="24"/>
          <w:lang w:val="lv-LV"/>
        </w:rPr>
        <w:t xml:space="preserve"> locekļa</w:t>
      </w:r>
      <w:r w:rsidR="009437A0" w:rsidRPr="008C4475">
        <w:rPr>
          <w:rFonts w:ascii="Times New Roman" w:hAnsi="Times New Roman" w:cs="Times New Roman"/>
          <w:sz w:val="24"/>
          <w:szCs w:val="24"/>
          <w:lang w:val="lv-LV"/>
        </w:rPr>
        <w:t xml:space="preserve"> veselības aprūpi </w:t>
      </w:r>
      <w:r w:rsidRPr="008C4475">
        <w:rPr>
          <w:rFonts w:ascii="Times New Roman" w:hAnsi="Times New Roman" w:cs="Times New Roman"/>
          <w:sz w:val="24"/>
          <w:szCs w:val="24"/>
          <w:lang w:val="lv-LV"/>
        </w:rPr>
        <w:t>par 40% pārsniedz mājsaimniecības spēju maksāt par</w:t>
      </w:r>
      <w:r w:rsidR="00C667AB" w:rsidRPr="008C4475">
        <w:rPr>
          <w:rFonts w:ascii="Times New Roman" w:hAnsi="Times New Roman" w:cs="Times New Roman"/>
          <w:sz w:val="24"/>
          <w:szCs w:val="24"/>
          <w:lang w:val="lv-LV"/>
        </w:rPr>
        <w:t xml:space="preserve"> to</w:t>
      </w:r>
      <w:r w:rsidR="0021496A">
        <w:rPr>
          <w:rFonts w:ascii="Times New Roman" w:hAnsi="Times New Roman" w:cs="Times New Roman"/>
          <w:sz w:val="24"/>
          <w:szCs w:val="24"/>
          <w:lang w:val="lv-LV"/>
        </w:rPr>
        <w:t>.</w:t>
      </w:r>
    </w:p>
    <w:p w14:paraId="704E7B39" w14:textId="77777777" w:rsidR="00584BC7" w:rsidRPr="0021496A" w:rsidRDefault="00584BC7" w:rsidP="000F418A">
      <w:pPr>
        <w:widowControl w:val="0"/>
        <w:autoSpaceDE w:val="0"/>
        <w:autoSpaceDN w:val="0"/>
        <w:adjustRightInd w:val="0"/>
        <w:spacing w:after="120"/>
        <w:jc w:val="both"/>
        <w:rPr>
          <w:rFonts w:eastAsia="Cambria"/>
        </w:rPr>
      </w:pPr>
      <w:r w:rsidRPr="008C4475">
        <w:rPr>
          <w:rFonts w:eastAsia="Cambria"/>
          <w:b/>
          <w:bCs/>
        </w:rPr>
        <w:t xml:space="preserve">Kompensējamās  zāles – </w:t>
      </w:r>
      <w:r w:rsidRPr="008C4475">
        <w:rPr>
          <w:rFonts w:eastAsia="Cambria"/>
        </w:rPr>
        <w:t xml:space="preserve">valsts daļēji vai pilnībā apmaksātas zāles, kuras </w:t>
      </w:r>
      <w:r w:rsidR="00B80939" w:rsidRPr="008C4475">
        <w:rPr>
          <w:rFonts w:eastAsia="Cambria"/>
        </w:rPr>
        <w:t xml:space="preserve">pacientiem </w:t>
      </w:r>
      <w:r w:rsidR="009437A0" w:rsidRPr="008C4475">
        <w:rPr>
          <w:rFonts w:eastAsia="Cambria"/>
        </w:rPr>
        <w:t>noteiktu slimību gadījumos</w:t>
      </w:r>
      <w:r w:rsidRPr="008C4475">
        <w:rPr>
          <w:rFonts w:eastAsia="Cambria"/>
        </w:rPr>
        <w:t xml:space="preserve"> izraksta ģimenes ārsti vai </w:t>
      </w:r>
      <w:r w:rsidR="009437A0" w:rsidRPr="008C4475">
        <w:rPr>
          <w:rFonts w:eastAsia="Cambria"/>
        </w:rPr>
        <w:t xml:space="preserve">konkrēti </w:t>
      </w:r>
      <w:r w:rsidRPr="008C4475">
        <w:rPr>
          <w:rFonts w:eastAsia="Cambria"/>
        </w:rPr>
        <w:t xml:space="preserve">speciālisti. Valsts var </w:t>
      </w:r>
      <w:r w:rsidRPr="0021496A">
        <w:rPr>
          <w:rFonts w:eastAsia="Cambria"/>
        </w:rPr>
        <w:t>kompensēt medikamentus 50, 75 vai 100% apmērā.</w:t>
      </w:r>
      <w:r w:rsidR="009437A0" w:rsidRPr="0021496A">
        <w:rPr>
          <w:rFonts w:eastAsia="Cambria"/>
        </w:rPr>
        <w:t xml:space="preserve"> </w:t>
      </w:r>
    </w:p>
    <w:p w14:paraId="0DDA3C9C" w14:textId="77777777" w:rsidR="00584BC7" w:rsidRPr="008C4475" w:rsidRDefault="00584BC7" w:rsidP="000F418A">
      <w:pPr>
        <w:spacing w:after="120"/>
        <w:jc w:val="both"/>
        <w:rPr>
          <w:b/>
          <w:i/>
        </w:rPr>
      </w:pPr>
      <w:r w:rsidRPr="008C4475">
        <w:rPr>
          <w:b/>
        </w:rPr>
        <w:t>Mākslīgie aborti</w:t>
      </w:r>
      <w:r w:rsidRPr="008C4475">
        <w:t xml:space="preserve"> </w:t>
      </w:r>
      <w:r w:rsidR="00217830" w:rsidRPr="008C4475">
        <w:t>–</w:t>
      </w:r>
      <w:r w:rsidRPr="008C4475">
        <w:t xml:space="preserve"> </w:t>
      </w:r>
      <w:r w:rsidR="009E52E9" w:rsidRPr="008C4475">
        <w:t>legālie, medicīniskie</w:t>
      </w:r>
      <w:r w:rsidRPr="008C4475">
        <w:t xml:space="preserve"> un ārp</w:t>
      </w:r>
      <w:r w:rsidR="009E52E9" w:rsidRPr="008C4475">
        <w:t>us ārstniecības iestādes veiktie aborti</w:t>
      </w:r>
      <w:r w:rsidRPr="008C4475">
        <w:t>.</w:t>
      </w:r>
    </w:p>
    <w:p w14:paraId="0853ECBD" w14:textId="3D686ADD" w:rsidR="00584BC7" w:rsidRPr="008C4475" w:rsidRDefault="00584BC7" w:rsidP="000F418A">
      <w:pPr>
        <w:spacing w:after="120"/>
        <w:jc w:val="both"/>
      </w:pPr>
      <w:r w:rsidRPr="008C4475">
        <w:rPr>
          <w:b/>
        </w:rPr>
        <w:lastRenderedPageBreak/>
        <w:t>Mātes mirstība</w:t>
      </w:r>
      <w:r w:rsidRPr="008C4475">
        <w:rPr>
          <w:bCs/>
        </w:rPr>
        <w:t xml:space="preserve"> –</w:t>
      </w:r>
      <w:r w:rsidRPr="008C4475">
        <w:rPr>
          <w:b/>
        </w:rPr>
        <w:t xml:space="preserve"> </w:t>
      </w:r>
      <w:r w:rsidRPr="008C4475">
        <w:t xml:space="preserve">mirušo sieviešu skaits </w:t>
      </w:r>
      <w:r w:rsidR="00DC355B">
        <w:rPr>
          <w:rStyle w:val="normaltextrun"/>
          <w:color w:val="000000"/>
        </w:rPr>
        <w:t>(kā rādītājs parasti tiek izteikts uz 100 000 dzīvi dzimušiem bērniem)</w:t>
      </w:r>
      <w:r w:rsidR="00743302">
        <w:t xml:space="preserve"> </w:t>
      </w:r>
      <w:r w:rsidRPr="008C4475">
        <w:t>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w:t>
      </w:r>
    </w:p>
    <w:p w14:paraId="16ADCDC1" w14:textId="77777777" w:rsidR="00EC7FFB" w:rsidRPr="008C4475" w:rsidRDefault="00EC7FFB" w:rsidP="000F418A">
      <w:pPr>
        <w:spacing w:after="120"/>
        <w:jc w:val="both"/>
      </w:pPr>
      <w:r w:rsidRPr="008C4475">
        <w:rPr>
          <w:b/>
          <w:bCs/>
        </w:rPr>
        <w:t xml:space="preserve">Medicīniskā rehabilitācija </w:t>
      </w:r>
      <w:r w:rsidRPr="008C4475">
        <w:t>–</w:t>
      </w:r>
      <w:r w:rsidR="002E07B1" w:rsidRPr="008C4475">
        <w:rPr>
          <w:b/>
          <w:bCs/>
        </w:rPr>
        <w:t xml:space="preserve"> </w:t>
      </w:r>
      <w:r w:rsidRPr="008C4475">
        <w:t>pasākumu kopums</w:t>
      </w:r>
      <w:r w:rsidR="002E07B1" w:rsidRPr="008C4475">
        <w:t xml:space="preserve"> nolūkā</w:t>
      </w:r>
      <w:r w:rsidRPr="008C4475">
        <w:t xml:space="preserve"> pasargāt pacientu no iespējamās invaliditātes un darbspēju zuduma, ja persona saskaras vai piedzīvo ikdienas darbības ierobežojumus </w:t>
      </w:r>
      <w:r w:rsidR="00406652" w:rsidRPr="008C4475">
        <w:t xml:space="preserve">novecošanas </w:t>
      </w:r>
      <w:r w:rsidRPr="008C4475">
        <w:t>vai veselības stāvokļa dēļ, tai skaitā hronisk</w:t>
      </w:r>
      <w:r w:rsidR="00406652" w:rsidRPr="008C4475">
        <w:t>o</w:t>
      </w:r>
      <w:r w:rsidRPr="008C4475">
        <w:t xml:space="preserve"> slimību, veselības traucējumu vai traumu dēļ.</w:t>
      </w:r>
    </w:p>
    <w:p w14:paraId="24BB1658" w14:textId="77777777" w:rsidR="00720818" w:rsidRPr="008C4475" w:rsidRDefault="00720818" w:rsidP="000F418A">
      <w:pPr>
        <w:spacing w:after="120"/>
        <w:jc w:val="both"/>
      </w:pPr>
      <w:r w:rsidRPr="008C4475">
        <w:rPr>
          <w:b/>
          <w:bCs/>
        </w:rPr>
        <w:t>Medicīniskās tehnoloģijas</w:t>
      </w:r>
      <w:r w:rsidRPr="008C4475">
        <w:t xml:space="preserve"> </w:t>
      </w:r>
      <w:r w:rsidR="00DD44B2" w:rsidRPr="008C4475">
        <w:t xml:space="preserve">– </w:t>
      </w:r>
      <w:r w:rsidRPr="008C4475">
        <w:t>ārstniecībā izmantojamās metodes un medicīniskās ierīces.</w:t>
      </w:r>
    </w:p>
    <w:p w14:paraId="3854EE68" w14:textId="77777777" w:rsidR="000E7C7A" w:rsidRPr="008C4475" w:rsidRDefault="00584BC7" w:rsidP="000F418A">
      <w:pPr>
        <w:pStyle w:val="BodyText"/>
        <w:spacing w:after="120"/>
        <w:rPr>
          <w:szCs w:val="24"/>
        </w:rPr>
      </w:pPr>
      <w:r w:rsidRPr="008C4475">
        <w:rPr>
          <w:b/>
          <w:szCs w:val="24"/>
        </w:rPr>
        <w:t>Mirstība</w:t>
      </w:r>
      <w:r w:rsidR="00406652" w:rsidRPr="008C4475">
        <w:rPr>
          <w:b/>
          <w:szCs w:val="24"/>
        </w:rPr>
        <w:t xml:space="preserve"> </w:t>
      </w:r>
      <w:r w:rsidR="00406652" w:rsidRPr="008C4475">
        <w:rPr>
          <w:szCs w:val="24"/>
          <w:lang w:eastAsia="lv-LV"/>
        </w:rPr>
        <w:t xml:space="preserve">(vispārējais mirstības koeficients) </w:t>
      </w:r>
      <w:r w:rsidRPr="008C4475">
        <w:rPr>
          <w:szCs w:val="24"/>
          <w:lang w:eastAsia="lv-LV"/>
        </w:rPr>
        <w:t xml:space="preserve"> </w:t>
      </w:r>
      <w:r w:rsidRPr="008C4475">
        <w:rPr>
          <w:szCs w:val="24"/>
        </w:rPr>
        <w:t>–</w:t>
      </w:r>
      <w:r w:rsidR="0077565C" w:rsidRPr="008C4475">
        <w:rPr>
          <w:szCs w:val="24"/>
        </w:rPr>
        <w:t xml:space="preserve"> </w:t>
      </w:r>
      <w:r w:rsidR="00725AAA" w:rsidRPr="008C4475">
        <w:rPr>
          <w:szCs w:val="24"/>
        </w:rPr>
        <w:t>raksturo mirstības intensitāti kopumā, gada laikā mirušo attiecība pret gada vidējo iedzīvotāju skaitu attiecīgajā populācijā</w:t>
      </w:r>
      <w:r w:rsidRPr="008C4475">
        <w:rPr>
          <w:szCs w:val="24"/>
        </w:rPr>
        <w:t>, parasti izsaka uz 100</w:t>
      </w:r>
      <w:r w:rsidR="00416728" w:rsidRPr="008C4475">
        <w:rPr>
          <w:szCs w:val="24"/>
        </w:rPr>
        <w:t xml:space="preserve"> </w:t>
      </w:r>
      <w:r w:rsidRPr="008C4475">
        <w:rPr>
          <w:szCs w:val="24"/>
        </w:rPr>
        <w:t>000 attiecīgās populācijas iedzīvotājiem</w:t>
      </w:r>
      <w:r w:rsidR="00725AAA" w:rsidRPr="008C4475">
        <w:rPr>
          <w:szCs w:val="24"/>
        </w:rPr>
        <w:t>.</w:t>
      </w:r>
      <w:r w:rsidR="00416728" w:rsidRPr="008C4475">
        <w:rPr>
          <w:szCs w:val="24"/>
        </w:rPr>
        <w:t xml:space="preserve"> </w:t>
      </w:r>
    </w:p>
    <w:p w14:paraId="2D4AEDB7" w14:textId="77777777" w:rsidR="000E7C7A" w:rsidRPr="008C4475" w:rsidRDefault="001D4F71" w:rsidP="000F418A">
      <w:pPr>
        <w:pStyle w:val="FootnoteText"/>
        <w:spacing w:after="120"/>
        <w:jc w:val="both"/>
        <w:rPr>
          <w:rFonts w:ascii="Times New Roman" w:hAnsi="Times New Roman" w:cs="Times New Roman"/>
          <w:color w:val="0000FF"/>
          <w:sz w:val="24"/>
          <w:szCs w:val="24"/>
          <w:u w:val="single"/>
          <w:lang w:val="lv-LV"/>
        </w:rPr>
      </w:pPr>
      <w:r w:rsidRPr="008C4475">
        <w:rPr>
          <w:rFonts w:ascii="Times New Roman" w:hAnsi="Times New Roman" w:cs="Times New Roman"/>
          <w:b/>
          <w:bCs/>
          <w:sz w:val="24"/>
          <w:szCs w:val="24"/>
          <w:lang w:val="lv-LV"/>
        </w:rPr>
        <w:t>Multi</w:t>
      </w:r>
      <w:r w:rsidR="00725AAA" w:rsidRPr="008C4475">
        <w:rPr>
          <w:rFonts w:ascii="Times New Roman" w:hAnsi="Times New Roman" w:cs="Times New Roman"/>
          <w:b/>
          <w:bCs/>
          <w:sz w:val="24"/>
          <w:szCs w:val="24"/>
          <w:lang w:val="lv-LV"/>
        </w:rPr>
        <w:t>plas slimības, multimorbiditāte</w:t>
      </w:r>
      <w:r w:rsidRPr="008C4475">
        <w:rPr>
          <w:rFonts w:ascii="Times New Roman" w:hAnsi="Times New Roman" w:cs="Times New Roman"/>
          <w:b/>
          <w:bCs/>
          <w:sz w:val="24"/>
          <w:szCs w:val="24"/>
          <w:lang w:val="lv-LV"/>
        </w:rPr>
        <w:t xml:space="preserve"> </w:t>
      </w:r>
      <w:r w:rsidRPr="008C4475">
        <w:rPr>
          <w:rFonts w:ascii="Times New Roman" w:hAnsi="Times New Roman" w:cs="Times New Roman"/>
          <w:i/>
          <w:iCs/>
          <w:sz w:val="24"/>
          <w:szCs w:val="24"/>
          <w:lang w:val="lv-LV"/>
        </w:rPr>
        <w:t>(m</w:t>
      </w:r>
      <w:r w:rsidR="000E7C7A" w:rsidRPr="008C4475">
        <w:rPr>
          <w:rFonts w:ascii="Times New Roman" w:hAnsi="Times New Roman" w:cs="Times New Roman"/>
          <w:i/>
          <w:iCs/>
          <w:sz w:val="24"/>
          <w:szCs w:val="24"/>
          <w:lang w:val="lv-LV"/>
        </w:rPr>
        <w:t>ultimorbidity)</w:t>
      </w:r>
      <w:r w:rsidR="003D0AAF" w:rsidRPr="007456AF">
        <w:rPr>
          <w:rStyle w:val="FootnoteReference"/>
          <w:rFonts w:ascii="Times New Roman" w:hAnsi="Times New Roman" w:cs="Times New Roman"/>
          <w:sz w:val="24"/>
          <w:szCs w:val="24"/>
          <w:lang w:val="lv-LV"/>
        </w:rPr>
        <w:footnoteReference w:id="6"/>
      </w:r>
      <w:r w:rsidR="000E7C7A" w:rsidRPr="008C4475">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 xml:space="preserve"> vienam un tam pašam indivīdam</w:t>
      </w:r>
      <w:r w:rsidR="00725AAA" w:rsidRPr="008C4475" w:rsidDel="00725AAA">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 xml:space="preserve">diagnosticētas </w:t>
      </w:r>
      <w:r w:rsidR="000E7C7A" w:rsidRPr="008C4475">
        <w:rPr>
          <w:rFonts w:ascii="Times New Roman" w:hAnsi="Times New Roman" w:cs="Times New Roman"/>
          <w:sz w:val="24"/>
          <w:szCs w:val="24"/>
          <w:lang w:val="lv-LV"/>
        </w:rPr>
        <w:t>div</w:t>
      </w:r>
      <w:r w:rsidR="00725AAA" w:rsidRPr="008C4475">
        <w:rPr>
          <w:rFonts w:ascii="Times New Roman" w:hAnsi="Times New Roman" w:cs="Times New Roman"/>
          <w:sz w:val="24"/>
          <w:szCs w:val="24"/>
          <w:lang w:val="lv-LV"/>
        </w:rPr>
        <w:t>as</w:t>
      </w:r>
      <w:r w:rsidR="000E7C7A" w:rsidRPr="008C4475">
        <w:rPr>
          <w:rFonts w:ascii="Times New Roman" w:hAnsi="Times New Roman" w:cs="Times New Roman"/>
          <w:sz w:val="24"/>
          <w:szCs w:val="24"/>
          <w:lang w:val="lv-LV"/>
        </w:rPr>
        <w:t xml:space="preserve"> vai vairāk hronisk</w:t>
      </w:r>
      <w:r w:rsidR="00725AAA" w:rsidRPr="008C4475">
        <w:rPr>
          <w:rFonts w:ascii="Times New Roman" w:hAnsi="Times New Roman" w:cs="Times New Roman"/>
          <w:sz w:val="24"/>
          <w:szCs w:val="24"/>
          <w:lang w:val="lv-LV"/>
        </w:rPr>
        <w:t>ās</w:t>
      </w:r>
      <w:r w:rsidR="000E7C7A" w:rsidRPr="008C4475">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slimības</w:t>
      </w:r>
      <w:r w:rsidR="003D0AAF" w:rsidRPr="008C4475">
        <w:rPr>
          <w:rFonts w:ascii="Times New Roman" w:hAnsi="Times New Roman" w:cs="Times New Roman"/>
          <w:sz w:val="24"/>
          <w:szCs w:val="24"/>
          <w:lang w:val="lv-LV"/>
        </w:rPr>
        <w:t>.</w:t>
      </w:r>
    </w:p>
    <w:p w14:paraId="2E8E4878" w14:textId="77777777" w:rsidR="00584BC7" w:rsidRPr="008C4475" w:rsidRDefault="00584BC7" w:rsidP="000F418A">
      <w:pPr>
        <w:spacing w:after="120"/>
        <w:jc w:val="both"/>
      </w:pPr>
      <w:r w:rsidRPr="218AB95E">
        <w:rPr>
          <w:b/>
          <w:bCs/>
        </w:rPr>
        <w:t>Nabadzības riska indekss</w:t>
      </w:r>
      <w:r w:rsidRPr="008C4475">
        <w:rPr>
          <w:noProof/>
        </w:rPr>
        <w:t xml:space="preserve"> – </w:t>
      </w:r>
      <w:r w:rsidRPr="008C4475">
        <w:t xml:space="preserve">iedzīvotāju skaits, kas dzīvo zem relatīvā nabadzības līmeņa, procentos (to personu īpatsvars, kuru ekvivalentais kopējais neto ienākums ir </w:t>
      </w:r>
      <w:r w:rsidR="00725AAA" w:rsidRPr="008C4475">
        <w:t xml:space="preserve">zemāks </w:t>
      </w:r>
      <w:r w:rsidRPr="008C4475">
        <w:t xml:space="preserve">par 60% no nacionālās </w:t>
      </w:r>
      <w:r w:rsidR="00725AAA" w:rsidRPr="008C4475">
        <w:t xml:space="preserve">ienākumu </w:t>
      </w:r>
      <w:r w:rsidRPr="008C4475">
        <w:t>mediānas).</w:t>
      </w:r>
    </w:p>
    <w:p w14:paraId="237EE5E8" w14:textId="00B81B71" w:rsidR="00584BC7" w:rsidRDefault="00584BC7" w:rsidP="000F418A">
      <w:pPr>
        <w:spacing w:after="120"/>
        <w:jc w:val="both"/>
      </w:pPr>
      <w:r w:rsidRPr="218AB95E">
        <w:rPr>
          <w:b/>
          <w:bCs/>
        </w:rPr>
        <w:t xml:space="preserve">Nāves cēlonis </w:t>
      </w:r>
      <w:r w:rsidRPr="008C4475">
        <w:t>– slimība, patoloģisks stāvoklis vai trauma, kas ir izraisījusi nāvi vai veicinājusi to, kā arī nelaimes gadījums vai vardarbības akts, kura rezultātā iestājusies nāve.</w:t>
      </w:r>
      <w:r w:rsidR="00C66EA6">
        <w:rPr>
          <w:rStyle w:val="FootnoteReference"/>
        </w:rPr>
        <w:footnoteReference w:id="7"/>
      </w:r>
    </w:p>
    <w:p w14:paraId="32016D08" w14:textId="0712D3AA" w:rsidR="005707CB" w:rsidRPr="00BD1EFD" w:rsidRDefault="005707CB" w:rsidP="000F418A">
      <w:pPr>
        <w:spacing w:after="120"/>
        <w:jc w:val="both"/>
        <w:rPr>
          <w:rFonts w:eastAsia="Calibri"/>
          <w:lang w:eastAsia="en-US"/>
        </w:rPr>
      </w:pPr>
      <w:r w:rsidRPr="00BD1EFD">
        <w:rPr>
          <w:rFonts w:eastAsia="Calibri"/>
          <w:b/>
          <w:lang w:eastAsia="en-US"/>
        </w:rPr>
        <w:t xml:space="preserve">Nedziedināmi slimo jeb </w:t>
      </w:r>
      <w:r w:rsidRPr="004561BD">
        <w:rPr>
          <w:rFonts w:eastAsia="Calibri"/>
          <w:b/>
          <w:i/>
          <w:lang w:eastAsia="en-US"/>
        </w:rPr>
        <w:t>Hospice tipa</w:t>
      </w:r>
      <w:r w:rsidRPr="004561BD">
        <w:rPr>
          <w:rFonts w:eastAsia="Calibri"/>
          <w:b/>
          <w:lang w:eastAsia="en-US"/>
        </w:rPr>
        <w:t xml:space="preserve"> pakalpojums</w:t>
      </w:r>
      <w:r w:rsidRPr="004561BD">
        <w:rPr>
          <w:rFonts w:eastAsia="Calibri"/>
          <w:lang w:eastAsia="en-US"/>
        </w:rPr>
        <w:t xml:space="preserve"> – a</w:t>
      </w:r>
      <w:r w:rsidRPr="218AB95E">
        <w:rPr>
          <w:rFonts w:eastAsia="Calibri"/>
          <w:lang w:eastAsia="en-US"/>
        </w:rPr>
        <w:t>prūpes programmas un filozofija nedziedināmi (termināli) slimo pacientu fiz</w:t>
      </w:r>
      <w:r w:rsidR="00D22F9B">
        <w:rPr>
          <w:rFonts w:eastAsia="Calibri"/>
          <w:lang w:eastAsia="en-US"/>
        </w:rPr>
        <w:t>i</w:t>
      </w:r>
      <w:r w:rsidRPr="218AB95E">
        <w:rPr>
          <w:rFonts w:eastAsia="Calibri"/>
          <w:lang w:eastAsia="en-US"/>
        </w:rPr>
        <w:t>skās un emocionālās aprūpes nodrošināšanai.</w:t>
      </w:r>
      <w:r>
        <w:rPr>
          <w:rStyle w:val="FootnoteReference"/>
          <w:rFonts w:eastAsia="Calibri"/>
          <w:lang w:eastAsia="en-US"/>
        </w:rPr>
        <w:footnoteReference w:id="8"/>
      </w:r>
    </w:p>
    <w:p w14:paraId="5646C59A" w14:textId="77777777" w:rsidR="001D4F71" w:rsidRPr="008C4475" w:rsidRDefault="00E215F5" w:rsidP="000F418A">
      <w:pPr>
        <w:spacing w:after="120"/>
        <w:jc w:val="both"/>
        <w:rPr>
          <w:b/>
          <w:bCs/>
        </w:rPr>
      </w:pPr>
      <w:r w:rsidRPr="008C4475">
        <w:rPr>
          <w:b/>
          <w:bCs/>
        </w:rPr>
        <w:t>Neonatālās mirstības rādītājs</w:t>
      </w:r>
      <w:r w:rsidR="00C962DD" w:rsidRPr="008C4475">
        <w:rPr>
          <w:b/>
          <w:bCs/>
        </w:rPr>
        <w:t xml:space="preserve"> </w:t>
      </w:r>
      <w:r w:rsidR="00C962DD" w:rsidRPr="008C4475">
        <w:t>–</w:t>
      </w:r>
      <w:r w:rsidR="00C667AB" w:rsidRPr="008C4475">
        <w:t xml:space="preserve"> dzīvi dzimušo nāves gadījumu skaits </w:t>
      </w:r>
      <w:r w:rsidR="00416728" w:rsidRPr="008C4475">
        <w:t>laikā no 0-27 dzīves dienām no 1000 dzīvi dzimušiem.</w:t>
      </w:r>
    </w:p>
    <w:p w14:paraId="74179A5B" w14:textId="588E0CAB" w:rsidR="000E7C7A" w:rsidRDefault="000E7C7A" w:rsidP="000F418A">
      <w:pPr>
        <w:spacing w:after="120"/>
        <w:jc w:val="both"/>
        <w:rPr>
          <w:rFonts w:eastAsia="Segoe UI"/>
          <w:color w:val="333333"/>
        </w:rPr>
      </w:pPr>
      <w:r w:rsidRPr="008C4475">
        <w:rPr>
          <w:rFonts w:eastAsia="Segoe UI"/>
          <w:b/>
          <w:bCs/>
          <w:color w:val="333333"/>
        </w:rPr>
        <w:t>Nevienlīdzība veselīb</w:t>
      </w:r>
      <w:r w:rsidR="0002290A" w:rsidRPr="008C4475">
        <w:rPr>
          <w:rFonts w:eastAsia="Segoe UI"/>
          <w:b/>
          <w:bCs/>
          <w:color w:val="333333"/>
        </w:rPr>
        <w:t xml:space="preserve">ā </w:t>
      </w:r>
      <w:r w:rsidRPr="008C4475">
        <w:rPr>
          <w:rFonts w:eastAsia="Segoe UI"/>
          <w:color w:val="333333"/>
        </w:rPr>
        <w:t>ir netaisnīgas un novēršamas atšķirības</w:t>
      </w:r>
      <w:r w:rsidR="00882FF7" w:rsidRPr="008C4475">
        <w:rPr>
          <w:rFonts w:eastAsia="Segoe UI"/>
          <w:color w:val="333333"/>
        </w:rPr>
        <w:t xml:space="preserve"> iespējami augstāka veselības līmeņa sasniegšanā dažādiem</w:t>
      </w:r>
      <w:r w:rsidRPr="008C4475">
        <w:rPr>
          <w:rFonts w:eastAsia="Segoe UI"/>
          <w:color w:val="333333"/>
        </w:rPr>
        <w:t xml:space="preserve"> iedzīvotājiem vai </w:t>
      </w:r>
      <w:r w:rsidR="0002290A" w:rsidRPr="008C4475">
        <w:rPr>
          <w:rFonts w:eastAsia="Segoe UI"/>
          <w:color w:val="333333"/>
        </w:rPr>
        <w:t xml:space="preserve">viņu </w:t>
      </w:r>
      <w:r w:rsidRPr="008C4475">
        <w:rPr>
          <w:rFonts w:eastAsia="Segoe UI"/>
          <w:color w:val="333333"/>
        </w:rPr>
        <w:t>grupām. Nevienlīdzība veselīb</w:t>
      </w:r>
      <w:r w:rsidR="00882FF7" w:rsidRPr="008C4475">
        <w:rPr>
          <w:rFonts w:eastAsia="Segoe UI"/>
          <w:color w:val="333333"/>
        </w:rPr>
        <w:t xml:space="preserve">ā </w:t>
      </w:r>
      <w:r w:rsidRPr="008C4475">
        <w:rPr>
          <w:rFonts w:eastAsia="Segoe UI"/>
          <w:color w:val="333333"/>
        </w:rPr>
        <w:t xml:space="preserve">ir pretrunā sociālā taisnīguma principiem, jo no tās var izvairīties un tā nav nejauša. To nosaka sociālie determinanti jeb faktori, kurus indivīds </w:t>
      </w:r>
      <w:r w:rsidR="00882FF7" w:rsidRPr="008C4475">
        <w:rPr>
          <w:rFonts w:eastAsia="Segoe UI"/>
          <w:color w:val="333333"/>
        </w:rPr>
        <w:t xml:space="preserve">lielākoties </w:t>
      </w:r>
      <w:r w:rsidRPr="008C4475">
        <w:rPr>
          <w:rFonts w:eastAsia="Segoe UI"/>
          <w:color w:val="333333"/>
        </w:rPr>
        <w:t xml:space="preserve">pats nevar ietekmēt, bet </w:t>
      </w:r>
      <w:r w:rsidR="00882FF7" w:rsidRPr="008C4475">
        <w:rPr>
          <w:rFonts w:eastAsia="Segoe UI"/>
          <w:color w:val="333333"/>
        </w:rPr>
        <w:t xml:space="preserve">kuri </w:t>
      </w:r>
      <w:r w:rsidRPr="008C4475">
        <w:rPr>
          <w:rFonts w:eastAsia="Segoe UI"/>
          <w:color w:val="333333"/>
        </w:rPr>
        <w:t>rada viņam nelabvēlīgus apstākļus un liedz dzīvot veselīgāk un ilgāk.</w:t>
      </w:r>
    </w:p>
    <w:p w14:paraId="5C88DBBA" w14:textId="15DC89A9" w:rsidR="00406454" w:rsidRPr="008C4475" w:rsidRDefault="00406454" w:rsidP="000F418A">
      <w:pPr>
        <w:spacing w:after="120"/>
        <w:jc w:val="both"/>
        <w:rPr>
          <w:rFonts w:eastAsia="Segoe UI"/>
          <w:color w:val="333333"/>
        </w:rPr>
      </w:pPr>
      <w:r w:rsidRPr="000208B2">
        <w:rPr>
          <w:rFonts w:eastAsia="Segoe UI"/>
          <w:b/>
          <w:bCs/>
          <w:color w:val="333333"/>
        </w:rPr>
        <w:t>Ņirgāšanās</w:t>
      </w:r>
      <w:r w:rsidRPr="000208B2">
        <w:rPr>
          <w:rFonts w:eastAsia="Segoe UI"/>
          <w:color w:val="333333"/>
        </w:rPr>
        <w:t xml:space="preserve"> </w:t>
      </w:r>
      <w:r w:rsidR="00B554B9" w:rsidRPr="000208B2">
        <w:rPr>
          <w:rFonts w:eastAsia="Segoe UI"/>
          <w:i/>
          <w:iCs/>
          <w:color w:val="333333"/>
        </w:rPr>
        <w:t>(bullying)</w:t>
      </w:r>
      <w:r w:rsidR="00B554B9" w:rsidRPr="000208B2">
        <w:rPr>
          <w:rFonts w:eastAsia="Segoe UI"/>
          <w:color w:val="333333"/>
        </w:rPr>
        <w:t xml:space="preserve"> </w:t>
      </w:r>
      <w:r w:rsidRPr="000208B2">
        <w:rPr>
          <w:rFonts w:eastAsia="Segoe UI"/>
          <w:color w:val="333333"/>
        </w:rPr>
        <w:t xml:space="preserve">– </w:t>
      </w:r>
      <w:r w:rsidR="006F1C49">
        <w:t xml:space="preserve">spēka un pārākuma demonstrēšana pret citu personu, kas tiek realizēta ar agresijas palīdzību, ietverot negatīvu vārdisku, sociālu un fizisku rīcību ar </w:t>
      </w:r>
      <w:r w:rsidR="00857F11">
        <w:t xml:space="preserve">apzinātu </w:t>
      </w:r>
      <w:r w:rsidR="006F1C49">
        <w:t xml:space="preserve">naidīgu nolūku, </w:t>
      </w:r>
      <w:r w:rsidR="00857F11">
        <w:t xml:space="preserve">vairākkārtīgi </w:t>
      </w:r>
      <w:r w:rsidR="006F1C49">
        <w:t>radot otram</w:t>
      </w:r>
      <w:r w:rsidR="00857F11">
        <w:t xml:space="preserve"> kaitējumu vai</w:t>
      </w:r>
      <w:r w:rsidR="006F1C49">
        <w:t xml:space="preserve"> ciešanas.</w:t>
      </w:r>
    </w:p>
    <w:p w14:paraId="48898719" w14:textId="079CDBCC" w:rsidR="000E7C7A" w:rsidRPr="008C4475" w:rsidRDefault="000E7C7A" w:rsidP="000F418A">
      <w:pPr>
        <w:spacing w:after="120"/>
        <w:jc w:val="both"/>
        <w:rPr>
          <w:rFonts w:eastAsia="Segoe UI"/>
          <w:color w:val="333333"/>
        </w:rPr>
      </w:pPr>
      <w:r w:rsidRPr="008C4475">
        <w:rPr>
          <w:rFonts w:eastAsia="Segoe UI"/>
          <w:b/>
          <w:bCs/>
          <w:color w:val="333333"/>
        </w:rPr>
        <w:t>Pacientu drošība</w:t>
      </w:r>
      <w:r w:rsidR="00C962DD" w:rsidRPr="008C4475">
        <w:rPr>
          <w:rFonts w:eastAsia="Segoe UI"/>
          <w:b/>
          <w:bCs/>
          <w:color w:val="333333"/>
        </w:rPr>
        <w:t xml:space="preserve"> </w:t>
      </w:r>
      <w:r w:rsidR="00C962DD" w:rsidRPr="008C4475">
        <w:t xml:space="preserve">– </w:t>
      </w:r>
      <w:r w:rsidR="00DC355B">
        <w:rPr>
          <w:rStyle w:val="normaltextrun"/>
          <w:color w:val="000000"/>
        </w:rPr>
        <w:t xml:space="preserve">nevajadzīgā, ar veselības aprūpi saistītā </w:t>
      </w:r>
      <w:r w:rsidRPr="008C4475">
        <w:rPr>
          <w:rFonts w:eastAsia="Segoe UI"/>
          <w:color w:val="333333"/>
        </w:rPr>
        <w:t>kaitējuma risk</w:t>
      </w:r>
      <w:r w:rsidR="00DC355B">
        <w:rPr>
          <w:rFonts w:eastAsia="Segoe UI"/>
          <w:color w:val="333333"/>
        </w:rPr>
        <w:t>a</w:t>
      </w:r>
      <w:r w:rsidR="00DC355B" w:rsidRPr="00DC355B">
        <w:rPr>
          <w:rStyle w:val="normaltextrun"/>
          <w:color w:val="000000"/>
        </w:rPr>
        <w:t xml:space="preserve"> </w:t>
      </w:r>
      <w:r w:rsidR="00DC355B">
        <w:rPr>
          <w:rStyle w:val="normaltextrun"/>
          <w:color w:val="000000"/>
        </w:rPr>
        <w:t>samazināšana</w:t>
      </w:r>
      <w:r w:rsidRPr="008C4475">
        <w:rPr>
          <w:rFonts w:eastAsia="Segoe UI"/>
          <w:color w:val="333333"/>
        </w:rPr>
        <w:t xml:space="preserve"> līdz pieļaujamam minimumam.</w:t>
      </w:r>
      <w:r w:rsidR="00C009F3" w:rsidRPr="008C4475">
        <w:rPr>
          <w:rFonts w:eastAsia="Segoe UI"/>
          <w:color w:val="333333"/>
        </w:rPr>
        <w:t xml:space="preserve"> </w:t>
      </w:r>
    </w:p>
    <w:p w14:paraId="5F10B59A" w14:textId="77777777" w:rsidR="00BC7D6E" w:rsidRPr="008C4475" w:rsidRDefault="00BC7D6E" w:rsidP="000F418A">
      <w:pPr>
        <w:spacing w:after="120"/>
        <w:jc w:val="both"/>
        <w:rPr>
          <w:rFonts w:eastAsia="Segoe UI"/>
          <w:color w:val="333333"/>
        </w:rPr>
      </w:pPr>
      <w:r w:rsidRPr="008C4475">
        <w:rPr>
          <w:rFonts w:eastAsia="Segoe UI"/>
          <w:b/>
          <w:bCs/>
          <w:color w:val="333333"/>
        </w:rPr>
        <w:t>Paliatīvā aprūpe</w:t>
      </w:r>
      <w:r w:rsidRPr="008C4475">
        <w:rPr>
          <w:rFonts w:eastAsia="Segoe UI"/>
          <w:color w:val="333333"/>
        </w:rPr>
        <w:t xml:space="preserve"> – </w:t>
      </w:r>
      <w:r w:rsidR="00B21EFD">
        <w:rPr>
          <w:rFonts w:eastAsia="Segoe UI"/>
          <w:color w:val="333333"/>
        </w:rPr>
        <w:t>v</w:t>
      </w:r>
      <w:r w:rsidR="00F455D3" w:rsidRPr="00F455D3">
        <w:rPr>
          <w:rFonts w:eastAsia="Segoe UI"/>
          <w:color w:val="333333"/>
        </w:rPr>
        <w:t>isaptverošas aprūpes organizēšanas pieeja pacientiem dzīvildzi ierobežojošu slimību gadījumā, novēršot un atvieglojot ciešanas (t</w:t>
      </w:r>
      <w:r w:rsidR="003E3681">
        <w:rPr>
          <w:rFonts w:eastAsia="Segoe UI"/>
          <w:color w:val="333333"/>
        </w:rPr>
        <w:t>ai skaitā</w:t>
      </w:r>
      <w:r w:rsidR="00F455D3" w:rsidRPr="00F455D3">
        <w:rPr>
          <w:rFonts w:eastAsia="Segoe UI"/>
          <w:color w:val="333333"/>
        </w:rPr>
        <w:t xml:space="preserve"> laikus identificējot, korekti novērtējot un mazinot sāpes) un citas fiziskās, psihosociālās vai garīgās problēmas. Tās nolūks ir labākās iespējamās dzīves kvalitātes saglabāšana pacientam un viņa ģimenei.</w:t>
      </w:r>
    </w:p>
    <w:p w14:paraId="1F13C7E3" w14:textId="27A8CA66" w:rsidR="0056051E" w:rsidRPr="008C4475" w:rsidRDefault="003E4EFC" w:rsidP="000F418A">
      <w:pPr>
        <w:spacing w:after="120"/>
        <w:jc w:val="both"/>
        <w:rPr>
          <w:rFonts w:eastAsia="Segoe UI"/>
          <w:color w:val="333333"/>
        </w:rPr>
      </w:pPr>
      <w:r>
        <w:rPr>
          <w:rFonts w:eastAsia="Segoe UI"/>
          <w:b/>
          <w:bCs/>
          <w:color w:val="333333"/>
        </w:rPr>
        <w:t>Jaundzimušo p</w:t>
      </w:r>
      <w:r w:rsidR="0056051E" w:rsidRPr="008C4475">
        <w:rPr>
          <w:rFonts w:eastAsia="Segoe UI"/>
          <w:b/>
          <w:bCs/>
          <w:color w:val="333333"/>
        </w:rPr>
        <w:t>aredzam</w:t>
      </w:r>
      <w:r w:rsidR="000F18AD" w:rsidRPr="008C4475">
        <w:rPr>
          <w:rFonts w:eastAsia="Segoe UI"/>
          <w:b/>
          <w:bCs/>
          <w:color w:val="333333"/>
        </w:rPr>
        <w:t>ais</w:t>
      </w:r>
      <w:r w:rsidR="0056051E" w:rsidRPr="008C4475">
        <w:rPr>
          <w:rFonts w:eastAsia="Segoe UI"/>
          <w:b/>
          <w:bCs/>
          <w:color w:val="333333"/>
        </w:rPr>
        <w:t xml:space="preserve"> mūža ilgums</w:t>
      </w:r>
      <w:r w:rsidR="0056051E" w:rsidRPr="008C4475">
        <w:rPr>
          <w:rFonts w:eastAsia="Segoe UI"/>
          <w:color w:val="333333"/>
        </w:rPr>
        <w:t xml:space="preserve"> – </w:t>
      </w:r>
      <w:r w:rsidR="007F4B47" w:rsidRPr="008C4475">
        <w:rPr>
          <w:rFonts w:eastAsia="Segoe UI"/>
          <w:color w:val="333333"/>
        </w:rPr>
        <w:t>mūža ilgums gados</w:t>
      </w:r>
      <w:r w:rsidR="00FD3274" w:rsidRPr="008C4475">
        <w:rPr>
          <w:rFonts w:eastAsia="Segoe UI"/>
          <w:color w:val="333333"/>
        </w:rPr>
        <w:t>, kādu vidēji nodzīvotu attiecīgajā gadā dzimušie, ja viņu turpmākās dzīves laikā mirstības līmenis katrā vecumā paliktu tāds pats, kāds tas bija dzimšanas gadā.</w:t>
      </w:r>
    </w:p>
    <w:p w14:paraId="54E81B5E" w14:textId="77777777" w:rsidR="00584BC7" w:rsidRPr="008C4475" w:rsidRDefault="00584BC7" w:rsidP="000F418A">
      <w:pPr>
        <w:spacing w:after="120"/>
        <w:jc w:val="both"/>
      </w:pPr>
      <w:r w:rsidRPr="008C4475">
        <w:rPr>
          <w:b/>
        </w:rPr>
        <w:t>Paredzamie veselīg</w:t>
      </w:r>
      <w:r w:rsidR="005C1F0A" w:rsidRPr="008C4475">
        <w:rPr>
          <w:b/>
        </w:rPr>
        <w:t>ā</w:t>
      </w:r>
      <w:r w:rsidRPr="008C4475">
        <w:rPr>
          <w:b/>
        </w:rPr>
        <w:t xml:space="preserve"> mūža gadi</w:t>
      </w:r>
      <w:r w:rsidRPr="008C4475">
        <w:t xml:space="preserve"> – </w:t>
      </w:r>
      <w:r w:rsidR="007F4B47" w:rsidRPr="008C4475">
        <w:t>mūža ilgums gados</w:t>
      </w:r>
      <w:r w:rsidRPr="008C4475">
        <w:t xml:space="preserve">, ko </w:t>
      </w:r>
      <w:r w:rsidR="007F4B47" w:rsidRPr="008C4475">
        <w:t xml:space="preserve">vidēji </w:t>
      </w:r>
      <w:r w:rsidRPr="008C4475">
        <w:t>persona</w:t>
      </w:r>
      <w:r w:rsidR="007F4B47" w:rsidRPr="008C4475">
        <w:t xml:space="preserve"> noteiktā </w:t>
      </w:r>
      <w:r w:rsidRPr="008C4475">
        <w:t xml:space="preserve"> vecumā varētu nodzīvot labā veselības stāvoklī (bez funkcionāliem traucējumiem un ierobežojumiem).</w:t>
      </w:r>
    </w:p>
    <w:p w14:paraId="676EBF0F" w14:textId="77777777" w:rsidR="003C37D0" w:rsidRPr="003C37D0" w:rsidRDefault="003C37D0" w:rsidP="003C37D0">
      <w:pPr>
        <w:widowControl w:val="0"/>
        <w:autoSpaceDE w:val="0"/>
        <w:autoSpaceDN w:val="0"/>
        <w:adjustRightInd w:val="0"/>
        <w:spacing w:after="120"/>
        <w:jc w:val="both"/>
      </w:pPr>
      <w:r>
        <w:rPr>
          <w:b/>
          <w:bCs/>
        </w:rPr>
        <w:t>P</w:t>
      </w:r>
      <w:r w:rsidRPr="008C4475">
        <w:rPr>
          <w:b/>
          <w:bCs/>
        </w:rPr>
        <w:t>ārrobežu veselības aprūpe</w:t>
      </w:r>
      <w:r w:rsidRPr="008C4475">
        <w:t xml:space="preserve"> – veselības aprūpes pakalpojumi, tai skaitā zāļu un medicīnas ierīču izrakstīšana un izsniegšana, ko sniedz dalībvalstī, kas nav piederības dalībvalsts.</w:t>
      </w:r>
    </w:p>
    <w:p w14:paraId="1EA4A174" w14:textId="00DFB80E" w:rsidR="000E7C7A" w:rsidRDefault="00584BC7" w:rsidP="000F418A">
      <w:pPr>
        <w:spacing w:after="120"/>
        <w:jc w:val="both"/>
      </w:pPr>
      <w:r w:rsidRPr="008C4475">
        <w:rPr>
          <w:b/>
        </w:rPr>
        <w:t xml:space="preserve">Perinatālā mirstība – </w:t>
      </w:r>
      <w:r w:rsidRPr="008C4475">
        <w:t>nedzīvi dzimušo un pirmajā dzīves nedēļā mirušo bērnu skaits no 1000 dzīvi un nedzīvi dzimušiem. Perinatālā nāve ietver augļa bojāeju pirms dzemdībām, dzemdību laikā (nedzīvi dzimis) un jaundzimušā nāvi pirmajā dzīves nedēļā (agrīna neonatāl</w:t>
      </w:r>
      <w:r w:rsidR="005C1F0A" w:rsidRPr="008C4475">
        <w:t>ā</w:t>
      </w:r>
      <w:r w:rsidRPr="008C4475">
        <w:t xml:space="preserve"> nāve).</w:t>
      </w:r>
    </w:p>
    <w:p w14:paraId="21A49CEC" w14:textId="287FE2CD" w:rsidR="00AA6F95" w:rsidRPr="008C4475" w:rsidRDefault="00AA6F95" w:rsidP="000F418A">
      <w:pPr>
        <w:spacing w:after="120"/>
        <w:jc w:val="both"/>
      </w:pPr>
      <w:r w:rsidRPr="00743302">
        <w:rPr>
          <w:b/>
          <w:bCs/>
        </w:rPr>
        <w:t>Personalizēta medicīna</w:t>
      </w:r>
      <w:r>
        <w:t xml:space="preserve"> – ES Padomes secinājumos</w:t>
      </w:r>
      <w:r>
        <w:rPr>
          <w:rStyle w:val="FootnoteReference"/>
        </w:rPr>
        <w:footnoteReference w:id="9"/>
      </w:r>
      <w:r>
        <w:t xml:space="preserve"> atzīmēts</w:t>
      </w:r>
      <w:r>
        <w:rPr>
          <w:color w:val="000000"/>
          <w:shd w:val="clear" w:color="auto" w:fill="FFFFFF"/>
        </w:rPr>
        <w:t>, ka nav vispārpieņemtas termina “personalizēta medicīna” definīcijas. Neraugoties uz to, valda plaša izpratne par to, ka personalizēta medicīna attiecas uz tādu medicīnisko modeli, kurā izmanto indivīdu fenotipu un genotipu raksturojumu (piemēram, molekulāro profilēšanu, medicīnisko attēlveidošanu, datus par dzīves stilu), lai piemeklētu pareizo terapeitisko stratēģiju pareizajai personai pareizajā laikā un/vai lai noteiktu predispozīciju uz kādu slimību un/vai sniegtu laicīgu un īpaši orientētu profilaksi. Personalizēta medicīna saistās ar plašāku uz pacientu vērstas aprūpes jēdzienu, kurā ņemts vērā, ka kopumā veselības aprūpes sistēmām ir sekmīgāk jāatbild uz pacienta vajadzībām.</w:t>
      </w:r>
    </w:p>
    <w:p w14:paraId="2CD2B469" w14:textId="77777777" w:rsidR="000E7C7A" w:rsidRPr="008C4475" w:rsidRDefault="000E7C7A" w:rsidP="000F418A">
      <w:pPr>
        <w:spacing w:after="120"/>
        <w:jc w:val="both"/>
      </w:pPr>
      <w:r w:rsidRPr="008C4475">
        <w:rPr>
          <w:b/>
          <w:bCs/>
        </w:rPr>
        <w:t>Pēcekspozīcijas profilakse</w:t>
      </w:r>
      <w:r w:rsidRPr="008C4475">
        <w:t xml:space="preserve"> (PEP) </w:t>
      </w:r>
      <w:r w:rsidR="00C962DD" w:rsidRPr="008C4475">
        <w:t xml:space="preserve">– </w:t>
      </w:r>
      <w:r w:rsidRPr="008C4475">
        <w:t>specifiska īstermiņa HIV infekcijas antiretrovirālā terapija</w:t>
      </w:r>
      <w:r w:rsidR="00D018C2">
        <w:t>,</w:t>
      </w:r>
      <w:r w:rsidR="00D018C2" w:rsidRPr="008C4475">
        <w:rPr>
          <w:rStyle w:val="FootnoteReference"/>
        </w:rPr>
        <w:footnoteReference w:id="10"/>
      </w:r>
      <w:r w:rsidRPr="008C4475">
        <w:t xml:space="preserve"> ko uzreiz pēc negadījuma veic cilvēkiem, kuru organismā iekļuvušas ar HIV inficētas asinis vai citi infekciozi organisma šķidrumi.</w:t>
      </w:r>
    </w:p>
    <w:p w14:paraId="10A40DFD" w14:textId="72FDD71D" w:rsidR="75286F3A" w:rsidRPr="00743302" w:rsidRDefault="7DCD88C1" w:rsidP="75286F3A">
      <w:pPr>
        <w:pStyle w:val="Header"/>
        <w:spacing w:after="120"/>
        <w:jc w:val="both"/>
        <w:rPr>
          <w:color w:val="000000" w:themeColor="text1"/>
        </w:rPr>
      </w:pPr>
      <w:r w:rsidRPr="007F4427">
        <w:rPr>
          <w:b/>
          <w:bCs/>
          <w:color w:val="000000" w:themeColor="text1"/>
        </w:rPr>
        <w:t>“Pieeja “Viena veselība”</w:t>
      </w:r>
      <w:r w:rsidRPr="75286F3A">
        <w:rPr>
          <w:color w:val="000000" w:themeColor="text1"/>
        </w:rPr>
        <w:t xml:space="preserve"> – pieeja, kas atzīst, ka cilvēka veselība, dzīvnieku veselība un vide ir savstarpēji saistītas, ka slimības var tikt pārnestas no cilvēkiem uz dzīvniekiem un otrādi un tādēļ tās jāapkaro abos virzienos</w:t>
      </w:r>
    </w:p>
    <w:p w14:paraId="2A5FEEBF" w14:textId="77777777" w:rsidR="00584BC7" w:rsidRPr="008C4475" w:rsidRDefault="00584BC7" w:rsidP="000F418A">
      <w:pPr>
        <w:pStyle w:val="Header"/>
        <w:spacing w:after="120"/>
        <w:jc w:val="both"/>
      </w:pPr>
      <w:r w:rsidRPr="008C4475">
        <w:rPr>
          <w:b/>
          <w:bCs/>
        </w:rPr>
        <w:t>Potenciāli zaudētie mūža gadi</w:t>
      </w:r>
      <w:r w:rsidRPr="008C4475">
        <w:t xml:space="preserve"> </w:t>
      </w:r>
      <w:r w:rsidR="00C962DD" w:rsidRPr="008C4475">
        <w:t>–</w:t>
      </w:r>
      <w:r w:rsidRPr="008C4475">
        <w:rPr>
          <w:b/>
        </w:rPr>
        <w:t xml:space="preserve"> </w:t>
      </w:r>
      <w:r w:rsidRPr="008C4475">
        <w:t>gad</w:t>
      </w:r>
      <w:r w:rsidR="00C667AB" w:rsidRPr="008C4475">
        <w:t>u skaits</w:t>
      </w:r>
      <w:r w:rsidRPr="008C4475">
        <w:t xml:space="preserve">, kurus cilvēks būtu nodzīvojis līdz kādam noteiktam vecumam, ja nebūtu miris nelaimes gadījumā, kādas slimības vai cita </w:t>
      </w:r>
      <w:r w:rsidR="005C1F0A" w:rsidRPr="008C4475">
        <w:t xml:space="preserve">nāves cēloņa </w:t>
      </w:r>
      <w:r w:rsidRPr="008C4475">
        <w:t>dēļ</w:t>
      </w:r>
      <w:r w:rsidR="003E3681">
        <w:t xml:space="preserve">. </w:t>
      </w:r>
      <w:r w:rsidR="00741AAE" w:rsidRPr="008C4475">
        <w:rPr>
          <w:color w:val="000000"/>
          <w:shd w:val="clear" w:color="auto" w:fill="FFFFFF"/>
        </w:rPr>
        <w:t>Jo agrākā vecumā iedzīvotāji mirst, jo lielāk</w:t>
      </w:r>
      <w:r w:rsidR="005C1F0A" w:rsidRPr="008C4475">
        <w:rPr>
          <w:color w:val="000000"/>
          <w:shd w:val="clear" w:color="auto" w:fill="FFFFFF"/>
        </w:rPr>
        <w:t>a</w:t>
      </w:r>
      <w:r w:rsidR="00741AAE" w:rsidRPr="008C4475">
        <w:rPr>
          <w:color w:val="000000"/>
          <w:shd w:val="clear" w:color="auto" w:fill="FFFFFF"/>
        </w:rPr>
        <w:t xml:space="preserve"> ir potenciāli zaudēto mūža gadu</w:t>
      </w:r>
      <w:r w:rsidR="00C667AB" w:rsidRPr="008C4475">
        <w:rPr>
          <w:color w:val="000000"/>
          <w:shd w:val="clear" w:color="auto" w:fill="FFFFFF"/>
        </w:rPr>
        <w:t xml:space="preserve"> summa</w:t>
      </w:r>
      <w:r w:rsidR="00741AAE" w:rsidRPr="008C4475">
        <w:rPr>
          <w:color w:val="000000"/>
          <w:shd w:val="clear" w:color="auto" w:fill="FFFFFF"/>
        </w:rPr>
        <w:t>.</w:t>
      </w:r>
    </w:p>
    <w:p w14:paraId="3D56DD9E" w14:textId="77777777" w:rsidR="00584BC7" w:rsidRPr="008C4475" w:rsidRDefault="00584BC7" w:rsidP="000F418A">
      <w:pPr>
        <w:spacing w:after="120"/>
        <w:jc w:val="both"/>
        <w:rPr>
          <w:rFonts w:eastAsia="Cambria"/>
        </w:rPr>
      </w:pPr>
      <w:r w:rsidRPr="008C4475">
        <w:rPr>
          <w:rFonts w:eastAsia="Cambria"/>
          <w:b/>
          <w:bCs/>
        </w:rPr>
        <w:t>Primārā veselības aprūpe</w:t>
      </w:r>
      <w:r w:rsidR="00C033AA" w:rsidRPr="00D018C2">
        <w:rPr>
          <w:rStyle w:val="FootnoteReference"/>
          <w:rFonts w:eastAsia="Cambria"/>
        </w:rPr>
        <w:footnoteReference w:id="11"/>
      </w:r>
      <w:r w:rsidRPr="00D018C2">
        <w:rPr>
          <w:rFonts w:eastAsia="Cambria"/>
        </w:rPr>
        <w:t xml:space="preserve"> </w:t>
      </w:r>
      <w:r w:rsidRPr="008C4475">
        <w:rPr>
          <w:rFonts w:eastAsia="Cambria"/>
        </w:rPr>
        <w:t xml:space="preserve">– pirmais un galvenais veselības aprūpes sistēmas līmenis, pirmais saskarsmes posms starp pacientu un veselības aprūpes pakalpojumu sniedzēju, kurā risina galvenās iedzīvotāju veselības problēmas, lietojot vienkāršas un izmaksu ziņā efektīvas medicīnas tehnoloģijas. Primāro veselības aprūpi savā pacientu sarakstā reģistrētajiem pacientiem nodrošina ģimenes ārsti kopā ar savu komandu (ārsta palīgu vai māsu un vecmāti), kā arī zobārstu, zobārsta asistentu, zobārsta māsu un higiēnistu ambulatorajās ārstniecības iestādēs un stacionāro ārstniecības iestāžu ambulatorajā nodaļā. </w:t>
      </w:r>
    </w:p>
    <w:p w14:paraId="6DC5452D" w14:textId="7ACA245B" w:rsidR="50FE4E0A" w:rsidRDefault="37F7925D">
      <w:pPr>
        <w:spacing w:line="259" w:lineRule="auto"/>
        <w:jc w:val="both"/>
        <w:rPr>
          <w:color w:val="000000"/>
        </w:rPr>
      </w:pPr>
      <w:r w:rsidRPr="007F4427">
        <w:rPr>
          <w:b/>
          <w:bCs/>
          <w:color w:val="000000"/>
        </w:rPr>
        <w:t>Retas slimības (Rare diseases)</w:t>
      </w:r>
      <w:r w:rsidRPr="00532DE8">
        <w:rPr>
          <w:color w:val="000000"/>
        </w:rPr>
        <w:t xml:space="preserve"> – tādas slimības, </w:t>
      </w:r>
      <w:r w:rsidRPr="50FE4E0A">
        <w:t>kas skar ne vairāk kā 5 no 10 000 cilvēk</w:t>
      </w:r>
      <w:r w:rsidR="0C691D2C" w:rsidRPr="50FE4E0A">
        <w:t>iem</w:t>
      </w:r>
      <w:r w:rsidRPr="50FE4E0A">
        <w:t xml:space="preserve"> </w:t>
      </w:r>
      <w:r w:rsidRPr="00532DE8">
        <w:rPr>
          <w:color w:val="000000"/>
        </w:rPr>
        <w:t xml:space="preserve">Eiropas Savienībā. </w:t>
      </w:r>
      <w:r w:rsidRPr="00532DE8">
        <w:rPr>
          <w:rStyle w:val="FootnoteReference"/>
          <w:color w:val="000000"/>
        </w:rPr>
        <w:footnoteReference w:id="12"/>
      </w:r>
    </w:p>
    <w:p w14:paraId="37E1AF65" w14:textId="2D8005D3" w:rsidR="00AF2E17" w:rsidRDefault="00AF2E17">
      <w:pPr>
        <w:spacing w:line="259" w:lineRule="auto"/>
        <w:jc w:val="both"/>
        <w:rPr>
          <w:color w:val="000000"/>
        </w:rPr>
      </w:pPr>
    </w:p>
    <w:p w14:paraId="236C321E" w14:textId="20CCEF89" w:rsidR="00AF2E17" w:rsidRPr="00AF2E17" w:rsidRDefault="00AF2E17" w:rsidP="00AF2E17">
      <w:pPr>
        <w:contextualSpacing/>
        <w:jc w:val="both"/>
        <w:rPr>
          <w:b/>
          <w:bCs/>
          <w:color w:val="000000"/>
        </w:rPr>
      </w:pPr>
      <w:r w:rsidRPr="00AF2E17">
        <w:rPr>
          <w:b/>
          <w:bCs/>
          <w:color w:val="000000"/>
        </w:rPr>
        <w:t xml:space="preserve">Rekreācija </w:t>
      </w:r>
      <w:r>
        <w:rPr>
          <w:b/>
          <w:bCs/>
          <w:color w:val="000000"/>
        </w:rPr>
        <w:t>-</w:t>
      </w:r>
      <w:r w:rsidRPr="00AF2E17">
        <w:rPr>
          <w:sz w:val="22"/>
          <w:szCs w:val="22"/>
          <w:lang w:eastAsia="en-GB"/>
        </w:rPr>
        <w:t xml:space="preserve"> </w:t>
      </w:r>
      <w:r w:rsidRPr="00AF2E17">
        <w:rPr>
          <w:color w:val="000000"/>
        </w:rPr>
        <w:t xml:space="preserve">tiek uzskatīta par aktivitāti (ieskaitot fizisko, garīgo, sociālo vai emocionālo iesaistīšanos) pretstatā pilnīgai bezdarbībai vai atpūtai. </w:t>
      </w:r>
      <w:r>
        <w:rPr>
          <w:color w:val="000000"/>
        </w:rPr>
        <w:t>Tā ietver</w:t>
      </w:r>
      <w:r w:rsidRPr="00AF2E17">
        <w:rPr>
          <w:color w:val="000000"/>
        </w:rPr>
        <w:t xml:space="preserve"> ļoti plašu aktivitāšu klāstu, piemēram, sportiskās aktivitātes, spēles, rokdarbus, tēlotājmākslu, mūziku, teātri, hobijus un sociālās aktivitātes, kuras var veikt individuāli vai grupās, un tās var būt atsevišķa vai epizodiska piedalīšanās, vai arī pastāvīga un bieža iesaiste indivīda mūža laikā. Veids, kādā persona iesaistās rekreācijas aktivitātēs ir jābūt pēc brīvprātības principa. Rekreācijas aktivitātes ir īpaši nozīmīgas personu ar funkcionēšanas traucējumiem atveseļošanās un reintegrācijas procesā.</w:t>
      </w:r>
    </w:p>
    <w:p w14:paraId="0F6B96AC" w14:textId="77777777" w:rsidR="00AF2E17" w:rsidRDefault="00AF2E17">
      <w:pPr>
        <w:spacing w:line="259" w:lineRule="auto"/>
        <w:jc w:val="both"/>
        <w:rPr>
          <w:color w:val="000000"/>
        </w:rPr>
      </w:pPr>
    </w:p>
    <w:p w14:paraId="47B23D2E" w14:textId="20172035" w:rsidR="002B397F" w:rsidRPr="007F4427" w:rsidRDefault="002B397F" w:rsidP="002B397F">
      <w:pPr>
        <w:pStyle w:val="FootnoteText"/>
        <w:jc w:val="both"/>
        <w:rPr>
          <w:rFonts w:ascii="Times New Roman" w:hAnsi="Times New Roman" w:cs="Times New Roman"/>
          <w:sz w:val="24"/>
          <w:szCs w:val="24"/>
          <w:lang w:val="lv-LV"/>
        </w:rPr>
      </w:pPr>
      <w:r w:rsidRPr="007F4427">
        <w:rPr>
          <w:rFonts w:ascii="Times New Roman" w:hAnsi="Times New Roman" w:cs="Times New Roman"/>
          <w:b/>
          <w:bCs/>
          <w:sz w:val="24"/>
          <w:szCs w:val="24"/>
          <w:lang w:val="lv-LV"/>
        </w:rPr>
        <w:t>Romu mediators</w:t>
      </w:r>
      <w:r w:rsidRPr="007F4427">
        <w:rPr>
          <w:rFonts w:ascii="Times New Roman" w:hAnsi="Times New Roman" w:cs="Times New Roman"/>
          <w:sz w:val="24"/>
          <w:szCs w:val="24"/>
          <w:lang w:val="lv-LV"/>
        </w:rPr>
        <w:t xml:space="preserve"> - romu </w:t>
      </w:r>
      <w:r>
        <w:rPr>
          <w:rFonts w:ascii="Times New Roman" w:hAnsi="Times New Roman" w:cs="Times New Roman"/>
          <w:sz w:val="24"/>
          <w:szCs w:val="24"/>
          <w:lang w:val="lv-LV"/>
        </w:rPr>
        <w:t xml:space="preserve">tautības </w:t>
      </w:r>
      <w:r w:rsidRPr="007F4427">
        <w:rPr>
          <w:rFonts w:ascii="Times New Roman" w:hAnsi="Times New Roman" w:cs="Times New Roman"/>
          <w:sz w:val="24"/>
          <w:szCs w:val="24"/>
          <w:lang w:val="lv-LV"/>
        </w:rPr>
        <w:t>cilvēks, kurš ir kā starpnieks starp romu kopienu un pašvaldības, valsts iestādēm. Mediatori veicina valsts un pašvaldības pakalpojumu pieejamību, kas saistīti ar izglītību, veselības aprūpi un darba tirgu u.c. romu tautības cilvēkiem, veicinot sadarbību un sniedzot informāciju romu kopienai un apkārtējai sabiedrībai.</w:t>
      </w:r>
    </w:p>
    <w:p w14:paraId="28AB1E32" w14:textId="77777777" w:rsidR="002B397F" w:rsidRPr="00532DE8" w:rsidRDefault="002B397F" w:rsidP="007F4427">
      <w:pPr>
        <w:spacing w:line="259" w:lineRule="auto"/>
        <w:jc w:val="both"/>
        <w:rPr>
          <w:color w:val="000000"/>
        </w:rPr>
      </w:pPr>
    </w:p>
    <w:p w14:paraId="4880D422" w14:textId="2A879041" w:rsidR="00584BC7" w:rsidRPr="008C4475" w:rsidRDefault="00584BC7" w:rsidP="000F418A">
      <w:pPr>
        <w:pStyle w:val="Header"/>
        <w:spacing w:after="120"/>
        <w:jc w:val="both"/>
      </w:pPr>
      <w:r w:rsidRPr="50FE4E0A">
        <w:rPr>
          <w:b/>
          <w:bCs/>
        </w:rPr>
        <w:t xml:space="preserve">Sabiedrības veselība </w:t>
      </w:r>
      <w:r w:rsidRPr="008C4475">
        <w:t xml:space="preserve">– </w:t>
      </w:r>
      <w:r w:rsidR="001F043B" w:rsidRPr="001F043B">
        <w:t>zinātne par slimību novēršanu, mūža ilguma pagarināšanu un veselības veicināšanu ar organizētu sabiedrības veselības pasākumu palīdzību</w:t>
      </w:r>
      <w:r w:rsidR="001F043B">
        <w:t>.</w:t>
      </w:r>
      <w:r w:rsidR="001F043B">
        <w:rPr>
          <w:rStyle w:val="FootnoteReference"/>
        </w:rPr>
        <w:footnoteReference w:id="13"/>
      </w:r>
    </w:p>
    <w:p w14:paraId="1156FF1C" w14:textId="77777777" w:rsidR="00584BC7" w:rsidRPr="008C4475" w:rsidRDefault="00584BC7" w:rsidP="000F418A">
      <w:pPr>
        <w:pStyle w:val="Header"/>
        <w:spacing w:after="120"/>
        <w:jc w:val="both"/>
      </w:pPr>
      <w:r w:rsidRPr="008C4475">
        <w:rPr>
          <w:b/>
        </w:rPr>
        <w:t>Seksuālā un reproduktīvā veselība</w:t>
      </w:r>
      <w:r w:rsidRPr="008C4475">
        <w:t xml:space="preserve"> – ar cilvēka reproduktīvo sistēmu saistīta fiziska, </w:t>
      </w:r>
      <w:r w:rsidR="00740280" w:rsidRPr="008C4475">
        <w:t xml:space="preserve">psihiska </w:t>
      </w:r>
      <w:r w:rsidRPr="008C4475">
        <w:t>un sociāla lab</w:t>
      </w:r>
      <w:r w:rsidR="00740280" w:rsidRPr="008C4475">
        <w:t>būtība</w:t>
      </w:r>
      <w:r w:rsidRPr="008C4475">
        <w:t>.</w:t>
      </w:r>
    </w:p>
    <w:p w14:paraId="51859815" w14:textId="77777777" w:rsidR="00584BC7" w:rsidRPr="008C4475" w:rsidRDefault="00584BC7" w:rsidP="000F418A">
      <w:pPr>
        <w:spacing w:after="120"/>
        <w:jc w:val="both"/>
      </w:pPr>
      <w:r w:rsidRPr="008C4475">
        <w:rPr>
          <w:b/>
        </w:rPr>
        <w:t>Sekundārā veselības aprūpe</w:t>
      </w:r>
      <w:r w:rsidRPr="008C4475">
        <w:t xml:space="preserve"> – specializēta ambulatorā un stacionārā veselības aprūpe, kas orientēta uz neatliekamu, akūtu vai plānveida veselības aprūpi (kuru sniedz ambulatorajā ārstniecības iestādē, slimnīcas ambulatorajā nodaļā, neatliekamās medicīniskās palīdzības iestādē, dienas stacionārā, slimnīcā).</w:t>
      </w:r>
    </w:p>
    <w:p w14:paraId="0D283F57" w14:textId="77777777" w:rsidR="00584BC7" w:rsidRPr="008C4475" w:rsidRDefault="00584BC7" w:rsidP="000F418A">
      <w:pPr>
        <w:shd w:val="clear" w:color="auto" w:fill="FFFFFF"/>
        <w:spacing w:after="120"/>
        <w:jc w:val="both"/>
      </w:pPr>
      <w:r w:rsidRPr="008C4475">
        <w:rPr>
          <w:b/>
        </w:rPr>
        <w:t>Skrīningdiagnostika jeb skrīnings</w:t>
      </w:r>
      <w:r w:rsidRPr="008C4475">
        <w:t xml:space="preserve"> </w:t>
      </w:r>
      <w:r w:rsidR="00C962DD" w:rsidRPr="008C4475">
        <w:t>–</w:t>
      </w:r>
      <w:r w:rsidRPr="008C4475">
        <w:t xml:space="preserve"> slimības mērķtiecīga meklēšana cilvēkiem, kuriem nav nekādu ar meklējamo slimību saistītu simptomu un kuri ietilpst riska grupā (visbiežāk - noteiktā vecumgrupā), kurā saslimstība ar konkrētu slimību ir visaugstākā.</w:t>
      </w:r>
    </w:p>
    <w:p w14:paraId="5C129AAF" w14:textId="77777777" w:rsidR="000F418A" w:rsidRPr="008C4475" w:rsidRDefault="0068698A" w:rsidP="000F418A">
      <w:pPr>
        <w:shd w:val="clear" w:color="auto" w:fill="FFFFFF"/>
        <w:spacing w:after="120"/>
        <w:jc w:val="both"/>
        <w:rPr>
          <w:rFonts w:eastAsia="Calibri"/>
          <w:lang w:eastAsia="en-US"/>
        </w:rPr>
      </w:pPr>
      <w:r w:rsidRPr="008C4475">
        <w:rPr>
          <w:rFonts w:eastAsia="Calibri"/>
          <w:b/>
          <w:bCs/>
          <w:lang w:eastAsia="en-US"/>
        </w:rPr>
        <w:t>Slimību profilakse</w:t>
      </w:r>
      <w:r w:rsidRPr="008C4475">
        <w:rPr>
          <w:rFonts w:eastAsia="Calibri"/>
          <w:lang w:eastAsia="en-US"/>
        </w:rPr>
        <w:t xml:space="preserve"> </w:t>
      </w:r>
      <w:r w:rsidR="000F418A" w:rsidRPr="008C4475">
        <w:rPr>
          <w:rFonts w:eastAsia="Calibri"/>
          <w:lang w:eastAsia="en-US"/>
        </w:rPr>
        <w:t xml:space="preserve">– pasākumu kopums, kas </w:t>
      </w:r>
      <w:r w:rsidR="00740280" w:rsidRPr="008C4475">
        <w:rPr>
          <w:rFonts w:eastAsia="Calibri"/>
          <w:lang w:eastAsia="en-US"/>
        </w:rPr>
        <w:t>ie</w:t>
      </w:r>
      <w:r w:rsidRPr="008C4475">
        <w:rPr>
          <w:rFonts w:eastAsia="Calibri"/>
          <w:lang w:eastAsia="en-US"/>
        </w:rPr>
        <w:t xml:space="preserve">tver pasākumus ne vien, lai mazinātu riska faktorus nolūkā neļaut izveidoties slimībai, bet arī, lai apturētu tās attīstību vai sarežģījumu veidošanos. </w:t>
      </w:r>
    </w:p>
    <w:p w14:paraId="50C5209D" w14:textId="29A3A5D5" w:rsidR="00A51190" w:rsidRDefault="00A51190" w:rsidP="00A51190">
      <w:pPr>
        <w:spacing w:after="120"/>
        <w:jc w:val="both"/>
        <w:rPr>
          <w:bCs/>
        </w:rPr>
      </w:pPr>
      <w:r w:rsidRPr="008C4475">
        <w:rPr>
          <w:b/>
          <w:bCs/>
        </w:rPr>
        <w:t>Sociālā aprūpe </w:t>
      </w:r>
      <w:r w:rsidRPr="008C4475">
        <w:rPr>
          <w:bCs/>
        </w:rPr>
        <w:t>— pasākumu kopums, kas vērsts uz to personu pamatvajadzību apmierināšanu, kurām ir objektīvas grūtības aprūpēt sevi vecuma vai funkcionālo traucējumu dēļ, gan pakalpojumus personas dzīvesvietā, gan ilgstošas sociālās aprūpes institūcijās</w:t>
      </w:r>
      <w:r w:rsidR="009C3E7C">
        <w:rPr>
          <w:bCs/>
        </w:rPr>
        <w:t>.</w:t>
      </w:r>
    </w:p>
    <w:p w14:paraId="061DB506" w14:textId="0940CDBD" w:rsidR="009C3E7C" w:rsidRDefault="009C3E7C" w:rsidP="00A51190">
      <w:pPr>
        <w:spacing w:after="120"/>
        <w:jc w:val="both"/>
      </w:pPr>
      <w:r w:rsidRPr="005F0CF0">
        <w:rPr>
          <w:b/>
          <w:bCs/>
        </w:rPr>
        <w:t>Sociālā atstumtība</w:t>
      </w:r>
      <w:r w:rsidRPr="005F0CF0">
        <w:t> </w:t>
      </w:r>
      <w:r w:rsidRPr="008C4475">
        <w:rPr>
          <w:rFonts w:eastAsia="Cambria"/>
        </w:rPr>
        <w:t>–</w:t>
      </w:r>
      <w:r w:rsidRPr="005F0CF0">
        <w:t xml:space="preserve"> indivīdu vai cilvēku grupu nespēja iekļauties sabiedrībā nabadzības, nepietiekamas izglītības, bezdarba, diskriminācijas vai citu apstākļu dēļ. Sociāli atstumts cilvēks nespēj piekļūt pakalpojumiem un precēm, nespēj īstenot savas tiesības un izmantot iespējas, jo pastāv šķēršļi, kas to liedz, piemēram, vides nepieejamība, sabiedrības aizspriedumi, emocionālā un fiziskā vardarbība u.c.</w:t>
      </w:r>
    </w:p>
    <w:p w14:paraId="077CDD6B" w14:textId="5F62B77F" w:rsidR="009C3E7C" w:rsidRPr="00753BCB" w:rsidRDefault="009C3E7C" w:rsidP="009C3E7C">
      <w:pPr>
        <w:jc w:val="both"/>
        <w:rPr>
          <w:b/>
        </w:rPr>
      </w:pPr>
      <w:r>
        <w:t>S</w:t>
      </w:r>
      <w:r w:rsidRPr="005F0CF0">
        <w:rPr>
          <w:b/>
        </w:rPr>
        <w:t>ociālās atstumtības riskam pakļautās iedzīvotāju grupas</w:t>
      </w:r>
      <w:r w:rsidRPr="005F0CF0">
        <w:t> </w:t>
      </w:r>
      <w:r w:rsidRPr="008C4475">
        <w:rPr>
          <w:rFonts w:eastAsia="Cambria"/>
        </w:rPr>
        <w:t>–</w:t>
      </w:r>
      <w:r w:rsidRPr="005F0CF0">
        <w:t xml:space="preserve"> personas, kurām ir liegtas vai apgrūtinātas iespējas iegūt pietiekamus ienākumus, saņemt dažādus pakalpojumus un preces, kuras ir būtiski nepieciešamas pilnvērtīgai funkcionēšanai sabiedrībā, piemēram, viena vecāka ģimenes, personas ar invaliditāti un personas ar funkcionēšanas ierobežojumiem, bezdarbnieki (īpaši ilgstošie bezdarbnieki), bezpajumtnieki, romi, ieslodzītie un no ieslodzījuma vietām atbrīvotās personas, no psihoaktīvām vielām (alkohola, narkotiskajām, toksiskajām vai citām apreibinošām vielām) atkarīgās personas, personas ar nepietiekošām, zemām vai darba tirgum neatbilstošām zināšanām un prasmēm u.c.</w:t>
      </w:r>
    </w:p>
    <w:p w14:paraId="0293513F" w14:textId="77777777" w:rsidR="009C3E7C" w:rsidRPr="008C4475" w:rsidRDefault="009C3E7C" w:rsidP="00A51190">
      <w:pPr>
        <w:spacing w:after="120"/>
        <w:jc w:val="both"/>
        <w:rPr>
          <w:bCs/>
        </w:rPr>
      </w:pPr>
    </w:p>
    <w:p w14:paraId="3580F63C" w14:textId="77777777" w:rsidR="00584BC7" w:rsidRPr="008C4475" w:rsidRDefault="00584BC7" w:rsidP="000F418A">
      <w:pPr>
        <w:spacing w:after="120"/>
        <w:jc w:val="both"/>
        <w:rPr>
          <w:rFonts w:eastAsia="Cambria"/>
        </w:rPr>
      </w:pPr>
      <w:r w:rsidRPr="008C4475">
        <w:rPr>
          <w:rFonts w:eastAsia="Cambria"/>
          <w:b/>
          <w:bCs/>
        </w:rPr>
        <w:t>Stacionārā aprūpe</w:t>
      </w:r>
      <w:r w:rsidRPr="008C4475">
        <w:rPr>
          <w:rFonts w:eastAsia="Cambria"/>
        </w:rPr>
        <w:t xml:space="preserve"> – pacientu </w:t>
      </w:r>
      <w:r w:rsidR="00740280" w:rsidRPr="008C4475">
        <w:rPr>
          <w:rFonts w:eastAsia="Cambria"/>
        </w:rPr>
        <w:t>veselības aprūpe</w:t>
      </w:r>
      <w:r w:rsidRPr="008C4475">
        <w:rPr>
          <w:rFonts w:eastAsia="Cambria"/>
        </w:rPr>
        <w:t xml:space="preserve"> pastāvīgā ārstniecības personu aprūpē visu diennakti. Stacionārās aprūpes ietvaros tiek sniegti sekundārā un terciārā līmeņa ārstniecības pakalpojumi. </w:t>
      </w:r>
    </w:p>
    <w:p w14:paraId="7FB86F80" w14:textId="21FB2660" w:rsidR="1B86AC9E" w:rsidRDefault="1B86AC9E" w:rsidP="1AE1FED6">
      <w:pPr>
        <w:spacing w:after="120"/>
        <w:jc w:val="both"/>
      </w:pPr>
      <w:r w:rsidRPr="1AE1FED6">
        <w:rPr>
          <w:b/>
          <w:bCs/>
        </w:rPr>
        <w:t xml:space="preserve">Tālākizglītība </w:t>
      </w:r>
      <w:r w:rsidRPr="007F4427">
        <w:t>(dokumenta izpratnē) - tālākizglītības un profesionālās pilnveides pasākumi neformālās izglītības ietvaros</w:t>
      </w:r>
      <w:r w:rsidR="00C54F6A">
        <w:t>.</w:t>
      </w:r>
    </w:p>
    <w:p w14:paraId="2F73356A" w14:textId="7098D2A5" w:rsidR="0069334F" w:rsidRPr="008C4475" w:rsidRDefault="0069334F" w:rsidP="0069334F">
      <w:pPr>
        <w:spacing w:after="120"/>
        <w:jc w:val="both"/>
        <w:rPr>
          <w:bCs/>
        </w:rPr>
      </w:pPr>
      <w:r w:rsidRPr="008C4475">
        <w:rPr>
          <w:b/>
          <w:bCs/>
        </w:rPr>
        <w:t>Tehnisko palīglīdzekļu pakalpojums</w:t>
      </w:r>
      <w:r w:rsidRPr="008C4475">
        <w:rPr>
          <w:bCs/>
        </w:rPr>
        <w:t> </w:t>
      </w:r>
      <w:r w:rsidR="00C54F6A">
        <w:rPr>
          <w:bCs/>
        </w:rPr>
        <w:t>-</w:t>
      </w:r>
      <w:r w:rsidRPr="008C4475">
        <w:rPr>
          <w:bCs/>
        </w:rPr>
        <w:t xml:space="preserve"> pasākumu kopums, kas nodrošina personas </w:t>
      </w:r>
      <w:r w:rsidR="00C45CA8" w:rsidRPr="008C4475">
        <w:rPr>
          <w:bCs/>
        </w:rPr>
        <w:t>funkcion</w:t>
      </w:r>
      <w:r w:rsidR="00C45CA8">
        <w:rPr>
          <w:bCs/>
        </w:rPr>
        <w:t>ēšanas</w:t>
      </w:r>
      <w:r w:rsidR="00C45CA8" w:rsidRPr="008C4475">
        <w:rPr>
          <w:bCs/>
        </w:rPr>
        <w:t xml:space="preserve"> </w:t>
      </w:r>
      <w:r w:rsidRPr="008C4475">
        <w:rPr>
          <w:bCs/>
        </w:rPr>
        <w:t>novērtēšanu, tehnisko palīglīdzekļu izgatavošanu, pielāgošanu, lietošanas apmācību, remontu, aprites nodrošināšanu, kā arī piegādi personas dzīvesvietā </w:t>
      </w:r>
    </w:p>
    <w:p w14:paraId="71D4E046" w14:textId="77777777" w:rsidR="00F900B1" w:rsidRPr="008C4475" w:rsidRDefault="00F900B1" w:rsidP="000F418A">
      <w:pPr>
        <w:tabs>
          <w:tab w:val="left" w:pos="540"/>
        </w:tabs>
        <w:spacing w:after="120"/>
        <w:jc w:val="both"/>
      </w:pPr>
      <w:r w:rsidRPr="008C4475">
        <w:rPr>
          <w:b/>
          <w:bCs/>
        </w:rPr>
        <w:t>Terciārā veselības aprūpe</w:t>
      </w:r>
      <w:r w:rsidRPr="008C4475">
        <w:t xml:space="preserve"> </w:t>
      </w:r>
      <w:r w:rsidR="00C962DD" w:rsidRPr="008C4475">
        <w:t xml:space="preserve">– </w:t>
      </w:r>
      <w:r w:rsidRPr="008C4475">
        <w:t xml:space="preserve"> augsti specializēti </w:t>
      </w:r>
      <w:r w:rsidR="008669F6" w:rsidRPr="008669F6">
        <w:t xml:space="preserve">un konsultatīvi </w:t>
      </w:r>
      <w:r w:rsidRPr="008C4475">
        <w:t>veselības aprūpes pakalpojumi, kurus specializētās ārstniecības iestādēs nodrošina vienas vai vairāku medicīnas nozaru speciālisti ar papildu kvalifikāciju.</w:t>
      </w:r>
    </w:p>
    <w:p w14:paraId="0EACC330" w14:textId="77777777" w:rsidR="00584BC7" w:rsidRPr="008C4475" w:rsidRDefault="00584BC7" w:rsidP="009529B0">
      <w:pPr>
        <w:tabs>
          <w:tab w:val="left" w:pos="540"/>
        </w:tabs>
        <w:spacing w:after="120"/>
        <w:jc w:val="both"/>
      </w:pPr>
      <w:r w:rsidRPr="008C4475">
        <w:rPr>
          <w:b/>
        </w:rPr>
        <w:t>Veselība</w:t>
      </w:r>
      <w:r w:rsidRPr="008C4475">
        <w:t xml:space="preserve"> – fiziska, psihiska un sociāla labklājība</w:t>
      </w:r>
      <w:r w:rsidR="00E414FB">
        <w:t xml:space="preserve"> (labbūtība)</w:t>
      </w:r>
      <w:r w:rsidRPr="008C4475">
        <w:t>, valsts un tautas pastāvēšanas un izdzīvošanas dabiskais pamats.</w:t>
      </w:r>
    </w:p>
    <w:p w14:paraId="14C8AF54" w14:textId="77777777" w:rsidR="0068698A" w:rsidRPr="008C4475" w:rsidRDefault="0068698A" w:rsidP="009529B0">
      <w:pPr>
        <w:tabs>
          <w:tab w:val="left" w:pos="540"/>
        </w:tabs>
        <w:spacing w:after="120"/>
        <w:jc w:val="both"/>
        <w:rPr>
          <w:bCs/>
        </w:rPr>
      </w:pPr>
      <w:r w:rsidRPr="008C4475">
        <w:rPr>
          <w:b/>
        </w:rPr>
        <w:t>Veselības aprūpe –</w:t>
      </w:r>
      <w:r w:rsidRPr="008C4475">
        <w:rPr>
          <w:bCs/>
        </w:rPr>
        <w:t xml:space="preserve"> </w:t>
      </w:r>
      <w:r w:rsidR="00085262" w:rsidRPr="008C4475">
        <w:rPr>
          <w:bCs/>
        </w:rPr>
        <w:t xml:space="preserve">valstī organizēto </w:t>
      </w:r>
      <w:r w:rsidR="00132BAF" w:rsidRPr="008C4475">
        <w:rPr>
          <w:bCs/>
        </w:rPr>
        <w:t xml:space="preserve">un pārvaldīto </w:t>
      </w:r>
      <w:r w:rsidR="00085262" w:rsidRPr="008C4475">
        <w:rPr>
          <w:bCs/>
        </w:rPr>
        <w:t>pas</w:t>
      </w:r>
      <w:r w:rsidR="00132BAF" w:rsidRPr="008C4475">
        <w:rPr>
          <w:bCs/>
        </w:rPr>
        <w:t>ākumu kopums</w:t>
      </w:r>
      <w:r w:rsidR="00085262" w:rsidRPr="008C4475">
        <w:rPr>
          <w:bCs/>
        </w:rPr>
        <w:t xml:space="preserve"> </w:t>
      </w:r>
      <w:r w:rsidRPr="008C4475">
        <w:rPr>
          <w:bCs/>
        </w:rPr>
        <w:t xml:space="preserve">slimību </w:t>
      </w:r>
      <w:r w:rsidR="00132BAF" w:rsidRPr="008C4475">
        <w:rPr>
          <w:bCs/>
        </w:rPr>
        <w:t xml:space="preserve">un traumu </w:t>
      </w:r>
      <w:r w:rsidRPr="008C4475">
        <w:rPr>
          <w:bCs/>
        </w:rPr>
        <w:t>profilakse</w:t>
      </w:r>
      <w:r w:rsidR="004A6B66" w:rsidRPr="008C4475">
        <w:rPr>
          <w:bCs/>
        </w:rPr>
        <w:t>i</w:t>
      </w:r>
      <w:r w:rsidR="00132BAF" w:rsidRPr="008C4475">
        <w:rPr>
          <w:bCs/>
        </w:rPr>
        <w:t xml:space="preserve"> un</w:t>
      </w:r>
      <w:r w:rsidRPr="008C4475">
        <w:rPr>
          <w:bCs/>
        </w:rPr>
        <w:t xml:space="preserve"> </w:t>
      </w:r>
      <w:r w:rsidR="00085262" w:rsidRPr="008C4475">
        <w:rPr>
          <w:bCs/>
        </w:rPr>
        <w:t>ārstniecība</w:t>
      </w:r>
      <w:r w:rsidR="00132BAF" w:rsidRPr="008C4475">
        <w:rPr>
          <w:bCs/>
        </w:rPr>
        <w:t>i,</w:t>
      </w:r>
      <w:r w:rsidR="00085262" w:rsidRPr="008C4475">
        <w:rPr>
          <w:bCs/>
        </w:rPr>
        <w:t xml:space="preserve"> </w:t>
      </w:r>
      <w:r w:rsidRPr="008C4475">
        <w:rPr>
          <w:bCs/>
        </w:rPr>
        <w:t xml:space="preserve">izmantojot ārstniecības iestāžu un veselības aprūpes speciālistu </w:t>
      </w:r>
      <w:r w:rsidR="009529B0" w:rsidRPr="008C4475">
        <w:rPr>
          <w:bCs/>
        </w:rPr>
        <w:t xml:space="preserve">veselības aprūpes </w:t>
      </w:r>
      <w:r w:rsidRPr="008C4475">
        <w:rPr>
          <w:bCs/>
        </w:rPr>
        <w:t>pakalpojumu</w:t>
      </w:r>
      <w:r w:rsidR="009529B0" w:rsidRPr="008C4475">
        <w:rPr>
          <w:bCs/>
        </w:rPr>
        <w:t xml:space="preserve">s </w:t>
      </w:r>
      <w:r w:rsidR="00132BAF" w:rsidRPr="008C4475">
        <w:rPr>
          <w:bCs/>
        </w:rPr>
        <w:t xml:space="preserve">iedzīvotāju </w:t>
      </w:r>
      <w:r w:rsidR="009529B0" w:rsidRPr="008C4475">
        <w:rPr>
          <w:bCs/>
        </w:rPr>
        <w:t>veselības uzturēšanai</w:t>
      </w:r>
      <w:r w:rsidR="00132BAF" w:rsidRPr="008C4475">
        <w:rPr>
          <w:bCs/>
        </w:rPr>
        <w:t xml:space="preserve">, </w:t>
      </w:r>
      <w:r w:rsidR="009529B0" w:rsidRPr="008C4475">
        <w:rPr>
          <w:bCs/>
        </w:rPr>
        <w:t>atjaunošanai</w:t>
      </w:r>
      <w:r w:rsidR="00132BAF" w:rsidRPr="008C4475">
        <w:rPr>
          <w:bCs/>
        </w:rPr>
        <w:t xml:space="preserve"> un saglabāšanai</w:t>
      </w:r>
      <w:r w:rsidR="009529B0" w:rsidRPr="008C4475">
        <w:rPr>
          <w:bCs/>
        </w:rPr>
        <w:t>.</w:t>
      </w:r>
      <w:r w:rsidR="00132BAF" w:rsidRPr="008C4475">
        <w:rPr>
          <w:bCs/>
        </w:rPr>
        <w:t xml:space="preserve"> </w:t>
      </w:r>
    </w:p>
    <w:p w14:paraId="71FAE767" w14:textId="77777777" w:rsidR="00FB37CA" w:rsidRPr="008C4475" w:rsidRDefault="00FB37CA" w:rsidP="00FB37CA">
      <w:pPr>
        <w:pStyle w:val="HTMLPreformatted"/>
        <w:spacing w:after="120"/>
        <w:jc w:val="both"/>
        <w:rPr>
          <w:rFonts w:ascii="Times New Roman" w:eastAsia="Calibri" w:hAnsi="Times New Roman" w:cs="Times New Roman"/>
          <w:sz w:val="24"/>
          <w:szCs w:val="24"/>
          <w:lang w:eastAsia="en-US"/>
        </w:rPr>
      </w:pPr>
      <w:r w:rsidRPr="008C4475">
        <w:rPr>
          <w:rFonts w:ascii="Times New Roman" w:eastAsia="Calibri" w:hAnsi="Times New Roman" w:cs="Times New Roman"/>
          <w:b/>
          <w:sz w:val="24"/>
          <w:szCs w:val="24"/>
          <w:lang w:eastAsia="en-US"/>
        </w:rPr>
        <w:t>Veselības aprūpes sistēma</w:t>
      </w:r>
      <w:r w:rsidRPr="008C4475">
        <w:rPr>
          <w:rFonts w:ascii="Times New Roman" w:eastAsia="Calibri" w:hAnsi="Times New Roman" w:cs="Times New Roman"/>
          <w:sz w:val="24"/>
          <w:szCs w:val="24"/>
          <w:lang w:eastAsia="en-US"/>
        </w:rPr>
        <w:t xml:space="preserve"> – </w:t>
      </w:r>
      <w:r w:rsidRPr="008C4475">
        <w:rPr>
          <w:rFonts w:ascii="Times New Roman" w:eastAsia="Calibri" w:hAnsi="Times New Roman" w:cs="Times New Roman"/>
          <w:bCs/>
          <w:sz w:val="24"/>
          <w:szCs w:val="24"/>
          <w:lang w:eastAsia="en-US"/>
        </w:rPr>
        <w:t xml:space="preserve">valstī izveidota sistēma sabiedrības veselības pasākumu un veselības aprūpes pakalpojumu nodrošināšanai iedzīvotājiem, kas sastāv no </w:t>
      </w:r>
      <w:r w:rsidRPr="008C4475">
        <w:rPr>
          <w:rFonts w:ascii="Times New Roman" w:eastAsia="Calibri" w:hAnsi="Times New Roman" w:cs="Times New Roman"/>
          <w:sz w:val="24"/>
          <w:szCs w:val="24"/>
          <w:lang w:eastAsia="en-US"/>
        </w:rPr>
        <w:t>valsts pārvaldes  institūcijām, ārstniecības iestādēm un veselības aprūpes izglītības iestādēm un  veselības aprūpes finansēšanas sistēmas. Veselības sistēma plašākā izpratnē ir starpnozaru (pārresoru) aktivitāšu kopums, kuru nolūks ir veicināt, uzturēt un atjaunot veselību</w:t>
      </w:r>
      <w:r w:rsidR="004E5D3D">
        <w:rPr>
          <w:rFonts w:ascii="Times New Roman" w:eastAsia="Calibri" w:hAnsi="Times New Roman" w:cs="Times New Roman"/>
          <w:sz w:val="24"/>
          <w:szCs w:val="24"/>
          <w:lang w:eastAsia="en-US"/>
        </w:rPr>
        <w:t>.</w:t>
      </w:r>
    </w:p>
    <w:p w14:paraId="418C5BF8" w14:textId="195F36DF" w:rsidR="00C009F3" w:rsidRDefault="001D4F71" w:rsidP="009529B0">
      <w:pPr>
        <w:spacing w:after="120"/>
        <w:jc w:val="both"/>
      </w:pPr>
      <w:r w:rsidRPr="008C4475">
        <w:rPr>
          <w:b/>
          <w:bCs/>
        </w:rPr>
        <w:t>Vesel</w:t>
      </w:r>
      <w:r w:rsidR="00BD5322" w:rsidRPr="008C4475">
        <w:rPr>
          <w:b/>
          <w:bCs/>
        </w:rPr>
        <w:t xml:space="preserve">ības </w:t>
      </w:r>
      <w:r w:rsidRPr="008C4475">
        <w:rPr>
          <w:b/>
          <w:bCs/>
        </w:rPr>
        <w:t>apr</w:t>
      </w:r>
      <w:r w:rsidR="00BD5322" w:rsidRPr="008C4475">
        <w:rPr>
          <w:b/>
          <w:bCs/>
        </w:rPr>
        <w:t xml:space="preserve">ūpes </w:t>
      </w:r>
      <w:r w:rsidRPr="008C4475">
        <w:rPr>
          <w:b/>
          <w:bCs/>
        </w:rPr>
        <w:t>kvalitāte</w:t>
      </w:r>
      <w:r w:rsidR="0036387E" w:rsidRPr="008C4475">
        <w:rPr>
          <w:b/>
          <w:bCs/>
        </w:rPr>
        <w:t xml:space="preserve"> </w:t>
      </w:r>
      <w:r w:rsidR="00BD5322" w:rsidRPr="008C4475">
        <w:t>–</w:t>
      </w:r>
      <w:r w:rsidRPr="008C4475">
        <w:t xml:space="preserve"> </w:t>
      </w:r>
      <w:r w:rsidR="0036387E" w:rsidRPr="008C4475">
        <w:t>p</w:t>
      </w:r>
      <w:r w:rsidRPr="008C4475">
        <w:t xml:space="preserve">akāpe, kādā </w:t>
      </w:r>
      <w:r w:rsidR="0063320C" w:rsidRPr="008C4475">
        <w:t>veselības aprūpes</w:t>
      </w:r>
      <w:r w:rsidRPr="008C4475">
        <w:t xml:space="preserve"> pakalpojumi ir droši, efektīvi un </w:t>
      </w:r>
      <w:r w:rsidR="00882FF7" w:rsidRPr="008C4475">
        <w:t>pacientvērsti</w:t>
      </w:r>
      <w:r w:rsidRPr="008C4475">
        <w:t>.</w:t>
      </w:r>
      <w:r w:rsidR="009529B0" w:rsidRPr="008C4475">
        <w:t xml:space="preserve"> </w:t>
      </w:r>
      <w:r w:rsidR="00513319" w:rsidRPr="008C4475">
        <w:t>K</w:t>
      </w:r>
      <w:r w:rsidR="009529B0" w:rsidRPr="008C4475">
        <w:t>valitāte veselības aprūpē nozīmē, ka tā sniegta:</w:t>
      </w:r>
      <w:r w:rsidR="00D27C3D" w:rsidRPr="008C4475">
        <w:t xml:space="preserve"> </w:t>
      </w:r>
      <w:r w:rsidR="009529B0" w:rsidRPr="008C4475">
        <w:t>efektīvi – vēlamo rezultātu sasniegšana, korekti sniedzot pierādījumos balstītus veselības aprūpes pakalpojumus visiem tiem, kuri no tiem varētu gūt labumu, taču ne tiem, kuriem tas nav iespējams; droši – samazinot veselības aprūpes kaitējumu</w:t>
      </w:r>
      <w:r w:rsidR="007F4B47" w:rsidRPr="008C4475">
        <w:t>, cik vien iespējams</w:t>
      </w:r>
      <w:r w:rsidR="009529B0" w:rsidRPr="008C4475">
        <w:t xml:space="preserve">; </w:t>
      </w:r>
      <w:r w:rsidR="00882FF7" w:rsidRPr="008C4475">
        <w:t>pacientvērsti</w:t>
      </w:r>
      <w:r w:rsidR="009529B0" w:rsidRPr="008C4475">
        <w:t>: organizējot veselības aprūpi tā, lai</w:t>
      </w:r>
      <w:r w:rsidR="0021374D" w:rsidRPr="008C4475">
        <w:t>,</w:t>
      </w:r>
      <w:r w:rsidR="009529B0" w:rsidRPr="008C4475">
        <w:t xml:space="preserve"> </w:t>
      </w:r>
      <w:r w:rsidR="0021374D" w:rsidRPr="008C4475">
        <w:t>cienot</w:t>
      </w:r>
      <w:r w:rsidR="009529B0" w:rsidRPr="008C4475">
        <w:t xml:space="preserve"> pacienta</w:t>
      </w:r>
      <w:r w:rsidR="00882FF7" w:rsidRPr="008C4475">
        <w:t xml:space="preserve"> individu</w:t>
      </w:r>
      <w:r w:rsidR="0021374D" w:rsidRPr="008C4475">
        <w:t>ālās</w:t>
      </w:r>
      <w:r w:rsidR="00882FF7" w:rsidRPr="008C4475">
        <w:t xml:space="preserve"> </w:t>
      </w:r>
      <w:r w:rsidR="0021374D" w:rsidRPr="008C4475">
        <w:t xml:space="preserve">izvēles, vajadzības un vērtības, tām pakārtotu profesionālos lēmumus.  </w:t>
      </w:r>
    </w:p>
    <w:p w14:paraId="74C8CE51" w14:textId="0B4C8296" w:rsidR="00DF3122" w:rsidRPr="008C4475" w:rsidRDefault="00D57D99" w:rsidP="009529B0">
      <w:pPr>
        <w:spacing w:after="120"/>
        <w:jc w:val="both"/>
      </w:pPr>
      <w:r>
        <w:rPr>
          <w:b/>
          <w:bCs/>
        </w:rPr>
        <w:t>Sabiedrības v</w:t>
      </w:r>
      <w:r w:rsidR="00DF3122" w:rsidRPr="007F4427">
        <w:rPr>
          <w:b/>
          <w:bCs/>
        </w:rPr>
        <w:t>eselības monitorings</w:t>
      </w:r>
      <w:r w:rsidR="00DF3122">
        <w:t xml:space="preserve"> –</w:t>
      </w:r>
      <w:r w:rsidR="00743302">
        <w:t xml:space="preserve"> </w:t>
      </w:r>
      <w:r>
        <w:rPr>
          <w:rStyle w:val="normaltextrun"/>
          <w:color w:val="000000"/>
        </w:rPr>
        <w:t xml:space="preserve">pastāvīgs process sabiedrības veselības stāvokļa novērtēšanai, sabiedrības veselības problēmu identificēšanai un raksturošanai, kā arī veikto pasākumu efektivitātes novērtēšanai.   </w:t>
      </w:r>
      <w:r w:rsidR="00375BB1">
        <w:t xml:space="preserve"> </w:t>
      </w:r>
    </w:p>
    <w:p w14:paraId="40B1152E" w14:textId="77777777" w:rsidR="00584BC7" w:rsidRPr="008C4475" w:rsidRDefault="00584BC7" w:rsidP="000F418A">
      <w:pPr>
        <w:tabs>
          <w:tab w:val="left" w:pos="540"/>
        </w:tabs>
        <w:spacing w:after="120"/>
        <w:jc w:val="both"/>
        <w:rPr>
          <w:rFonts w:eastAsia="Calibri"/>
          <w:color w:val="000000"/>
        </w:rPr>
      </w:pPr>
      <w:r w:rsidRPr="008C4475">
        <w:rPr>
          <w:rFonts w:eastAsia="Calibri"/>
          <w:b/>
          <w:bCs/>
          <w:color w:val="000000"/>
        </w:rPr>
        <w:t>Veselības tīkls</w:t>
      </w:r>
      <w:r w:rsidRPr="008C4475">
        <w:rPr>
          <w:rFonts w:eastAsia="Calibri"/>
          <w:color w:val="000000"/>
        </w:rPr>
        <w:t xml:space="preserve"> – institucionālais un veselības</w:t>
      </w:r>
      <w:r w:rsidR="00B70C84">
        <w:rPr>
          <w:rFonts w:eastAsia="Calibri"/>
          <w:color w:val="000000"/>
        </w:rPr>
        <w:t xml:space="preserve"> </w:t>
      </w:r>
      <w:r w:rsidRPr="008C4475">
        <w:rPr>
          <w:rFonts w:eastAsia="Calibri"/>
          <w:color w:val="000000"/>
        </w:rPr>
        <w:t>pa</w:t>
      </w:r>
      <w:r w:rsidR="00154C63" w:rsidRPr="008C4475">
        <w:rPr>
          <w:rFonts w:eastAsia="Calibri"/>
          <w:color w:val="000000"/>
        </w:rPr>
        <w:t>kalpojumu tīkls, kas nodrošina</w:t>
      </w:r>
      <w:r w:rsidRPr="008C4475">
        <w:rPr>
          <w:rFonts w:eastAsia="Calibri"/>
          <w:color w:val="000000"/>
        </w:rPr>
        <w:t xml:space="preserve"> kvalitatīvu, efektīvu, koordinētu un savstarpēji integrētu veselības (sektora) pakalpojumu pieejamīb</w:t>
      </w:r>
      <w:r w:rsidR="00154C63" w:rsidRPr="008C4475">
        <w:rPr>
          <w:rFonts w:eastAsia="Calibri"/>
          <w:color w:val="000000"/>
        </w:rPr>
        <w:t>u – kā rezultātā cilvēki saņem</w:t>
      </w:r>
      <w:r w:rsidRPr="008C4475">
        <w:rPr>
          <w:rFonts w:eastAsia="Calibri"/>
          <w:color w:val="000000"/>
        </w:rPr>
        <w:t xml:space="preserve"> nepārtrauktus </w:t>
      </w:r>
      <w:r w:rsidR="001E70FA" w:rsidRPr="008C4475">
        <w:rPr>
          <w:rFonts w:eastAsia="Calibri"/>
          <w:color w:val="000000"/>
        </w:rPr>
        <w:t>(int</w:t>
      </w:r>
      <w:r w:rsidRPr="008C4475">
        <w:rPr>
          <w:rFonts w:eastAsia="Calibri"/>
          <w:color w:val="000000"/>
        </w:rPr>
        <w:t>egrētu vienu otrā, secīgi pārejot no viena pakalpojumu līmeņa uz otru) veselības veicināšanas, slimību profilakses, veselības aprūpes (diagnostiku, ārstēšanu, rehabilitāciju, ilgtermiņa aprūpi, mājas aprūpi, paliatīvo aprūpi) pakalpojumus visos veselības sistēmas līmeņos atbilstoši cilvēku vajadzībām.</w:t>
      </w:r>
    </w:p>
    <w:p w14:paraId="6486689D" w14:textId="77777777" w:rsidR="000F418A" w:rsidRPr="008C4475" w:rsidRDefault="000F418A" w:rsidP="000F418A">
      <w:pPr>
        <w:shd w:val="clear" w:color="auto" w:fill="FFFFFF"/>
        <w:spacing w:after="120"/>
        <w:jc w:val="both"/>
      </w:pPr>
      <w:r w:rsidRPr="008C4475">
        <w:rPr>
          <w:rFonts w:eastAsia="Calibri"/>
          <w:b/>
          <w:bCs/>
          <w:lang w:eastAsia="en-US"/>
        </w:rPr>
        <w:t>Veselības veicināšana</w:t>
      </w:r>
      <w:r w:rsidRPr="008C4475">
        <w:rPr>
          <w:rFonts w:eastAsia="Calibri"/>
          <w:lang w:eastAsia="en-US"/>
        </w:rPr>
        <w:t xml:space="preserve"> – </w:t>
      </w:r>
      <w:r w:rsidR="00762732" w:rsidRPr="008C4475">
        <w:rPr>
          <w:rFonts w:eastAsia="Calibri"/>
          <w:lang w:eastAsia="en-US"/>
        </w:rPr>
        <w:t xml:space="preserve">ir aktivitātes, lai ikvienam veicinātu zināšanas, prasmes un kompetences rūpēties par savu veselību un to uzlabot. Veselības veicināšanai </w:t>
      </w:r>
      <w:r w:rsidRPr="008C4475">
        <w:rPr>
          <w:rFonts w:eastAsia="Calibri"/>
          <w:lang w:eastAsia="en-US"/>
        </w:rPr>
        <w:t>būtu jābūt jebkuras nozares vai politikas sastāvdaļai – tātad tā ietilpst ne</w:t>
      </w:r>
      <w:r w:rsidR="00762732" w:rsidRPr="008C4475">
        <w:rPr>
          <w:rFonts w:eastAsia="Calibri"/>
          <w:lang w:eastAsia="en-US"/>
        </w:rPr>
        <w:t>vis</w:t>
      </w:r>
      <w:r w:rsidRPr="008C4475">
        <w:rPr>
          <w:rFonts w:eastAsia="Calibri"/>
          <w:lang w:eastAsia="en-US"/>
        </w:rPr>
        <w:t xml:space="preserve"> veselības aprūpes</w:t>
      </w:r>
      <w:r w:rsidR="00762732" w:rsidRPr="008C4475">
        <w:rPr>
          <w:rFonts w:eastAsia="Calibri"/>
          <w:lang w:eastAsia="en-US"/>
        </w:rPr>
        <w:t xml:space="preserve"> sistēmā tās šaurākā izpratnē</w:t>
      </w:r>
      <w:r w:rsidRPr="008C4475">
        <w:rPr>
          <w:rFonts w:eastAsia="Calibri"/>
          <w:lang w:eastAsia="en-US"/>
        </w:rPr>
        <w:t>, bet</w:t>
      </w:r>
      <w:r w:rsidR="00762732" w:rsidRPr="008C4475">
        <w:rPr>
          <w:rFonts w:eastAsia="Calibri"/>
          <w:lang w:eastAsia="en-US"/>
        </w:rPr>
        <w:t xml:space="preserve"> gan</w:t>
      </w:r>
      <w:r w:rsidRPr="008C4475">
        <w:rPr>
          <w:rFonts w:eastAsia="Calibri"/>
          <w:lang w:eastAsia="en-US"/>
        </w:rPr>
        <w:t xml:space="preserve"> plašākā – veselības sistēmā.</w:t>
      </w:r>
    </w:p>
    <w:p w14:paraId="13684640" w14:textId="36D3AA18" w:rsidR="000E7C7A" w:rsidRPr="008C4475" w:rsidRDefault="000E7C7A" w:rsidP="000F418A">
      <w:pPr>
        <w:spacing w:after="120"/>
        <w:jc w:val="both"/>
        <w:rPr>
          <w:rFonts w:eastAsia="Segoe UI"/>
          <w:color w:val="333333"/>
        </w:rPr>
      </w:pPr>
      <w:r w:rsidRPr="008C4475">
        <w:rPr>
          <w:rFonts w:eastAsia="Segoe UI"/>
          <w:b/>
          <w:bCs/>
          <w:color w:val="333333"/>
        </w:rPr>
        <w:t xml:space="preserve">Veselībpratība </w:t>
      </w:r>
      <w:r w:rsidR="00C962DD" w:rsidRPr="008C4475">
        <w:t>–</w:t>
      </w:r>
      <w:r w:rsidRPr="008C4475">
        <w:rPr>
          <w:rFonts w:eastAsia="Segoe UI"/>
          <w:color w:val="333333"/>
        </w:rPr>
        <w:t xml:space="preserve"> cilvēka spējas iegūt, apstrādāt</w:t>
      </w:r>
      <w:r w:rsidR="001E70FA" w:rsidRPr="008C4475">
        <w:rPr>
          <w:rFonts w:eastAsia="Segoe UI"/>
          <w:color w:val="333333"/>
        </w:rPr>
        <w:t xml:space="preserve"> un</w:t>
      </w:r>
      <w:r w:rsidRPr="008C4475">
        <w:rPr>
          <w:rFonts w:eastAsia="Segoe UI"/>
          <w:color w:val="333333"/>
        </w:rPr>
        <w:t xml:space="preserve"> saprast informāciju par veselību un veselības aprūpes pakalpojumiem, tajā skaitā ārstniecību, lai pieņemtu atbilstošus un savai veselībai nozīmīgus lēmumus. </w:t>
      </w:r>
      <w:r w:rsidR="007D3A8C" w:rsidRPr="00D84814">
        <w:rPr>
          <w:rFonts w:eastAsia="Segoe UI"/>
          <w:b/>
          <w:bCs/>
          <w:color w:val="333333"/>
        </w:rPr>
        <w:t>Digitālā veselībpratība</w:t>
      </w:r>
      <w:r w:rsidR="007D3A8C">
        <w:rPr>
          <w:rFonts w:eastAsia="Segoe UI"/>
          <w:color w:val="333333"/>
        </w:rPr>
        <w:t xml:space="preserve"> ir prasmes </w:t>
      </w:r>
      <w:r w:rsidR="007D3A8C" w:rsidRPr="00D84814">
        <w:rPr>
          <w:rFonts w:eastAsia="Segoe UI"/>
          <w:color w:val="333333"/>
        </w:rPr>
        <w:t>meklēt, atrast, izpra</w:t>
      </w:r>
      <w:r w:rsidR="007D3A8C">
        <w:rPr>
          <w:rFonts w:eastAsia="Segoe UI"/>
          <w:color w:val="333333"/>
        </w:rPr>
        <w:t>s</w:t>
      </w:r>
      <w:r w:rsidR="007D3A8C" w:rsidRPr="00D84814">
        <w:rPr>
          <w:rFonts w:eastAsia="Segoe UI"/>
          <w:color w:val="333333"/>
        </w:rPr>
        <w:t xml:space="preserve">t un novērtēt digitālajos avotos </w:t>
      </w:r>
      <w:r w:rsidR="007D3A8C">
        <w:rPr>
          <w:rFonts w:eastAsia="Segoe UI"/>
          <w:color w:val="333333"/>
        </w:rPr>
        <w:t xml:space="preserve">(televīzijā, internetā, mobilajās aplikācijās)  atrodamo </w:t>
      </w:r>
      <w:r w:rsidR="007D3A8C" w:rsidRPr="00D84814">
        <w:rPr>
          <w:rFonts w:eastAsia="Segoe UI"/>
          <w:color w:val="333333"/>
        </w:rPr>
        <w:t>informāciju veselības jomā</w:t>
      </w:r>
      <w:r w:rsidR="007D3A8C">
        <w:rPr>
          <w:rFonts w:eastAsia="Segoe UI"/>
          <w:color w:val="333333"/>
        </w:rPr>
        <w:t xml:space="preserve"> un pielietot iegūtās zināšanas veselības uzlabošanai</w:t>
      </w:r>
      <w:r w:rsidR="007D3A8C" w:rsidRPr="00D84814">
        <w:rPr>
          <w:rFonts w:eastAsia="Segoe UI"/>
          <w:color w:val="333333"/>
        </w:rPr>
        <w:t>.</w:t>
      </w:r>
    </w:p>
    <w:p w14:paraId="225BB85A" w14:textId="77777777" w:rsidR="008651E6" w:rsidRDefault="00584BC7" w:rsidP="000F418A">
      <w:pPr>
        <w:widowControl w:val="0"/>
        <w:autoSpaceDE w:val="0"/>
        <w:autoSpaceDN w:val="0"/>
        <w:adjustRightInd w:val="0"/>
        <w:spacing w:after="120"/>
        <w:jc w:val="both"/>
      </w:pPr>
      <w:r w:rsidRPr="008C4475">
        <w:rPr>
          <w:b/>
        </w:rPr>
        <w:t>Vides veselības faktori</w:t>
      </w:r>
      <w:r w:rsidRPr="008C4475">
        <w:t xml:space="preserve"> – visi </w:t>
      </w:r>
      <w:r w:rsidRPr="008C4475">
        <w:rPr>
          <w:rStyle w:val="hps"/>
        </w:rPr>
        <w:t>fiziskie</w:t>
      </w:r>
      <w:r w:rsidRPr="008C4475">
        <w:t xml:space="preserve">, </w:t>
      </w:r>
      <w:r w:rsidRPr="008C4475">
        <w:rPr>
          <w:rStyle w:val="hps"/>
        </w:rPr>
        <w:t>ķīmiskie un bioloģiskie</w:t>
      </w:r>
      <w:r w:rsidRPr="008C4475">
        <w:t xml:space="preserve"> </w:t>
      </w:r>
      <w:r w:rsidRPr="008C4475">
        <w:rPr>
          <w:rStyle w:val="hps"/>
        </w:rPr>
        <w:t>faktori, kas no apkārtējās vides tieši vai netieši ietekmē</w:t>
      </w:r>
      <w:r w:rsidRPr="008C4475">
        <w:t xml:space="preserve"> </w:t>
      </w:r>
      <w:r w:rsidRPr="008C4475">
        <w:rPr>
          <w:rStyle w:val="hps"/>
        </w:rPr>
        <w:t>personas veselību un labklājību</w:t>
      </w:r>
      <w:r w:rsidRPr="008C4475">
        <w:t xml:space="preserve">, </w:t>
      </w:r>
      <w:r w:rsidRPr="008C4475">
        <w:rPr>
          <w:rStyle w:val="hps"/>
        </w:rPr>
        <w:t>fizisko</w:t>
      </w:r>
      <w:r w:rsidRPr="008C4475">
        <w:t xml:space="preserve">, psiholoģisko, </w:t>
      </w:r>
      <w:r w:rsidRPr="008C4475">
        <w:rPr>
          <w:rStyle w:val="hps"/>
        </w:rPr>
        <w:t>sociālo un</w:t>
      </w:r>
      <w:r w:rsidRPr="008C4475">
        <w:t xml:space="preserve"> </w:t>
      </w:r>
      <w:r w:rsidRPr="008C4475">
        <w:rPr>
          <w:rStyle w:val="hps"/>
        </w:rPr>
        <w:t>kultūras</w:t>
      </w:r>
      <w:r w:rsidRPr="008C4475">
        <w:t xml:space="preserve"> </w:t>
      </w:r>
      <w:r w:rsidRPr="008C4475">
        <w:rPr>
          <w:rStyle w:val="hps"/>
        </w:rPr>
        <w:t>vidi</w:t>
      </w:r>
      <w:r w:rsidRPr="008C4475">
        <w:t>, k</w:t>
      </w:r>
      <w:r w:rsidRPr="008C4475">
        <w:rPr>
          <w:rStyle w:val="hps"/>
        </w:rPr>
        <w:t>as ietver</w:t>
      </w:r>
      <w:r w:rsidRPr="008C4475">
        <w:t xml:space="preserve"> </w:t>
      </w:r>
      <w:r w:rsidRPr="008C4475">
        <w:rPr>
          <w:rStyle w:val="hps"/>
        </w:rPr>
        <w:t>mājokļu</w:t>
      </w:r>
      <w:r w:rsidRPr="008C4475">
        <w:t xml:space="preserve">, </w:t>
      </w:r>
      <w:r w:rsidRPr="008C4475">
        <w:rPr>
          <w:rStyle w:val="hps"/>
        </w:rPr>
        <w:t>pilsētvides attīstību,</w:t>
      </w:r>
      <w:r w:rsidRPr="008C4475">
        <w:t xml:space="preserve"> </w:t>
      </w:r>
      <w:r w:rsidRPr="008C4475">
        <w:rPr>
          <w:rStyle w:val="hps"/>
        </w:rPr>
        <w:t>zemes</w:t>
      </w:r>
      <w:r w:rsidRPr="008C4475">
        <w:t xml:space="preserve"> </w:t>
      </w:r>
      <w:r w:rsidRPr="008C4475">
        <w:rPr>
          <w:rStyle w:val="hps"/>
        </w:rPr>
        <w:t>izmantošanu un</w:t>
      </w:r>
      <w:r w:rsidRPr="008C4475">
        <w:t xml:space="preserve"> </w:t>
      </w:r>
      <w:r w:rsidRPr="008C4475">
        <w:rPr>
          <w:rStyle w:val="hps"/>
        </w:rPr>
        <w:t>transportu</w:t>
      </w:r>
      <w:r w:rsidRPr="008C4475">
        <w:t>.</w:t>
      </w:r>
    </w:p>
    <w:p w14:paraId="2B1B1923" w14:textId="57729AB0" w:rsidR="75286F3A" w:rsidRDefault="00584BC7" w:rsidP="007F4427">
      <w:pPr>
        <w:widowControl w:val="0"/>
        <w:autoSpaceDE w:val="0"/>
        <w:autoSpaceDN w:val="0"/>
        <w:adjustRightInd w:val="0"/>
        <w:spacing w:after="120"/>
        <w:jc w:val="both"/>
      </w:pPr>
      <w:r w:rsidRPr="75286F3A">
        <w:rPr>
          <w:b/>
          <w:bCs/>
        </w:rPr>
        <w:t xml:space="preserve">Zīdaiņu mirstība – </w:t>
      </w:r>
      <w:r>
        <w:t>pirmajā dzīves gadā mirušo bērnu skaits, parasti izsaka uz 1000 dzīvi dzimuš</w:t>
      </w:r>
      <w:r w:rsidR="00A162A1">
        <w:t>ajiem</w:t>
      </w:r>
      <w:r>
        <w:t>.</w:t>
      </w:r>
    </w:p>
    <w:p w14:paraId="22D725CB" w14:textId="072C6C0E" w:rsidR="6875FB34" w:rsidRDefault="6875FB34" w:rsidP="007F4427">
      <w:pPr>
        <w:spacing w:after="120"/>
        <w:jc w:val="both"/>
        <w:rPr>
          <w:color w:val="000000" w:themeColor="text1"/>
        </w:rPr>
      </w:pPr>
      <w:r w:rsidRPr="007F4427">
        <w:rPr>
          <w:b/>
          <w:bCs/>
          <w:color w:val="000000" w:themeColor="text1"/>
        </w:rPr>
        <w:t>Zoonoze</w:t>
      </w:r>
      <w:r w:rsidRPr="75286F3A">
        <w:rPr>
          <w:color w:val="000000" w:themeColor="text1"/>
        </w:rPr>
        <w:t xml:space="preserve"> – infekcijas slimība, ar kuru slimo cilvēki un dzīvnieki, ietekmējot sabiedrības veselību un pārtikas nekaitīgumu.</w:t>
      </w:r>
    </w:p>
    <w:sectPr w:rsidR="6875FB34" w:rsidSect="00F97086">
      <w:headerReference w:type="default" r:id="rId11"/>
      <w:footerReference w:type="default" r:id="rId12"/>
      <w:headerReference w:type="first" r:id="rId13"/>
      <w:footerReference w:type="firs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0671" w14:textId="77777777" w:rsidR="004A529B" w:rsidRDefault="004A529B" w:rsidP="00D06C41">
      <w:r>
        <w:separator/>
      </w:r>
    </w:p>
  </w:endnote>
  <w:endnote w:type="continuationSeparator" w:id="0">
    <w:p w14:paraId="3CE01503" w14:textId="77777777" w:rsidR="004A529B" w:rsidRDefault="004A529B" w:rsidP="00D06C41">
      <w:r>
        <w:continuationSeparator/>
      </w:r>
    </w:p>
  </w:endnote>
  <w:endnote w:type="continuationNotice" w:id="1">
    <w:p w14:paraId="4ECCF47C" w14:textId="77777777" w:rsidR="004A529B" w:rsidRDefault="004A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A9F9" w14:textId="77777777" w:rsidR="009437A0" w:rsidRPr="00F97086" w:rsidRDefault="009437A0">
    <w:pPr>
      <w:pStyle w:val="Footer"/>
      <w:jc w:val="center"/>
    </w:pPr>
  </w:p>
  <w:p w14:paraId="352A6E67" w14:textId="616E7E59" w:rsidR="009437A0" w:rsidRPr="00F908FC" w:rsidRDefault="009C0B24" w:rsidP="009C0B24">
    <w:pPr>
      <w:pStyle w:val="Footer"/>
      <w:rPr>
        <w:sz w:val="20"/>
        <w:szCs w:val="20"/>
      </w:rPr>
    </w:pPr>
    <w:r w:rsidRPr="009C0B24">
      <w:rPr>
        <w:sz w:val="20"/>
        <w:szCs w:val="20"/>
      </w:rPr>
      <w:t>VMpiel3_010721_Termini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26F" w14:textId="5F953BB3" w:rsidR="0085031C" w:rsidRDefault="0085031C" w:rsidP="0085031C">
    <w:pPr>
      <w:pStyle w:val="Footer"/>
    </w:pPr>
  </w:p>
  <w:p w14:paraId="634F42EF" w14:textId="77777777" w:rsidR="009437A0" w:rsidRPr="00D06C41" w:rsidRDefault="009437A0" w:rsidP="006E123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BD53" w14:textId="77777777" w:rsidR="004A529B" w:rsidRDefault="004A529B" w:rsidP="00D06C41">
      <w:r>
        <w:separator/>
      </w:r>
    </w:p>
  </w:footnote>
  <w:footnote w:type="continuationSeparator" w:id="0">
    <w:p w14:paraId="69CB2831" w14:textId="77777777" w:rsidR="004A529B" w:rsidRDefault="004A529B" w:rsidP="00D06C41">
      <w:r>
        <w:continuationSeparator/>
      </w:r>
    </w:p>
  </w:footnote>
  <w:footnote w:type="continuationNotice" w:id="1">
    <w:p w14:paraId="5AD08071" w14:textId="77777777" w:rsidR="004A529B" w:rsidRDefault="004A529B"/>
  </w:footnote>
  <w:footnote w:id="2">
    <w:p w14:paraId="7BA0185B" w14:textId="77777777" w:rsidR="00A932EC" w:rsidRPr="00A932EC" w:rsidRDefault="00A932EC" w:rsidP="001767AB">
      <w:pPr>
        <w:pStyle w:val="FootnoteText"/>
        <w:jc w:val="both"/>
        <w:rPr>
          <w:rFonts w:ascii="Times New Roman" w:hAnsi="Times New Roman" w:cs="Times New Roman"/>
          <w:lang w:val="lv-LV"/>
        </w:rPr>
      </w:pPr>
      <w:r w:rsidRPr="00A932EC">
        <w:rPr>
          <w:rStyle w:val="FootnoteReference"/>
          <w:rFonts w:ascii="Times New Roman" w:hAnsi="Times New Roman" w:cs="Times New Roman"/>
          <w:lang w:val="lv-LV"/>
        </w:rPr>
        <w:footnoteRef/>
      </w:r>
      <w:r w:rsidRPr="00A932EC">
        <w:rPr>
          <w:rFonts w:ascii="Times New Roman" w:hAnsi="Times New Roman" w:cs="Times New Roman"/>
          <w:lang w:val="lv-LV"/>
        </w:rPr>
        <w:t xml:space="preserve"> </w:t>
      </w:r>
      <w:r w:rsidR="001767AB">
        <w:rPr>
          <w:rFonts w:ascii="Times New Roman" w:hAnsi="Times New Roman" w:cs="Times New Roman"/>
          <w:bCs/>
          <w:lang w:val="lv-LV"/>
        </w:rPr>
        <w:t>R</w:t>
      </w:r>
      <w:r w:rsidRPr="00A932EC">
        <w:rPr>
          <w:rFonts w:ascii="Times New Roman" w:hAnsi="Times New Roman" w:cs="Times New Roman"/>
          <w:bCs/>
          <w:lang w:val="lv-LV"/>
        </w:rPr>
        <w:t>ādītājus aprēķina, balstoties uz oficiālajiem VID datiem par patēriņam nodoto alkoholisko dzērienu apriti Latvijā, ieskaitot tūristu alkohola patēriņu, taču bez nereģistrētā alkohola patēriņa.</w:t>
      </w:r>
    </w:p>
  </w:footnote>
  <w:footnote w:id="3">
    <w:p w14:paraId="47D34AA0" w14:textId="542B1074" w:rsidR="00531F27" w:rsidRDefault="00531F27" w:rsidP="001767AB">
      <w:pPr>
        <w:pStyle w:val="FootnoteText"/>
        <w:jc w:val="both"/>
        <w:rPr>
          <w:rFonts w:ascii="Times New Roman" w:hAnsi="Times New Roman" w:cs="Times New Roman"/>
          <w:lang w:val="lv-LV"/>
        </w:rPr>
      </w:pPr>
      <w:r w:rsidRPr="00A932EC">
        <w:rPr>
          <w:rStyle w:val="FootnoteReference"/>
          <w:rFonts w:ascii="Times New Roman" w:hAnsi="Times New Roman" w:cs="Times New Roman"/>
          <w:lang w:val="lv-LV"/>
        </w:rPr>
        <w:footnoteRef/>
      </w:r>
      <w:r w:rsidRPr="00A932EC">
        <w:rPr>
          <w:rFonts w:ascii="Times New Roman" w:hAnsi="Times New Roman" w:cs="Times New Roman"/>
          <w:lang w:val="lv-LV"/>
        </w:rPr>
        <w:t xml:space="preserve"> Saskaņā ar OECD un EUROSTAT 2019. </w:t>
      </w:r>
      <w:r w:rsidRPr="00A932EC">
        <w:rPr>
          <w:rFonts w:ascii="Times New Roman" w:hAnsi="Times New Roman" w:cs="Times New Roman"/>
          <w:lang w:val="lv-LV"/>
        </w:rPr>
        <w:t>gada definīcijām par priekšlaicīgu neatkarīgi no nāves cēloņiem uzskata mirstību līdz 7</w:t>
      </w:r>
      <w:r w:rsidR="00DC355B">
        <w:rPr>
          <w:rFonts w:ascii="Times New Roman" w:hAnsi="Times New Roman" w:cs="Times New Roman"/>
          <w:lang w:val="lv-LV"/>
        </w:rPr>
        <w:t>4</w:t>
      </w:r>
      <w:r w:rsidRPr="00A932EC">
        <w:rPr>
          <w:rFonts w:ascii="Times New Roman" w:hAnsi="Times New Roman" w:cs="Times New Roman"/>
          <w:lang w:val="lv-LV"/>
        </w:rPr>
        <w:t xml:space="preserve"> gadu vecuma sasniegšanai.</w:t>
      </w:r>
    </w:p>
    <w:p w14:paraId="7A388299" w14:textId="77777777" w:rsidR="00EB64E8" w:rsidRDefault="00EB64E8" w:rsidP="00EB64E8">
      <w:pPr>
        <w:pStyle w:val="Footer"/>
        <w:rPr>
          <w:sz w:val="20"/>
          <w:szCs w:val="20"/>
        </w:rPr>
      </w:pPr>
    </w:p>
    <w:p w14:paraId="4563CD44" w14:textId="20C68066" w:rsidR="00EB64E8" w:rsidRPr="00F908FC" w:rsidRDefault="00EB64E8" w:rsidP="00EB64E8">
      <w:pPr>
        <w:pStyle w:val="Footer"/>
        <w:rPr>
          <w:sz w:val="20"/>
          <w:szCs w:val="20"/>
        </w:rPr>
      </w:pPr>
      <w:r w:rsidRPr="009C0B24">
        <w:rPr>
          <w:sz w:val="20"/>
          <w:szCs w:val="20"/>
        </w:rPr>
        <w:t>VMpiel3_010721_Termini</w:t>
      </w:r>
    </w:p>
    <w:p w14:paraId="13231EDD" w14:textId="77777777" w:rsidR="00EB64E8" w:rsidRPr="00531F27" w:rsidRDefault="00EB64E8" w:rsidP="001767AB">
      <w:pPr>
        <w:pStyle w:val="FootnoteText"/>
        <w:jc w:val="both"/>
        <w:rPr>
          <w:rFonts w:ascii="Times New Roman" w:hAnsi="Times New Roman" w:cs="Times New Roman"/>
          <w:lang w:val="lv-LV"/>
        </w:rPr>
      </w:pPr>
    </w:p>
  </w:footnote>
  <w:footnote w:id="4">
    <w:p w14:paraId="0FE2C7CD" w14:textId="77777777" w:rsidR="009545A9" w:rsidRPr="0009125F" w:rsidRDefault="009545A9">
      <w:pPr>
        <w:pStyle w:val="FootnoteText"/>
        <w:rPr>
          <w:rFonts w:ascii="Times New Roman" w:hAnsi="Times New Roman" w:cs="Times New Roman"/>
          <w:lang w:val="lv-LV"/>
        </w:rPr>
      </w:pPr>
      <w:r w:rsidRPr="009545A9">
        <w:rPr>
          <w:rStyle w:val="FootnoteReference"/>
          <w:rFonts w:ascii="Times New Roman" w:hAnsi="Times New Roman" w:cs="Times New Roman"/>
        </w:rPr>
        <w:footnoteRef/>
      </w:r>
      <w:r w:rsidRPr="00EB64E8">
        <w:rPr>
          <w:rFonts w:ascii="Times New Roman" w:hAnsi="Times New Roman" w:cs="Times New Roman"/>
          <w:lang w:val="lv-LV"/>
        </w:rPr>
        <w:t xml:space="preserve"> </w:t>
      </w:r>
      <w:r w:rsidRPr="009545A9">
        <w:rPr>
          <w:rFonts w:ascii="Times New Roman" w:hAnsi="Times New Roman" w:cs="Times New Roman"/>
          <w:lang w:val="lv-LV"/>
        </w:rPr>
        <w:t xml:space="preserve">Padomes 2020. gada </w:t>
      </w:r>
      <w:r w:rsidRPr="0009125F">
        <w:rPr>
          <w:rFonts w:ascii="Times New Roman" w:hAnsi="Times New Roman" w:cs="Times New Roman"/>
          <w:lang w:val="lv-LV"/>
        </w:rPr>
        <w:t>marta rezolūcijā ietvertā definīcija</w:t>
      </w:r>
      <w:r w:rsidR="00FB56B3" w:rsidRPr="0009125F">
        <w:rPr>
          <w:rFonts w:ascii="Times New Roman" w:hAnsi="Times New Roman" w:cs="Times New Roman"/>
          <w:lang w:val="lv-LV"/>
        </w:rPr>
        <w:t>.</w:t>
      </w:r>
    </w:p>
  </w:footnote>
  <w:footnote w:id="5">
    <w:p w14:paraId="0A17B7A0" w14:textId="2F37B940" w:rsidR="009437A0" w:rsidRDefault="009437A0" w:rsidP="000F418A">
      <w:pPr>
        <w:pStyle w:val="FootnoteText"/>
        <w:jc w:val="both"/>
        <w:rPr>
          <w:rFonts w:ascii="Times New Roman" w:eastAsia="Calibri" w:hAnsi="Times New Roman" w:cs="Times New Roman"/>
          <w:lang w:val="lv-LV"/>
        </w:rPr>
      </w:pPr>
      <w:r w:rsidRPr="0009125F">
        <w:rPr>
          <w:rStyle w:val="FootnoteReference"/>
          <w:rFonts w:ascii="Times New Roman" w:hAnsi="Times New Roman" w:cs="Times New Roman"/>
          <w:lang w:val="lv-LV"/>
        </w:rPr>
        <w:footnoteRef/>
      </w:r>
      <w:r w:rsidRPr="0009125F">
        <w:rPr>
          <w:rFonts w:ascii="Times New Roman" w:hAnsi="Times New Roman" w:cs="Times New Roman"/>
          <w:lang w:val="lv-LV"/>
        </w:rPr>
        <w:t xml:space="preserve"> </w:t>
      </w:r>
      <w:r w:rsidRPr="0009125F">
        <w:rPr>
          <w:rFonts w:ascii="Times New Roman" w:eastAsia="Calibri" w:hAnsi="Times New Roman" w:cs="Times New Roman"/>
          <w:lang w:val="lv-LV"/>
        </w:rPr>
        <w:t xml:space="preserve">Integrācija var būt: (1.) </w:t>
      </w:r>
      <w:r w:rsidRPr="0009125F">
        <w:rPr>
          <w:rFonts w:ascii="Times New Roman" w:eastAsia="Calibri" w:hAnsi="Times New Roman" w:cs="Times New Roman"/>
          <w:b/>
          <w:lang w:val="lv-LV"/>
        </w:rPr>
        <w:t>organizatoriska</w:t>
      </w:r>
      <w:r w:rsidRPr="00366A25">
        <w:rPr>
          <w:rFonts w:ascii="Times New Roman" w:eastAsia="Calibri" w:hAnsi="Times New Roman" w:cs="Times New Roman"/>
          <w:lang w:val="lv-LV"/>
        </w:rPr>
        <w:t xml:space="preserve"> – koordinēti pakalpojumu sniedzēju tīkli vai ārstniecības iestāžu sadarbība, kuru starpniecību organizē pakalpojumu pircējs; (2.) </w:t>
      </w:r>
      <w:r w:rsidRPr="00366A25">
        <w:rPr>
          <w:rFonts w:ascii="Times New Roman" w:eastAsia="Calibri" w:hAnsi="Times New Roman" w:cs="Times New Roman"/>
          <w:b/>
          <w:lang w:val="lv-LV"/>
        </w:rPr>
        <w:t xml:space="preserve">funkcionāla </w:t>
      </w:r>
      <w:r w:rsidRPr="00366A25">
        <w:rPr>
          <w:rFonts w:ascii="Times New Roman" w:eastAsia="Calibri" w:hAnsi="Times New Roman" w:cs="Times New Roman"/>
          <w:lang w:val="lv-LV"/>
        </w:rPr>
        <w:t xml:space="preserve">– administratīvo un atbalsta funkciju integrācija, piemēram, elektroniska pacientu medicīniskās dokumentācijas lietvedība; (3.) </w:t>
      </w:r>
      <w:r w:rsidRPr="00366A25">
        <w:rPr>
          <w:rFonts w:ascii="Times New Roman" w:eastAsia="Calibri" w:hAnsi="Times New Roman" w:cs="Times New Roman"/>
          <w:b/>
          <w:lang w:val="lv-LV"/>
        </w:rPr>
        <w:t>pakalpojumu sniegšanas</w:t>
      </w:r>
      <w:r w:rsidRPr="00366A25">
        <w:rPr>
          <w:rFonts w:ascii="Times New Roman" w:eastAsia="Calibri" w:hAnsi="Times New Roman" w:cs="Times New Roman"/>
          <w:lang w:val="lv-LV"/>
        </w:rPr>
        <w:t xml:space="preserve"> – dažādu klīnisko pakalpojumu integrācija organizācijas līmenī, piemēram, izmantojot daudznozaru veselības aprūpes speciālistu komandas vienuviet pacientam ērtā laikā; (4.)  </w:t>
      </w:r>
      <w:r w:rsidRPr="00366A25">
        <w:rPr>
          <w:rFonts w:ascii="Times New Roman" w:eastAsia="Calibri" w:hAnsi="Times New Roman" w:cs="Times New Roman"/>
          <w:b/>
          <w:lang w:val="lv-LV"/>
        </w:rPr>
        <w:t>klīniska</w:t>
      </w:r>
      <w:r>
        <w:rPr>
          <w:rFonts w:ascii="Times New Roman" w:eastAsia="Calibri" w:hAnsi="Times New Roman" w:cs="Times New Roman"/>
          <w:lang w:val="lv-LV"/>
        </w:rPr>
        <w:t xml:space="preserve"> – </w:t>
      </w:r>
      <w:r w:rsidRPr="00366A25">
        <w:rPr>
          <w:rFonts w:ascii="Times New Roman" w:eastAsia="Calibri" w:hAnsi="Times New Roman" w:cs="Times New Roman"/>
          <w:lang w:val="lv-LV"/>
        </w:rPr>
        <w:t>integrēšana vienotā un saskaņotā procesā, piemēram, izmantojot pacientu klīniskos ceļus, vadlīnijas un protokolus.</w:t>
      </w:r>
    </w:p>
    <w:p w14:paraId="07CAA844" w14:textId="77777777" w:rsidR="00EB64E8" w:rsidRPr="00366A25" w:rsidRDefault="00EB64E8" w:rsidP="000F418A">
      <w:pPr>
        <w:pStyle w:val="FootnoteText"/>
        <w:jc w:val="both"/>
        <w:rPr>
          <w:rFonts w:ascii="Times New Roman" w:hAnsi="Times New Roman" w:cs="Times New Roman"/>
          <w:lang w:val="lv-LV"/>
        </w:rPr>
      </w:pPr>
    </w:p>
  </w:footnote>
  <w:footnote w:id="6">
    <w:p w14:paraId="4AEC38C9" w14:textId="77777777" w:rsidR="009437A0" w:rsidRPr="00185FFC" w:rsidRDefault="009437A0" w:rsidP="00185FFC">
      <w:pPr>
        <w:pStyle w:val="FootnoteText"/>
        <w:rPr>
          <w:rFonts w:ascii="Times New Roman" w:hAnsi="Times New Roman" w:cs="Times New Roman"/>
          <w:lang w:val="lv-LV"/>
        </w:rPr>
      </w:pPr>
      <w:r w:rsidRPr="00185FFC">
        <w:rPr>
          <w:rStyle w:val="FootnoteReference"/>
          <w:rFonts w:ascii="Times New Roman" w:hAnsi="Times New Roman" w:cs="Times New Roman"/>
        </w:rPr>
        <w:footnoteRef/>
      </w:r>
      <w:r w:rsidRPr="00185FFC">
        <w:rPr>
          <w:rFonts w:ascii="Times New Roman" w:hAnsi="Times New Roman" w:cs="Times New Roman"/>
        </w:rPr>
        <w:t xml:space="preserve"> </w:t>
      </w:r>
      <w:r w:rsidRPr="00185FFC">
        <w:rPr>
          <w:rFonts w:ascii="Times New Roman" w:hAnsi="Times New Roman" w:cs="Times New Roman"/>
          <w:lang w:val="lv-LV"/>
        </w:rPr>
        <w:t>World Health organization, Multimorbidity, 2016, https://apps.who.int/iris/bitstream/handle/10665/252275/9789241511650-eng.pdf</w:t>
      </w:r>
    </w:p>
  </w:footnote>
  <w:footnote w:id="7">
    <w:p w14:paraId="634B51AE" w14:textId="77777777" w:rsidR="00C66EA6" w:rsidRPr="00185FFC" w:rsidRDefault="00C66EA6" w:rsidP="00C66EA6">
      <w:pPr>
        <w:pStyle w:val="FootnoteText"/>
        <w:rPr>
          <w:lang w:val="lv-LV"/>
        </w:rPr>
      </w:pPr>
      <w:r w:rsidRPr="00185FFC">
        <w:rPr>
          <w:rStyle w:val="FootnoteReference"/>
          <w:rFonts w:ascii="Times New Roman" w:hAnsi="Times New Roman" w:cs="Times New Roman"/>
        </w:rPr>
        <w:footnoteRef/>
      </w:r>
      <w:r w:rsidRPr="00EB64E8">
        <w:rPr>
          <w:rFonts w:ascii="Times New Roman" w:hAnsi="Times New Roman" w:cs="Times New Roman"/>
          <w:lang w:val="lv-LV"/>
        </w:rPr>
        <w:t xml:space="preserve"> </w:t>
      </w:r>
      <w:r w:rsidRPr="00185FFC">
        <w:rPr>
          <w:rFonts w:ascii="Times New Roman" w:hAnsi="Times New Roman" w:cs="Times New Roman"/>
          <w:lang w:val="lv-LV"/>
        </w:rPr>
        <w:t>Klasificējams pēc Starptautiskās slimību klasifikācijas (SSK)-10 sistēmas</w:t>
      </w:r>
    </w:p>
  </w:footnote>
  <w:footnote w:id="8">
    <w:p w14:paraId="27FF94EF" w14:textId="77777777" w:rsidR="005707CB" w:rsidRPr="0009125F" w:rsidRDefault="005707CB" w:rsidP="005707CB">
      <w:pPr>
        <w:pStyle w:val="FootnoteText"/>
        <w:rPr>
          <w:rFonts w:ascii="Times New Roman" w:hAnsi="Times New Roman" w:cs="Times New Roman"/>
          <w:lang w:val="lv-LV"/>
        </w:rPr>
      </w:pPr>
      <w:r w:rsidRPr="0009125F">
        <w:rPr>
          <w:rStyle w:val="FootnoteReference"/>
          <w:rFonts w:ascii="Times New Roman" w:hAnsi="Times New Roman" w:cs="Times New Roman"/>
        </w:rPr>
        <w:footnoteRef/>
      </w:r>
      <w:r w:rsidRPr="0009125F">
        <w:rPr>
          <w:rFonts w:ascii="Times New Roman" w:hAnsi="Times New Roman" w:cs="Times New Roman"/>
        </w:rPr>
        <w:t xml:space="preserve"> </w:t>
      </w:r>
      <w:proofErr w:type="spellStart"/>
      <w:r w:rsidRPr="0009125F">
        <w:rPr>
          <w:rFonts w:ascii="Times New Roman" w:hAnsi="Times New Roman" w:cs="Times New Roman"/>
        </w:rPr>
        <w:t>Konceptuāls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ziņojums</w:t>
      </w:r>
      <w:proofErr w:type="spellEnd"/>
      <w:r w:rsidRPr="0009125F">
        <w:rPr>
          <w:rFonts w:ascii="Times New Roman" w:hAnsi="Times New Roman" w:cs="Times New Roman"/>
        </w:rPr>
        <w:t xml:space="preserve"> </w:t>
      </w:r>
      <w:r>
        <w:rPr>
          <w:rFonts w:ascii="Times New Roman" w:hAnsi="Times New Roman" w:cs="Times New Roman"/>
        </w:rPr>
        <w:t>“</w:t>
      </w:r>
      <w:r w:rsidRPr="0009125F">
        <w:rPr>
          <w:rFonts w:ascii="Times New Roman" w:hAnsi="Times New Roman" w:cs="Times New Roman"/>
        </w:rPr>
        <w:t xml:space="preserve">Par </w:t>
      </w:r>
      <w:proofErr w:type="spellStart"/>
      <w:r w:rsidRPr="0009125F">
        <w:rPr>
          <w:rFonts w:ascii="Times New Roman" w:hAnsi="Times New Roman" w:cs="Times New Roman"/>
        </w:rPr>
        <w:t>veselības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aprūpes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sistēmas</w:t>
      </w:r>
      <w:proofErr w:type="spellEnd"/>
      <w:r w:rsidRPr="0009125F">
        <w:rPr>
          <w:rFonts w:ascii="Times New Roman" w:hAnsi="Times New Roman" w:cs="Times New Roman"/>
        </w:rPr>
        <w:t xml:space="preserve"> </w:t>
      </w:r>
      <w:proofErr w:type="spellStart"/>
      <w:r>
        <w:rPr>
          <w:rFonts w:ascii="Times New Roman" w:hAnsi="Times New Roman" w:cs="Times New Roman"/>
        </w:rPr>
        <w:t>reformu</w:t>
      </w:r>
      <w:proofErr w:type="spellEnd"/>
      <w:r>
        <w:rPr>
          <w:rFonts w:ascii="Times New Roman" w:hAnsi="Times New Roman" w:cs="Times New Roman"/>
        </w:rPr>
        <w:t xml:space="preserve">”, 26. </w:t>
      </w:r>
      <w:proofErr w:type="spellStart"/>
      <w:r>
        <w:rPr>
          <w:rFonts w:ascii="Times New Roman" w:hAnsi="Times New Roman" w:cs="Times New Roman"/>
        </w:rPr>
        <w:t>lpp</w:t>
      </w:r>
      <w:proofErr w:type="spellEnd"/>
      <w:r>
        <w:rPr>
          <w:rFonts w:ascii="Times New Roman" w:hAnsi="Times New Roman" w:cs="Times New Roman"/>
        </w:rPr>
        <w:t>.</w:t>
      </w:r>
    </w:p>
  </w:footnote>
  <w:footnote w:id="9">
    <w:p w14:paraId="4D2CAD96" w14:textId="5B6CAC7A" w:rsidR="00AA6F95" w:rsidRPr="00AA6F95" w:rsidRDefault="00AA6F95">
      <w:pPr>
        <w:pStyle w:val="FootnoteText"/>
        <w:rPr>
          <w:rFonts w:ascii="Times New Roman" w:hAnsi="Times New Roman" w:cs="Times New Roman"/>
          <w:lang w:val="lv-LV"/>
        </w:rPr>
      </w:pPr>
      <w:r w:rsidRPr="00AA6F95">
        <w:rPr>
          <w:rStyle w:val="FootnoteReference"/>
          <w:rFonts w:ascii="Times New Roman" w:hAnsi="Times New Roman" w:cs="Times New Roman"/>
        </w:rPr>
        <w:footnoteRef/>
      </w:r>
      <w:r w:rsidRPr="00EB64E8">
        <w:rPr>
          <w:rFonts w:ascii="Times New Roman" w:hAnsi="Times New Roman" w:cs="Times New Roman"/>
          <w:lang w:val="lv-LV"/>
        </w:rPr>
        <w:t xml:space="preserve"> </w:t>
      </w:r>
      <w:r w:rsidRPr="00EB64E8">
        <w:rPr>
          <w:rFonts w:ascii="Times New Roman" w:hAnsi="Times New Roman" w:cs="Times New Roman"/>
          <w:lang w:val="lv-LV"/>
        </w:rPr>
        <w:t>https://eur-lex.europa.eu/legal-content/LV/TXT/HTML/?uri=CELEX:52015XG1217(01)&amp;from=EN</w:t>
      </w:r>
    </w:p>
  </w:footnote>
  <w:footnote w:id="10">
    <w:p w14:paraId="5B89782B" w14:textId="77777777" w:rsidR="00D018C2" w:rsidRPr="00C033AA" w:rsidRDefault="00D018C2" w:rsidP="00D018C2">
      <w:pPr>
        <w:pStyle w:val="FootnoteText"/>
        <w:jc w:val="both"/>
        <w:rPr>
          <w:rFonts w:ascii="Times New Roman" w:hAnsi="Times New Roman" w:cs="Times New Roman"/>
          <w:lang w:val="lv-LV"/>
        </w:rPr>
      </w:pPr>
      <w:r w:rsidRPr="00C033AA">
        <w:rPr>
          <w:rStyle w:val="FootnoteReference"/>
          <w:rFonts w:ascii="Times New Roman" w:hAnsi="Times New Roman" w:cs="Times New Roman"/>
          <w:lang w:val="lv-LV"/>
        </w:rPr>
        <w:footnoteRef/>
      </w:r>
      <w:r w:rsidRPr="00C033AA">
        <w:rPr>
          <w:rFonts w:ascii="Times New Roman" w:hAnsi="Times New Roman" w:cs="Times New Roman"/>
          <w:lang w:val="lv-LV"/>
        </w:rPr>
        <w:t xml:space="preserve"> Nepieciešamības gadījumā to jāuzsāk ne vēlāk kā 72 stundas pēc negadījuma. Rekomendējamie medikamenti ir zidovudinum, lamivudinum, lopinavirum/ritonavirum kombinācijas, atkarībā no riska pakāpes. Kombinācijas lieto 30 dienu kursā. Neliela riska gadījumā nozīmē ZDV+3TC (Combivir). Liela riska gadījumā nozīmē LPV/r + ZDV +3TC (Combivir). Pacienta novērošana ilgst 6 mēnešus.</w:t>
      </w:r>
    </w:p>
  </w:footnote>
  <w:footnote w:id="11">
    <w:p w14:paraId="43D40268" w14:textId="77777777" w:rsidR="009437A0" w:rsidRPr="00C033AA" w:rsidRDefault="009437A0" w:rsidP="00C033AA">
      <w:pPr>
        <w:pStyle w:val="FootnoteText"/>
        <w:jc w:val="both"/>
        <w:rPr>
          <w:rFonts w:ascii="Times New Roman" w:hAnsi="Times New Roman" w:cs="Times New Roman"/>
          <w:lang w:val="lv-LV"/>
        </w:rPr>
      </w:pPr>
      <w:r w:rsidRPr="00C033AA">
        <w:rPr>
          <w:rStyle w:val="FootnoteReference"/>
          <w:rFonts w:ascii="Times New Roman" w:hAnsi="Times New Roman" w:cs="Times New Roman"/>
          <w:lang w:val="lv-LV"/>
        </w:rPr>
        <w:footnoteRef/>
      </w:r>
      <w:r>
        <w:rPr>
          <w:rFonts w:ascii="Times New Roman" w:hAnsi="Times New Roman" w:cs="Times New Roman"/>
          <w:lang w:val="lv-LV"/>
        </w:rPr>
        <w:t xml:space="preserve"> Citiem vārdiem – </w:t>
      </w:r>
      <w:r w:rsidRPr="00C033AA">
        <w:rPr>
          <w:rFonts w:ascii="Times New Roman" w:hAnsi="Times New Roman" w:cs="Times New Roman"/>
          <w:lang w:val="lv-LV"/>
        </w:rPr>
        <w:t>pirmais saskarsmes posms starp indivīdu (ģimeni) un veselības aprūpes sistēmu, kura uzdevums ir atrisināt biežākās iedzīvotāju veselības problēmas. Latvijā PVA pakalpojumu sniedzēji ir ģimenes ārsti, t.sk. PVA pediatri, internisti, ārsta palīgi (feldšeri), māsas, vecmātes, kuras nodarbinātas ģimenes ārsta praksē, kā arī zobārsti, zobārsta asistenti, zobārstniecības māsas un zobu higiēnisti</w:t>
      </w:r>
      <w:r>
        <w:rPr>
          <w:rFonts w:ascii="Times New Roman" w:hAnsi="Times New Roman" w:cs="Times New Roman"/>
          <w:lang w:val="lv-LV"/>
        </w:rPr>
        <w:t>)</w:t>
      </w:r>
      <w:r w:rsidRPr="00C033AA">
        <w:rPr>
          <w:rFonts w:ascii="Times New Roman" w:hAnsi="Times New Roman" w:cs="Times New Roman"/>
          <w:lang w:val="lv-LV"/>
        </w:rPr>
        <w:t>.</w:t>
      </w:r>
    </w:p>
  </w:footnote>
  <w:footnote w:id="12">
    <w:p w14:paraId="6CEB4D29" w14:textId="08F74539" w:rsidR="50FE4E0A" w:rsidRPr="00532DE8" w:rsidRDefault="50FE4E0A" w:rsidP="50FE4E0A">
      <w:pPr>
        <w:rPr>
          <w:color w:val="000000"/>
        </w:rPr>
      </w:pPr>
      <w:r w:rsidRPr="50FE4E0A">
        <w:rPr>
          <w:rStyle w:val="FootnoteReference"/>
        </w:rPr>
        <w:footnoteRef/>
      </w:r>
      <w:r>
        <w:t xml:space="preserve"> </w:t>
      </w:r>
      <w:r w:rsidRPr="00532DE8">
        <w:rPr>
          <w:color w:val="000000"/>
        </w:rPr>
        <w:t>Atbilstoši  Eiropas Parlamenta un Padomes 1999. gada 29. aprīļa lēmumā Nr. 1295/1999/EK noteiktajai Kopienas valstu rīcības programmai</w:t>
      </w:r>
    </w:p>
  </w:footnote>
  <w:footnote w:id="13">
    <w:p w14:paraId="376D2221" w14:textId="77777777" w:rsidR="001F043B" w:rsidRPr="001F043B" w:rsidRDefault="001F043B">
      <w:pPr>
        <w:pStyle w:val="FootnoteText"/>
        <w:rPr>
          <w:rFonts w:ascii="Times New Roman" w:hAnsi="Times New Roman" w:cs="Times New Roman"/>
          <w:lang w:val="lv-LV"/>
        </w:rPr>
      </w:pPr>
      <w:r w:rsidRPr="001F043B">
        <w:rPr>
          <w:rStyle w:val="FootnoteReference"/>
          <w:rFonts w:ascii="Times New Roman" w:hAnsi="Times New Roman" w:cs="Times New Roman"/>
        </w:rPr>
        <w:footnoteRef/>
      </w:r>
      <w:r w:rsidRPr="00EB64E8">
        <w:rPr>
          <w:rFonts w:ascii="Times New Roman" w:hAnsi="Times New Roman" w:cs="Times New Roman"/>
          <w:lang w:val="lv-LV"/>
        </w:rPr>
        <w:t xml:space="preserve"> </w:t>
      </w:r>
      <w:r w:rsidR="006C2D55" w:rsidRPr="006C2D55">
        <w:rPr>
          <w:rFonts w:ascii="Times New Roman" w:hAnsi="Times New Roman" w:cs="Times New Roman"/>
          <w:lang w:val="lv-LV"/>
        </w:rPr>
        <w:t>Baltiņš M. Lietišķā epidemioloģija. Rīga: Zinātne,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E018" w14:textId="77777777" w:rsidR="0085031C" w:rsidRDefault="0085031C">
    <w:pPr>
      <w:pStyle w:val="Header"/>
      <w:jc w:val="center"/>
    </w:pPr>
    <w:r>
      <w:fldChar w:fldCharType="begin"/>
    </w:r>
    <w:r>
      <w:instrText xml:space="preserve"> PAGE   \* MERGEFORMAT </w:instrText>
    </w:r>
    <w:r>
      <w:fldChar w:fldCharType="separate"/>
    </w:r>
    <w:r>
      <w:rPr>
        <w:noProof/>
      </w:rPr>
      <w:t>2</w:t>
    </w:r>
    <w:r>
      <w:rPr>
        <w:noProof/>
      </w:rPr>
      <w:fldChar w:fldCharType="end"/>
    </w:r>
  </w:p>
  <w:p w14:paraId="46E6DDA6" w14:textId="77777777" w:rsidR="0085031C" w:rsidRDefault="00850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958B" w14:textId="77777777" w:rsidR="009437A0" w:rsidRDefault="009437A0">
    <w:pPr>
      <w:pStyle w:val="Header"/>
      <w:jc w:val="center"/>
    </w:pPr>
  </w:p>
  <w:p w14:paraId="23BBDF12" w14:textId="77777777" w:rsidR="009437A0" w:rsidRDefault="0094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EF95115"/>
    <w:multiLevelType w:val="hybridMultilevel"/>
    <w:tmpl w:val="FD26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3E10EA"/>
    <w:multiLevelType w:val="hybridMultilevel"/>
    <w:tmpl w:val="9BB8718A"/>
    <w:lvl w:ilvl="0" w:tplc="FFFFFFFF">
      <w:start w:val="1"/>
      <w:numFmt w:val="decimal"/>
      <w:lvlText w:val="[%1.]"/>
      <w:lvlJc w:val="left"/>
      <w:pPr>
        <w:ind w:left="502" w:hanging="360"/>
      </w:pPr>
      <w:rPr>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BC7"/>
    <w:rsid w:val="00001661"/>
    <w:rsid w:val="00005BEC"/>
    <w:rsid w:val="000100A9"/>
    <w:rsid w:val="000208B2"/>
    <w:rsid w:val="0002290A"/>
    <w:rsid w:val="00023C4D"/>
    <w:rsid w:val="00031703"/>
    <w:rsid w:val="000739AB"/>
    <w:rsid w:val="000773EB"/>
    <w:rsid w:val="00085262"/>
    <w:rsid w:val="00090D35"/>
    <w:rsid w:val="0009125F"/>
    <w:rsid w:val="000B4D02"/>
    <w:rsid w:val="000C621F"/>
    <w:rsid w:val="000D08EE"/>
    <w:rsid w:val="000D733D"/>
    <w:rsid w:val="000E7C7A"/>
    <w:rsid w:val="000F18AD"/>
    <w:rsid w:val="000F418A"/>
    <w:rsid w:val="00106475"/>
    <w:rsid w:val="00106CD9"/>
    <w:rsid w:val="00121A32"/>
    <w:rsid w:val="001269A0"/>
    <w:rsid w:val="00132BAF"/>
    <w:rsid w:val="00134152"/>
    <w:rsid w:val="00145AB3"/>
    <w:rsid w:val="0014684F"/>
    <w:rsid w:val="00154C63"/>
    <w:rsid w:val="001656E6"/>
    <w:rsid w:val="001767AB"/>
    <w:rsid w:val="00185FFC"/>
    <w:rsid w:val="001B5416"/>
    <w:rsid w:val="001B74E3"/>
    <w:rsid w:val="001C108E"/>
    <w:rsid w:val="001C635D"/>
    <w:rsid w:val="001D3620"/>
    <w:rsid w:val="001D451A"/>
    <w:rsid w:val="001D4F71"/>
    <w:rsid w:val="001E167D"/>
    <w:rsid w:val="001E56BF"/>
    <w:rsid w:val="001E70FA"/>
    <w:rsid w:val="001F043B"/>
    <w:rsid w:val="001F2430"/>
    <w:rsid w:val="001F2A22"/>
    <w:rsid w:val="00210491"/>
    <w:rsid w:val="0021374D"/>
    <w:rsid w:val="0021496A"/>
    <w:rsid w:val="00216CB1"/>
    <w:rsid w:val="00217830"/>
    <w:rsid w:val="00221CA8"/>
    <w:rsid w:val="00222C6E"/>
    <w:rsid w:val="00247C37"/>
    <w:rsid w:val="002535AE"/>
    <w:rsid w:val="00260BBE"/>
    <w:rsid w:val="00261E56"/>
    <w:rsid w:val="00262DA8"/>
    <w:rsid w:val="002878A0"/>
    <w:rsid w:val="00296FD9"/>
    <w:rsid w:val="002B0A36"/>
    <w:rsid w:val="002B397F"/>
    <w:rsid w:val="002C0562"/>
    <w:rsid w:val="002C0887"/>
    <w:rsid w:val="002D2FDE"/>
    <w:rsid w:val="002E07B1"/>
    <w:rsid w:val="002F015A"/>
    <w:rsid w:val="002F294D"/>
    <w:rsid w:val="002F524E"/>
    <w:rsid w:val="002F6F83"/>
    <w:rsid w:val="00300EA0"/>
    <w:rsid w:val="00305773"/>
    <w:rsid w:val="003274C7"/>
    <w:rsid w:val="00333075"/>
    <w:rsid w:val="003333EE"/>
    <w:rsid w:val="00343439"/>
    <w:rsid w:val="00361692"/>
    <w:rsid w:val="0036387E"/>
    <w:rsid w:val="00366A25"/>
    <w:rsid w:val="00375BB1"/>
    <w:rsid w:val="00377582"/>
    <w:rsid w:val="00383E51"/>
    <w:rsid w:val="003A2BEA"/>
    <w:rsid w:val="003A401B"/>
    <w:rsid w:val="003A458C"/>
    <w:rsid w:val="003B3FFD"/>
    <w:rsid w:val="003C37D0"/>
    <w:rsid w:val="003D0AAF"/>
    <w:rsid w:val="003E005B"/>
    <w:rsid w:val="003E3681"/>
    <w:rsid w:val="003E4874"/>
    <w:rsid w:val="003E4EFC"/>
    <w:rsid w:val="003F1184"/>
    <w:rsid w:val="003F6DCA"/>
    <w:rsid w:val="00405C14"/>
    <w:rsid w:val="00406454"/>
    <w:rsid w:val="00406652"/>
    <w:rsid w:val="00416728"/>
    <w:rsid w:val="004200D1"/>
    <w:rsid w:val="00433F49"/>
    <w:rsid w:val="004561BD"/>
    <w:rsid w:val="0046164E"/>
    <w:rsid w:val="00467884"/>
    <w:rsid w:val="00475CD3"/>
    <w:rsid w:val="004875D9"/>
    <w:rsid w:val="004879FF"/>
    <w:rsid w:val="004917A5"/>
    <w:rsid w:val="004954C6"/>
    <w:rsid w:val="004A529B"/>
    <w:rsid w:val="004A6B66"/>
    <w:rsid w:val="004D13E9"/>
    <w:rsid w:val="004E5D3D"/>
    <w:rsid w:val="004F0A52"/>
    <w:rsid w:val="004F0F75"/>
    <w:rsid w:val="00513319"/>
    <w:rsid w:val="005226B1"/>
    <w:rsid w:val="00527C45"/>
    <w:rsid w:val="00531F27"/>
    <w:rsid w:val="00532DE8"/>
    <w:rsid w:val="0054247A"/>
    <w:rsid w:val="00556EB4"/>
    <w:rsid w:val="0056051E"/>
    <w:rsid w:val="005707CB"/>
    <w:rsid w:val="00584BC7"/>
    <w:rsid w:val="00591471"/>
    <w:rsid w:val="00596F4A"/>
    <w:rsid w:val="005975AB"/>
    <w:rsid w:val="005A112E"/>
    <w:rsid w:val="005C1F0A"/>
    <w:rsid w:val="005D49EC"/>
    <w:rsid w:val="005D523E"/>
    <w:rsid w:val="005E02C8"/>
    <w:rsid w:val="005E1A9C"/>
    <w:rsid w:val="005E5B6E"/>
    <w:rsid w:val="005F5D26"/>
    <w:rsid w:val="00604199"/>
    <w:rsid w:val="00613744"/>
    <w:rsid w:val="0063081A"/>
    <w:rsid w:val="0063320C"/>
    <w:rsid w:val="00633611"/>
    <w:rsid w:val="00636C4E"/>
    <w:rsid w:val="006565F0"/>
    <w:rsid w:val="00657501"/>
    <w:rsid w:val="00657E99"/>
    <w:rsid w:val="00660A39"/>
    <w:rsid w:val="006637B6"/>
    <w:rsid w:val="00672D78"/>
    <w:rsid w:val="0068698A"/>
    <w:rsid w:val="006875BF"/>
    <w:rsid w:val="00687A0A"/>
    <w:rsid w:val="0069334F"/>
    <w:rsid w:val="00694D14"/>
    <w:rsid w:val="0069749B"/>
    <w:rsid w:val="006A4897"/>
    <w:rsid w:val="006C2D55"/>
    <w:rsid w:val="006C36CE"/>
    <w:rsid w:val="006D00EF"/>
    <w:rsid w:val="006E1237"/>
    <w:rsid w:val="006E6B18"/>
    <w:rsid w:val="006F1C49"/>
    <w:rsid w:val="006F2789"/>
    <w:rsid w:val="007073B6"/>
    <w:rsid w:val="00710C09"/>
    <w:rsid w:val="00720818"/>
    <w:rsid w:val="007235CF"/>
    <w:rsid w:val="00725AAA"/>
    <w:rsid w:val="0073751D"/>
    <w:rsid w:val="00740280"/>
    <w:rsid w:val="00741AAE"/>
    <w:rsid w:val="00743302"/>
    <w:rsid w:val="007456AF"/>
    <w:rsid w:val="007474A4"/>
    <w:rsid w:val="00762732"/>
    <w:rsid w:val="0077565C"/>
    <w:rsid w:val="00780DB7"/>
    <w:rsid w:val="00786E30"/>
    <w:rsid w:val="007960FD"/>
    <w:rsid w:val="007A2EE3"/>
    <w:rsid w:val="007B348E"/>
    <w:rsid w:val="007B757C"/>
    <w:rsid w:val="007D3A8C"/>
    <w:rsid w:val="007E470A"/>
    <w:rsid w:val="007E49C6"/>
    <w:rsid w:val="007F4427"/>
    <w:rsid w:val="007F4B47"/>
    <w:rsid w:val="008163B6"/>
    <w:rsid w:val="00820C2D"/>
    <w:rsid w:val="00822997"/>
    <w:rsid w:val="00827774"/>
    <w:rsid w:val="00837163"/>
    <w:rsid w:val="0085031C"/>
    <w:rsid w:val="00857F11"/>
    <w:rsid w:val="008651E6"/>
    <w:rsid w:val="008669F6"/>
    <w:rsid w:val="00875853"/>
    <w:rsid w:val="00876531"/>
    <w:rsid w:val="00882FF7"/>
    <w:rsid w:val="00887DF0"/>
    <w:rsid w:val="00894EB7"/>
    <w:rsid w:val="008A55A5"/>
    <w:rsid w:val="008B3A27"/>
    <w:rsid w:val="008C4475"/>
    <w:rsid w:val="008D0A18"/>
    <w:rsid w:val="008D6831"/>
    <w:rsid w:val="00900419"/>
    <w:rsid w:val="0090246B"/>
    <w:rsid w:val="0091697B"/>
    <w:rsid w:val="00920F75"/>
    <w:rsid w:val="0093253D"/>
    <w:rsid w:val="00933BCE"/>
    <w:rsid w:val="00935747"/>
    <w:rsid w:val="00940046"/>
    <w:rsid w:val="009437A0"/>
    <w:rsid w:val="00951C83"/>
    <w:rsid w:val="009529B0"/>
    <w:rsid w:val="0095458C"/>
    <w:rsid w:val="009545A9"/>
    <w:rsid w:val="009552AE"/>
    <w:rsid w:val="009676E7"/>
    <w:rsid w:val="00970777"/>
    <w:rsid w:val="00973C9C"/>
    <w:rsid w:val="0097787C"/>
    <w:rsid w:val="00981744"/>
    <w:rsid w:val="0098520D"/>
    <w:rsid w:val="0099117C"/>
    <w:rsid w:val="00992F10"/>
    <w:rsid w:val="009A60FA"/>
    <w:rsid w:val="009C05B9"/>
    <w:rsid w:val="009C0B24"/>
    <w:rsid w:val="009C3E7C"/>
    <w:rsid w:val="009C4661"/>
    <w:rsid w:val="009D13D8"/>
    <w:rsid w:val="009D53D1"/>
    <w:rsid w:val="009D7B59"/>
    <w:rsid w:val="009E52E9"/>
    <w:rsid w:val="009E68B0"/>
    <w:rsid w:val="009F1246"/>
    <w:rsid w:val="009F500D"/>
    <w:rsid w:val="00A05AE6"/>
    <w:rsid w:val="00A05E15"/>
    <w:rsid w:val="00A06CB6"/>
    <w:rsid w:val="00A075FB"/>
    <w:rsid w:val="00A162A1"/>
    <w:rsid w:val="00A23AD2"/>
    <w:rsid w:val="00A3202D"/>
    <w:rsid w:val="00A51190"/>
    <w:rsid w:val="00A52EE6"/>
    <w:rsid w:val="00A71E7B"/>
    <w:rsid w:val="00A76EBA"/>
    <w:rsid w:val="00A76F61"/>
    <w:rsid w:val="00A84E68"/>
    <w:rsid w:val="00A85521"/>
    <w:rsid w:val="00A932EC"/>
    <w:rsid w:val="00AA5DF0"/>
    <w:rsid w:val="00AA5F23"/>
    <w:rsid w:val="00AA6F95"/>
    <w:rsid w:val="00AC0774"/>
    <w:rsid w:val="00AC3588"/>
    <w:rsid w:val="00AC3DA9"/>
    <w:rsid w:val="00AC4E6E"/>
    <w:rsid w:val="00AE2CAA"/>
    <w:rsid w:val="00AF1B12"/>
    <w:rsid w:val="00AF2E17"/>
    <w:rsid w:val="00B0456B"/>
    <w:rsid w:val="00B14267"/>
    <w:rsid w:val="00B1647C"/>
    <w:rsid w:val="00B16AF3"/>
    <w:rsid w:val="00B16D3A"/>
    <w:rsid w:val="00B21EFD"/>
    <w:rsid w:val="00B246A4"/>
    <w:rsid w:val="00B32C05"/>
    <w:rsid w:val="00B40671"/>
    <w:rsid w:val="00B40EEF"/>
    <w:rsid w:val="00B41418"/>
    <w:rsid w:val="00B506E4"/>
    <w:rsid w:val="00B554B9"/>
    <w:rsid w:val="00B56FEF"/>
    <w:rsid w:val="00B57A24"/>
    <w:rsid w:val="00B70C84"/>
    <w:rsid w:val="00B74CFF"/>
    <w:rsid w:val="00B778DD"/>
    <w:rsid w:val="00B80939"/>
    <w:rsid w:val="00B853BD"/>
    <w:rsid w:val="00BA1ECF"/>
    <w:rsid w:val="00BB49BB"/>
    <w:rsid w:val="00BC7D6E"/>
    <w:rsid w:val="00BD1EFD"/>
    <w:rsid w:val="00BD5322"/>
    <w:rsid w:val="00C009F3"/>
    <w:rsid w:val="00C033AA"/>
    <w:rsid w:val="00C06CF8"/>
    <w:rsid w:val="00C14543"/>
    <w:rsid w:val="00C2138D"/>
    <w:rsid w:val="00C45237"/>
    <w:rsid w:val="00C45518"/>
    <w:rsid w:val="00C45CA8"/>
    <w:rsid w:val="00C515DA"/>
    <w:rsid w:val="00C54208"/>
    <w:rsid w:val="00C54F6A"/>
    <w:rsid w:val="00C56F61"/>
    <w:rsid w:val="00C667AB"/>
    <w:rsid w:val="00C66EA6"/>
    <w:rsid w:val="00C67E6B"/>
    <w:rsid w:val="00C75F6A"/>
    <w:rsid w:val="00C962DD"/>
    <w:rsid w:val="00CB6007"/>
    <w:rsid w:val="00CC137E"/>
    <w:rsid w:val="00CC6831"/>
    <w:rsid w:val="00D018C2"/>
    <w:rsid w:val="00D06C41"/>
    <w:rsid w:val="00D22F9B"/>
    <w:rsid w:val="00D271D7"/>
    <w:rsid w:val="00D27C3D"/>
    <w:rsid w:val="00D57D99"/>
    <w:rsid w:val="00DA06DC"/>
    <w:rsid w:val="00DB2122"/>
    <w:rsid w:val="00DC13E1"/>
    <w:rsid w:val="00DC355B"/>
    <w:rsid w:val="00DD0EBC"/>
    <w:rsid w:val="00DD44B2"/>
    <w:rsid w:val="00DD545A"/>
    <w:rsid w:val="00DD6F34"/>
    <w:rsid w:val="00DE12D4"/>
    <w:rsid w:val="00DE5415"/>
    <w:rsid w:val="00DF1DC6"/>
    <w:rsid w:val="00DF237F"/>
    <w:rsid w:val="00DF3122"/>
    <w:rsid w:val="00DF7E1A"/>
    <w:rsid w:val="00E00A5B"/>
    <w:rsid w:val="00E01811"/>
    <w:rsid w:val="00E07D14"/>
    <w:rsid w:val="00E215F5"/>
    <w:rsid w:val="00E257E9"/>
    <w:rsid w:val="00E33276"/>
    <w:rsid w:val="00E36DC4"/>
    <w:rsid w:val="00E40333"/>
    <w:rsid w:val="00E414FB"/>
    <w:rsid w:val="00E46C5A"/>
    <w:rsid w:val="00E50BC6"/>
    <w:rsid w:val="00E617BF"/>
    <w:rsid w:val="00E67CD1"/>
    <w:rsid w:val="00E7162E"/>
    <w:rsid w:val="00E879F1"/>
    <w:rsid w:val="00E901D2"/>
    <w:rsid w:val="00EA3288"/>
    <w:rsid w:val="00EB10BC"/>
    <w:rsid w:val="00EB439F"/>
    <w:rsid w:val="00EB64E8"/>
    <w:rsid w:val="00EC6C59"/>
    <w:rsid w:val="00EC7FFB"/>
    <w:rsid w:val="00ED3541"/>
    <w:rsid w:val="00ED369F"/>
    <w:rsid w:val="00ED43AA"/>
    <w:rsid w:val="00F03931"/>
    <w:rsid w:val="00F04269"/>
    <w:rsid w:val="00F11A70"/>
    <w:rsid w:val="00F1420B"/>
    <w:rsid w:val="00F455D3"/>
    <w:rsid w:val="00F7047B"/>
    <w:rsid w:val="00F714A1"/>
    <w:rsid w:val="00F72BB7"/>
    <w:rsid w:val="00F900B1"/>
    <w:rsid w:val="00F908FC"/>
    <w:rsid w:val="00F97086"/>
    <w:rsid w:val="00FA5D26"/>
    <w:rsid w:val="00FB37CA"/>
    <w:rsid w:val="00FB56B3"/>
    <w:rsid w:val="00FB6437"/>
    <w:rsid w:val="00FC091A"/>
    <w:rsid w:val="00FC0EA8"/>
    <w:rsid w:val="00FC6DF7"/>
    <w:rsid w:val="00FD3274"/>
    <w:rsid w:val="00FD4233"/>
    <w:rsid w:val="00FE27D5"/>
    <w:rsid w:val="00FE6A7A"/>
    <w:rsid w:val="00FF010F"/>
    <w:rsid w:val="00FF0C54"/>
    <w:rsid w:val="00FF1113"/>
    <w:rsid w:val="00FF59B0"/>
    <w:rsid w:val="00FF72E9"/>
    <w:rsid w:val="015CBAB4"/>
    <w:rsid w:val="01AD118A"/>
    <w:rsid w:val="01D2BAC1"/>
    <w:rsid w:val="022D5239"/>
    <w:rsid w:val="0250EC4F"/>
    <w:rsid w:val="032F7575"/>
    <w:rsid w:val="0357BD5C"/>
    <w:rsid w:val="04C82E39"/>
    <w:rsid w:val="06C97DCF"/>
    <w:rsid w:val="0758EBA9"/>
    <w:rsid w:val="078D68EC"/>
    <w:rsid w:val="08977D12"/>
    <w:rsid w:val="08A3F460"/>
    <w:rsid w:val="092A4A9F"/>
    <w:rsid w:val="095C7576"/>
    <w:rsid w:val="0A99ACBA"/>
    <w:rsid w:val="0BC2F78B"/>
    <w:rsid w:val="0C3E87D8"/>
    <w:rsid w:val="0C691D2C"/>
    <w:rsid w:val="0E07BDE6"/>
    <w:rsid w:val="0E5CA3D5"/>
    <w:rsid w:val="1035101F"/>
    <w:rsid w:val="108DCC82"/>
    <w:rsid w:val="1133434A"/>
    <w:rsid w:val="11632A89"/>
    <w:rsid w:val="1502E062"/>
    <w:rsid w:val="1636A398"/>
    <w:rsid w:val="1783F4E7"/>
    <w:rsid w:val="17CD3CA5"/>
    <w:rsid w:val="1AE1FED6"/>
    <w:rsid w:val="1B86AC9E"/>
    <w:rsid w:val="1C7397F7"/>
    <w:rsid w:val="1DFCBE81"/>
    <w:rsid w:val="1F3A0819"/>
    <w:rsid w:val="1F858D28"/>
    <w:rsid w:val="1FBB079F"/>
    <w:rsid w:val="218AB95E"/>
    <w:rsid w:val="239D0D03"/>
    <w:rsid w:val="2469DAEF"/>
    <w:rsid w:val="258ED553"/>
    <w:rsid w:val="25BB869C"/>
    <w:rsid w:val="2685D84E"/>
    <w:rsid w:val="2855C0D7"/>
    <w:rsid w:val="2857877B"/>
    <w:rsid w:val="285CF516"/>
    <w:rsid w:val="2BED0A81"/>
    <w:rsid w:val="2D6BA2D3"/>
    <w:rsid w:val="2D761E0B"/>
    <w:rsid w:val="2DDD7166"/>
    <w:rsid w:val="2E031353"/>
    <w:rsid w:val="2E157655"/>
    <w:rsid w:val="2E5303AE"/>
    <w:rsid w:val="2EA3BB48"/>
    <w:rsid w:val="2F7031DA"/>
    <w:rsid w:val="2FC02235"/>
    <w:rsid w:val="30D24D58"/>
    <w:rsid w:val="333B0F66"/>
    <w:rsid w:val="3452D19A"/>
    <w:rsid w:val="34F0256B"/>
    <w:rsid w:val="369C40D5"/>
    <w:rsid w:val="37F7925D"/>
    <w:rsid w:val="383F5F0B"/>
    <w:rsid w:val="3847E2C7"/>
    <w:rsid w:val="39613B32"/>
    <w:rsid w:val="398C3107"/>
    <w:rsid w:val="39A068F1"/>
    <w:rsid w:val="3AAC3AE6"/>
    <w:rsid w:val="3C4F978F"/>
    <w:rsid w:val="3CE30707"/>
    <w:rsid w:val="3DE64D50"/>
    <w:rsid w:val="3E7992BB"/>
    <w:rsid w:val="3F6068AA"/>
    <w:rsid w:val="3F74691F"/>
    <w:rsid w:val="41ECCD86"/>
    <w:rsid w:val="42E18F81"/>
    <w:rsid w:val="44864BE3"/>
    <w:rsid w:val="44B96E40"/>
    <w:rsid w:val="44F5D92F"/>
    <w:rsid w:val="4580829B"/>
    <w:rsid w:val="483D7818"/>
    <w:rsid w:val="491D5BA8"/>
    <w:rsid w:val="49817202"/>
    <w:rsid w:val="4A237C1A"/>
    <w:rsid w:val="4AD79052"/>
    <w:rsid w:val="4B22B838"/>
    <w:rsid w:val="4C20DC18"/>
    <w:rsid w:val="4EE83AB5"/>
    <w:rsid w:val="4F507B73"/>
    <w:rsid w:val="4FFD8D38"/>
    <w:rsid w:val="50C13B16"/>
    <w:rsid w:val="50FE4E0A"/>
    <w:rsid w:val="51875E5A"/>
    <w:rsid w:val="55EB2C75"/>
    <w:rsid w:val="5914C746"/>
    <w:rsid w:val="5969E28F"/>
    <w:rsid w:val="5977F296"/>
    <w:rsid w:val="5A79A808"/>
    <w:rsid w:val="5C26B992"/>
    <w:rsid w:val="5CAA7290"/>
    <w:rsid w:val="5D52BD1B"/>
    <w:rsid w:val="5D6CAAA5"/>
    <w:rsid w:val="5F032AD1"/>
    <w:rsid w:val="60C157BF"/>
    <w:rsid w:val="6126D59F"/>
    <w:rsid w:val="62941280"/>
    <w:rsid w:val="635FE7A7"/>
    <w:rsid w:val="636B700F"/>
    <w:rsid w:val="63A10491"/>
    <w:rsid w:val="64803F2D"/>
    <w:rsid w:val="685FA047"/>
    <w:rsid w:val="6875FB34"/>
    <w:rsid w:val="687FD786"/>
    <w:rsid w:val="6AC83934"/>
    <w:rsid w:val="6C106724"/>
    <w:rsid w:val="6CB6D174"/>
    <w:rsid w:val="6CFAF193"/>
    <w:rsid w:val="6E0431AD"/>
    <w:rsid w:val="6E6DC7DD"/>
    <w:rsid w:val="6FB88BF0"/>
    <w:rsid w:val="7165D35E"/>
    <w:rsid w:val="71DFC7FC"/>
    <w:rsid w:val="72617C02"/>
    <w:rsid w:val="742CDB28"/>
    <w:rsid w:val="75286F3A"/>
    <w:rsid w:val="756E89B1"/>
    <w:rsid w:val="780F6BC3"/>
    <w:rsid w:val="7992E391"/>
    <w:rsid w:val="79B939CD"/>
    <w:rsid w:val="7A09C7BE"/>
    <w:rsid w:val="7A120FA8"/>
    <w:rsid w:val="7AA71B8F"/>
    <w:rsid w:val="7AD02D29"/>
    <w:rsid w:val="7B228CB8"/>
    <w:rsid w:val="7D38F835"/>
    <w:rsid w:val="7D4328FC"/>
    <w:rsid w:val="7D88BE15"/>
    <w:rsid w:val="7DCD88C1"/>
    <w:rsid w:val="7E19FBFD"/>
    <w:rsid w:val="7EB62923"/>
    <w:rsid w:val="7FB00FA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0EF81"/>
  <w15:chartTrackingRefBased/>
  <w15:docId w15:val="{3F1DCD57-BB49-4A5A-8119-4EF049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C7"/>
    <w:rPr>
      <w:rFonts w:ascii="Times New Roman" w:eastAsia="Times New Roman" w:hAnsi="Times New Roman"/>
      <w:sz w:val="24"/>
      <w:szCs w:val="24"/>
    </w:rPr>
  </w:style>
  <w:style w:type="paragraph" w:styleId="Heading1">
    <w:name w:val="heading 1"/>
    <w:basedOn w:val="Normal"/>
    <w:link w:val="Heading1Char"/>
    <w:uiPriority w:val="9"/>
    <w:qFormat/>
    <w:rsid w:val="001E56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kapesvirsraksts">
    <w:name w:val="1. pakapes virsraksts"/>
    <w:link w:val="1pakapesvirsrakstsChar"/>
    <w:uiPriority w:val="99"/>
    <w:qFormat/>
    <w:rsid w:val="00584BC7"/>
    <w:pPr>
      <w:keepNext/>
      <w:keepLines/>
      <w:numPr>
        <w:numId w:val="1"/>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link w:val="1pakapesvirsraksts"/>
    <w:uiPriority w:val="99"/>
    <w:locked/>
    <w:rsid w:val="00584BC7"/>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84BC7"/>
    <w:pPr>
      <w:keepNext/>
      <w:keepLines/>
      <w:numPr>
        <w:ilvl w:val="1"/>
        <w:numId w:val="1"/>
      </w:numPr>
      <w:spacing w:after="120"/>
      <w:ind w:left="426"/>
    </w:pPr>
    <w:rPr>
      <w:rFonts w:ascii="Times New Roman" w:hAnsi="Times New Roman"/>
      <w:b/>
      <w:sz w:val="24"/>
      <w:szCs w:val="22"/>
      <w:lang w:eastAsia="en-US"/>
    </w:rPr>
  </w:style>
  <w:style w:type="paragraph" w:customStyle="1" w:styleId="3pakapesvirsraksts">
    <w:name w:val="3. pakapes virsraksts"/>
    <w:uiPriority w:val="99"/>
    <w:qFormat/>
    <w:rsid w:val="00584BC7"/>
    <w:pPr>
      <w:keepNext/>
      <w:keepLines/>
      <w:numPr>
        <w:ilvl w:val="2"/>
        <w:numId w:val="1"/>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qFormat/>
    <w:rsid w:val="00584BC7"/>
    <w:pPr>
      <w:numPr>
        <w:ilvl w:val="3"/>
      </w:numPr>
    </w:pPr>
  </w:style>
  <w:style w:type="paragraph" w:styleId="Header">
    <w:name w:val="header"/>
    <w:basedOn w:val="Normal"/>
    <w:link w:val="HeaderChar"/>
    <w:uiPriority w:val="99"/>
    <w:rsid w:val="00584BC7"/>
    <w:pPr>
      <w:tabs>
        <w:tab w:val="center" w:pos="4153"/>
        <w:tab w:val="right" w:pos="8306"/>
      </w:tabs>
    </w:pPr>
  </w:style>
  <w:style w:type="character" w:customStyle="1" w:styleId="HeaderChar">
    <w:name w:val="Header Char"/>
    <w:link w:val="Header"/>
    <w:uiPriority w:val="99"/>
    <w:rsid w:val="00584BC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84BC7"/>
    <w:pPr>
      <w:jc w:val="both"/>
    </w:pPr>
    <w:rPr>
      <w:szCs w:val="20"/>
      <w:lang w:eastAsia="en-US"/>
    </w:rPr>
  </w:style>
  <w:style w:type="character" w:customStyle="1" w:styleId="BodyTextChar">
    <w:name w:val="Body Text Char"/>
    <w:link w:val="BodyText"/>
    <w:rsid w:val="00584BC7"/>
    <w:rPr>
      <w:rFonts w:ascii="Times New Roman" w:eastAsia="Times New Roman" w:hAnsi="Times New Roman" w:cs="Times New Roman"/>
      <w:sz w:val="24"/>
      <w:szCs w:val="20"/>
      <w:lang w:val="lv-LV"/>
    </w:rPr>
  </w:style>
  <w:style w:type="character" w:customStyle="1" w:styleId="hps">
    <w:name w:val="hps"/>
    <w:basedOn w:val="DefaultParagraphFont"/>
    <w:rsid w:val="00584BC7"/>
  </w:style>
  <w:style w:type="paragraph" w:styleId="Footer">
    <w:name w:val="footer"/>
    <w:basedOn w:val="Normal"/>
    <w:link w:val="FooterChar"/>
    <w:uiPriority w:val="99"/>
    <w:unhideWhenUsed/>
    <w:rsid w:val="00D06C41"/>
    <w:pPr>
      <w:tabs>
        <w:tab w:val="center" w:pos="4320"/>
        <w:tab w:val="right" w:pos="8640"/>
      </w:tabs>
    </w:pPr>
  </w:style>
  <w:style w:type="character" w:customStyle="1" w:styleId="FooterChar">
    <w:name w:val="Footer Char"/>
    <w:link w:val="Footer"/>
    <w:uiPriority w:val="99"/>
    <w:rsid w:val="00D06C41"/>
    <w:rPr>
      <w:rFonts w:ascii="Times New Roman" w:eastAsia="Times New Roman" w:hAnsi="Times New Roman" w:cs="Times New Roman"/>
      <w:sz w:val="24"/>
      <w:szCs w:val="24"/>
      <w:lang w:val="lv-LV" w:eastAsia="lv-LV"/>
    </w:rPr>
  </w:style>
  <w:style w:type="character" w:styleId="Hyperlink">
    <w:name w:val="Hyperlink"/>
    <w:uiPriority w:val="99"/>
    <w:unhideWhenUsed/>
    <w:rsid w:val="00981744"/>
    <w:rPr>
      <w:color w:val="0000FF"/>
      <w:u w:val="single"/>
    </w:rPr>
  </w:style>
  <w:style w:type="paragraph" w:styleId="BalloonText">
    <w:name w:val="Balloon Text"/>
    <w:basedOn w:val="Normal"/>
    <w:link w:val="BalloonTextChar"/>
    <w:uiPriority w:val="99"/>
    <w:semiHidden/>
    <w:unhideWhenUsed/>
    <w:rsid w:val="008A55A5"/>
    <w:rPr>
      <w:rFonts w:ascii="Segoe UI" w:hAnsi="Segoe UI" w:cs="Segoe UI"/>
      <w:sz w:val="18"/>
      <w:szCs w:val="18"/>
    </w:rPr>
  </w:style>
  <w:style w:type="character" w:customStyle="1" w:styleId="BalloonTextChar">
    <w:name w:val="Balloon Text Char"/>
    <w:link w:val="BalloonText"/>
    <w:uiPriority w:val="99"/>
    <w:semiHidden/>
    <w:rsid w:val="008A55A5"/>
    <w:rPr>
      <w:rFonts w:ascii="Segoe UI" w:eastAsia="Times New Roman"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B439F"/>
    <w:pPr>
      <w:spacing w:after="160" w:line="259" w:lineRule="auto"/>
      <w:ind w:left="720"/>
      <w:contextualSpacing/>
    </w:pPr>
    <w:rPr>
      <w:rFonts w:ascii="Calibri" w:eastAsia="Calibri" w:hAnsi="Calibri" w:cs="Arial"/>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B439F"/>
    <w:rPr>
      <w:rFonts w:cs="Arial"/>
      <w:sz w:val="22"/>
      <w:szCs w:val="22"/>
      <w:lang w:eastAsia="en-US"/>
    </w:rPr>
  </w:style>
  <w:style w:type="character" w:styleId="CommentReference">
    <w:name w:val="annotation reference"/>
    <w:uiPriority w:val="99"/>
    <w:semiHidden/>
    <w:unhideWhenUsed/>
    <w:rsid w:val="001D3620"/>
    <w:rPr>
      <w:sz w:val="16"/>
      <w:szCs w:val="16"/>
    </w:rPr>
  </w:style>
  <w:style w:type="paragraph" w:styleId="CommentText">
    <w:name w:val="annotation text"/>
    <w:basedOn w:val="Normal"/>
    <w:link w:val="CommentTextChar"/>
    <w:uiPriority w:val="99"/>
    <w:unhideWhenUsed/>
    <w:rsid w:val="001D3620"/>
    <w:pPr>
      <w:spacing w:after="160"/>
    </w:pPr>
    <w:rPr>
      <w:rFonts w:ascii="Calibri" w:eastAsia="Calibri" w:hAnsi="Calibri" w:cs="Arial"/>
      <w:sz w:val="20"/>
      <w:szCs w:val="20"/>
      <w:lang w:eastAsia="en-US"/>
    </w:rPr>
  </w:style>
  <w:style w:type="character" w:customStyle="1" w:styleId="CommentTextChar">
    <w:name w:val="Comment Text Char"/>
    <w:link w:val="CommentText"/>
    <w:uiPriority w:val="99"/>
    <w:rsid w:val="001D3620"/>
    <w:rPr>
      <w:rFonts w:cs="Arial"/>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FF1113"/>
    <w:rPr>
      <w:rFonts w:ascii="Calibri" w:hAnsi="Calibri" w:cs="Arial"/>
      <w:sz w:val="20"/>
      <w:szCs w:val="20"/>
      <w:lang w:val="en-US"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qFormat/>
    <w:rsid w:val="00FF1113"/>
    <w:rPr>
      <w:rFonts w:eastAsia="Times New Roman" w:cs="Arial"/>
      <w:lang w:val="en-US" w:eastAsia="en-US"/>
    </w:rPr>
  </w:style>
  <w:style w:type="character" w:styleId="FootnoteReference">
    <w:name w:val="footnote reference"/>
    <w:uiPriority w:val="99"/>
    <w:semiHidden/>
    <w:unhideWhenUsed/>
    <w:rsid w:val="003D0AAF"/>
    <w:rPr>
      <w:vertAlign w:val="superscript"/>
    </w:rPr>
  </w:style>
  <w:style w:type="character" w:styleId="UnresolvedMention">
    <w:name w:val="Unresolved Mention"/>
    <w:uiPriority w:val="99"/>
    <w:semiHidden/>
    <w:unhideWhenUsed/>
    <w:rsid w:val="003D0AAF"/>
    <w:rPr>
      <w:color w:val="605E5C"/>
      <w:shd w:val="clear" w:color="auto" w:fill="E1DFDD"/>
    </w:rPr>
  </w:style>
  <w:style w:type="paragraph" w:styleId="HTMLPreformatted">
    <w:name w:val="HTML Preformatted"/>
    <w:basedOn w:val="Normal"/>
    <w:link w:val="HTMLPreformattedChar"/>
    <w:uiPriority w:val="99"/>
    <w:unhideWhenUsed/>
    <w:rsid w:val="00B4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40EEF"/>
    <w:rPr>
      <w:rFonts w:ascii="Courier New" w:eastAsia="Times New Roman" w:hAnsi="Courier New" w:cs="Courier New"/>
    </w:rPr>
  </w:style>
  <w:style w:type="character" w:styleId="EndnoteReference">
    <w:name w:val="endnote reference"/>
    <w:uiPriority w:val="99"/>
    <w:semiHidden/>
    <w:unhideWhenUsed/>
    <w:rsid w:val="00C009F3"/>
    <w:rPr>
      <w:vertAlign w:val="superscript"/>
    </w:rPr>
  </w:style>
  <w:style w:type="paragraph" w:styleId="CommentSubject">
    <w:name w:val="annotation subject"/>
    <w:basedOn w:val="CommentText"/>
    <w:next w:val="CommentText"/>
    <w:link w:val="CommentSubjectChar"/>
    <w:uiPriority w:val="99"/>
    <w:semiHidden/>
    <w:unhideWhenUsed/>
    <w:rsid w:val="001E56BF"/>
    <w:pPr>
      <w:spacing w:after="0"/>
    </w:pPr>
    <w:rPr>
      <w:rFonts w:ascii="Times New Roman" w:eastAsia="Times New Roman" w:hAnsi="Times New Roman" w:cs="Times New Roman"/>
      <w:b/>
      <w:bCs/>
      <w:lang w:eastAsia="lv-LV"/>
    </w:rPr>
  </w:style>
  <w:style w:type="character" w:customStyle="1" w:styleId="CommentSubjectChar">
    <w:name w:val="Comment Subject Char"/>
    <w:link w:val="CommentSubject"/>
    <w:uiPriority w:val="99"/>
    <w:semiHidden/>
    <w:rsid w:val="001E56BF"/>
    <w:rPr>
      <w:rFonts w:ascii="Times New Roman" w:eastAsia="Times New Roman" w:hAnsi="Times New Roman" w:cs="Arial"/>
      <w:b/>
      <w:bCs/>
      <w:lang w:eastAsia="en-US"/>
    </w:rPr>
  </w:style>
  <w:style w:type="character" w:customStyle="1" w:styleId="Heading1Char">
    <w:name w:val="Heading 1 Char"/>
    <w:link w:val="Heading1"/>
    <w:uiPriority w:val="9"/>
    <w:rsid w:val="001E56BF"/>
    <w:rPr>
      <w:rFonts w:ascii="Times New Roman" w:eastAsia="Times New Roman" w:hAnsi="Times New Roman"/>
      <w:b/>
      <w:bCs/>
      <w:kern w:val="36"/>
      <w:sz w:val="48"/>
      <w:szCs w:val="48"/>
    </w:rPr>
  </w:style>
  <w:style w:type="character" w:customStyle="1" w:styleId="st">
    <w:name w:val="st"/>
    <w:rsid w:val="00740280"/>
  </w:style>
  <w:style w:type="character" w:styleId="Emphasis">
    <w:name w:val="Emphasis"/>
    <w:uiPriority w:val="20"/>
    <w:qFormat/>
    <w:rsid w:val="00740280"/>
    <w:rPr>
      <w:i/>
      <w:iCs/>
    </w:rPr>
  </w:style>
  <w:style w:type="character" w:customStyle="1" w:styleId="normaltextrun">
    <w:name w:val="normaltextrun"/>
    <w:basedOn w:val="DefaultParagraphFont"/>
    <w:rsid w:val="00DC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6375">
      <w:bodyDiv w:val="1"/>
      <w:marLeft w:val="0"/>
      <w:marRight w:val="0"/>
      <w:marTop w:val="0"/>
      <w:marBottom w:val="0"/>
      <w:divBdr>
        <w:top w:val="none" w:sz="0" w:space="0" w:color="auto"/>
        <w:left w:val="none" w:sz="0" w:space="0" w:color="auto"/>
        <w:bottom w:val="none" w:sz="0" w:space="0" w:color="auto"/>
        <w:right w:val="none" w:sz="0" w:space="0" w:color="auto"/>
      </w:divBdr>
    </w:div>
    <w:div w:id="1335915264">
      <w:bodyDiv w:val="1"/>
      <w:marLeft w:val="0"/>
      <w:marRight w:val="0"/>
      <w:marTop w:val="0"/>
      <w:marBottom w:val="0"/>
      <w:divBdr>
        <w:top w:val="none" w:sz="0" w:space="0" w:color="auto"/>
        <w:left w:val="none" w:sz="0" w:space="0" w:color="auto"/>
        <w:bottom w:val="none" w:sz="0" w:space="0" w:color="auto"/>
        <w:right w:val="none" w:sz="0" w:space="0" w:color="auto"/>
      </w:divBdr>
    </w:div>
    <w:div w:id="1564633618">
      <w:bodyDiv w:val="1"/>
      <w:marLeft w:val="0"/>
      <w:marRight w:val="0"/>
      <w:marTop w:val="0"/>
      <w:marBottom w:val="0"/>
      <w:divBdr>
        <w:top w:val="none" w:sz="0" w:space="0" w:color="auto"/>
        <w:left w:val="none" w:sz="0" w:space="0" w:color="auto"/>
        <w:bottom w:val="none" w:sz="0" w:space="0" w:color="auto"/>
        <w:right w:val="none" w:sz="0" w:space="0" w:color="auto"/>
      </w:divBdr>
    </w:div>
    <w:div w:id="1812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C8AE-B72D-4ED2-896F-D9EEA109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95BBF-F771-4334-889B-BD4139BF3BC5}">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ac91d112-4933-409f-8410-128a1f6607df"/>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5E33F18-A3D9-4CD1-9D44-A6A09DC62A75}">
  <ds:schemaRefs>
    <ds:schemaRef ds:uri="http://schemas.microsoft.com/sharepoint/v3/contenttype/forms"/>
  </ds:schemaRefs>
</ds:datastoreItem>
</file>

<file path=customXml/itemProps4.xml><?xml version="1.0" encoding="utf-8"?>
<ds:datastoreItem xmlns:ds="http://schemas.openxmlformats.org/officeDocument/2006/customXml" ds:itemID="{6AE477A7-3759-4BC9-A1FD-6255E26A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12299</Words>
  <Characters>7011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Tekstā lietoto terminu skaidrojums</vt:lpstr>
    </vt:vector>
  </TitlesOfParts>
  <Company>VM</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Tekstā lietoto terminu skaidrojums</dc:title>
  <dc:subject>1.pielikums Sabiedrības veselības pamatnostādnēm 2014.-2020.gadam</dc:subject>
  <dc:creator/>
  <cp:keywords/>
  <dc:description>Elina.Brinke@vm.gov.lv
67876171</dc:description>
  <cp:lastModifiedBy>Zaiga Šulca</cp:lastModifiedBy>
  <cp:revision>80</cp:revision>
  <cp:lastPrinted>2014-10-02T23:05:00Z</cp:lastPrinted>
  <dcterms:created xsi:type="dcterms:W3CDTF">2020-10-22T17:29:00Z</dcterms:created>
  <dcterms:modified xsi:type="dcterms:W3CDTF">2021-07-01T15:06:00Z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