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04154" w14:textId="77777777" w:rsidR="004A6423" w:rsidRPr="00A06217" w:rsidRDefault="00156FA2" w:rsidP="00F84AF9">
      <w:pPr>
        <w:jc w:val="center"/>
        <w:rPr>
          <w:b/>
          <w:sz w:val="28"/>
          <w:szCs w:val="28"/>
        </w:rPr>
      </w:pPr>
      <w:r w:rsidRPr="00A06217">
        <w:rPr>
          <w:b/>
          <w:sz w:val="28"/>
          <w:szCs w:val="28"/>
        </w:rPr>
        <w:t>Informatīvais ziņojums</w:t>
      </w:r>
    </w:p>
    <w:p w14:paraId="53E0E86C" w14:textId="31C4961D" w:rsidR="003F7EF6" w:rsidRDefault="00546D74" w:rsidP="00F84AF9">
      <w:pPr>
        <w:jc w:val="center"/>
        <w:rPr>
          <w:b/>
          <w:sz w:val="28"/>
          <w:szCs w:val="28"/>
        </w:rPr>
      </w:pPr>
      <w:r w:rsidRPr="00A06217">
        <w:rPr>
          <w:b/>
          <w:sz w:val="28"/>
          <w:szCs w:val="28"/>
        </w:rPr>
        <w:t xml:space="preserve">Par </w:t>
      </w:r>
      <w:r w:rsidR="003F7EF6" w:rsidRPr="003F7EF6">
        <w:rPr>
          <w:b/>
          <w:sz w:val="28"/>
          <w:szCs w:val="28"/>
        </w:rPr>
        <w:t>situācijas attīstību saistībā ar izejvielu un būvizstrādājumu pieejamību</w:t>
      </w:r>
      <w:r w:rsidR="002C294C">
        <w:rPr>
          <w:b/>
          <w:sz w:val="28"/>
          <w:szCs w:val="28"/>
        </w:rPr>
        <w:t xml:space="preserve"> un </w:t>
      </w:r>
      <w:r w:rsidR="003F7EF6" w:rsidRPr="003F7EF6">
        <w:rPr>
          <w:b/>
          <w:sz w:val="28"/>
          <w:szCs w:val="28"/>
        </w:rPr>
        <w:t>straujo cenu kāpumu</w:t>
      </w:r>
      <w:r w:rsidR="00401E33">
        <w:rPr>
          <w:b/>
          <w:sz w:val="28"/>
          <w:szCs w:val="28"/>
        </w:rPr>
        <w:t xml:space="preserve"> Latvijas būvniecības nozarē</w:t>
      </w:r>
    </w:p>
    <w:p w14:paraId="5DBF9E77" w14:textId="0B6971A4" w:rsidR="00733BB3" w:rsidRDefault="00733BB3" w:rsidP="00733BB3">
      <w:pPr>
        <w:ind w:firstLine="709"/>
        <w:rPr>
          <w:bCs/>
          <w:sz w:val="28"/>
          <w:szCs w:val="28"/>
        </w:rPr>
      </w:pPr>
    </w:p>
    <w:p w14:paraId="7082526B" w14:textId="12F84458" w:rsidR="006C748F" w:rsidRPr="006C748F" w:rsidRDefault="006C748F" w:rsidP="006C748F">
      <w:pPr>
        <w:ind w:firstLine="709"/>
        <w:jc w:val="both"/>
        <w:rPr>
          <w:sz w:val="24"/>
          <w:shd w:val="clear" w:color="auto" w:fill="FFFFFF"/>
        </w:rPr>
      </w:pPr>
      <w:r w:rsidRPr="006C748F">
        <w:rPr>
          <w:sz w:val="24"/>
          <w:shd w:val="clear" w:color="auto" w:fill="FFFFFF"/>
        </w:rPr>
        <w:t>Informatīvais ziņojums izstrādāts, pamatojoties uz Ministru kabineta 2022.</w:t>
      </w:r>
      <w:r w:rsidR="00097F81">
        <w:rPr>
          <w:sz w:val="24"/>
          <w:shd w:val="clear" w:color="auto" w:fill="FFFFFF"/>
        </w:rPr>
        <w:t xml:space="preserve"> </w:t>
      </w:r>
      <w:r w:rsidRPr="006C748F">
        <w:rPr>
          <w:sz w:val="24"/>
          <w:shd w:val="clear" w:color="auto" w:fill="FFFFFF"/>
        </w:rPr>
        <w:t>gada 5.</w:t>
      </w:r>
      <w:r w:rsidR="00097F81">
        <w:rPr>
          <w:sz w:val="24"/>
          <w:shd w:val="clear" w:color="auto" w:fill="FFFFFF"/>
        </w:rPr>
        <w:t xml:space="preserve"> </w:t>
      </w:r>
      <w:r w:rsidRPr="006C748F">
        <w:rPr>
          <w:sz w:val="24"/>
          <w:shd w:val="clear" w:color="auto" w:fill="FFFFFF"/>
        </w:rPr>
        <w:t>aprīļa sēdes protokolu Nr. 19 43§ 5.</w:t>
      </w:r>
      <w:r w:rsidR="00097F81">
        <w:rPr>
          <w:sz w:val="24"/>
          <w:shd w:val="clear" w:color="auto" w:fill="FFFFFF"/>
        </w:rPr>
        <w:t xml:space="preserve"> </w:t>
      </w:r>
      <w:r w:rsidRPr="006C748F">
        <w:rPr>
          <w:sz w:val="24"/>
          <w:shd w:val="clear" w:color="auto" w:fill="FFFFFF"/>
        </w:rPr>
        <w:t xml:space="preserve">punktu, saskaņā ar kuru kurā Ekonomikas ministrijai uzdots līdz 2022. gada 15. jūlijam </w:t>
      </w:r>
      <w:r w:rsidR="00875DE6">
        <w:rPr>
          <w:sz w:val="24"/>
          <w:shd w:val="clear" w:color="auto" w:fill="FFFFFF"/>
        </w:rPr>
        <w:t xml:space="preserve">iesniegt </w:t>
      </w:r>
      <w:r w:rsidRPr="006C748F">
        <w:rPr>
          <w:sz w:val="24"/>
          <w:shd w:val="clear" w:color="auto" w:fill="FFFFFF"/>
        </w:rPr>
        <w:t>izskatīšanai Ministru kabinetā informācij</w:t>
      </w:r>
      <w:r w:rsidR="00875DE6">
        <w:rPr>
          <w:sz w:val="24"/>
          <w:shd w:val="clear" w:color="auto" w:fill="FFFFFF"/>
        </w:rPr>
        <w:t>u</w:t>
      </w:r>
      <w:r w:rsidRPr="006C748F">
        <w:rPr>
          <w:sz w:val="24"/>
          <w:shd w:val="clear" w:color="auto" w:fill="FFFFFF"/>
        </w:rPr>
        <w:t xml:space="preserve"> par situācijas attīstību saistībā ar Krievijas militārās agresijas izraisītajiem ar izejvielu un būvizstrādājumu pieejamības </w:t>
      </w:r>
      <w:r w:rsidR="00EB7A3F" w:rsidRPr="006C748F">
        <w:rPr>
          <w:sz w:val="24"/>
          <w:shd w:val="clear" w:color="auto" w:fill="FFFFFF"/>
        </w:rPr>
        <w:t>traucējumiem</w:t>
      </w:r>
      <w:r w:rsidRPr="006C748F">
        <w:rPr>
          <w:sz w:val="24"/>
          <w:shd w:val="clear" w:color="auto" w:fill="FFFFFF"/>
        </w:rPr>
        <w:t>, kā arī straujo cenu kāpumu un turpmākajiem nepieciešamajiem risinājumiem.</w:t>
      </w:r>
    </w:p>
    <w:p w14:paraId="52A0D8B1" w14:textId="5AD4B47C" w:rsidR="006C748F" w:rsidRPr="006C748F" w:rsidRDefault="006C748F" w:rsidP="006C748F">
      <w:pPr>
        <w:ind w:firstLine="709"/>
        <w:jc w:val="both"/>
        <w:rPr>
          <w:sz w:val="24"/>
          <w:shd w:val="clear" w:color="auto" w:fill="FFFFFF"/>
        </w:rPr>
      </w:pPr>
      <w:r w:rsidRPr="006C748F">
        <w:rPr>
          <w:sz w:val="24"/>
          <w:shd w:val="clear" w:color="auto" w:fill="FFFFFF"/>
        </w:rPr>
        <w:t>Ministru kabinets 2022.</w:t>
      </w:r>
      <w:r w:rsidR="00097F81">
        <w:rPr>
          <w:sz w:val="24"/>
          <w:shd w:val="clear" w:color="auto" w:fill="FFFFFF"/>
        </w:rPr>
        <w:t xml:space="preserve"> </w:t>
      </w:r>
      <w:r w:rsidRPr="006C748F">
        <w:rPr>
          <w:sz w:val="24"/>
          <w:shd w:val="clear" w:color="auto" w:fill="FFFFFF"/>
        </w:rPr>
        <w:t>gada 5.</w:t>
      </w:r>
      <w:r w:rsidR="00097F81">
        <w:rPr>
          <w:sz w:val="24"/>
          <w:shd w:val="clear" w:color="auto" w:fill="FFFFFF"/>
        </w:rPr>
        <w:t xml:space="preserve"> </w:t>
      </w:r>
      <w:r w:rsidRPr="006C748F">
        <w:rPr>
          <w:sz w:val="24"/>
          <w:shd w:val="clear" w:color="auto" w:fill="FFFFFF"/>
        </w:rPr>
        <w:t xml:space="preserve">aprīlī izskatīja Ekonomikas ministrijas sagatavoto informatīvo ziņojumu “Informatīvais ziņojums </w:t>
      </w:r>
      <w:r w:rsidR="0096205B">
        <w:rPr>
          <w:sz w:val="24"/>
          <w:shd w:val="clear" w:color="auto" w:fill="FFFFFF"/>
        </w:rPr>
        <w:t>“</w:t>
      </w:r>
      <w:r w:rsidRPr="006C748F">
        <w:rPr>
          <w:sz w:val="24"/>
          <w:shd w:val="clear" w:color="auto" w:fill="FFFFFF"/>
        </w:rPr>
        <w:t>Par situāciju būvniecības nozarē saistībā ar Krievijas agresiju Ukrainā un nepieciešamajiem risinājumiem publisko investīciju projektos”, kurā ir secināts, ka Krievijas militārā agresija Ukrainā radīja būtiskus traucējumus būvniecības tirgū:</w:t>
      </w:r>
    </w:p>
    <w:p w14:paraId="7FA5E805" w14:textId="5D5D4607" w:rsidR="006C748F" w:rsidRPr="006C748F" w:rsidRDefault="006C748F" w:rsidP="005C2A62">
      <w:pPr>
        <w:tabs>
          <w:tab w:val="left" w:pos="993"/>
        </w:tabs>
        <w:ind w:firstLine="709"/>
        <w:jc w:val="both"/>
        <w:rPr>
          <w:sz w:val="24"/>
          <w:shd w:val="clear" w:color="auto" w:fill="FFFFFF"/>
        </w:rPr>
      </w:pPr>
      <w:r w:rsidRPr="006C748F">
        <w:rPr>
          <w:sz w:val="24"/>
          <w:shd w:val="clear" w:color="auto" w:fill="FFFFFF"/>
        </w:rPr>
        <w:t>1)</w:t>
      </w:r>
      <w:r w:rsidRPr="006C748F">
        <w:rPr>
          <w:sz w:val="24"/>
          <w:shd w:val="clear" w:color="auto" w:fill="FFFFFF"/>
        </w:rPr>
        <w:tab/>
        <w:t>gan aktīvās karadarbības dēļ, gan ieviesto sankciju rezultātā 2022.</w:t>
      </w:r>
      <w:r w:rsidR="00097F81">
        <w:rPr>
          <w:sz w:val="24"/>
          <w:shd w:val="clear" w:color="auto" w:fill="FFFFFF"/>
        </w:rPr>
        <w:t xml:space="preserve"> </w:t>
      </w:r>
      <w:r w:rsidRPr="006C748F">
        <w:rPr>
          <w:sz w:val="24"/>
          <w:shd w:val="clear" w:color="auto" w:fill="FFFFFF"/>
        </w:rPr>
        <w:t>gada martā atsevišķas būvizstrādājumu grupas kļuva nepieejamas Latvijas tirgū, vislielākās problēmas ir novērotas attiecībā uz tērauda, koka, betona un bitumena pieejamību, kas vēsturiski lielos apjomos tika importēti no kara skartajām valstīm. No Krievijas galvenokārt tika importēts dzelzs, tērauds un to izstrādājumi, bet no Baltkrievijas un Ukrainas – koks un koka izstrādājumi, kokogle;</w:t>
      </w:r>
    </w:p>
    <w:p w14:paraId="1AC31356" w14:textId="77777777" w:rsidR="006C748F" w:rsidRPr="006C748F" w:rsidRDefault="006C748F" w:rsidP="005C2A62">
      <w:pPr>
        <w:tabs>
          <w:tab w:val="left" w:pos="993"/>
        </w:tabs>
        <w:ind w:firstLine="709"/>
        <w:jc w:val="both"/>
        <w:rPr>
          <w:sz w:val="24"/>
          <w:shd w:val="clear" w:color="auto" w:fill="FFFFFF"/>
        </w:rPr>
      </w:pPr>
      <w:r w:rsidRPr="006C748F">
        <w:rPr>
          <w:sz w:val="24"/>
          <w:shd w:val="clear" w:color="auto" w:fill="FFFFFF"/>
        </w:rPr>
        <w:t>2)</w:t>
      </w:r>
      <w:r w:rsidRPr="006C748F">
        <w:rPr>
          <w:sz w:val="24"/>
          <w:shd w:val="clear" w:color="auto" w:fill="FFFFFF"/>
        </w:rPr>
        <w:tab/>
        <w:t>straujš cenu kāpums gandrīz visās būvizstrādājumu grupās, atsevišķiem būvizstrādājumiem cenas pieauga vairākas reizes;</w:t>
      </w:r>
    </w:p>
    <w:p w14:paraId="48C9861C" w14:textId="77777777" w:rsidR="006C748F" w:rsidRPr="006C748F" w:rsidRDefault="006C748F" w:rsidP="005C2A62">
      <w:pPr>
        <w:tabs>
          <w:tab w:val="left" w:pos="993"/>
        </w:tabs>
        <w:ind w:firstLine="709"/>
        <w:jc w:val="both"/>
        <w:rPr>
          <w:sz w:val="24"/>
          <w:shd w:val="clear" w:color="auto" w:fill="FFFFFF"/>
        </w:rPr>
      </w:pPr>
      <w:r w:rsidRPr="006C748F">
        <w:rPr>
          <w:sz w:val="24"/>
          <w:shd w:val="clear" w:color="auto" w:fill="FFFFFF"/>
        </w:rPr>
        <w:t>3)</w:t>
      </w:r>
      <w:r w:rsidRPr="006C748F">
        <w:rPr>
          <w:sz w:val="24"/>
          <w:shd w:val="clear" w:color="auto" w:fill="FFFFFF"/>
        </w:rPr>
        <w:tab/>
        <w:t xml:space="preserve">degvielas un energoresursu cenu kāpums palielināja atsevišķu būvdarbu veidu pašizmaksu. </w:t>
      </w:r>
    </w:p>
    <w:p w14:paraId="0629CA55" w14:textId="2B941010" w:rsidR="00B76D3E" w:rsidRDefault="006C748F" w:rsidP="006C748F">
      <w:pPr>
        <w:ind w:firstLine="709"/>
        <w:jc w:val="both"/>
        <w:rPr>
          <w:sz w:val="24"/>
          <w:shd w:val="clear" w:color="auto" w:fill="FFFFFF"/>
        </w:rPr>
      </w:pPr>
      <w:r w:rsidRPr="006C748F">
        <w:rPr>
          <w:sz w:val="24"/>
          <w:shd w:val="clear" w:color="auto" w:fill="FFFFFF"/>
        </w:rPr>
        <w:t xml:space="preserve">Krievijas militārās agresijas Ukrainā radītā turbulence būvniecības nozarē negatīvi ietekmēja publiskās infrastruktūras projektu īstenošanu, būvkomersantiem radās </w:t>
      </w:r>
      <w:r w:rsidR="00875DE6">
        <w:rPr>
          <w:sz w:val="24"/>
          <w:shd w:val="clear" w:color="auto" w:fill="FFFFFF"/>
        </w:rPr>
        <w:t xml:space="preserve">objektīvas </w:t>
      </w:r>
      <w:r w:rsidRPr="006C748F">
        <w:rPr>
          <w:sz w:val="24"/>
          <w:shd w:val="clear" w:color="auto" w:fill="FFFFFF"/>
        </w:rPr>
        <w:t xml:space="preserve">grūtības nodrošināt publisko būvdarbu līgumu ietvaros iepriekš uzņemto saistību izpildi. Lai mazinātu publiskās infrastruktūras projektu sekmīgas īstenošanas apdraudējuma riskus, informatīvajā ziņojumā publiskie pasūtītāji tika aicināti uzņemties aktīvāku lomu publisko būvdarbu līgumu vadībā un izvērtēt nepieciešamību veikt </w:t>
      </w:r>
      <w:r>
        <w:rPr>
          <w:sz w:val="24"/>
          <w:shd w:val="clear" w:color="auto" w:fill="FFFFFF"/>
        </w:rPr>
        <w:t xml:space="preserve">līgumu </w:t>
      </w:r>
      <w:r w:rsidRPr="006C748F">
        <w:rPr>
          <w:sz w:val="24"/>
          <w:shd w:val="clear" w:color="auto" w:fill="FFFFFF"/>
        </w:rPr>
        <w:t>grozī</w:t>
      </w:r>
      <w:r>
        <w:rPr>
          <w:sz w:val="24"/>
          <w:shd w:val="clear" w:color="auto" w:fill="FFFFFF"/>
        </w:rPr>
        <w:t xml:space="preserve">šanu, vienojoties par nepieciešamiem risinājumiem publisko būvdarbu līgumu </w:t>
      </w:r>
      <w:r w:rsidR="00B76D3E">
        <w:rPr>
          <w:sz w:val="24"/>
          <w:shd w:val="clear" w:color="auto" w:fill="FFFFFF"/>
        </w:rPr>
        <w:t xml:space="preserve">izpildei. </w:t>
      </w:r>
    </w:p>
    <w:p w14:paraId="669F00A2" w14:textId="5A662919" w:rsidR="006E32BF" w:rsidRDefault="00B76D3E" w:rsidP="006C748F">
      <w:pPr>
        <w:ind w:firstLine="709"/>
        <w:jc w:val="both"/>
        <w:rPr>
          <w:sz w:val="24"/>
          <w:shd w:val="clear" w:color="auto" w:fill="FFFFFF"/>
        </w:rPr>
      </w:pPr>
      <w:r>
        <w:rPr>
          <w:sz w:val="24"/>
          <w:shd w:val="clear" w:color="auto" w:fill="FFFFFF"/>
        </w:rPr>
        <w:t>Jāatzīmē, ka informatīvajā ziņojumā ietvertais vērtējums par Krievijas militārās agresijas ietekmi uz būvniecības nozari aptver laika posmu līdz 2022.</w:t>
      </w:r>
      <w:r w:rsidR="00097F81">
        <w:rPr>
          <w:sz w:val="24"/>
          <w:shd w:val="clear" w:color="auto" w:fill="FFFFFF"/>
        </w:rPr>
        <w:t xml:space="preserve"> </w:t>
      </w:r>
      <w:r>
        <w:rPr>
          <w:sz w:val="24"/>
          <w:shd w:val="clear" w:color="auto" w:fill="FFFFFF"/>
        </w:rPr>
        <w:t>gada marta beigām</w:t>
      </w:r>
      <w:r w:rsidR="00875DE6">
        <w:rPr>
          <w:sz w:val="24"/>
          <w:shd w:val="clear" w:color="auto" w:fill="FFFFFF"/>
        </w:rPr>
        <w:t>.</w:t>
      </w:r>
      <w:r>
        <w:rPr>
          <w:sz w:val="24"/>
          <w:shd w:val="clear" w:color="auto" w:fill="FFFFFF"/>
        </w:rPr>
        <w:t xml:space="preserve"> </w:t>
      </w:r>
      <w:r w:rsidR="00875DE6">
        <w:rPr>
          <w:sz w:val="24"/>
          <w:shd w:val="clear" w:color="auto" w:fill="FFFFFF"/>
        </w:rPr>
        <w:t>V</w:t>
      </w:r>
      <w:r>
        <w:rPr>
          <w:sz w:val="24"/>
          <w:shd w:val="clear" w:color="auto" w:fill="FFFFFF"/>
        </w:rPr>
        <w:t>ienlaicīgi tika secināts, ka</w:t>
      </w:r>
      <w:r w:rsidR="008F5F12">
        <w:rPr>
          <w:sz w:val="24"/>
          <w:shd w:val="clear" w:color="auto" w:fill="FFFFFF"/>
        </w:rPr>
        <w:t xml:space="preserve">, </w:t>
      </w:r>
      <w:r w:rsidR="006E32BF">
        <w:rPr>
          <w:sz w:val="24"/>
          <w:shd w:val="clear" w:color="auto" w:fill="FFFFFF"/>
        </w:rPr>
        <w:t>Krievijas militārā agresija atstāja ilgstošo ietekmi uz būvizstrādājumu pieejamību, kā arī būvizstrādājumu, izejvielu un resursu cenām, turklāt</w:t>
      </w:r>
      <w:r w:rsidR="00875DE6">
        <w:rPr>
          <w:sz w:val="24"/>
          <w:shd w:val="clear" w:color="auto" w:fill="FFFFFF"/>
        </w:rPr>
        <w:t>,</w:t>
      </w:r>
      <w:r w:rsidR="006E32BF">
        <w:rPr>
          <w:sz w:val="24"/>
          <w:shd w:val="clear" w:color="auto" w:fill="FFFFFF"/>
        </w:rPr>
        <w:t xml:space="preserve"> </w:t>
      </w:r>
      <w:r w:rsidR="008F5F12">
        <w:rPr>
          <w:sz w:val="24"/>
          <w:shd w:val="clear" w:color="auto" w:fill="FFFFFF"/>
        </w:rPr>
        <w:t>turpinoties militārām darbībām</w:t>
      </w:r>
      <w:r w:rsidR="00875DE6">
        <w:rPr>
          <w:sz w:val="24"/>
          <w:shd w:val="clear" w:color="auto" w:fill="FFFFFF"/>
        </w:rPr>
        <w:t>,</w:t>
      </w:r>
      <w:r w:rsidR="006E32BF">
        <w:rPr>
          <w:sz w:val="24"/>
          <w:shd w:val="clear" w:color="auto" w:fill="FFFFFF"/>
        </w:rPr>
        <w:t xml:space="preserve"> ietekme var pieaugt.</w:t>
      </w:r>
    </w:p>
    <w:p w14:paraId="1C50BDFE" w14:textId="03D1397D" w:rsidR="008C50FF" w:rsidRDefault="006E32BF" w:rsidP="006C748F">
      <w:pPr>
        <w:ind w:firstLine="709"/>
        <w:jc w:val="both"/>
        <w:rPr>
          <w:sz w:val="24"/>
          <w:shd w:val="clear" w:color="auto" w:fill="FFFFFF"/>
        </w:rPr>
      </w:pPr>
      <w:r>
        <w:rPr>
          <w:sz w:val="24"/>
          <w:shd w:val="clear" w:color="auto" w:fill="FFFFFF"/>
        </w:rPr>
        <w:t xml:space="preserve">Lai novērtētu </w:t>
      </w:r>
      <w:r w:rsidR="00063D75">
        <w:rPr>
          <w:sz w:val="24"/>
          <w:shd w:val="clear" w:color="auto" w:fill="FFFFFF"/>
        </w:rPr>
        <w:t>Krievijas militārās agresijas ietekm</w:t>
      </w:r>
      <w:r w:rsidR="0077765A">
        <w:rPr>
          <w:sz w:val="24"/>
          <w:shd w:val="clear" w:color="auto" w:fill="FFFFFF"/>
        </w:rPr>
        <w:t>es ilgstošu raksturu un nozares darbības iespējam</w:t>
      </w:r>
      <w:r w:rsidR="003B0B8F">
        <w:rPr>
          <w:sz w:val="24"/>
          <w:shd w:val="clear" w:color="auto" w:fill="FFFFFF"/>
        </w:rPr>
        <w:t>a</w:t>
      </w:r>
      <w:r w:rsidR="0077765A">
        <w:rPr>
          <w:sz w:val="24"/>
          <w:shd w:val="clear" w:color="auto" w:fill="FFFFFF"/>
        </w:rPr>
        <w:t>s stabilizēšanās termiņus, Ministru kabinets uzdeva Ekonomikas ministrijai sekot līdzi tirgus sakārtošanas un pārorientēšanas tendencēm</w:t>
      </w:r>
      <w:r w:rsidR="008C50FF">
        <w:rPr>
          <w:sz w:val="24"/>
          <w:shd w:val="clear" w:color="auto" w:fill="FFFFFF"/>
        </w:rPr>
        <w:t>, kā arī publiskās infrastruktūras projektu īstenošanas progresam un iespējamiem traucējumiem projektu īstenošanā un informēt Ministru kabinetu par nepieciešamajiem risinājumiem.</w:t>
      </w:r>
    </w:p>
    <w:p w14:paraId="335E1F68" w14:textId="2EF9561C" w:rsidR="006E7EF7" w:rsidRPr="00B74401" w:rsidRDefault="00DE5F88" w:rsidP="00B74401">
      <w:pPr>
        <w:pStyle w:val="ListParagraph"/>
        <w:numPr>
          <w:ilvl w:val="0"/>
          <w:numId w:val="32"/>
        </w:numPr>
        <w:spacing w:before="240" w:after="120"/>
        <w:ind w:left="284" w:hanging="284"/>
        <w:jc w:val="both"/>
        <w:rPr>
          <w:b/>
          <w:bCs/>
          <w:color w:val="0099CC"/>
          <w:sz w:val="24"/>
        </w:rPr>
      </w:pPr>
      <w:r w:rsidRPr="00B74401">
        <w:rPr>
          <w:b/>
          <w:bCs/>
          <w:color w:val="0099CC"/>
          <w:sz w:val="24"/>
        </w:rPr>
        <w:t>Būvniecības izmaks</w:t>
      </w:r>
      <w:r w:rsidR="00AB0590" w:rsidRPr="00B74401">
        <w:rPr>
          <w:b/>
          <w:bCs/>
          <w:color w:val="0099CC"/>
          <w:sz w:val="24"/>
        </w:rPr>
        <w:t xml:space="preserve">as </w:t>
      </w:r>
      <w:r w:rsidR="005E16A4" w:rsidRPr="00B74401">
        <w:rPr>
          <w:b/>
          <w:bCs/>
          <w:color w:val="0099CC"/>
          <w:sz w:val="24"/>
        </w:rPr>
        <w:t>un būv</w:t>
      </w:r>
      <w:r w:rsidR="004B2D48" w:rsidRPr="00B74401">
        <w:rPr>
          <w:b/>
          <w:bCs/>
          <w:color w:val="0099CC"/>
          <w:sz w:val="24"/>
        </w:rPr>
        <w:t xml:space="preserve">izstrādājumu </w:t>
      </w:r>
      <w:r w:rsidR="005E16A4" w:rsidRPr="00B74401">
        <w:rPr>
          <w:b/>
          <w:bCs/>
          <w:color w:val="0099CC"/>
          <w:sz w:val="24"/>
        </w:rPr>
        <w:t>pieejamīb</w:t>
      </w:r>
      <w:r w:rsidR="00C01550" w:rsidRPr="00B74401">
        <w:rPr>
          <w:b/>
          <w:bCs/>
          <w:color w:val="0099CC"/>
          <w:sz w:val="24"/>
        </w:rPr>
        <w:t>a</w:t>
      </w:r>
      <w:r w:rsidR="00D13F22" w:rsidRPr="00B74401">
        <w:rPr>
          <w:b/>
          <w:bCs/>
          <w:color w:val="0099CC"/>
          <w:sz w:val="24"/>
        </w:rPr>
        <w:t xml:space="preserve"> </w:t>
      </w:r>
      <w:r w:rsidR="006E7EF7" w:rsidRPr="00B74401">
        <w:rPr>
          <w:b/>
          <w:bCs/>
          <w:color w:val="0099CC"/>
          <w:sz w:val="24"/>
        </w:rPr>
        <w:t>Latvijas būvniecības nozarē</w:t>
      </w:r>
    </w:p>
    <w:p w14:paraId="5A997EAB" w14:textId="543B200E" w:rsidR="007D7AE7" w:rsidRPr="000F0902" w:rsidRDefault="00AC666F" w:rsidP="000F0902">
      <w:pPr>
        <w:pStyle w:val="ListParagraph"/>
        <w:numPr>
          <w:ilvl w:val="1"/>
          <w:numId w:val="32"/>
        </w:numPr>
        <w:spacing w:before="240" w:after="120"/>
        <w:ind w:left="777"/>
        <w:contextualSpacing w:val="0"/>
        <w:jc w:val="both"/>
        <w:rPr>
          <w:color w:val="0099CC"/>
          <w:sz w:val="24"/>
        </w:rPr>
      </w:pPr>
      <w:r w:rsidRPr="000F0902">
        <w:rPr>
          <w:color w:val="0099CC"/>
          <w:sz w:val="24"/>
        </w:rPr>
        <w:t>Būvniecības izmaksu izmaiņas</w:t>
      </w:r>
    </w:p>
    <w:p w14:paraId="350263B3" w14:textId="5B9AAE26" w:rsidR="00C04CDC" w:rsidRDefault="00C04CDC" w:rsidP="004430FC">
      <w:pPr>
        <w:ind w:firstLine="720"/>
        <w:jc w:val="both"/>
        <w:rPr>
          <w:sz w:val="24"/>
        </w:rPr>
      </w:pPr>
      <w:r w:rsidRPr="00E445CA">
        <w:rPr>
          <w:sz w:val="24"/>
        </w:rPr>
        <w:t>2022. gada</w:t>
      </w:r>
      <w:r w:rsidR="00F65FB0">
        <w:rPr>
          <w:sz w:val="24"/>
        </w:rPr>
        <w:t xml:space="preserve"> aprīlī un maijā Krievijas militārās agresijas ietekmē turpinājās būvniecības izmaksu kāpums</w:t>
      </w:r>
      <w:r w:rsidR="00DD1609">
        <w:rPr>
          <w:sz w:val="24"/>
        </w:rPr>
        <w:t xml:space="preserve">, vienlaicīgi </w:t>
      </w:r>
      <w:r w:rsidR="00E8557A">
        <w:rPr>
          <w:sz w:val="24"/>
        </w:rPr>
        <w:t>jūnija</w:t>
      </w:r>
      <w:r w:rsidR="00DD1609">
        <w:rPr>
          <w:sz w:val="24"/>
        </w:rPr>
        <w:t xml:space="preserve"> mēnesī izmaksu kāpuma temps samazinājās, jū</w:t>
      </w:r>
      <w:r w:rsidR="00E8557A">
        <w:rPr>
          <w:sz w:val="24"/>
        </w:rPr>
        <w:t>l</w:t>
      </w:r>
      <w:r w:rsidR="00DD1609">
        <w:rPr>
          <w:sz w:val="24"/>
        </w:rPr>
        <w:t>ija mēnesī</w:t>
      </w:r>
      <w:r w:rsidR="00F65FB0">
        <w:rPr>
          <w:sz w:val="24"/>
        </w:rPr>
        <w:t xml:space="preserve"> parādījās cenu stabilizēšanas pazīmes. </w:t>
      </w:r>
      <w:r w:rsidR="00F65FB0" w:rsidRPr="00E445CA">
        <w:rPr>
          <w:sz w:val="24"/>
        </w:rPr>
        <w:t>Vadoties no Centrālās statistikas pārvaldes (turpmāk – CSP) datiem</w:t>
      </w:r>
      <w:r w:rsidR="00F65FB0">
        <w:rPr>
          <w:sz w:val="24"/>
        </w:rPr>
        <w:t xml:space="preserve"> </w:t>
      </w:r>
      <w:r w:rsidR="00D04601">
        <w:rPr>
          <w:sz w:val="24"/>
        </w:rPr>
        <w:t>jū</w:t>
      </w:r>
      <w:r w:rsidR="00E8557A">
        <w:rPr>
          <w:sz w:val="24"/>
        </w:rPr>
        <w:t>l</w:t>
      </w:r>
      <w:r w:rsidR="00D04601">
        <w:rPr>
          <w:sz w:val="24"/>
        </w:rPr>
        <w:t>ijā</w:t>
      </w:r>
      <w:r w:rsidRPr="00E445CA">
        <w:rPr>
          <w:sz w:val="24"/>
        </w:rPr>
        <w:t xml:space="preserve">, salīdzinot ar 2021. gada </w:t>
      </w:r>
      <w:r w:rsidR="00D04601">
        <w:rPr>
          <w:sz w:val="24"/>
        </w:rPr>
        <w:t>jū</w:t>
      </w:r>
      <w:r w:rsidR="00E8557A">
        <w:rPr>
          <w:sz w:val="24"/>
        </w:rPr>
        <w:t>l</w:t>
      </w:r>
      <w:r w:rsidR="00D04601">
        <w:rPr>
          <w:sz w:val="24"/>
        </w:rPr>
        <w:t>iju</w:t>
      </w:r>
      <w:r w:rsidRPr="00E445CA">
        <w:rPr>
          <w:sz w:val="24"/>
        </w:rPr>
        <w:t xml:space="preserve">, būvniecības izmaksu līmenis Latvijā palielinājās par </w:t>
      </w:r>
      <w:r w:rsidR="00D04601">
        <w:rPr>
          <w:sz w:val="24"/>
        </w:rPr>
        <w:t>21,</w:t>
      </w:r>
      <w:r w:rsidR="00E8557A">
        <w:rPr>
          <w:sz w:val="24"/>
        </w:rPr>
        <w:t>3</w:t>
      </w:r>
      <w:r w:rsidRPr="00E445CA">
        <w:rPr>
          <w:sz w:val="24"/>
        </w:rPr>
        <w:t>%</w:t>
      </w:r>
      <w:r w:rsidR="004430FC" w:rsidRPr="00E445CA">
        <w:rPr>
          <w:sz w:val="24"/>
        </w:rPr>
        <w:t xml:space="preserve"> (skat. 1.attēlu). </w:t>
      </w:r>
      <w:r w:rsidRPr="00E445CA">
        <w:rPr>
          <w:sz w:val="24"/>
        </w:rPr>
        <w:t xml:space="preserve">Būvmateriālu cenas palielinājās par </w:t>
      </w:r>
      <w:r w:rsidR="00E8557A">
        <w:rPr>
          <w:sz w:val="24"/>
        </w:rPr>
        <w:t>28,0</w:t>
      </w:r>
      <w:r w:rsidRPr="00E445CA">
        <w:rPr>
          <w:sz w:val="24"/>
        </w:rPr>
        <w:t xml:space="preserve">%, mašīnu un </w:t>
      </w:r>
      <w:r w:rsidRPr="00E445CA">
        <w:rPr>
          <w:sz w:val="24"/>
        </w:rPr>
        <w:lastRenderedPageBreak/>
        <w:t xml:space="preserve">mehānismu uzturēšanas un ekspluatācijas izmaksas – par </w:t>
      </w:r>
      <w:r w:rsidR="00D04601">
        <w:rPr>
          <w:sz w:val="24"/>
        </w:rPr>
        <w:t>18,</w:t>
      </w:r>
      <w:r w:rsidR="00E8557A">
        <w:rPr>
          <w:sz w:val="24"/>
        </w:rPr>
        <w:t>6</w:t>
      </w:r>
      <w:r w:rsidRPr="00E445CA">
        <w:rPr>
          <w:sz w:val="24"/>
        </w:rPr>
        <w:t xml:space="preserve">%, bet strādnieku darba samaksa pieauga par </w:t>
      </w:r>
      <w:r w:rsidR="00E8557A">
        <w:rPr>
          <w:sz w:val="24"/>
        </w:rPr>
        <w:t>10,4</w:t>
      </w:r>
      <w:r w:rsidRPr="00E445CA">
        <w:rPr>
          <w:sz w:val="24"/>
        </w:rPr>
        <w:t>%.</w:t>
      </w:r>
    </w:p>
    <w:p w14:paraId="0C9E6B16" w14:textId="73D1B383" w:rsidR="00591E49" w:rsidRPr="00E445CA" w:rsidRDefault="00591E49" w:rsidP="000F6F73">
      <w:pPr>
        <w:spacing w:before="120"/>
        <w:jc w:val="center"/>
        <w:rPr>
          <w:sz w:val="24"/>
        </w:rPr>
      </w:pPr>
      <w:r>
        <w:rPr>
          <w:noProof/>
        </w:rPr>
        <w:drawing>
          <wp:inline distT="0" distB="0" distL="0" distR="0" wp14:anchorId="4EE09E74" wp14:editId="7661808B">
            <wp:extent cx="5403850" cy="214200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20764" cy="2148706"/>
                    </a:xfrm>
                    <a:prstGeom prst="rect">
                      <a:avLst/>
                    </a:prstGeom>
                  </pic:spPr>
                </pic:pic>
              </a:graphicData>
            </a:graphic>
          </wp:inline>
        </w:drawing>
      </w:r>
    </w:p>
    <w:p w14:paraId="3E85F418" w14:textId="0FC9F401" w:rsidR="00D639CE" w:rsidRPr="00AC666F" w:rsidRDefault="00D639CE" w:rsidP="00D639CE">
      <w:pPr>
        <w:pStyle w:val="ListParagraph"/>
        <w:numPr>
          <w:ilvl w:val="0"/>
          <w:numId w:val="25"/>
        </w:numPr>
        <w:tabs>
          <w:tab w:val="left" w:pos="284"/>
        </w:tabs>
        <w:spacing w:before="120"/>
        <w:ind w:left="0" w:hanging="11"/>
        <w:jc w:val="center"/>
        <w:rPr>
          <w:sz w:val="24"/>
        </w:rPr>
      </w:pPr>
      <w:r w:rsidRPr="00AC666F">
        <w:rPr>
          <w:sz w:val="24"/>
        </w:rPr>
        <w:t xml:space="preserve">attēls. Būvniecības izmaksu pārmaiņas </w:t>
      </w:r>
      <w:r w:rsidR="009C7891" w:rsidRPr="00AC666F">
        <w:rPr>
          <w:sz w:val="24"/>
        </w:rPr>
        <w:t xml:space="preserve">2021.-2022. gada mēnešos </w:t>
      </w:r>
      <w:r w:rsidRPr="00AC666F">
        <w:rPr>
          <w:spacing w:val="11"/>
          <w:sz w:val="24"/>
        </w:rPr>
        <w:t>(</w:t>
      </w:r>
      <w:r w:rsidR="00F72D23" w:rsidRPr="00AC666F">
        <w:rPr>
          <w:spacing w:val="11"/>
          <w:sz w:val="24"/>
        </w:rPr>
        <w:t>%</w:t>
      </w:r>
      <w:r w:rsidRPr="00AC666F">
        <w:rPr>
          <w:spacing w:val="11"/>
          <w:sz w:val="24"/>
        </w:rPr>
        <w:t xml:space="preserve"> pret iepriekšējā gada attiecīgo mēnesi)</w:t>
      </w:r>
    </w:p>
    <w:p w14:paraId="33F210F0" w14:textId="150CC071" w:rsidR="00D639CE" w:rsidRPr="007805D1" w:rsidRDefault="00D639CE" w:rsidP="00D639CE">
      <w:pPr>
        <w:spacing w:before="120"/>
        <w:jc w:val="both"/>
        <w:rPr>
          <w:sz w:val="20"/>
          <w:szCs w:val="20"/>
        </w:rPr>
      </w:pPr>
      <w:r w:rsidRPr="007805D1">
        <w:rPr>
          <w:sz w:val="20"/>
          <w:szCs w:val="20"/>
        </w:rPr>
        <w:t>Datu avots: CSP dati.</w:t>
      </w:r>
    </w:p>
    <w:p w14:paraId="3E236599" w14:textId="0358CEFE" w:rsidR="00D639CE" w:rsidRPr="007805D1" w:rsidRDefault="00D639CE" w:rsidP="00D639CE">
      <w:pPr>
        <w:ind w:firstLine="720"/>
        <w:jc w:val="both"/>
        <w:rPr>
          <w:sz w:val="24"/>
        </w:rPr>
      </w:pPr>
    </w:p>
    <w:p w14:paraId="6F68F6A8" w14:textId="236F2AF7" w:rsidR="00276694" w:rsidRPr="00276694" w:rsidRDefault="00132C1F" w:rsidP="00C775A1">
      <w:pPr>
        <w:ind w:firstLine="720"/>
        <w:jc w:val="both"/>
        <w:rPr>
          <w:sz w:val="24"/>
        </w:rPr>
      </w:pPr>
      <w:r w:rsidRPr="00276694">
        <w:rPr>
          <w:sz w:val="24"/>
        </w:rPr>
        <w:t>2022. gada jū</w:t>
      </w:r>
      <w:r w:rsidR="007805D1" w:rsidRPr="00276694">
        <w:rPr>
          <w:sz w:val="24"/>
        </w:rPr>
        <w:t>l</w:t>
      </w:r>
      <w:r w:rsidRPr="00276694">
        <w:rPr>
          <w:sz w:val="24"/>
        </w:rPr>
        <w:t xml:space="preserve">ijā, salīdzinot ar </w:t>
      </w:r>
      <w:r w:rsidR="007805D1" w:rsidRPr="00276694">
        <w:rPr>
          <w:sz w:val="24"/>
        </w:rPr>
        <w:t>jūniju</w:t>
      </w:r>
      <w:r w:rsidRPr="00276694">
        <w:rPr>
          <w:sz w:val="24"/>
        </w:rPr>
        <w:t>, būvniecības izmaksu līmenis palielinājās par 1,</w:t>
      </w:r>
      <w:r w:rsidR="007805D1" w:rsidRPr="00276694">
        <w:rPr>
          <w:sz w:val="24"/>
        </w:rPr>
        <w:t>3</w:t>
      </w:r>
      <w:r w:rsidRPr="00276694">
        <w:rPr>
          <w:sz w:val="24"/>
        </w:rPr>
        <w:t xml:space="preserve">%. </w:t>
      </w:r>
      <w:r w:rsidR="007805D1" w:rsidRPr="00276694">
        <w:rPr>
          <w:sz w:val="24"/>
        </w:rPr>
        <w:t xml:space="preserve">Būvmateriālu cenas palielinājās par 1,6%, </w:t>
      </w:r>
      <w:r w:rsidR="007805D1" w:rsidRPr="00877B4E">
        <w:rPr>
          <w:sz w:val="24"/>
        </w:rPr>
        <w:t>strādnieku darba samaksa – par 0,9%, bet mašīnu un mehānismu uzturēšanas un ekspluatācijas izmaksas palielinājās par 0,8%.</w:t>
      </w:r>
      <w:r w:rsidR="00276694" w:rsidRPr="00877B4E">
        <w:rPr>
          <w:sz w:val="24"/>
        </w:rPr>
        <w:t xml:space="preserve"> </w:t>
      </w:r>
      <w:r w:rsidRPr="00877B4E">
        <w:rPr>
          <w:sz w:val="24"/>
        </w:rPr>
        <w:t>Jū</w:t>
      </w:r>
      <w:r w:rsidR="007805D1" w:rsidRPr="00877B4E">
        <w:rPr>
          <w:sz w:val="24"/>
        </w:rPr>
        <w:t>l</w:t>
      </w:r>
      <w:r w:rsidRPr="00877B4E">
        <w:rPr>
          <w:sz w:val="24"/>
        </w:rPr>
        <w:t xml:space="preserve">ijā būvniecības izmaksu vidējo līmeni visvairāk ietekmēja </w:t>
      </w:r>
      <w:r w:rsidR="00276694" w:rsidRPr="00877B4E">
        <w:rPr>
          <w:sz w:val="24"/>
        </w:rPr>
        <w:t xml:space="preserve">cenu pieaugums </w:t>
      </w:r>
      <w:r w:rsidR="00877B4E" w:rsidRPr="00877B4E">
        <w:rPr>
          <w:sz w:val="24"/>
        </w:rPr>
        <w:t xml:space="preserve">metāla konstrukcijām un sīkajiem metāla izstrādājumiem (skat. 2.attēlu). Paaugstinoša ietekme bija arī cenu palielinājumam </w:t>
      </w:r>
      <w:r w:rsidR="00276694" w:rsidRPr="00877B4E">
        <w:rPr>
          <w:sz w:val="24"/>
        </w:rPr>
        <w:t>asfaltbetonam, kā arī dolomīta šķembām</w:t>
      </w:r>
      <w:r w:rsidR="00877B4E" w:rsidRPr="00877B4E">
        <w:rPr>
          <w:sz w:val="24"/>
        </w:rPr>
        <w:t>.</w:t>
      </w:r>
    </w:p>
    <w:p w14:paraId="196CA909" w14:textId="1BCC831F" w:rsidR="00E13228" w:rsidRDefault="001823A7" w:rsidP="00E42800">
      <w:pPr>
        <w:spacing w:before="80"/>
        <w:jc w:val="center"/>
        <w:rPr>
          <w:sz w:val="24"/>
        </w:rPr>
      </w:pPr>
      <w:r>
        <w:rPr>
          <w:noProof/>
        </w:rPr>
        <w:drawing>
          <wp:inline distT="0" distB="0" distL="0" distR="0" wp14:anchorId="0FCF0A91" wp14:editId="02F01699">
            <wp:extent cx="5048250" cy="3978168"/>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86685" cy="4008456"/>
                    </a:xfrm>
                    <a:prstGeom prst="rect">
                      <a:avLst/>
                    </a:prstGeom>
                  </pic:spPr>
                </pic:pic>
              </a:graphicData>
            </a:graphic>
          </wp:inline>
        </w:drawing>
      </w:r>
    </w:p>
    <w:p w14:paraId="155F6A57" w14:textId="77777777" w:rsidR="00C775A1" w:rsidRPr="003B0B8F" w:rsidRDefault="00C775A1" w:rsidP="00C775A1">
      <w:pPr>
        <w:pStyle w:val="ListParagraph"/>
        <w:numPr>
          <w:ilvl w:val="0"/>
          <w:numId w:val="25"/>
        </w:numPr>
        <w:tabs>
          <w:tab w:val="left" w:pos="284"/>
        </w:tabs>
        <w:spacing w:before="120"/>
        <w:ind w:left="0" w:firstLine="0"/>
        <w:jc w:val="center"/>
        <w:rPr>
          <w:sz w:val="24"/>
        </w:rPr>
      </w:pPr>
      <w:r w:rsidRPr="003B0B8F">
        <w:rPr>
          <w:sz w:val="24"/>
        </w:rPr>
        <w:t xml:space="preserve">attēls. Būvniecības izmaksu indekss dalījumā pa būvmateriālu grupām 2022. gada mēnešos </w:t>
      </w:r>
      <w:r w:rsidRPr="003B0B8F">
        <w:rPr>
          <w:noProof/>
          <w:sz w:val="24"/>
          <w:lang w:eastAsia="lv-LV"/>
        </w:rPr>
        <w:t>(2021=100)</w:t>
      </w:r>
      <w:r w:rsidRPr="003B0B8F">
        <w:rPr>
          <w:sz w:val="24"/>
        </w:rPr>
        <w:t xml:space="preserve"> </w:t>
      </w:r>
    </w:p>
    <w:p w14:paraId="087F46A7" w14:textId="77777777" w:rsidR="00C775A1" w:rsidRPr="003B0B8F" w:rsidRDefault="00C775A1" w:rsidP="00C775A1">
      <w:pPr>
        <w:spacing w:before="120"/>
        <w:jc w:val="both"/>
        <w:rPr>
          <w:sz w:val="20"/>
          <w:szCs w:val="20"/>
        </w:rPr>
      </w:pPr>
      <w:r w:rsidRPr="003B0B8F">
        <w:rPr>
          <w:sz w:val="20"/>
          <w:szCs w:val="20"/>
        </w:rPr>
        <w:t>Datu avots: izveidots pēc CSP datiem.</w:t>
      </w:r>
    </w:p>
    <w:p w14:paraId="278E7B3E" w14:textId="35CB3B96" w:rsidR="0058228C" w:rsidRDefault="0058228C" w:rsidP="0058228C">
      <w:pPr>
        <w:ind w:firstLine="720"/>
        <w:jc w:val="both"/>
        <w:rPr>
          <w:sz w:val="24"/>
        </w:rPr>
      </w:pPr>
      <w:r>
        <w:rPr>
          <w:sz w:val="24"/>
        </w:rPr>
        <w:lastRenderedPageBreak/>
        <w:t xml:space="preserve">Savukārt </w:t>
      </w:r>
      <w:r w:rsidRPr="00132C1F">
        <w:rPr>
          <w:sz w:val="24"/>
        </w:rPr>
        <w:t>2022. gada jū</w:t>
      </w:r>
      <w:r w:rsidR="009E6756">
        <w:rPr>
          <w:sz w:val="24"/>
        </w:rPr>
        <w:t>l</w:t>
      </w:r>
      <w:r w:rsidRPr="00132C1F">
        <w:rPr>
          <w:sz w:val="24"/>
        </w:rPr>
        <w:t xml:space="preserve">ijā, salīdzinot ar </w:t>
      </w:r>
      <w:r>
        <w:rPr>
          <w:sz w:val="24"/>
        </w:rPr>
        <w:t>februāri</w:t>
      </w:r>
      <w:r w:rsidRPr="00132C1F">
        <w:rPr>
          <w:sz w:val="24"/>
        </w:rPr>
        <w:t xml:space="preserve">, būvniecības izmaksu līmenis palielinājās par </w:t>
      </w:r>
      <w:r w:rsidR="009E6756">
        <w:rPr>
          <w:sz w:val="24"/>
        </w:rPr>
        <w:t>11,1</w:t>
      </w:r>
      <w:r w:rsidRPr="00132C1F">
        <w:rPr>
          <w:sz w:val="24"/>
        </w:rPr>
        <w:t xml:space="preserve">%. </w:t>
      </w:r>
      <w:r>
        <w:rPr>
          <w:sz w:val="24"/>
        </w:rPr>
        <w:t xml:space="preserve">Būvmateriālu cenas pieauga par </w:t>
      </w:r>
      <w:r w:rsidR="009E6756">
        <w:rPr>
          <w:sz w:val="24"/>
        </w:rPr>
        <w:t>14,5</w:t>
      </w:r>
      <w:r>
        <w:rPr>
          <w:sz w:val="24"/>
        </w:rPr>
        <w:t xml:space="preserve">%, bet </w:t>
      </w:r>
      <w:r w:rsidRPr="00132C1F">
        <w:rPr>
          <w:sz w:val="24"/>
        </w:rPr>
        <w:t>mašīnu un mehānismu uzturēšanas un ekspluatācijas</w:t>
      </w:r>
      <w:r>
        <w:rPr>
          <w:sz w:val="24"/>
        </w:rPr>
        <w:t xml:space="preserve"> </w:t>
      </w:r>
      <w:r w:rsidRPr="00132C1F">
        <w:rPr>
          <w:sz w:val="24"/>
        </w:rPr>
        <w:t>izmaksas</w:t>
      </w:r>
      <w:r>
        <w:rPr>
          <w:sz w:val="24"/>
        </w:rPr>
        <w:t xml:space="preserve"> un s</w:t>
      </w:r>
      <w:r w:rsidRPr="00132C1F">
        <w:rPr>
          <w:sz w:val="24"/>
        </w:rPr>
        <w:t>trādnieku darba samaksa</w:t>
      </w:r>
      <w:r>
        <w:rPr>
          <w:sz w:val="24"/>
        </w:rPr>
        <w:t xml:space="preserve"> – attiecīgi par </w:t>
      </w:r>
      <w:r w:rsidR="009E6756">
        <w:rPr>
          <w:sz w:val="24"/>
        </w:rPr>
        <w:t>8,5</w:t>
      </w:r>
      <w:r>
        <w:rPr>
          <w:sz w:val="24"/>
        </w:rPr>
        <w:t xml:space="preserve">% un </w:t>
      </w:r>
      <w:r w:rsidR="009E6756">
        <w:rPr>
          <w:sz w:val="24"/>
        </w:rPr>
        <w:t>6</w:t>
      </w:r>
      <w:r>
        <w:rPr>
          <w:sz w:val="24"/>
        </w:rPr>
        <w:t>,5%.</w:t>
      </w:r>
    </w:p>
    <w:p w14:paraId="429F200C" w14:textId="582892A4" w:rsidR="00D72785" w:rsidRDefault="00D72785" w:rsidP="0058228C">
      <w:pPr>
        <w:ind w:firstLine="720"/>
        <w:jc w:val="both"/>
        <w:rPr>
          <w:sz w:val="24"/>
        </w:rPr>
      </w:pPr>
      <w:r w:rsidRPr="00D72785">
        <w:rPr>
          <w:sz w:val="24"/>
        </w:rPr>
        <w:t>2022. gada 2. ceturksnī, salīdzinot ar 2021. gada 2. ceturksni, kopējais būvniecības izmaksu līmenis pieauga par 22,0%. Būvmateriālu cenas palielinājās par 30,4%, mašīnu un mehānismu uzturēšanas un ekspluatācijas izmaksas – par 17,8%, bet strādnieku darba samaksa pieauga par 9,2%.</w:t>
      </w:r>
    </w:p>
    <w:p w14:paraId="59FDBC56" w14:textId="28D2D016" w:rsidR="005C002D" w:rsidRDefault="00D72785" w:rsidP="005C002D">
      <w:pPr>
        <w:ind w:firstLine="720"/>
        <w:jc w:val="both"/>
        <w:rPr>
          <w:sz w:val="24"/>
        </w:rPr>
      </w:pPr>
      <w:r w:rsidRPr="00D72785">
        <w:rPr>
          <w:sz w:val="24"/>
        </w:rPr>
        <w:t xml:space="preserve">2022. gada 2. ceturksnī, salīdzinot ar </w:t>
      </w:r>
      <w:r w:rsidR="003B0B8F">
        <w:rPr>
          <w:sz w:val="24"/>
        </w:rPr>
        <w:t>2022.</w:t>
      </w:r>
      <w:r w:rsidR="002D0D52">
        <w:rPr>
          <w:sz w:val="24"/>
        </w:rPr>
        <w:t xml:space="preserve"> </w:t>
      </w:r>
      <w:r w:rsidR="003B0B8F">
        <w:rPr>
          <w:sz w:val="24"/>
        </w:rPr>
        <w:t xml:space="preserve">gada </w:t>
      </w:r>
      <w:r w:rsidRPr="00D72785">
        <w:rPr>
          <w:sz w:val="24"/>
        </w:rPr>
        <w:t xml:space="preserve">1. ceturksni, kopējais būvniecības izmaksu līmenis palielinājās par 8,1%. Būvmateriālu cenas palielinājās par 10,5%, mašīnu un mehānismu uzturēšanas un ekspluatācijas izmaksas – par 6,8%, bet strādnieku darba samaksa pieauga par </w:t>
      </w:r>
      <w:r w:rsidRPr="00EC531F">
        <w:rPr>
          <w:sz w:val="24"/>
        </w:rPr>
        <w:t>4,3%.</w:t>
      </w:r>
    </w:p>
    <w:p w14:paraId="6DD70F58" w14:textId="1070BCBA" w:rsidR="00586F0C" w:rsidRPr="000F0902" w:rsidRDefault="00586F0C" w:rsidP="00586F0C">
      <w:pPr>
        <w:pStyle w:val="ListParagraph"/>
        <w:numPr>
          <w:ilvl w:val="1"/>
          <w:numId w:val="32"/>
        </w:numPr>
        <w:spacing w:before="240" w:after="120"/>
        <w:ind w:left="777"/>
        <w:contextualSpacing w:val="0"/>
        <w:jc w:val="both"/>
        <w:rPr>
          <w:color w:val="0099CC"/>
          <w:sz w:val="24"/>
        </w:rPr>
      </w:pPr>
      <w:r w:rsidRPr="000F0902">
        <w:rPr>
          <w:color w:val="0099CC"/>
          <w:sz w:val="24"/>
        </w:rPr>
        <w:t xml:space="preserve">Būvniecības izmaksu </w:t>
      </w:r>
      <w:r>
        <w:rPr>
          <w:color w:val="0099CC"/>
          <w:sz w:val="24"/>
        </w:rPr>
        <w:t>ietekmējošie energoresursi</w:t>
      </w:r>
    </w:p>
    <w:p w14:paraId="0C0945AA" w14:textId="3CA1C967" w:rsidR="00661F91" w:rsidRPr="00E548D6" w:rsidRDefault="00CC2C57" w:rsidP="00FB23CC">
      <w:pPr>
        <w:ind w:firstLine="720"/>
        <w:jc w:val="both"/>
        <w:rPr>
          <w:sz w:val="24"/>
        </w:rPr>
      </w:pPr>
      <w:r w:rsidRPr="00E548D6">
        <w:rPr>
          <w:sz w:val="24"/>
        </w:rPr>
        <w:t>Būv</w:t>
      </w:r>
      <w:r w:rsidR="00D70F1A" w:rsidRPr="00E548D6">
        <w:rPr>
          <w:sz w:val="24"/>
        </w:rPr>
        <w:t xml:space="preserve">materiālu </w:t>
      </w:r>
      <w:r w:rsidRPr="00E548D6">
        <w:rPr>
          <w:sz w:val="24"/>
        </w:rPr>
        <w:t>izmaksas ietekmē degvielas cen</w:t>
      </w:r>
      <w:r w:rsidR="00D70F1A" w:rsidRPr="00E548D6">
        <w:rPr>
          <w:sz w:val="24"/>
        </w:rPr>
        <w:t>u</w:t>
      </w:r>
      <w:r w:rsidR="00CD177F" w:rsidRPr="00E548D6">
        <w:rPr>
          <w:sz w:val="24"/>
        </w:rPr>
        <w:t xml:space="preserve"> </w:t>
      </w:r>
      <w:r w:rsidR="00D70F1A" w:rsidRPr="00E548D6">
        <w:rPr>
          <w:sz w:val="24"/>
        </w:rPr>
        <w:t>izmaiņas</w:t>
      </w:r>
      <w:r w:rsidR="00CD177F" w:rsidRPr="00E548D6">
        <w:rPr>
          <w:sz w:val="24"/>
        </w:rPr>
        <w:t xml:space="preserve">, </w:t>
      </w:r>
      <w:r w:rsidR="00EC531F" w:rsidRPr="00E548D6">
        <w:rPr>
          <w:sz w:val="24"/>
        </w:rPr>
        <w:t xml:space="preserve">kas </w:t>
      </w:r>
      <w:r w:rsidR="00DA58FC" w:rsidRPr="00E548D6">
        <w:rPr>
          <w:sz w:val="24"/>
        </w:rPr>
        <w:t xml:space="preserve">būvniecības uzņēmumu skatījumā ir </w:t>
      </w:r>
      <w:r w:rsidR="00EC531F" w:rsidRPr="00E548D6">
        <w:rPr>
          <w:sz w:val="24"/>
        </w:rPr>
        <w:t>viens no būtiskākajiem būvmateriālu cenas ietekmējošajiem faktoriem.</w:t>
      </w:r>
      <w:r w:rsidR="00E722AF" w:rsidRPr="00E548D6">
        <w:rPr>
          <w:sz w:val="24"/>
        </w:rPr>
        <w:t xml:space="preserve"> </w:t>
      </w:r>
      <w:r w:rsidR="000467E1" w:rsidRPr="00E548D6">
        <w:rPr>
          <w:sz w:val="24"/>
        </w:rPr>
        <w:t>D</w:t>
      </w:r>
      <w:r w:rsidR="00FB23CC" w:rsidRPr="00E548D6">
        <w:rPr>
          <w:sz w:val="24"/>
        </w:rPr>
        <w:t xml:space="preserve">egvielas cena no 2022. gada februāra līdz jūlijam palielinājās </w:t>
      </w:r>
      <w:r w:rsidR="000467E1" w:rsidRPr="00E548D6">
        <w:rPr>
          <w:sz w:val="24"/>
        </w:rPr>
        <w:t xml:space="preserve">vidēji </w:t>
      </w:r>
      <w:r w:rsidR="00FB23CC" w:rsidRPr="00E548D6">
        <w:rPr>
          <w:sz w:val="24"/>
        </w:rPr>
        <w:t>par 29,7%</w:t>
      </w:r>
      <w:r w:rsidR="0065057B" w:rsidRPr="00E548D6">
        <w:rPr>
          <w:sz w:val="24"/>
        </w:rPr>
        <w:t xml:space="preserve"> </w:t>
      </w:r>
      <w:r w:rsidR="00661F91" w:rsidRPr="00E548D6">
        <w:rPr>
          <w:sz w:val="24"/>
        </w:rPr>
        <w:t>(skat. 3.attēlu).</w:t>
      </w:r>
      <w:r w:rsidR="0065057B" w:rsidRPr="00E548D6">
        <w:rPr>
          <w:sz w:val="24"/>
        </w:rPr>
        <w:t xml:space="preserve"> Būtiski cena palielinājās dīzeļdegvielai (par 36,6%) atšķirībā no cenas pieauguma benzīnam (par 24,6%).</w:t>
      </w:r>
    </w:p>
    <w:p w14:paraId="7B14B666" w14:textId="4198F11F" w:rsidR="00D644D1" w:rsidRPr="00E445CA" w:rsidRDefault="00D644D1" w:rsidP="00C775A1">
      <w:pPr>
        <w:spacing w:before="120"/>
        <w:jc w:val="center"/>
        <w:rPr>
          <w:sz w:val="24"/>
        </w:rPr>
      </w:pPr>
      <w:r w:rsidRPr="00D644D1">
        <w:rPr>
          <w:noProof/>
        </w:rPr>
        <w:drawing>
          <wp:inline distT="0" distB="0" distL="0" distR="0" wp14:anchorId="22A48B55" wp14:editId="24222E00">
            <wp:extent cx="5067300" cy="179466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91695" cy="1803309"/>
                    </a:xfrm>
                    <a:prstGeom prst="rect">
                      <a:avLst/>
                    </a:prstGeom>
                    <a:noFill/>
                    <a:ln>
                      <a:noFill/>
                    </a:ln>
                  </pic:spPr>
                </pic:pic>
              </a:graphicData>
            </a:graphic>
          </wp:inline>
        </w:drawing>
      </w:r>
    </w:p>
    <w:p w14:paraId="5AE01DC2" w14:textId="04E7BD07" w:rsidR="00C775A1" w:rsidRPr="00E548D6" w:rsidRDefault="00C775A1" w:rsidP="00C775A1">
      <w:pPr>
        <w:pStyle w:val="ListParagraph"/>
        <w:numPr>
          <w:ilvl w:val="0"/>
          <w:numId w:val="25"/>
        </w:numPr>
        <w:tabs>
          <w:tab w:val="left" w:pos="284"/>
        </w:tabs>
        <w:spacing w:before="120"/>
        <w:ind w:left="0" w:firstLine="0"/>
        <w:jc w:val="center"/>
        <w:rPr>
          <w:sz w:val="24"/>
        </w:rPr>
      </w:pPr>
      <w:r w:rsidRPr="00E548D6">
        <w:rPr>
          <w:sz w:val="24"/>
        </w:rPr>
        <w:t xml:space="preserve">attēls. </w:t>
      </w:r>
      <w:r w:rsidR="00EF4DD2" w:rsidRPr="00E548D6">
        <w:rPr>
          <w:sz w:val="24"/>
        </w:rPr>
        <w:t>D</w:t>
      </w:r>
      <w:r w:rsidR="00EF4DD2" w:rsidRPr="00E548D6">
        <w:rPr>
          <w:noProof/>
          <w:sz w:val="24"/>
          <w:lang w:eastAsia="lv-LV"/>
        </w:rPr>
        <w:t>īzeļdegvielas un b</w:t>
      </w:r>
      <w:r w:rsidRPr="00E548D6">
        <w:rPr>
          <w:noProof/>
          <w:sz w:val="24"/>
          <w:lang w:eastAsia="lv-LV"/>
        </w:rPr>
        <w:t xml:space="preserve">enzīna vidējās </w:t>
      </w:r>
      <w:r w:rsidR="00F035AC" w:rsidRPr="00E548D6">
        <w:rPr>
          <w:noProof/>
          <w:sz w:val="24"/>
          <w:lang w:eastAsia="lv-LV"/>
        </w:rPr>
        <w:t xml:space="preserve">mazumtirdzniecības </w:t>
      </w:r>
      <w:r w:rsidRPr="00E548D6">
        <w:rPr>
          <w:noProof/>
          <w:sz w:val="24"/>
          <w:lang w:eastAsia="lv-LV"/>
        </w:rPr>
        <w:t xml:space="preserve">cenas </w:t>
      </w:r>
      <w:r w:rsidR="00D644D1" w:rsidRPr="00E548D6">
        <w:rPr>
          <w:noProof/>
          <w:sz w:val="24"/>
          <w:lang w:eastAsia="lv-LV"/>
        </w:rPr>
        <w:t>2018.-</w:t>
      </w:r>
      <w:r w:rsidR="00564D19" w:rsidRPr="00E548D6">
        <w:rPr>
          <w:noProof/>
          <w:sz w:val="24"/>
          <w:lang w:eastAsia="lv-LV"/>
        </w:rPr>
        <w:t>2022. ga</w:t>
      </w:r>
      <w:r w:rsidR="00D644D1" w:rsidRPr="00E548D6">
        <w:rPr>
          <w:noProof/>
          <w:sz w:val="24"/>
          <w:lang w:eastAsia="lv-LV"/>
        </w:rPr>
        <w:t>dā</w:t>
      </w:r>
      <w:r w:rsidR="00564D19" w:rsidRPr="00E548D6">
        <w:rPr>
          <w:noProof/>
          <w:sz w:val="24"/>
          <w:lang w:eastAsia="lv-LV"/>
        </w:rPr>
        <w:t xml:space="preserve"> </w:t>
      </w:r>
      <w:r w:rsidRPr="00E548D6">
        <w:rPr>
          <w:noProof/>
          <w:sz w:val="24"/>
          <w:lang w:eastAsia="lv-LV"/>
        </w:rPr>
        <w:t>(EUR/litrs)</w:t>
      </w:r>
    </w:p>
    <w:p w14:paraId="62E27FE1" w14:textId="603C1B7B" w:rsidR="00C775A1" w:rsidRPr="00E548D6" w:rsidRDefault="00C775A1" w:rsidP="00C775A1">
      <w:pPr>
        <w:spacing w:before="120"/>
        <w:jc w:val="both"/>
        <w:rPr>
          <w:sz w:val="20"/>
          <w:szCs w:val="20"/>
        </w:rPr>
      </w:pPr>
      <w:r w:rsidRPr="00E548D6">
        <w:rPr>
          <w:sz w:val="20"/>
          <w:szCs w:val="20"/>
        </w:rPr>
        <w:t xml:space="preserve">Datu avots: </w:t>
      </w:r>
      <w:r w:rsidR="00EF4DD2" w:rsidRPr="00E548D6">
        <w:rPr>
          <w:sz w:val="20"/>
          <w:szCs w:val="20"/>
        </w:rPr>
        <w:t xml:space="preserve">aprēķināts un </w:t>
      </w:r>
      <w:r w:rsidRPr="00E548D6">
        <w:rPr>
          <w:sz w:val="20"/>
          <w:szCs w:val="20"/>
        </w:rPr>
        <w:t>izveidots pēc CSP datiem.</w:t>
      </w:r>
    </w:p>
    <w:p w14:paraId="7CF724A2" w14:textId="3DDC5437" w:rsidR="00A85F1D" w:rsidRDefault="00A85F1D" w:rsidP="00C775A1">
      <w:pPr>
        <w:spacing w:before="120"/>
        <w:jc w:val="both"/>
        <w:rPr>
          <w:sz w:val="20"/>
          <w:szCs w:val="20"/>
        </w:rPr>
      </w:pPr>
    </w:p>
    <w:p w14:paraId="4946C33E" w14:textId="77777777" w:rsidR="00C865B3" w:rsidRPr="00E548D6" w:rsidRDefault="00982460" w:rsidP="00C865B3">
      <w:pPr>
        <w:ind w:firstLine="720"/>
        <w:jc w:val="both"/>
        <w:rPr>
          <w:sz w:val="24"/>
        </w:rPr>
      </w:pPr>
      <w:r w:rsidRPr="00E548D6">
        <w:rPr>
          <w:sz w:val="24"/>
        </w:rPr>
        <w:t>B</w:t>
      </w:r>
      <w:r w:rsidR="00A85F1D" w:rsidRPr="00E548D6">
        <w:rPr>
          <w:sz w:val="24"/>
        </w:rPr>
        <w:t xml:space="preserve">ūtiskais un nu jau ilgstošais elektroenerģijas cenu </w:t>
      </w:r>
      <w:r w:rsidRPr="00E548D6">
        <w:rPr>
          <w:sz w:val="24"/>
        </w:rPr>
        <w:t>kāpums</w:t>
      </w:r>
      <w:r w:rsidR="00A85F1D" w:rsidRPr="00E548D6">
        <w:rPr>
          <w:sz w:val="24"/>
        </w:rPr>
        <w:t xml:space="preserve"> kopš 2021. gada vidus ir radījis nozīmīgas papildus izmaksas ne tikai mājsaimniecībām, bet arī uzņēmējiem. Kaut arī būvniecības nozare </w:t>
      </w:r>
      <w:r w:rsidR="006F0085" w:rsidRPr="00E548D6">
        <w:rPr>
          <w:sz w:val="24"/>
        </w:rPr>
        <w:t xml:space="preserve">salīdzinājumā ar citām nozarēm </w:t>
      </w:r>
      <w:r w:rsidR="00A85F1D" w:rsidRPr="00E548D6">
        <w:rPr>
          <w:sz w:val="24"/>
        </w:rPr>
        <w:t>nav energoietilpīga, jo lielākās</w:t>
      </w:r>
      <w:r w:rsidR="00443650" w:rsidRPr="00E548D6">
        <w:rPr>
          <w:sz w:val="24"/>
        </w:rPr>
        <w:t xml:space="preserve"> būvniecības </w:t>
      </w:r>
      <w:r w:rsidR="00A85F1D" w:rsidRPr="00E548D6">
        <w:rPr>
          <w:sz w:val="24"/>
        </w:rPr>
        <w:t xml:space="preserve">izmaksas veido </w:t>
      </w:r>
      <w:r w:rsidR="006F0085" w:rsidRPr="00E548D6">
        <w:rPr>
          <w:sz w:val="24"/>
        </w:rPr>
        <w:t>darbaspēks</w:t>
      </w:r>
      <w:r w:rsidR="00A85F1D" w:rsidRPr="00E548D6">
        <w:rPr>
          <w:sz w:val="24"/>
        </w:rPr>
        <w:t xml:space="preserve"> un būvmateriāli, tomēr gan tieši, gan pastarpināti elektroenerģijas cenas atstāj ietekmi uz izmaksu līmeni. Šī ietekme </w:t>
      </w:r>
      <w:r w:rsidR="00D32685" w:rsidRPr="00E548D6">
        <w:rPr>
          <w:sz w:val="24"/>
        </w:rPr>
        <w:t xml:space="preserve">novērojama </w:t>
      </w:r>
      <w:r w:rsidR="002C4D0B" w:rsidRPr="00E548D6">
        <w:rPr>
          <w:sz w:val="24"/>
        </w:rPr>
        <w:t>c</w:t>
      </w:r>
      <w:r w:rsidR="00D32685" w:rsidRPr="00E548D6">
        <w:rPr>
          <w:sz w:val="24"/>
        </w:rPr>
        <w:t>a</w:t>
      </w:r>
      <w:r w:rsidR="002C4D0B" w:rsidRPr="00E548D6">
        <w:rPr>
          <w:sz w:val="24"/>
        </w:rPr>
        <w:t>u</w:t>
      </w:r>
      <w:r w:rsidR="00D32685" w:rsidRPr="00E548D6">
        <w:rPr>
          <w:sz w:val="24"/>
        </w:rPr>
        <w:t xml:space="preserve">r </w:t>
      </w:r>
      <w:r w:rsidR="00A85F1D" w:rsidRPr="00E548D6">
        <w:rPr>
          <w:sz w:val="24"/>
        </w:rPr>
        <w:t xml:space="preserve">būvmateriālu izmaksu starpniecību, jo ražotājiem pieaug ražošanas izmaksas, </w:t>
      </w:r>
      <w:r w:rsidR="002C4D0B" w:rsidRPr="00E548D6">
        <w:rPr>
          <w:sz w:val="24"/>
        </w:rPr>
        <w:t>un</w:t>
      </w:r>
      <w:r w:rsidR="00A85F1D" w:rsidRPr="00E548D6">
        <w:rPr>
          <w:sz w:val="24"/>
        </w:rPr>
        <w:t xml:space="preserve"> </w:t>
      </w:r>
      <w:r w:rsidR="00142CB9" w:rsidRPr="00E548D6">
        <w:rPr>
          <w:sz w:val="24"/>
        </w:rPr>
        <w:t xml:space="preserve">mašīnu un </w:t>
      </w:r>
      <w:r w:rsidR="00A85F1D" w:rsidRPr="00E548D6">
        <w:rPr>
          <w:sz w:val="24"/>
        </w:rPr>
        <w:t>mehānismu ekspluatācijas izmaksas.</w:t>
      </w:r>
      <w:r w:rsidRPr="00E548D6">
        <w:rPr>
          <w:sz w:val="24"/>
        </w:rPr>
        <w:t xml:space="preserve"> </w:t>
      </w:r>
      <w:r w:rsidR="00C865B3" w:rsidRPr="00E548D6">
        <w:rPr>
          <w:sz w:val="24"/>
        </w:rPr>
        <w:t>Degvielas cenu izmaiņas arī turpmāk ietekmēs būvmateriālu cenas, un mašīnu un mehānismu ekspluatācijas izmaksas, it īpaši ceļu būvniecībā.</w:t>
      </w:r>
    </w:p>
    <w:p w14:paraId="039C6646" w14:textId="44EF8A22" w:rsidR="003B35A2" w:rsidRPr="00E548D6" w:rsidRDefault="00E11C78" w:rsidP="00E548D6">
      <w:pPr>
        <w:keepNext/>
        <w:ind w:firstLine="709"/>
        <w:jc w:val="both"/>
        <w:rPr>
          <w:sz w:val="24"/>
        </w:rPr>
      </w:pPr>
      <w:r w:rsidRPr="00E548D6">
        <w:rPr>
          <w:sz w:val="24"/>
        </w:rPr>
        <w:t xml:space="preserve">Līdzīgi kā ar elektroenerģiju arī </w:t>
      </w:r>
      <w:r w:rsidR="007A7260" w:rsidRPr="00E548D6">
        <w:rPr>
          <w:sz w:val="24"/>
        </w:rPr>
        <w:t xml:space="preserve">dabasgāzes cenu kāpums kopš 2021. gada vidus ir radījis nozīmīgas papildus izmaksas </w:t>
      </w:r>
      <w:r w:rsidR="00E548D6" w:rsidRPr="00E548D6">
        <w:rPr>
          <w:sz w:val="24"/>
        </w:rPr>
        <w:t>būvizstrādājumu ražotājiem</w:t>
      </w:r>
      <w:r w:rsidR="007A7260" w:rsidRPr="00E548D6">
        <w:rPr>
          <w:sz w:val="24"/>
        </w:rPr>
        <w:t>.</w:t>
      </w:r>
      <w:r w:rsidR="00E548D6" w:rsidRPr="00E548D6">
        <w:rPr>
          <w:sz w:val="24"/>
        </w:rPr>
        <w:t xml:space="preserve"> </w:t>
      </w:r>
      <w:r w:rsidR="00545375" w:rsidRPr="00E548D6">
        <w:rPr>
          <w:sz w:val="24"/>
        </w:rPr>
        <w:t>Dabasgāzes cenas pieauguma ietekmi uz patēriņu Latvijā varēs novērtēt pēc kāda laika</w:t>
      </w:r>
      <w:r w:rsidR="00E8325E" w:rsidRPr="00E548D6">
        <w:rPr>
          <w:sz w:val="24"/>
        </w:rPr>
        <w:t xml:space="preserve">, turklāt liela loma būs </w:t>
      </w:r>
      <w:r w:rsidR="00545375" w:rsidRPr="00E548D6">
        <w:rPr>
          <w:sz w:val="24"/>
        </w:rPr>
        <w:t>valsts</w:t>
      </w:r>
      <w:r w:rsidR="00E8325E" w:rsidRPr="00E548D6">
        <w:rPr>
          <w:sz w:val="24"/>
        </w:rPr>
        <w:t xml:space="preserve"> sniegtajam</w:t>
      </w:r>
      <w:r w:rsidR="00545375" w:rsidRPr="00E548D6">
        <w:rPr>
          <w:sz w:val="24"/>
        </w:rPr>
        <w:t xml:space="preserve"> atbalst</w:t>
      </w:r>
      <w:r w:rsidR="00E8325E" w:rsidRPr="00E548D6">
        <w:rPr>
          <w:sz w:val="24"/>
        </w:rPr>
        <w:t>am</w:t>
      </w:r>
      <w:r w:rsidR="00545375" w:rsidRPr="00E548D6">
        <w:rPr>
          <w:sz w:val="24"/>
        </w:rPr>
        <w:t>.</w:t>
      </w:r>
      <w:r w:rsidR="00545375" w:rsidRPr="00545375">
        <w:rPr>
          <w:color w:val="0000FF"/>
          <w:sz w:val="24"/>
        </w:rPr>
        <w:t xml:space="preserve"> </w:t>
      </w:r>
      <w:r w:rsidR="00D546BF" w:rsidRPr="00E548D6">
        <w:rPr>
          <w:sz w:val="24"/>
        </w:rPr>
        <w:t>Dabasgāzi plaši izmanto ķīmiskajā rūpniecībā – rūdas kausēšana</w:t>
      </w:r>
      <w:r w:rsidR="0071126C" w:rsidRPr="00E548D6">
        <w:rPr>
          <w:sz w:val="24"/>
        </w:rPr>
        <w:t>i, lai iegūtu</w:t>
      </w:r>
      <w:r w:rsidR="00D546BF" w:rsidRPr="00E548D6">
        <w:rPr>
          <w:sz w:val="24"/>
        </w:rPr>
        <w:t xml:space="preserve"> dzelz</w:t>
      </w:r>
      <w:r w:rsidR="0071126C" w:rsidRPr="00E548D6">
        <w:rPr>
          <w:sz w:val="24"/>
        </w:rPr>
        <w:t>i</w:t>
      </w:r>
      <w:r w:rsidR="00D546BF" w:rsidRPr="00E548D6">
        <w:rPr>
          <w:sz w:val="24"/>
        </w:rPr>
        <w:t xml:space="preserve"> un var</w:t>
      </w:r>
      <w:r w:rsidR="0071126C" w:rsidRPr="00E548D6">
        <w:rPr>
          <w:sz w:val="24"/>
        </w:rPr>
        <w:t xml:space="preserve">u, </w:t>
      </w:r>
      <w:r w:rsidR="00D546BF" w:rsidRPr="00E548D6">
        <w:rPr>
          <w:sz w:val="24"/>
        </w:rPr>
        <w:t xml:space="preserve">darvas tecināšanai, stikla, kaļķa un ķieģeļu izgatavošanai, papīra ražošanai, plastmasas un gumijas izstrādājumu ražošanai, sintētisko un stikla šķiedru ražošanai, </w:t>
      </w:r>
      <w:r w:rsidR="003B35A2" w:rsidRPr="00E548D6">
        <w:rPr>
          <w:sz w:val="24"/>
        </w:rPr>
        <w:t>u.c.</w:t>
      </w:r>
      <w:r w:rsidR="0000229D" w:rsidRPr="00E548D6">
        <w:rPr>
          <w:sz w:val="24"/>
        </w:rPr>
        <w:t xml:space="preserve"> izejvielu ieguvei</w:t>
      </w:r>
      <w:r w:rsidR="00245826" w:rsidRPr="00E548D6">
        <w:rPr>
          <w:sz w:val="24"/>
        </w:rPr>
        <w:t>, kas ir svarīgi būvizstrādājumi būv</w:t>
      </w:r>
      <w:r w:rsidR="003B35A2" w:rsidRPr="00E548D6">
        <w:rPr>
          <w:sz w:val="24"/>
        </w:rPr>
        <w:t>darbu veikšanā</w:t>
      </w:r>
      <w:r w:rsidR="00245826" w:rsidRPr="00E548D6">
        <w:rPr>
          <w:sz w:val="24"/>
        </w:rPr>
        <w:t>.</w:t>
      </w:r>
      <w:r w:rsidR="00F35898" w:rsidRPr="00E548D6">
        <w:rPr>
          <w:sz w:val="24"/>
        </w:rPr>
        <w:t xml:space="preserve"> Rūpnieciskajā ražošanā, kur būtiski ir temperatūras režīmi, kurus ar citiem resursu veidiem ir sarežģīti vai pat neiespējami sasniegt, atteikšanās no dabasgāzes </w:t>
      </w:r>
      <w:r w:rsidR="0000229D" w:rsidRPr="00E548D6">
        <w:rPr>
          <w:sz w:val="24"/>
        </w:rPr>
        <w:t>atsevišķu izejvielu</w:t>
      </w:r>
      <w:r w:rsidR="00FC011E" w:rsidRPr="00E548D6">
        <w:rPr>
          <w:sz w:val="24"/>
        </w:rPr>
        <w:t xml:space="preserve"> ieguves</w:t>
      </w:r>
      <w:r w:rsidR="0000229D" w:rsidRPr="00E548D6">
        <w:rPr>
          <w:sz w:val="24"/>
        </w:rPr>
        <w:t xml:space="preserve"> </w:t>
      </w:r>
      <w:r w:rsidR="00FC011E" w:rsidRPr="00E548D6">
        <w:rPr>
          <w:sz w:val="24"/>
        </w:rPr>
        <w:t>gadījumā</w:t>
      </w:r>
      <w:r w:rsidR="0000229D" w:rsidRPr="00E548D6">
        <w:rPr>
          <w:sz w:val="24"/>
        </w:rPr>
        <w:t xml:space="preserve"> </w:t>
      </w:r>
      <w:r w:rsidR="00FC011E" w:rsidRPr="00E548D6">
        <w:rPr>
          <w:sz w:val="24"/>
        </w:rPr>
        <w:t>būtu</w:t>
      </w:r>
      <w:r w:rsidR="00F35898" w:rsidRPr="00E548D6">
        <w:rPr>
          <w:sz w:val="24"/>
        </w:rPr>
        <w:t xml:space="preserve"> </w:t>
      </w:r>
      <w:r w:rsidR="00F35898" w:rsidRPr="00E548D6">
        <w:rPr>
          <w:sz w:val="24"/>
        </w:rPr>
        <w:lastRenderedPageBreak/>
        <w:t>neiespējama.</w:t>
      </w:r>
      <w:r w:rsidR="00F35898">
        <w:rPr>
          <w:color w:val="0000FF"/>
          <w:sz w:val="24"/>
        </w:rPr>
        <w:t xml:space="preserve"> </w:t>
      </w:r>
      <w:r w:rsidR="00B62958" w:rsidRPr="00E548D6">
        <w:rPr>
          <w:sz w:val="24"/>
        </w:rPr>
        <w:t xml:space="preserve">Dabasgāzes cenu izmaiņas </w:t>
      </w:r>
      <w:r w:rsidR="00B23154" w:rsidRPr="00E548D6">
        <w:rPr>
          <w:sz w:val="24"/>
        </w:rPr>
        <w:t xml:space="preserve">arī turpmāk </w:t>
      </w:r>
      <w:r w:rsidR="00B62958" w:rsidRPr="00E548D6">
        <w:rPr>
          <w:sz w:val="24"/>
        </w:rPr>
        <w:t>ietekmē</w:t>
      </w:r>
      <w:r w:rsidR="00B23154" w:rsidRPr="00E548D6">
        <w:rPr>
          <w:sz w:val="24"/>
        </w:rPr>
        <w:t>s b</w:t>
      </w:r>
      <w:r w:rsidR="00B62958" w:rsidRPr="00E548D6">
        <w:rPr>
          <w:sz w:val="24"/>
        </w:rPr>
        <w:t xml:space="preserve">ūvizstrādājumu </w:t>
      </w:r>
      <w:r w:rsidR="00406709" w:rsidRPr="00E548D6">
        <w:rPr>
          <w:sz w:val="24"/>
        </w:rPr>
        <w:t>ražošanas izmaksas</w:t>
      </w:r>
      <w:r w:rsidR="00B23154" w:rsidRPr="00E548D6">
        <w:rPr>
          <w:sz w:val="24"/>
        </w:rPr>
        <w:t>.</w:t>
      </w:r>
    </w:p>
    <w:p w14:paraId="5CE4B979" w14:textId="77777777" w:rsidR="000F0902" w:rsidRPr="000F0902" w:rsidRDefault="000F0902" w:rsidP="000F0902">
      <w:pPr>
        <w:pStyle w:val="ListParagraph"/>
        <w:numPr>
          <w:ilvl w:val="1"/>
          <w:numId w:val="32"/>
        </w:numPr>
        <w:tabs>
          <w:tab w:val="left" w:pos="426"/>
        </w:tabs>
        <w:spacing w:before="240" w:after="120"/>
        <w:jc w:val="both"/>
        <w:rPr>
          <w:color w:val="0099CC"/>
          <w:sz w:val="24"/>
        </w:rPr>
      </w:pPr>
      <w:r w:rsidRPr="000F0902">
        <w:rPr>
          <w:color w:val="0099CC"/>
          <w:sz w:val="24"/>
        </w:rPr>
        <w:t>Būvizstrādājumu pieejamība</w:t>
      </w:r>
    </w:p>
    <w:p w14:paraId="4F363DE9" w14:textId="72646127" w:rsidR="00FE3ACC" w:rsidRDefault="00AA2751" w:rsidP="00995D98">
      <w:pPr>
        <w:ind w:firstLine="720"/>
        <w:jc w:val="both"/>
        <w:rPr>
          <w:sz w:val="24"/>
        </w:rPr>
      </w:pPr>
      <w:r w:rsidRPr="00E445CA">
        <w:rPr>
          <w:sz w:val="24"/>
        </w:rPr>
        <w:t>Būvizstrādājumu piegādātāji un vairumtirgotāji ir uzsākuši pārorientēšanas procesu, meklējot sankcijām pakļauto būvizstrādājumu ražotājus citās valstīs un dibinot jaunas piegāž</w:t>
      </w:r>
      <w:r>
        <w:rPr>
          <w:sz w:val="24"/>
        </w:rPr>
        <w:t xml:space="preserve">u </w:t>
      </w:r>
      <w:r w:rsidRPr="00E445CA">
        <w:rPr>
          <w:sz w:val="24"/>
        </w:rPr>
        <w:t xml:space="preserve">ķēdes. </w:t>
      </w:r>
      <w:r>
        <w:rPr>
          <w:sz w:val="24"/>
        </w:rPr>
        <w:t>Pēc uzņēmēju sniegtās informācijas 2022.</w:t>
      </w:r>
      <w:r w:rsidR="00097F81">
        <w:rPr>
          <w:sz w:val="24"/>
        </w:rPr>
        <w:t xml:space="preserve"> </w:t>
      </w:r>
      <w:r>
        <w:rPr>
          <w:sz w:val="24"/>
        </w:rPr>
        <w:t>gada 17.</w:t>
      </w:r>
      <w:r w:rsidR="00097F81">
        <w:rPr>
          <w:sz w:val="24"/>
        </w:rPr>
        <w:t xml:space="preserve"> </w:t>
      </w:r>
      <w:r>
        <w:rPr>
          <w:sz w:val="24"/>
        </w:rPr>
        <w:t xml:space="preserve">jūnija sanāksmē ar Ekonomikas ministriju, šobrīd tirgū </w:t>
      </w:r>
      <w:r w:rsidR="00E548D6">
        <w:rPr>
          <w:sz w:val="24"/>
        </w:rPr>
        <w:t xml:space="preserve">pārsvarā </w:t>
      </w:r>
      <w:r>
        <w:rPr>
          <w:sz w:val="24"/>
        </w:rPr>
        <w:t>pieejami visu veidu būvizstrādājumi (t.sk., arī metāls, metāla izstrādājumi, bitumens, dzelzsbetons, u.c.)</w:t>
      </w:r>
      <w:r w:rsidR="00146540">
        <w:rPr>
          <w:sz w:val="24"/>
        </w:rPr>
        <w:t xml:space="preserve">, </w:t>
      </w:r>
      <w:r w:rsidR="00621708">
        <w:rPr>
          <w:sz w:val="24"/>
        </w:rPr>
        <w:t xml:space="preserve">tomēr vēl joprojām nav prognozējami būvizstrādājumu piegāžu termiņi. </w:t>
      </w:r>
      <w:r>
        <w:rPr>
          <w:sz w:val="24"/>
        </w:rPr>
        <w:t>Pašlaik koka, gumij</w:t>
      </w:r>
      <w:r w:rsidR="00621708">
        <w:rPr>
          <w:sz w:val="24"/>
        </w:rPr>
        <w:t>as</w:t>
      </w:r>
      <w:r>
        <w:rPr>
          <w:sz w:val="24"/>
        </w:rPr>
        <w:t xml:space="preserve"> izstrādājum</w:t>
      </w:r>
      <w:r w:rsidR="00621708">
        <w:rPr>
          <w:sz w:val="24"/>
        </w:rPr>
        <w:t>u</w:t>
      </w:r>
      <w:r>
        <w:rPr>
          <w:sz w:val="24"/>
        </w:rPr>
        <w:t>, stikl</w:t>
      </w:r>
      <w:r w:rsidR="00621708">
        <w:rPr>
          <w:sz w:val="24"/>
        </w:rPr>
        <w:t>u</w:t>
      </w:r>
      <w:r>
        <w:rPr>
          <w:sz w:val="24"/>
        </w:rPr>
        <w:t xml:space="preserve"> un log</w:t>
      </w:r>
      <w:r w:rsidR="00621708">
        <w:rPr>
          <w:sz w:val="24"/>
        </w:rPr>
        <w:t xml:space="preserve">u pasūtīšana un rezervācija ir jāveic laicīgi, jo </w:t>
      </w:r>
      <w:r>
        <w:rPr>
          <w:sz w:val="24"/>
        </w:rPr>
        <w:t>konkrētie būvizstrādājumi tiek piegādāti ar vairāku mēnešu kavēšanos</w:t>
      </w:r>
      <w:r w:rsidR="00621708">
        <w:rPr>
          <w:sz w:val="24"/>
        </w:rPr>
        <w:t>.</w:t>
      </w:r>
      <w:r w:rsidR="00FE3ACC">
        <w:rPr>
          <w:sz w:val="24"/>
        </w:rPr>
        <w:t xml:space="preserve"> Pēc uzņēmēju domām garie piegādes termiņi ir saistīti ar nepieciešamību iedarbināt jaunas piegādes shēmas, veidot jaunas loģistikas ķēdes, apgūt jaunus piegādes veidus un maršrutus.</w:t>
      </w:r>
      <w:r w:rsidR="00E862B1">
        <w:rPr>
          <w:sz w:val="24"/>
        </w:rPr>
        <w:t xml:space="preserve"> </w:t>
      </w:r>
      <w:r w:rsidR="00621708">
        <w:rPr>
          <w:sz w:val="24"/>
        </w:rPr>
        <w:t xml:space="preserve">Vislielākie traucējumi šobrīd ir </w:t>
      </w:r>
      <w:r>
        <w:rPr>
          <w:sz w:val="24"/>
        </w:rPr>
        <w:t>akmens vates un siltumizolācijas</w:t>
      </w:r>
      <w:r w:rsidR="00621708">
        <w:rPr>
          <w:sz w:val="24"/>
        </w:rPr>
        <w:t xml:space="preserve"> preču</w:t>
      </w:r>
      <w:r>
        <w:rPr>
          <w:sz w:val="24"/>
        </w:rPr>
        <w:t xml:space="preserve"> iegād</w:t>
      </w:r>
      <w:r w:rsidR="00E862B1">
        <w:rPr>
          <w:sz w:val="24"/>
        </w:rPr>
        <w:t>e</w:t>
      </w:r>
      <w:r>
        <w:rPr>
          <w:sz w:val="24"/>
        </w:rPr>
        <w:t xml:space="preserve">i, pēc uzņēmēju paustās informācijas, lielajiem uzņēmumiem ir noteiktas kvotas. </w:t>
      </w:r>
    </w:p>
    <w:p w14:paraId="72119180" w14:textId="49514E50" w:rsidR="004E03C9" w:rsidRDefault="00AA2751" w:rsidP="00995D98">
      <w:pPr>
        <w:ind w:firstLine="720"/>
        <w:jc w:val="both"/>
        <w:rPr>
          <w:sz w:val="24"/>
        </w:rPr>
      </w:pPr>
      <w:r w:rsidRPr="00E445CA">
        <w:rPr>
          <w:sz w:val="24"/>
        </w:rPr>
        <w:t xml:space="preserve">Lai gan būvizstrādājumu tirgus sāk vēl tikai pārorientēties un dotajā brīdī nav iespējams prognozēt, cik ilgs laiks tam būs nepieciešams, joprojām saglabājas būvizstrādājumu un energoresursu cenu </w:t>
      </w:r>
      <w:r w:rsidR="00055F05">
        <w:rPr>
          <w:sz w:val="24"/>
        </w:rPr>
        <w:t>svārstības</w:t>
      </w:r>
      <w:r w:rsidRPr="00E445CA">
        <w:rPr>
          <w:sz w:val="24"/>
        </w:rPr>
        <w:t xml:space="preserve"> un problēmas piegādes ķēžu plānošanā. </w:t>
      </w:r>
    </w:p>
    <w:p w14:paraId="5BC849E6" w14:textId="5B22335F" w:rsidR="00D13F22" w:rsidRPr="00803D4B" w:rsidRDefault="009167D6" w:rsidP="00803D4B">
      <w:pPr>
        <w:pStyle w:val="ListParagraph"/>
        <w:numPr>
          <w:ilvl w:val="0"/>
          <w:numId w:val="32"/>
        </w:numPr>
        <w:spacing w:before="240" w:after="120"/>
        <w:ind w:left="284" w:hanging="284"/>
        <w:jc w:val="both"/>
        <w:rPr>
          <w:b/>
          <w:bCs/>
          <w:color w:val="0099CC"/>
          <w:sz w:val="24"/>
        </w:rPr>
      </w:pPr>
      <w:r>
        <w:rPr>
          <w:b/>
          <w:bCs/>
          <w:color w:val="0099CC"/>
          <w:sz w:val="24"/>
        </w:rPr>
        <w:t>Vispārīgā situācija Latvijas būvniecības nozarē</w:t>
      </w:r>
      <w:r w:rsidR="00170A8A">
        <w:rPr>
          <w:b/>
          <w:bCs/>
          <w:color w:val="0099CC"/>
          <w:sz w:val="24"/>
        </w:rPr>
        <w:t xml:space="preserve"> un </w:t>
      </w:r>
      <w:r w:rsidR="00D13F22" w:rsidRPr="00803D4B">
        <w:rPr>
          <w:b/>
          <w:bCs/>
          <w:color w:val="0099CC"/>
          <w:sz w:val="24"/>
        </w:rPr>
        <w:t xml:space="preserve">publisko </w:t>
      </w:r>
      <w:r w:rsidR="00E548D6">
        <w:rPr>
          <w:b/>
          <w:bCs/>
          <w:color w:val="0099CC"/>
          <w:sz w:val="24"/>
        </w:rPr>
        <w:t>infrastruktūras projektu</w:t>
      </w:r>
      <w:r w:rsidR="00D13F22" w:rsidRPr="00803D4B">
        <w:rPr>
          <w:b/>
          <w:bCs/>
          <w:color w:val="0099CC"/>
          <w:sz w:val="24"/>
        </w:rPr>
        <w:t xml:space="preserve"> </w:t>
      </w:r>
      <w:r w:rsidR="001F2654">
        <w:rPr>
          <w:b/>
          <w:bCs/>
          <w:color w:val="0099CC"/>
          <w:sz w:val="24"/>
        </w:rPr>
        <w:t>īstenošan</w:t>
      </w:r>
      <w:r w:rsidR="00E548D6">
        <w:rPr>
          <w:b/>
          <w:bCs/>
          <w:color w:val="0099CC"/>
          <w:sz w:val="24"/>
        </w:rPr>
        <w:t>as progress</w:t>
      </w:r>
    </w:p>
    <w:p w14:paraId="61FF7049" w14:textId="309284B3" w:rsidR="00AC666F" w:rsidRDefault="000F0902" w:rsidP="000F0902">
      <w:pPr>
        <w:pStyle w:val="ListParagraph"/>
        <w:numPr>
          <w:ilvl w:val="0"/>
          <w:numId w:val="33"/>
        </w:numPr>
        <w:spacing w:before="240" w:after="120"/>
        <w:ind w:left="714" w:hanging="357"/>
        <w:contextualSpacing w:val="0"/>
        <w:jc w:val="both"/>
        <w:rPr>
          <w:color w:val="0099CC"/>
          <w:sz w:val="24"/>
        </w:rPr>
      </w:pPr>
      <w:r>
        <w:rPr>
          <w:color w:val="0099CC"/>
          <w:sz w:val="24"/>
        </w:rPr>
        <w:t xml:space="preserve"> </w:t>
      </w:r>
      <w:r w:rsidR="00AA6428" w:rsidRPr="000F0902">
        <w:rPr>
          <w:color w:val="0099CC"/>
          <w:sz w:val="24"/>
        </w:rPr>
        <w:t>Būvniecības p</w:t>
      </w:r>
      <w:r w:rsidR="00AC666F" w:rsidRPr="000F0902">
        <w:rPr>
          <w:color w:val="0099CC"/>
          <w:sz w:val="24"/>
        </w:rPr>
        <w:t>rodukcijas apjoma izmaiņas</w:t>
      </w:r>
    </w:p>
    <w:p w14:paraId="319FE243" w14:textId="34805293" w:rsidR="00BA1B5E" w:rsidRDefault="00BA1B5E" w:rsidP="00BA1B5E">
      <w:pPr>
        <w:ind w:firstLine="720"/>
        <w:jc w:val="both"/>
        <w:rPr>
          <w:sz w:val="24"/>
        </w:rPr>
      </w:pPr>
      <w:r w:rsidRPr="00E445CA">
        <w:rPr>
          <w:sz w:val="24"/>
        </w:rPr>
        <w:t xml:space="preserve">Būvniecības produkcijas apjoms pēc kalendāri koriģētiem datiem salīdzināmajās cenās salīdzinot 2022. gada </w:t>
      </w:r>
      <w:r>
        <w:rPr>
          <w:sz w:val="24"/>
        </w:rPr>
        <w:t>2</w:t>
      </w:r>
      <w:r w:rsidRPr="00E445CA">
        <w:rPr>
          <w:sz w:val="24"/>
        </w:rPr>
        <w:t xml:space="preserve">. ceturksni ar 2021. gada </w:t>
      </w:r>
      <w:r>
        <w:rPr>
          <w:sz w:val="24"/>
        </w:rPr>
        <w:t>2</w:t>
      </w:r>
      <w:r w:rsidRPr="00E445CA">
        <w:rPr>
          <w:sz w:val="24"/>
        </w:rPr>
        <w:t xml:space="preserve">. ceturksni, samazinājās par </w:t>
      </w:r>
      <w:r>
        <w:rPr>
          <w:sz w:val="24"/>
        </w:rPr>
        <w:t>13,8</w:t>
      </w:r>
      <w:r w:rsidRPr="00E445CA">
        <w:rPr>
          <w:sz w:val="24"/>
        </w:rPr>
        <w:t xml:space="preserve">% (skat. </w:t>
      </w:r>
      <w:r w:rsidR="00AC5E65">
        <w:rPr>
          <w:sz w:val="24"/>
        </w:rPr>
        <w:t>4</w:t>
      </w:r>
      <w:r w:rsidRPr="00E445CA">
        <w:rPr>
          <w:sz w:val="24"/>
        </w:rPr>
        <w:t>.attēlu). Būvniecības apjoma kritums bija</w:t>
      </w:r>
      <w:r w:rsidRPr="007B5C06">
        <w:rPr>
          <w:sz w:val="24"/>
        </w:rPr>
        <w:t xml:space="preserve"> </w:t>
      </w:r>
      <w:r w:rsidRPr="00E445CA">
        <w:rPr>
          <w:sz w:val="24"/>
        </w:rPr>
        <w:t xml:space="preserve">inženierbūvniecībā – par </w:t>
      </w:r>
      <w:r>
        <w:rPr>
          <w:sz w:val="24"/>
        </w:rPr>
        <w:t>16</w:t>
      </w:r>
      <w:r w:rsidRPr="00E445CA">
        <w:rPr>
          <w:sz w:val="24"/>
        </w:rPr>
        <w:t>,8%</w:t>
      </w:r>
      <w:r>
        <w:rPr>
          <w:sz w:val="24"/>
        </w:rPr>
        <w:t xml:space="preserve">, </w:t>
      </w:r>
      <w:r w:rsidRPr="00E445CA">
        <w:rPr>
          <w:sz w:val="24"/>
        </w:rPr>
        <w:t xml:space="preserve">specializētajos būvdarbos – par </w:t>
      </w:r>
      <w:r>
        <w:rPr>
          <w:sz w:val="24"/>
        </w:rPr>
        <w:t>15,5</w:t>
      </w:r>
      <w:r w:rsidRPr="00E445CA">
        <w:rPr>
          <w:sz w:val="24"/>
        </w:rPr>
        <w:t>%</w:t>
      </w:r>
      <w:r w:rsidRPr="007B5C06">
        <w:rPr>
          <w:sz w:val="24"/>
        </w:rPr>
        <w:t xml:space="preserve"> </w:t>
      </w:r>
      <w:r w:rsidRPr="00E445CA">
        <w:rPr>
          <w:sz w:val="24"/>
        </w:rPr>
        <w:t>un</w:t>
      </w:r>
      <w:r>
        <w:rPr>
          <w:sz w:val="24"/>
        </w:rPr>
        <w:t xml:space="preserve"> </w:t>
      </w:r>
      <w:r w:rsidRPr="00E445CA">
        <w:rPr>
          <w:sz w:val="24"/>
        </w:rPr>
        <w:t xml:space="preserve">ēku būvniecībā – par </w:t>
      </w:r>
      <w:r>
        <w:rPr>
          <w:sz w:val="24"/>
        </w:rPr>
        <w:t>9,6</w:t>
      </w:r>
      <w:r w:rsidRPr="00E445CA">
        <w:rPr>
          <w:sz w:val="24"/>
        </w:rPr>
        <w:t>%</w:t>
      </w:r>
      <w:r>
        <w:rPr>
          <w:sz w:val="24"/>
        </w:rPr>
        <w:t>.</w:t>
      </w:r>
    </w:p>
    <w:p w14:paraId="6A50EDAC" w14:textId="4BE38233" w:rsidR="00170A8A" w:rsidRPr="00924A35" w:rsidRDefault="00170A8A" w:rsidP="00170A8A">
      <w:pPr>
        <w:pStyle w:val="NormalWeb"/>
        <w:shd w:val="clear" w:color="auto" w:fill="FFFFFF"/>
        <w:spacing w:before="0" w:beforeAutospacing="0" w:after="0" w:afterAutospacing="0"/>
        <w:ind w:firstLine="709"/>
        <w:jc w:val="both"/>
      </w:pPr>
      <w:r w:rsidRPr="00924A35">
        <w:t>Būvniecības produkcijas apjoma kritumu ietekmēja straujš būvizmaksu kāpums</w:t>
      </w:r>
      <w:r w:rsidR="00090946">
        <w:t xml:space="preserve"> un būvizstrādājumu nepieejamība</w:t>
      </w:r>
      <w:r w:rsidRPr="00924A35">
        <w:t>, kas mazināja būvpakalpojumu pieprasījumu un rezultējās vairāku būvlīgumu laušanā, pārskatīšanā vai indeksēšanā, pagarinot un nobīdot izpildes termiņus, tādējādi samazinot faktisko izpildi pārskata periodā. Neskatoties uz lielu būvaktivitāti valsts teritorijā, atsevišķos apjomīgos būvobjektos būvdarbu apjomi vēl nebija sasnieguši resursietilpīgākos būvniecības posmus.</w:t>
      </w:r>
    </w:p>
    <w:p w14:paraId="5DB7ECCB" w14:textId="77777777" w:rsidR="00BA1B5E" w:rsidRPr="00E445CA" w:rsidRDefault="00BA1B5E" w:rsidP="00BA1B5E">
      <w:pPr>
        <w:spacing w:before="120"/>
        <w:jc w:val="center"/>
        <w:rPr>
          <w:sz w:val="24"/>
        </w:rPr>
      </w:pPr>
      <w:r w:rsidRPr="006E62B8">
        <w:rPr>
          <w:noProof/>
        </w:rPr>
        <w:drawing>
          <wp:inline distT="0" distB="0" distL="0" distR="0" wp14:anchorId="7BB0AB4A" wp14:editId="40B76688">
            <wp:extent cx="4292600" cy="221252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48746" cy="2241467"/>
                    </a:xfrm>
                    <a:prstGeom prst="rect">
                      <a:avLst/>
                    </a:prstGeom>
                    <a:noFill/>
                    <a:ln>
                      <a:noFill/>
                    </a:ln>
                  </pic:spPr>
                </pic:pic>
              </a:graphicData>
            </a:graphic>
          </wp:inline>
        </w:drawing>
      </w:r>
    </w:p>
    <w:p w14:paraId="74041A62" w14:textId="77777777" w:rsidR="00BA1B5E" w:rsidRPr="00924A35" w:rsidRDefault="00BA1B5E" w:rsidP="00BA1B5E">
      <w:pPr>
        <w:pStyle w:val="ListParagraph"/>
        <w:numPr>
          <w:ilvl w:val="0"/>
          <w:numId w:val="25"/>
        </w:numPr>
        <w:tabs>
          <w:tab w:val="left" w:pos="284"/>
        </w:tabs>
        <w:spacing w:before="120"/>
        <w:ind w:left="0" w:firstLine="0"/>
        <w:jc w:val="center"/>
        <w:rPr>
          <w:sz w:val="24"/>
        </w:rPr>
      </w:pPr>
      <w:r w:rsidRPr="00AC666F">
        <w:rPr>
          <w:sz w:val="24"/>
        </w:rPr>
        <w:t xml:space="preserve">attēls. </w:t>
      </w:r>
      <w:r w:rsidRPr="00924A35">
        <w:rPr>
          <w:sz w:val="24"/>
        </w:rPr>
        <w:t xml:space="preserve">Būvniecības produkcijas apjoma indekss 2018.-2022. gada ceturkšņos (2015=100) </w:t>
      </w:r>
    </w:p>
    <w:p w14:paraId="5C751E5B" w14:textId="77777777" w:rsidR="00BA1B5E" w:rsidRPr="00924A35" w:rsidRDefault="00BA1B5E" w:rsidP="00BA1B5E">
      <w:pPr>
        <w:spacing w:before="120"/>
        <w:jc w:val="both"/>
        <w:rPr>
          <w:sz w:val="20"/>
          <w:szCs w:val="20"/>
        </w:rPr>
      </w:pPr>
      <w:r w:rsidRPr="00924A35">
        <w:rPr>
          <w:sz w:val="20"/>
          <w:szCs w:val="20"/>
        </w:rPr>
        <w:t>Datu avots: izveidots pēc CSP datiem.</w:t>
      </w:r>
    </w:p>
    <w:p w14:paraId="141A7389" w14:textId="77777777" w:rsidR="00BA1B5E" w:rsidRPr="00924A35" w:rsidRDefault="00BA1B5E" w:rsidP="00BA1B5E">
      <w:pPr>
        <w:ind w:firstLine="720"/>
        <w:jc w:val="both"/>
        <w:rPr>
          <w:sz w:val="24"/>
        </w:rPr>
      </w:pPr>
    </w:p>
    <w:p w14:paraId="0239D531" w14:textId="77777777" w:rsidR="00BA1B5E" w:rsidRPr="00924A35" w:rsidRDefault="00BA1B5E" w:rsidP="00BA1B5E">
      <w:pPr>
        <w:ind w:firstLine="720"/>
        <w:jc w:val="both"/>
        <w:rPr>
          <w:sz w:val="24"/>
        </w:rPr>
      </w:pPr>
      <w:r w:rsidRPr="00924A35">
        <w:rPr>
          <w:sz w:val="24"/>
        </w:rPr>
        <w:t xml:space="preserve">Inženierbūvniecības produkcijas apjoms saruka visās nozaru grupās: ceļu un dzelzceļu būvniecībā – par 13,1%, pilsētsaimniecības infrastruktūras objektu būvniecībā – par 20,7% un </w:t>
      </w:r>
      <w:r w:rsidRPr="00924A35">
        <w:rPr>
          <w:sz w:val="24"/>
        </w:rPr>
        <w:lastRenderedPageBreak/>
        <w:t>pārējā inženierbūvniecībā – par 33,3%. Starp visām inženierbūvniecības nozarēm kāpums bija vienīgi tiltu un tuneļu būvniecībā – par 17,3%.</w:t>
      </w:r>
    </w:p>
    <w:p w14:paraId="7FB4671A" w14:textId="77777777" w:rsidR="00BA1B5E" w:rsidRPr="00924A35" w:rsidRDefault="00BA1B5E" w:rsidP="00BA1B5E">
      <w:pPr>
        <w:ind w:firstLine="720"/>
        <w:jc w:val="both"/>
        <w:rPr>
          <w:sz w:val="24"/>
        </w:rPr>
      </w:pPr>
      <w:r w:rsidRPr="00924A35">
        <w:rPr>
          <w:sz w:val="24"/>
        </w:rPr>
        <w:t>Būvniecības apjoms samazinājās arī visās specializēto būvdarbu jomās: ēku nojaukšanā un būvlaukumu sagatavošanā – par 46,7%, būvdarbu pabeigšanas darbos (apmetēju, galdnieku, grīdas un sienu apdare, krāsotāju un stiklinieku darbi) – par 20%, elektroinstalācijas ierīkošanā, cauruļvadu uzstādīšanā un citās līdzīgās darbībās – par 11,2% un citos specializētos būvdarbos (jumtu segumu klāšana un citur neklasificēti darbi) – par 12,3%.</w:t>
      </w:r>
    </w:p>
    <w:p w14:paraId="46E45A64" w14:textId="3A2623F9" w:rsidR="00BA1B5E" w:rsidRPr="00924A35" w:rsidRDefault="00BA1B5E" w:rsidP="00BA1B5E">
      <w:pPr>
        <w:ind w:firstLine="720"/>
        <w:jc w:val="both"/>
        <w:rPr>
          <w:sz w:val="24"/>
        </w:rPr>
      </w:pPr>
      <w:r w:rsidRPr="00090946">
        <w:rPr>
          <w:rStyle w:val="Strong"/>
          <w:sz w:val="24"/>
        </w:rPr>
        <w:t xml:space="preserve">2022. gada 1. pusgadā, salīdzinot ar 2021. gada </w:t>
      </w:r>
      <w:r w:rsidR="00097F81" w:rsidRPr="00090946">
        <w:rPr>
          <w:rStyle w:val="Strong"/>
          <w:sz w:val="24"/>
        </w:rPr>
        <w:t>1.</w:t>
      </w:r>
      <w:r w:rsidRPr="00090946">
        <w:rPr>
          <w:rStyle w:val="Strong"/>
          <w:sz w:val="24"/>
        </w:rPr>
        <w:t xml:space="preserve"> pusgadu</w:t>
      </w:r>
      <w:r w:rsidRPr="00090946">
        <w:rPr>
          <w:rStyle w:val="Strong"/>
          <w:b w:val="0"/>
          <w:bCs w:val="0"/>
          <w:sz w:val="24"/>
        </w:rPr>
        <w:t>,</w:t>
      </w:r>
      <w:r w:rsidRPr="00090946">
        <w:rPr>
          <w:b/>
          <w:bCs/>
          <w:sz w:val="24"/>
        </w:rPr>
        <w:t> būvniecības produkcijas apjoms pēc kalendāri koriģētiem datiem salīdzināmajās cenās samazinājās par 11,7%.</w:t>
      </w:r>
      <w:r w:rsidRPr="00924A35">
        <w:rPr>
          <w:sz w:val="24"/>
        </w:rPr>
        <w:t xml:space="preserve"> Inženierbūvniecībā bija kritums par 16,5%, specializētajos būvdarbos – par 12,2% un ēku būvniecībā – par 8,5%.</w:t>
      </w:r>
    </w:p>
    <w:p w14:paraId="416C882B" w14:textId="77777777" w:rsidR="00BA1B5E" w:rsidRPr="00924A35" w:rsidRDefault="00BA1B5E" w:rsidP="00BA1B5E">
      <w:pPr>
        <w:ind w:firstLine="720"/>
        <w:jc w:val="both"/>
        <w:rPr>
          <w:sz w:val="24"/>
        </w:rPr>
      </w:pPr>
      <w:r w:rsidRPr="00924A35">
        <w:rPr>
          <w:rStyle w:val="Strong"/>
          <w:b w:val="0"/>
          <w:bCs w:val="0"/>
          <w:sz w:val="24"/>
        </w:rPr>
        <w:t>2022. gada 2. ceturksnī, salīdzinot ar 2022. gada 1. ceturksni,</w:t>
      </w:r>
      <w:r w:rsidRPr="00924A35">
        <w:rPr>
          <w:sz w:val="24"/>
        </w:rPr>
        <w:t> būvniecības produkcijas apjoms pēc sezonāli koriģētiem datiem salīdzināmajās cenās samazinājās par 5,7%. Inženierbūvniecības produkcijas apjoms samazinājās par 7,4%, ēku būvniecībā – par 1,6% un specializētajos būvdarbos – par 4,2%.</w:t>
      </w:r>
    </w:p>
    <w:p w14:paraId="50B7B1CF" w14:textId="77966DDD" w:rsidR="00A33FAD" w:rsidRPr="00A33FAD" w:rsidRDefault="001F2654" w:rsidP="00A33FAD">
      <w:pPr>
        <w:pStyle w:val="ListParagraph"/>
        <w:numPr>
          <w:ilvl w:val="0"/>
          <w:numId w:val="33"/>
        </w:numPr>
        <w:spacing w:before="240" w:after="120"/>
        <w:jc w:val="both"/>
        <w:rPr>
          <w:color w:val="0099CC"/>
          <w:sz w:val="24"/>
        </w:rPr>
      </w:pPr>
      <w:r w:rsidRPr="00A33FAD">
        <w:rPr>
          <w:color w:val="0099CC"/>
          <w:sz w:val="24"/>
        </w:rPr>
        <w:t xml:space="preserve"> </w:t>
      </w:r>
      <w:r w:rsidR="00A33FAD" w:rsidRPr="00A33FAD">
        <w:rPr>
          <w:color w:val="0099CC"/>
          <w:sz w:val="24"/>
        </w:rPr>
        <w:t>Situācija publisko būvdarbu līgumu izpildē</w:t>
      </w:r>
    </w:p>
    <w:p w14:paraId="322D26F2" w14:textId="5B4DA14E" w:rsidR="00A33FAD" w:rsidRDefault="00A33FAD" w:rsidP="00A33FAD">
      <w:pPr>
        <w:ind w:firstLine="709"/>
        <w:jc w:val="both"/>
        <w:rPr>
          <w:sz w:val="24"/>
        </w:rPr>
      </w:pPr>
      <w:r w:rsidRPr="00E445CA">
        <w:rPr>
          <w:sz w:val="24"/>
        </w:rPr>
        <w:t>Krievijas karadarbības Ukrainā ietekmes dēļ būvkomersanti saskaras ar objektīvām problēmām izpildīt iepriekš uzņemtās līgumsaistības un nodrošināt būvdarbu līgumu izpildi</w:t>
      </w:r>
      <w:r>
        <w:rPr>
          <w:sz w:val="24"/>
        </w:rPr>
        <w:t xml:space="preserve">, </w:t>
      </w:r>
      <w:r w:rsidR="00AA69D0">
        <w:rPr>
          <w:sz w:val="24"/>
        </w:rPr>
        <w:t>t.sk.</w:t>
      </w:r>
      <w:r>
        <w:rPr>
          <w:sz w:val="24"/>
        </w:rPr>
        <w:t xml:space="preserve"> publiskajos infrastruktūras attīstības projektos</w:t>
      </w:r>
      <w:r w:rsidRPr="00E445CA">
        <w:rPr>
          <w:sz w:val="24"/>
        </w:rPr>
        <w:t xml:space="preserve">. Izejvielu un būvmateriālu </w:t>
      </w:r>
      <w:r>
        <w:rPr>
          <w:sz w:val="24"/>
        </w:rPr>
        <w:t>būtiski piegāžu traucējumi 2022.</w:t>
      </w:r>
      <w:r w:rsidR="00097F81">
        <w:rPr>
          <w:sz w:val="24"/>
        </w:rPr>
        <w:t xml:space="preserve"> </w:t>
      </w:r>
      <w:r>
        <w:rPr>
          <w:sz w:val="24"/>
        </w:rPr>
        <w:t>gada martā ietekmēja būvkomersantu spēju nodrošināt iepriekš uzņemto saistību izpildi publiskajos būvdarbu līgumos noteiktajos termiņos un par nolīgto cenu. Straujš būvizstrādājumu cenu pieaugums gulās uz būvdarbu veicēju, radot tam iepriekš neprognozējamos zaudējumus. Turpinoties izmaksu kāpumam būvniecībā 2022.</w:t>
      </w:r>
      <w:r w:rsidR="00097F81">
        <w:rPr>
          <w:sz w:val="24"/>
        </w:rPr>
        <w:t xml:space="preserve"> </w:t>
      </w:r>
      <w:r>
        <w:rPr>
          <w:sz w:val="24"/>
        </w:rPr>
        <w:t xml:space="preserve">gada aprīlī un maija mēnesī, pieauga būvdarbu veicēja </w:t>
      </w:r>
      <w:r w:rsidRPr="00E445CA">
        <w:rPr>
          <w:sz w:val="24"/>
        </w:rPr>
        <w:t>zaudējumu apjom</w:t>
      </w:r>
      <w:r>
        <w:rPr>
          <w:sz w:val="24"/>
        </w:rPr>
        <w:t>s un</w:t>
      </w:r>
      <w:r w:rsidRPr="00E445CA">
        <w:rPr>
          <w:sz w:val="24"/>
        </w:rPr>
        <w:t xml:space="preserve"> palielinā</w:t>
      </w:r>
      <w:r>
        <w:rPr>
          <w:sz w:val="24"/>
        </w:rPr>
        <w:t>jā</w:t>
      </w:r>
      <w:r w:rsidRPr="00E445CA">
        <w:rPr>
          <w:sz w:val="24"/>
        </w:rPr>
        <w:t>s risks, ka būvkomersanti</w:t>
      </w:r>
      <w:r>
        <w:rPr>
          <w:sz w:val="24"/>
        </w:rPr>
        <w:t xml:space="preserve"> vienpusējā kārtā atkāpsies no publiskā būvdarbu līguma izpildes,</w:t>
      </w:r>
      <w:r w:rsidR="0073078E">
        <w:rPr>
          <w:sz w:val="24"/>
        </w:rPr>
        <w:t xml:space="preserve"> </w:t>
      </w:r>
      <w:r w:rsidRPr="00E445CA">
        <w:rPr>
          <w:sz w:val="24"/>
        </w:rPr>
        <w:t>atstājot nepabeigtus būvobjektus</w:t>
      </w:r>
      <w:r>
        <w:rPr>
          <w:sz w:val="24"/>
        </w:rPr>
        <w:t xml:space="preserve"> vai mēģinās minimizēt zaudējumus,  izmantojot zemākās kvalitātes būvizstrādājumus vai tehnoloģijas vai daļēji darbojoties ēnu ekonomikā, nepildot savas saistības pret darbiniekiem un valsti.</w:t>
      </w:r>
    </w:p>
    <w:p w14:paraId="544F731E" w14:textId="1B1FFF9D" w:rsidR="006B4B2D" w:rsidRPr="006B4B2D" w:rsidRDefault="00A33FAD" w:rsidP="006B4B2D">
      <w:pPr>
        <w:ind w:firstLine="709"/>
        <w:jc w:val="both"/>
        <w:rPr>
          <w:sz w:val="24"/>
        </w:rPr>
      </w:pPr>
      <w:r w:rsidRPr="00E765DD">
        <w:rPr>
          <w:sz w:val="24"/>
        </w:rPr>
        <w:t>Lai mazinātu riskus publiskās infrastruktūras projekt</w:t>
      </w:r>
      <w:r>
        <w:rPr>
          <w:sz w:val="24"/>
        </w:rPr>
        <w:t xml:space="preserve">os, informatīvajā ziņojumā tika uzsvērta pasūtītāja (būvniecības ierosinātāja) vadošā loma publisko būvdarbu līgumu vadīšanā, pasūtītāji tika aicināti atbildīgi vērtēt radušos sarežģījumus katra noslēgtā publiskā būvdarbu līguma saistību izpildē un sadarbībā ar būvdarbu veicēju izvērtēt nepieciešamos grozījumus sekmīgai un pasūtītāja interesēm atbilstošai publiskās infrastruktūras projektu īstenošanai.   Informatīvajā ziņojumā ir vērsta pasūtītāju uzmanība uz iespējamiem riskiem, kas var rasties, ja būvdarbu veicējs, nespējot izpildīt līguma saistības, vienpusējā kārtā atkāpsies no līguma izpildes, piemēram, </w:t>
      </w:r>
      <w:r w:rsidRPr="00E765DD">
        <w:rPr>
          <w:sz w:val="24"/>
        </w:rPr>
        <w:t xml:space="preserve">jauna publisko būvdarbu iepirkuma rīkošana ir laikietilpīgs process, sadrumstalots būvdarbu veikšanas process samazina pasūtītāja iespēju efektīvi aizstāvēt savas </w:t>
      </w:r>
      <w:r w:rsidRPr="006B4B2D">
        <w:rPr>
          <w:sz w:val="24"/>
        </w:rPr>
        <w:t>intereses, būvobjekta uzturēšana dīkstāves laikā prasīs papildu finanšu resursus, jaunā līgumcena ar lielu varbūtību būs augstāka, ņemot vērā nestabilo situāciju nozarē.</w:t>
      </w:r>
    </w:p>
    <w:p w14:paraId="3B274CB3" w14:textId="451F35F7" w:rsidR="00A33FAD" w:rsidRPr="004878EF" w:rsidRDefault="00A33FAD" w:rsidP="004878EF">
      <w:pPr>
        <w:ind w:firstLine="709"/>
        <w:jc w:val="both"/>
        <w:rPr>
          <w:sz w:val="24"/>
        </w:rPr>
      </w:pPr>
      <w:r w:rsidRPr="006B4B2D">
        <w:rPr>
          <w:sz w:val="24"/>
        </w:rPr>
        <w:t xml:space="preserve">Lai novērtētu situācijas attīstību publiskajos </w:t>
      </w:r>
      <w:r w:rsidRPr="00666225">
        <w:rPr>
          <w:sz w:val="24"/>
        </w:rPr>
        <w:t xml:space="preserve">infrastruktūras projektos, Ekonomikas ministrija ir apkopojusi informāciju, ko pasūtītāji ir snieguši saskaņā ar </w:t>
      </w:r>
      <w:r w:rsidR="006B4B2D" w:rsidRPr="00666225">
        <w:rPr>
          <w:sz w:val="24"/>
          <w:shd w:val="clear" w:color="auto" w:fill="FFFFFF"/>
        </w:rPr>
        <w:t>Ministru kabineta 2022. gada 5. aprīļa sēdes protokol</w:t>
      </w:r>
      <w:r w:rsidR="00666225" w:rsidRPr="00666225">
        <w:rPr>
          <w:sz w:val="24"/>
          <w:shd w:val="clear" w:color="auto" w:fill="FFFFFF"/>
        </w:rPr>
        <w:t>a</w:t>
      </w:r>
      <w:r w:rsidR="006B4B2D" w:rsidRPr="00666225">
        <w:rPr>
          <w:sz w:val="24"/>
          <w:shd w:val="clear" w:color="auto" w:fill="FFFFFF"/>
        </w:rPr>
        <w:t xml:space="preserve"> Nr. 19</w:t>
      </w:r>
      <w:r w:rsidR="004B1D1A">
        <w:rPr>
          <w:sz w:val="24"/>
          <w:shd w:val="clear" w:color="auto" w:fill="FFFFFF"/>
        </w:rPr>
        <w:t xml:space="preserve"> </w:t>
      </w:r>
      <w:r w:rsidR="006B4B2D" w:rsidRPr="00666225">
        <w:rPr>
          <w:sz w:val="24"/>
          <w:shd w:val="clear" w:color="auto" w:fill="FFFFFF"/>
        </w:rPr>
        <w:t>43§ 3. un 4. punkt</w:t>
      </w:r>
      <w:r w:rsidR="00666225" w:rsidRPr="00666225">
        <w:rPr>
          <w:sz w:val="24"/>
          <w:shd w:val="clear" w:color="auto" w:fill="FFFFFF"/>
        </w:rPr>
        <w:t xml:space="preserve">ā </w:t>
      </w:r>
      <w:r w:rsidR="00666225" w:rsidRPr="00666225">
        <w:rPr>
          <w:sz w:val="24"/>
        </w:rPr>
        <w:t>dot</w:t>
      </w:r>
      <w:r w:rsidR="004878EF">
        <w:rPr>
          <w:sz w:val="24"/>
        </w:rPr>
        <w:t xml:space="preserve">o </w:t>
      </w:r>
      <w:r w:rsidR="00666225" w:rsidRPr="00666225">
        <w:rPr>
          <w:sz w:val="24"/>
        </w:rPr>
        <w:t>uzdevum</w:t>
      </w:r>
      <w:r w:rsidR="004878EF">
        <w:rPr>
          <w:sz w:val="24"/>
        </w:rPr>
        <w:t>u</w:t>
      </w:r>
      <w:r w:rsidR="00666225" w:rsidRPr="00666225">
        <w:rPr>
          <w:sz w:val="24"/>
        </w:rPr>
        <w:t>.</w:t>
      </w:r>
      <w:r w:rsidR="004878EF">
        <w:rPr>
          <w:sz w:val="24"/>
        </w:rPr>
        <w:t xml:space="preserve"> </w:t>
      </w:r>
      <w:r w:rsidRPr="00454603">
        <w:rPr>
          <w:sz w:val="24"/>
        </w:rPr>
        <w:t>Ekonomikas ministrijas apkopotie aptaujas anketas “Par informācijas sniegšanu par būvdarbiem un būvdarbu iecerēm” dati uz 19.07.2022. liecina, ka no 2815 publiskajiem būv</w:t>
      </w:r>
      <w:r w:rsidR="00D01477">
        <w:rPr>
          <w:sz w:val="24"/>
        </w:rPr>
        <w:t xml:space="preserve">niecības </w:t>
      </w:r>
      <w:r w:rsidRPr="00454603">
        <w:rPr>
          <w:sz w:val="24"/>
        </w:rPr>
        <w:t xml:space="preserve">projektiem </w:t>
      </w:r>
      <w:r>
        <w:rPr>
          <w:sz w:val="24"/>
        </w:rPr>
        <w:t xml:space="preserve">305 jeb </w:t>
      </w:r>
      <w:r w:rsidRPr="00454603">
        <w:rPr>
          <w:sz w:val="24"/>
        </w:rPr>
        <w:t>11</w:t>
      </w:r>
      <w:r w:rsidRPr="005E13B2">
        <w:rPr>
          <w:sz w:val="24"/>
        </w:rPr>
        <w:t xml:space="preserve">% projektos veiktas un tiek plānotas dažāda veida izmaiņas, ko izraisīja globālās izmaiņas būvizstrādājumu tirgū sakarā ar Krievijas uzsākto karadarbību Ukrainā. </w:t>
      </w:r>
      <w:r w:rsidR="00E25A3B" w:rsidRPr="00D01477">
        <w:rPr>
          <w:sz w:val="24"/>
        </w:rPr>
        <w:t xml:space="preserve">No 305 projektiem </w:t>
      </w:r>
      <w:r w:rsidR="00E25A3B">
        <w:rPr>
          <w:sz w:val="24"/>
        </w:rPr>
        <w:t>a</w:t>
      </w:r>
      <w:r w:rsidRPr="005E13B2">
        <w:rPr>
          <w:sz w:val="24"/>
        </w:rPr>
        <w:t>ttiecīgi 80% projektu tika konstatēt</w:t>
      </w:r>
      <w:r>
        <w:rPr>
          <w:sz w:val="24"/>
        </w:rPr>
        <w:t xml:space="preserve">s </w:t>
      </w:r>
      <w:r w:rsidRPr="005E13B2">
        <w:rPr>
          <w:sz w:val="24"/>
        </w:rPr>
        <w:t>sadārdzinājums, ko paredzēts nosegt ar papildus finansējum</w:t>
      </w:r>
      <w:r>
        <w:rPr>
          <w:sz w:val="24"/>
        </w:rPr>
        <w:t>a piešķiršanu</w:t>
      </w:r>
      <w:r w:rsidRPr="005E13B2">
        <w:rPr>
          <w:sz w:val="24"/>
        </w:rPr>
        <w:t xml:space="preserve">, 30% projektu – pagarināts projektu </w:t>
      </w:r>
      <w:r w:rsidRPr="00B92530">
        <w:rPr>
          <w:sz w:val="24"/>
        </w:rPr>
        <w:t xml:space="preserve">izpildes termiņš, 14% projektu – palielināti būvdarbu apjomi, bet atlikušajos projektos – samazināti būvdarbu apjomi un finansējums, kā arī saīsināts projektu izpildes termiņš (skat. </w:t>
      </w:r>
      <w:r w:rsidR="00AC5E65">
        <w:rPr>
          <w:sz w:val="24"/>
        </w:rPr>
        <w:t>5</w:t>
      </w:r>
      <w:r w:rsidRPr="00B92530">
        <w:rPr>
          <w:sz w:val="24"/>
        </w:rPr>
        <w:t xml:space="preserve">.a attēlu). Neskatoties uz to, ka </w:t>
      </w:r>
      <w:r>
        <w:rPr>
          <w:sz w:val="24"/>
        </w:rPr>
        <w:lastRenderedPageBreak/>
        <w:t xml:space="preserve">izbeigti </w:t>
      </w:r>
      <w:r w:rsidRPr="00B92530">
        <w:rPr>
          <w:sz w:val="24"/>
        </w:rPr>
        <w:t xml:space="preserve">5 būvdarbu līgumi un plānots </w:t>
      </w:r>
      <w:r>
        <w:rPr>
          <w:sz w:val="24"/>
        </w:rPr>
        <w:t>izbeigt</w:t>
      </w:r>
      <w:r w:rsidRPr="00B92530">
        <w:rPr>
          <w:sz w:val="24"/>
        </w:rPr>
        <w:t xml:space="preserve"> vēl 3 būvdarbu līgumus, </w:t>
      </w:r>
      <w:r>
        <w:rPr>
          <w:sz w:val="24"/>
        </w:rPr>
        <w:t xml:space="preserve">pasūtītāji atsevišķus </w:t>
      </w:r>
      <w:r w:rsidRPr="00B92530">
        <w:rPr>
          <w:sz w:val="24"/>
        </w:rPr>
        <w:t xml:space="preserve">būvniecības projektus plāno īstenot, </w:t>
      </w:r>
      <w:r>
        <w:rPr>
          <w:sz w:val="24"/>
        </w:rPr>
        <w:t xml:space="preserve">izsludinot jaunus būvdarbu iepirkumus un </w:t>
      </w:r>
      <w:r w:rsidRPr="00B92530">
        <w:rPr>
          <w:sz w:val="24"/>
        </w:rPr>
        <w:t>veicot izmaiņas finansējuma apjomā.</w:t>
      </w:r>
    </w:p>
    <w:p w14:paraId="6DB64AAA" w14:textId="77777777" w:rsidR="00A33FAD" w:rsidRDefault="00A33FAD" w:rsidP="00A33FAD">
      <w:pPr>
        <w:jc w:val="center"/>
        <w:rPr>
          <w:color w:val="FF0000"/>
          <w:sz w:val="24"/>
        </w:rPr>
      </w:pPr>
      <w:r w:rsidRPr="003E4A9E">
        <w:rPr>
          <w:noProof/>
        </w:rPr>
        <w:drawing>
          <wp:inline distT="0" distB="0" distL="0" distR="0" wp14:anchorId="279AB6A1" wp14:editId="755D0811">
            <wp:extent cx="5760720" cy="23285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328545"/>
                    </a:xfrm>
                    <a:prstGeom prst="rect">
                      <a:avLst/>
                    </a:prstGeom>
                  </pic:spPr>
                </pic:pic>
              </a:graphicData>
            </a:graphic>
          </wp:inline>
        </w:drawing>
      </w:r>
    </w:p>
    <w:p w14:paraId="055B3B38" w14:textId="77777777" w:rsidR="00A33FAD" w:rsidRPr="00454149" w:rsidRDefault="00A33FAD" w:rsidP="00A33FAD">
      <w:pPr>
        <w:pStyle w:val="ListParagraph"/>
        <w:numPr>
          <w:ilvl w:val="0"/>
          <w:numId w:val="25"/>
        </w:numPr>
        <w:tabs>
          <w:tab w:val="left" w:pos="284"/>
        </w:tabs>
        <w:spacing w:before="120"/>
        <w:ind w:left="0" w:firstLine="0"/>
        <w:jc w:val="center"/>
        <w:rPr>
          <w:sz w:val="24"/>
        </w:rPr>
      </w:pPr>
      <w:r w:rsidRPr="00454149">
        <w:rPr>
          <w:sz w:val="24"/>
        </w:rPr>
        <w:t>attēls. Krievijas uzsāktās karadarbības dēļ Ukrainā un kara izraisītajām globālajām izmaiņām būvizstrādājumu tirgū ietekmētie publiskie būvprojekti Latvijā un to provizoriskais sadārdzinājums</w:t>
      </w:r>
    </w:p>
    <w:p w14:paraId="17FB96B5" w14:textId="77777777" w:rsidR="00A33FAD" w:rsidRPr="004F0B7D" w:rsidRDefault="00A33FAD" w:rsidP="00A33FAD">
      <w:pPr>
        <w:spacing w:before="120"/>
        <w:jc w:val="both"/>
        <w:rPr>
          <w:sz w:val="20"/>
          <w:szCs w:val="20"/>
        </w:rPr>
      </w:pPr>
      <w:r w:rsidRPr="001861F0">
        <w:rPr>
          <w:sz w:val="20"/>
          <w:szCs w:val="20"/>
        </w:rPr>
        <w:t xml:space="preserve">Piezīme: Dati nesatur informāciju par būvniecības iecerēm un </w:t>
      </w:r>
      <w:r w:rsidRPr="001861F0">
        <w:rPr>
          <w:i/>
          <w:iCs/>
          <w:sz w:val="20"/>
          <w:szCs w:val="20"/>
        </w:rPr>
        <w:t>Rail Baltica</w:t>
      </w:r>
      <w:r>
        <w:rPr>
          <w:sz w:val="20"/>
          <w:szCs w:val="20"/>
        </w:rPr>
        <w:t xml:space="preserve"> projektu</w:t>
      </w:r>
      <w:r w:rsidRPr="001861F0">
        <w:rPr>
          <w:sz w:val="20"/>
          <w:szCs w:val="20"/>
        </w:rPr>
        <w:t>. EM papildus aprēķinātais sadārdzinājums 12%</w:t>
      </w:r>
      <w:r>
        <w:rPr>
          <w:sz w:val="20"/>
          <w:szCs w:val="20"/>
        </w:rPr>
        <w:t xml:space="preserve"> apmērā (</w:t>
      </w:r>
      <w:r w:rsidRPr="001861F0">
        <w:rPr>
          <w:sz w:val="20"/>
          <w:szCs w:val="20"/>
        </w:rPr>
        <w:t>pēc CSP datiem par Būvniecības izmaksu indeksu būvniecībā 2022. gada janvārī un maijā</w:t>
      </w:r>
      <w:r>
        <w:rPr>
          <w:sz w:val="20"/>
          <w:szCs w:val="20"/>
        </w:rPr>
        <w:t xml:space="preserve">) un </w:t>
      </w:r>
      <w:r w:rsidRPr="00B94139">
        <w:rPr>
          <w:sz w:val="20"/>
          <w:szCs w:val="20"/>
        </w:rPr>
        <w:t xml:space="preserve">15% </w:t>
      </w:r>
      <w:r>
        <w:rPr>
          <w:sz w:val="20"/>
          <w:szCs w:val="20"/>
        </w:rPr>
        <w:t xml:space="preserve">apmērā (pēc </w:t>
      </w:r>
      <w:r w:rsidRPr="00B94139">
        <w:rPr>
          <w:sz w:val="20"/>
          <w:szCs w:val="20"/>
        </w:rPr>
        <w:t xml:space="preserve">pasūtītāju un būvnieku sniegtās </w:t>
      </w:r>
      <w:r w:rsidRPr="004F0B7D">
        <w:rPr>
          <w:sz w:val="20"/>
          <w:szCs w:val="20"/>
        </w:rPr>
        <w:t>informācijas par vidējo sadārdzinājumu</w:t>
      </w:r>
      <w:r>
        <w:rPr>
          <w:sz w:val="20"/>
          <w:szCs w:val="20"/>
        </w:rPr>
        <w:t xml:space="preserve">) </w:t>
      </w:r>
      <w:r w:rsidRPr="00B94139">
        <w:rPr>
          <w:sz w:val="20"/>
          <w:szCs w:val="20"/>
        </w:rPr>
        <w:t>veikts</w:t>
      </w:r>
      <w:r>
        <w:rPr>
          <w:sz w:val="20"/>
          <w:szCs w:val="20"/>
        </w:rPr>
        <w:t xml:space="preserve"> par tiem projektiem, kuriem aptaujas anketās respondenti nevarēja uzrādīt konkrētu sadārdzinājuma apjomu.</w:t>
      </w:r>
    </w:p>
    <w:p w14:paraId="29D15C8C" w14:textId="77777777" w:rsidR="00A33FAD" w:rsidRPr="00954ACC" w:rsidRDefault="00A33FAD" w:rsidP="00A33FAD">
      <w:pPr>
        <w:spacing w:before="120"/>
        <w:jc w:val="both"/>
        <w:rPr>
          <w:sz w:val="20"/>
          <w:szCs w:val="20"/>
        </w:rPr>
      </w:pPr>
      <w:r w:rsidRPr="004F0B7D">
        <w:rPr>
          <w:sz w:val="20"/>
          <w:szCs w:val="20"/>
        </w:rPr>
        <w:t>Datu avots</w:t>
      </w:r>
      <w:r w:rsidRPr="00954ACC">
        <w:rPr>
          <w:sz w:val="20"/>
          <w:szCs w:val="20"/>
        </w:rPr>
        <w:t>: aprēķināts un izveidots pēc EM aptaujas anketas “Par informācijas sniegšanu par būvdarbiem un būvdarbu iecerēm” datiem uz 19.07.2022.</w:t>
      </w:r>
    </w:p>
    <w:p w14:paraId="5FD82293" w14:textId="77777777" w:rsidR="00A33FAD" w:rsidRPr="00954ACC" w:rsidRDefault="00A33FAD" w:rsidP="00A33FAD">
      <w:pPr>
        <w:jc w:val="center"/>
        <w:rPr>
          <w:sz w:val="24"/>
        </w:rPr>
      </w:pPr>
    </w:p>
    <w:p w14:paraId="01B358B1" w14:textId="3EFA29D7" w:rsidR="00A33FAD" w:rsidRPr="00B14327" w:rsidRDefault="00A33FAD" w:rsidP="00A33FAD">
      <w:pPr>
        <w:ind w:firstLine="709"/>
        <w:jc w:val="both"/>
        <w:rPr>
          <w:sz w:val="24"/>
        </w:rPr>
      </w:pPr>
      <w:r w:rsidRPr="00754A5A">
        <w:rPr>
          <w:sz w:val="24"/>
        </w:rPr>
        <w:t>Būvprojektu kopējais provizoriskais sadārdzinājums</w:t>
      </w:r>
      <w:r>
        <w:rPr>
          <w:sz w:val="24"/>
        </w:rPr>
        <w:t xml:space="preserve">, ieskaitot aptaujas anketās norādīto informāciju un ministrijas papildus veiktos aprēķinus, </w:t>
      </w:r>
      <w:r w:rsidRPr="00754A5A">
        <w:rPr>
          <w:sz w:val="24"/>
        </w:rPr>
        <w:t>varētu sasniegt 133,</w:t>
      </w:r>
      <w:r>
        <w:rPr>
          <w:sz w:val="24"/>
        </w:rPr>
        <w:t>65</w:t>
      </w:r>
      <w:r w:rsidRPr="00754A5A">
        <w:rPr>
          <w:sz w:val="24"/>
        </w:rPr>
        <w:t xml:space="preserve"> milj. EUR (skat. </w:t>
      </w:r>
      <w:r w:rsidR="00AC5E65">
        <w:rPr>
          <w:sz w:val="24"/>
        </w:rPr>
        <w:t>5</w:t>
      </w:r>
      <w:r w:rsidRPr="00754A5A">
        <w:rPr>
          <w:sz w:val="24"/>
        </w:rPr>
        <w:t xml:space="preserve">.b attēlu), neieskaitot </w:t>
      </w:r>
      <w:r w:rsidRPr="00754A5A">
        <w:rPr>
          <w:i/>
          <w:iCs/>
          <w:sz w:val="24"/>
        </w:rPr>
        <w:t>Rail Baltica</w:t>
      </w:r>
      <w:r w:rsidRPr="00754A5A">
        <w:rPr>
          <w:sz w:val="24"/>
        </w:rPr>
        <w:t xml:space="preserve"> būvprojekta sadārdzinājumu, kam nav nepieciešams veikt grozījumus</w:t>
      </w:r>
      <w:r w:rsidRPr="004F0B7D">
        <w:rPr>
          <w:sz w:val="24"/>
        </w:rPr>
        <w:t xml:space="preserve"> līgumā ietvertās cenu indeksācijas dēļ. Par būvprojektu sadārdzinājumu aktīvāk ziņo būvnieki nevis pasūtītāji. Tā kā starp pasūtītājiem un būvdarbu veicējiem vēl joprojām </w:t>
      </w:r>
      <w:r w:rsidRPr="00B14327">
        <w:rPr>
          <w:sz w:val="24"/>
        </w:rPr>
        <w:t>noris sarunas par sadārdzinājuma konstatēšanu un novērtēšanu, tad faktiskais būvdarbu sadārdzinājums varētu būt vēl lielāks nekā apkopotajos datos uzrādītā informācija.</w:t>
      </w:r>
    </w:p>
    <w:p w14:paraId="1662EB7E" w14:textId="72CEE5E3" w:rsidR="001F2654" w:rsidRPr="001F2654" w:rsidRDefault="0005039B" w:rsidP="001F2654">
      <w:pPr>
        <w:pStyle w:val="ListParagraph"/>
        <w:numPr>
          <w:ilvl w:val="0"/>
          <w:numId w:val="33"/>
        </w:numPr>
        <w:spacing w:before="240" w:after="120"/>
        <w:jc w:val="both"/>
        <w:rPr>
          <w:color w:val="0099CC"/>
          <w:sz w:val="24"/>
        </w:rPr>
      </w:pPr>
      <w:r>
        <w:rPr>
          <w:color w:val="0099CC"/>
          <w:sz w:val="24"/>
        </w:rPr>
        <w:t xml:space="preserve"> </w:t>
      </w:r>
      <w:r w:rsidR="001F2654" w:rsidRPr="001F2654">
        <w:rPr>
          <w:color w:val="0099CC"/>
          <w:sz w:val="24"/>
        </w:rPr>
        <w:t>Uzņēmumu finansiālā situācija Latvijas būvniecības nozarē un tās ietekme uz publisko būvdarbu īstenošanas gaitu</w:t>
      </w:r>
    </w:p>
    <w:p w14:paraId="60D1BCBF" w14:textId="7E858868" w:rsidR="002926A0" w:rsidRDefault="001F2654" w:rsidP="002926A0">
      <w:pPr>
        <w:tabs>
          <w:tab w:val="left" w:pos="6243"/>
        </w:tabs>
        <w:ind w:firstLine="709"/>
        <w:jc w:val="both"/>
        <w:rPr>
          <w:sz w:val="24"/>
        </w:rPr>
      </w:pPr>
      <w:r w:rsidRPr="00EF6D51">
        <w:rPr>
          <w:sz w:val="24"/>
        </w:rPr>
        <w:t xml:space="preserve">Latvijas būvniecības nozarē lielākoties (99% no 11 475 ekonomiski aktīvajiem uzņēmumiem 2020. gadā) darbojas uzņēmumi, kuriem būvniecība ir vienīgais saimnieciskās darbības veids (skat. </w:t>
      </w:r>
      <w:r w:rsidR="00AC5E65">
        <w:rPr>
          <w:sz w:val="24"/>
        </w:rPr>
        <w:t>6</w:t>
      </w:r>
      <w:r w:rsidRPr="00EF6D51">
        <w:rPr>
          <w:sz w:val="24"/>
        </w:rPr>
        <w:t>.a attēlu), tādējādi tos pakļaujot lielākiem riskiem krīžu situācijās nekā tos uzņēmumus, kuriem ir vairāki saimnieciskās darbības veidi. Uzņēmumi, kuriem saimnieciskās darbības veidi un noieta tirgi ir diversificēti, tiek mazāk pakļauti dažādu krīžu ietekmei, tādējādi tie spēj labāk organizēt savas uzņēmējdarbības sekmīgu un vienmērīgu attīstību.</w:t>
      </w:r>
      <w:r w:rsidR="002926A0">
        <w:rPr>
          <w:sz w:val="24"/>
        </w:rPr>
        <w:t xml:space="preserve"> </w:t>
      </w:r>
      <w:r w:rsidR="002926A0" w:rsidRPr="00EF6D51">
        <w:rPr>
          <w:sz w:val="24"/>
        </w:rPr>
        <w:t>Vispārējā situācija būvniecīb</w:t>
      </w:r>
      <w:r w:rsidR="002926A0">
        <w:rPr>
          <w:sz w:val="24"/>
        </w:rPr>
        <w:t>as apakšnozarēs</w:t>
      </w:r>
      <w:r w:rsidR="002926A0" w:rsidRPr="00EF6D51">
        <w:rPr>
          <w:sz w:val="24"/>
        </w:rPr>
        <w:t xml:space="preserve"> </w:t>
      </w:r>
      <w:r w:rsidR="002926A0">
        <w:rPr>
          <w:sz w:val="24"/>
        </w:rPr>
        <w:t>pa</w:t>
      </w:r>
      <w:r w:rsidR="002926A0" w:rsidRPr="00EF6D51">
        <w:rPr>
          <w:sz w:val="24"/>
        </w:rPr>
        <w:t xml:space="preserve">rāda, ka uzņēmumu rīcībā nav pietiekoši </w:t>
      </w:r>
      <w:r w:rsidR="002926A0" w:rsidRPr="00642694">
        <w:rPr>
          <w:sz w:val="24"/>
        </w:rPr>
        <w:t xml:space="preserve">daudz brīvu finanšu līdzekļu (skat. </w:t>
      </w:r>
      <w:r w:rsidR="00AC5E65">
        <w:rPr>
          <w:sz w:val="24"/>
        </w:rPr>
        <w:t>6</w:t>
      </w:r>
      <w:r w:rsidR="002926A0" w:rsidRPr="00642694">
        <w:rPr>
          <w:sz w:val="24"/>
        </w:rPr>
        <w:t>.b attēlu), lai tie ilgākā laika periodā spētu kreditēt finansiāli ietilpīgu publisko būvdarbu sadārdzinājumu vai savas uzņēmējdarbības nodrošināšanu būvdarbu pilnīgas apturēšanas gadījumā. Ņemot vērā situāciju būvizstrādājumu tirgū un notikumus pasaulē, Latvijas būvniecības nozares uzņēmumu finansiālais stāvoklis 2022. gadā visticamāk ir pasliktinājies, kas var radīt draudus būvdarbu sekmīgai īstenošanai.</w:t>
      </w:r>
    </w:p>
    <w:p w14:paraId="173E5CC2" w14:textId="77777777" w:rsidR="001F2654" w:rsidRPr="00642694" w:rsidRDefault="001F2654" w:rsidP="001F2654">
      <w:pPr>
        <w:tabs>
          <w:tab w:val="left" w:pos="6243"/>
        </w:tabs>
        <w:jc w:val="center"/>
      </w:pPr>
      <w:r w:rsidRPr="00642694">
        <w:rPr>
          <w:noProof/>
        </w:rPr>
        <w:lastRenderedPageBreak/>
        <w:drawing>
          <wp:inline distT="0" distB="0" distL="0" distR="0" wp14:anchorId="3E04A6EA" wp14:editId="56F87B82">
            <wp:extent cx="5692416" cy="301625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45166" cy="3044200"/>
                    </a:xfrm>
                    <a:prstGeom prst="rect">
                      <a:avLst/>
                    </a:prstGeom>
                  </pic:spPr>
                </pic:pic>
              </a:graphicData>
            </a:graphic>
          </wp:inline>
        </w:drawing>
      </w:r>
    </w:p>
    <w:p w14:paraId="4E794788" w14:textId="77777777" w:rsidR="001F2654" w:rsidRPr="00642694" w:rsidRDefault="001F2654" w:rsidP="001F2654">
      <w:pPr>
        <w:pStyle w:val="ListParagraph"/>
        <w:numPr>
          <w:ilvl w:val="0"/>
          <w:numId w:val="25"/>
        </w:numPr>
        <w:tabs>
          <w:tab w:val="left" w:pos="284"/>
        </w:tabs>
        <w:spacing w:before="120"/>
        <w:ind w:left="0" w:firstLine="0"/>
        <w:jc w:val="center"/>
        <w:rPr>
          <w:sz w:val="24"/>
        </w:rPr>
      </w:pPr>
      <w:r w:rsidRPr="00642694">
        <w:rPr>
          <w:sz w:val="24"/>
        </w:rPr>
        <w:t>attēls. Uzņēmumi pēc saimnieciskās darbības veida un to tīrā (neto) peļņa Latvijas būvniecības nozarē 2011.-2020. gadā (%, EUR)</w:t>
      </w:r>
    </w:p>
    <w:p w14:paraId="1DBA0A12" w14:textId="77777777" w:rsidR="001F2654" w:rsidRPr="0061192D" w:rsidRDefault="001F2654" w:rsidP="001F2654">
      <w:pPr>
        <w:spacing w:before="120"/>
        <w:jc w:val="both"/>
        <w:rPr>
          <w:sz w:val="20"/>
          <w:szCs w:val="20"/>
        </w:rPr>
      </w:pPr>
      <w:r w:rsidRPr="00642694">
        <w:rPr>
          <w:sz w:val="20"/>
          <w:szCs w:val="20"/>
        </w:rPr>
        <w:t xml:space="preserve">Piezīme: Dati par 2020. gadu provizoriski, bet </w:t>
      </w:r>
      <w:r>
        <w:rPr>
          <w:sz w:val="20"/>
          <w:szCs w:val="20"/>
        </w:rPr>
        <w:t xml:space="preserve">dati </w:t>
      </w:r>
      <w:r w:rsidRPr="00642694">
        <w:rPr>
          <w:sz w:val="20"/>
          <w:szCs w:val="20"/>
        </w:rPr>
        <w:t>par 2021. gadu nav vēl pieejami</w:t>
      </w:r>
      <w:r w:rsidRPr="0061192D">
        <w:rPr>
          <w:sz w:val="20"/>
          <w:szCs w:val="20"/>
        </w:rPr>
        <w:t>.</w:t>
      </w:r>
    </w:p>
    <w:p w14:paraId="052109F8" w14:textId="77777777" w:rsidR="001F2654" w:rsidRPr="0061192D" w:rsidRDefault="001F2654" w:rsidP="001F2654">
      <w:pPr>
        <w:spacing w:before="120"/>
        <w:jc w:val="both"/>
        <w:rPr>
          <w:sz w:val="20"/>
          <w:szCs w:val="20"/>
        </w:rPr>
      </w:pPr>
      <w:r w:rsidRPr="0061192D">
        <w:rPr>
          <w:sz w:val="20"/>
          <w:szCs w:val="20"/>
        </w:rPr>
        <w:t>Datu avots: aprēķināts un izveidots pēc CSP datiem.</w:t>
      </w:r>
    </w:p>
    <w:p w14:paraId="58BC0FF2" w14:textId="77777777" w:rsidR="00E1685D" w:rsidRDefault="00E1685D" w:rsidP="001F2654">
      <w:pPr>
        <w:tabs>
          <w:tab w:val="left" w:pos="6243"/>
        </w:tabs>
        <w:ind w:firstLine="709"/>
        <w:jc w:val="both"/>
        <w:rPr>
          <w:sz w:val="24"/>
        </w:rPr>
      </w:pPr>
    </w:p>
    <w:p w14:paraId="01D18D2D" w14:textId="11AF3616" w:rsidR="001F2654" w:rsidRDefault="001F2654" w:rsidP="001F2654">
      <w:pPr>
        <w:ind w:firstLine="709"/>
        <w:jc w:val="both"/>
        <w:rPr>
          <w:sz w:val="24"/>
        </w:rPr>
      </w:pPr>
      <w:r w:rsidRPr="00EF6D51">
        <w:rPr>
          <w:sz w:val="24"/>
        </w:rPr>
        <w:t xml:space="preserve">Būvniecības nozarē lielākoties darbojas mikro uzņēmumi (vidēji 86% 2011.-2020.gadā) (skat. </w:t>
      </w:r>
      <w:r w:rsidR="00AC5E65">
        <w:rPr>
          <w:sz w:val="24"/>
        </w:rPr>
        <w:t>7</w:t>
      </w:r>
      <w:r w:rsidRPr="00EF6D51">
        <w:rPr>
          <w:sz w:val="24"/>
        </w:rPr>
        <w:t xml:space="preserve">.a attēlu), kuri 2020. gadā guva peļņu vidēji 3,29 tūkst. EUR uz vienu uzņēmumu (skat. </w:t>
      </w:r>
      <w:r w:rsidR="00AC5E65">
        <w:rPr>
          <w:sz w:val="24"/>
        </w:rPr>
        <w:t>7</w:t>
      </w:r>
      <w:r w:rsidRPr="00EF6D51">
        <w:rPr>
          <w:sz w:val="24"/>
        </w:rPr>
        <w:t xml:space="preserve">.b attēlu). Ievērojami vairāk pelnīja mazie uzņēmumi – vidēji 61,14 tūkst. EUR un vidējie uzņēmumi - vidēji 394,33 tūkst. EUR </w:t>
      </w:r>
      <w:r>
        <w:rPr>
          <w:sz w:val="24"/>
        </w:rPr>
        <w:t xml:space="preserve">uz vienu uzņēmumu </w:t>
      </w:r>
      <w:r w:rsidRPr="00EF6D51">
        <w:rPr>
          <w:sz w:val="24"/>
        </w:rPr>
        <w:t xml:space="preserve">2020. gadā. Savukārt, lielie uzņēmumi, kas Latvijas būvniecības nozarē veido nepilnu 1% </w:t>
      </w:r>
      <w:r>
        <w:rPr>
          <w:sz w:val="24"/>
        </w:rPr>
        <w:t xml:space="preserve">no kopējā uzņēmumu skaita, </w:t>
      </w:r>
      <w:r w:rsidRPr="00EF6D51">
        <w:rPr>
          <w:sz w:val="24"/>
        </w:rPr>
        <w:t>2020. gad</w:t>
      </w:r>
      <w:r>
        <w:rPr>
          <w:sz w:val="24"/>
        </w:rPr>
        <w:t>ā nopelnīja v</w:t>
      </w:r>
      <w:r w:rsidRPr="00EF6D51">
        <w:rPr>
          <w:sz w:val="24"/>
        </w:rPr>
        <w:t>idēji 1,29 milj. EUR</w:t>
      </w:r>
      <w:r>
        <w:rPr>
          <w:sz w:val="24"/>
        </w:rPr>
        <w:t xml:space="preserve"> uz vienu uzņēmumu</w:t>
      </w:r>
      <w:r w:rsidRPr="00EF6D51">
        <w:rPr>
          <w:sz w:val="24"/>
        </w:rPr>
        <w:t xml:space="preserve">. </w:t>
      </w:r>
      <w:r>
        <w:rPr>
          <w:sz w:val="24"/>
        </w:rPr>
        <w:t>Finansiāli ne pārāk ietilpīgu p</w:t>
      </w:r>
      <w:r w:rsidRPr="00EF6D51">
        <w:rPr>
          <w:sz w:val="24"/>
        </w:rPr>
        <w:t>ublisk</w:t>
      </w:r>
      <w:r>
        <w:rPr>
          <w:sz w:val="24"/>
        </w:rPr>
        <w:t>u</w:t>
      </w:r>
      <w:r w:rsidRPr="00EF6D51">
        <w:rPr>
          <w:sz w:val="24"/>
        </w:rPr>
        <w:t xml:space="preserve"> būvdarbu sadārdzinājum</w:t>
      </w:r>
      <w:r>
        <w:rPr>
          <w:sz w:val="24"/>
        </w:rPr>
        <w:t>a kreditēšanu</w:t>
      </w:r>
      <w:r w:rsidRPr="00EF6D51">
        <w:rPr>
          <w:sz w:val="24"/>
        </w:rPr>
        <w:t xml:space="preserve"> </w:t>
      </w:r>
      <w:r>
        <w:rPr>
          <w:sz w:val="24"/>
        </w:rPr>
        <w:t xml:space="preserve">no saviem finanšu resursiem īslaicīgā laika periodā </w:t>
      </w:r>
      <w:r w:rsidRPr="00EF6D51">
        <w:rPr>
          <w:sz w:val="24"/>
        </w:rPr>
        <w:t xml:space="preserve">un savas uzņēmējdarbības </w:t>
      </w:r>
      <w:r>
        <w:rPr>
          <w:sz w:val="24"/>
        </w:rPr>
        <w:t xml:space="preserve">nepārtrauktību </w:t>
      </w:r>
      <w:r w:rsidRPr="00EF6D51">
        <w:rPr>
          <w:sz w:val="24"/>
        </w:rPr>
        <w:t xml:space="preserve">būtu spējīgi </w:t>
      </w:r>
      <w:r>
        <w:rPr>
          <w:sz w:val="24"/>
        </w:rPr>
        <w:t>nodrošināt</w:t>
      </w:r>
      <w:r w:rsidRPr="00EF6D51">
        <w:rPr>
          <w:sz w:val="24"/>
        </w:rPr>
        <w:t xml:space="preserve"> </w:t>
      </w:r>
      <w:r>
        <w:rPr>
          <w:sz w:val="24"/>
        </w:rPr>
        <w:t xml:space="preserve">tikai </w:t>
      </w:r>
      <w:r w:rsidRPr="00EF6D51">
        <w:rPr>
          <w:sz w:val="24"/>
        </w:rPr>
        <w:t xml:space="preserve">lielie </w:t>
      </w:r>
      <w:r>
        <w:rPr>
          <w:sz w:val="24"/>
        </w:rPr>
        <w:t xml:space="preserve">un vidējie būvniecības </w:t>
      </w:r>
      <w:r w:rsidRPr="00EF6D51">
        <w:rPr>
          <w:sz w:val="24"/>
        </w:rPr>
        <w:t>uzņēmumi</w:t>
      </w:r>
      <w:r>
        <w:rPr>
          <w:sz w:val="24"/>
        </w:rPr>
        <w:t>, pie nosacījuma, ka uzņēmumu finansiālā situācija 2022.</w:t>
      </w:r>
      <w:r w:rsidR="00097F81">
        <w:rPr>
          <w:sz w:val="24"/>
        </w:rPr>
        <w:t xml:space="preserve"> </w:t>
      </w:r>
      <w:r>
        <w:rPr>
          <w:sz w:val="24"/>
        </w:rPr>
        <w:t>gadā būtiski neatšķirtos no situācijas 2020.</w:t>
      </w:r>
      <w:r w:rsidR="00097F81">
        <w:rPr>
          <w:sz w:val="24"/>
        </w:rPr>
        <w:t xml:space="preserve"> </w:t>
      </w:r>
      <w:r>
        <w:rPr>
          <w:sz w:val="24"/>
        </w:rPr>
        <w:t>gadā.</w:t>
      </w:r>
    </w:p>
    <w:p w14:paraId="5F21A8F3" w14:textId="77777777" w:rsidR="001F2654" w:rsidRPr="00E445CA" w:rsidRDefault="001F2654" w:rsidP="001F2654">
      <w:pPr>
        <w:spacing w:before="120"/>
        <w:jc w:val="center"/>
        <w:rPr>
          <w:sz w:val="24"/>
        </w:rPr>
      </w:pPr>
      <w:r>
        <w:rPr>
          <w:noProof/>
        </w:rPr>
        <w:drawing>
          <wp:inline distT="0" distB="0" distL="0" distR="0" wp14:anchorId="12A26D37" wp14:editId="015E9E33">
            <wp:extent cx="5657850" cy="2317522"/>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24862" cy="2385932"/>
                    </a:xfrm>
                    <a:prstGeom prst="rect">
                      <a:avLst/>
                    </a:prstGeom>
                  </pic:spPr>
                </pic:pic>
              </a:graphicData>
            </a:graphic>
          </wp:inline>
        </w:drawing>
      </w:r>
    </w:p>
    <w:p w14:paraId="295B5590" w14:textId="77777777" w:rsidR="001F2654" w:rsidRPr="00A64815" w:rsidRDefault="001F2654" w:rsidP="001F2654">
      <w:pPr>
        <w:pStyle w:val="ListParagraph"/>
        <w:numPr>
          <w:ilvl w:val="0"/>
          <w:numId w:val="25"/>
        </w:numPr>
        <w:tabs>
          <w:tab w:val="left" w:pos="284"/>
        </w:tabs>
        <w:spacing w:before="120"/>
        <w:ind w:left="0" w:firstLine="0"/>
        <w:jc w:val="center"/>
        <w:rPr>
          <w:sz w:val="24"/>
        </w:rPr>
      </w:pPr>
      <w:r w:rsidRPr="00A64815">
        <w:rPr>
          <w:sz w:val="24"/>
        </w:rPr>
        <w:t>attēls. Uzņēmumi pēc lieluma un to tīrā (neto) peļņa Latvijas būvniecības nozarē 2011.-2020. gadā (skaits, EUR)</w:t>
      </w:r>
    </w:p>
    <w:p w14:paraId="2FEE3348" w14:textId="77777777" w:rsidR="001F2654" w:rsidRPr="0061192D" w:rsidRDefault="001F2654" w:rsidP="001F2654">
      <w:pPr>
        <w:spacing w:before="120"/>
        <w:jc w:val="both"/>
        <w:rPr>
          <w:sz w:val="20"/>
          <w:szCs w:val="20"/>
        </w:rPr>
      </w:pPr>
      <w:r w:rsidRPr="0061192D">
        <w:rPr>
          <w:sz w:val="20"/>
          <w:szCs w:val="20"/>
        </w:rPr>
        <w:t>Piezīme: Dati par 202</w:t>
      </w:r>
      <w:r>
        <w:rPr>
          <w:sz w:val="20"/>
          <w:szCs w:val="20"/>
        </w:rPr>
        <w:t>0</w:t>
      </w:r>
      <w:r w:rsidRPr="0061192D">
        <w:rPr>
          <w:sz w:val="20"/>
          <w:szCs w:val="20"/>
        </w:rPr>
        <w:t>. gadu provizoriski</w:t>
      </w:r>
      <w:r>
        <w:rPr>
          <w:sz w:val="20"/>
          <w:szCs w:val="20"/>
        </w:rPr>
        <w:t xml:space="preserve">, bet dati par </w:t>
      </w:r>
      <w:r w:rsidRPr="0061192D">
        <w:rPr>
          <w:sz w:val="20"/>
          <w:szCs w:val="20"/>
        </w:rPr>
        <w:t>2021. gadu</w:t>
      </w:r>
      <w:r>
        <w:rPr>
          <w:sz w:val="20"/>
          <w:szCs w:val="20"/>
        </w:rPr>
        <w:t xml:space="preserve"> nav vēl p</w:t>
      </w:r>
      <w:r w:rsidRPr="0061192D">
        <w:rPr>
          <w:sz w:val="20"/>
          <w:szCs w:val="20"/>
        </w:rPr>
        <w:t>ieejami.</w:t>
      </w:r>
    </w:p>
    <w:p w14:paraId="60320CF3" w14:textId="77777777" w:rsidR="001F2654" w:rsidRPr="00E445CA" w:rsidRDefault="001F2654" w:rsidP="001F2654">
      <w:pPr>
        <w:spacing w:before="120"/>
        <w:jc w:val="both"/>
        <w:rPr>
          <w:sz w:val="20"/>
          <w:szCs w:val="20"/>
        </w:rPr>
      </w:pPr>
      <w:r w:rsidRPr="00E445CA">
        <w:rPr>
          <w:sz w:val="20"/>
          <w:szCs w:val="20"/>
        </w:rPr>
        <w:t>Datu avots: aprēķināts un izveidots pēc CSP datiem.</w:t>
      </w:r>
    </w:p>
    <w:p w14:paraId="39EBB3EF" w14:textId="77777777" w:rsidR="001F2654" w:rsidRDefault="001F2654" w:rsidP="001F2654">
      <w:pPr>
        <w:pStyle w:val="Default"/>
        <w:shd w:val="clear" w:color="auto" w:fill="FFFFFF" w:themeFill="background1"/>
        <w:ind w:firstLine="709"/>
        <w:jc w:val="both"/>
      </w:pPr>
      <w:r w:rsidRPr="005E6CBD">
        <w:lastRenderedPageBreak/>
        <w:t>Pastāv būtisks risks, ka jaunajos publisk</w:t>
      </w:r>
      <w:r>
        <w:t>aj</w:t>
      </w:r>
      <w:r w:rsidRPr="005E6CBD">
        <w:t xml:space="preserve">os iepirkumos būvniecības uzņēmumi nevarēs nodrošināt agrākos periodos definētās un prasītās banku un apdrošināšanas polišu būvdarbu līgumu izpildes un laika garantijas, kā rezultātā jaunajos publiskajos </w:t>
      </w:r>
      <w:r>
        <w:t>iepirkumos</w:t>
      </w:r>
      <w:r w:rsidRPr="005E6CBD">
        <w:t xml:space="preserve"> būs mazāka konkurence un turpināsies cenu kāpums.</w:t>
      </w:r>
      <w:r>
        <w:t xml:space="preserve"> </w:t>
      </w:r>
    </w:p>
    <w:p w14:paraId="21F1B526" w14:textId="6975F68C" w:rsidR="005D7AB9" w:rsidRPr="005D7AB9" w:rsidRDefault="007C3E1E" w:rsidP="005D7AB9">
      <w:pPr>
        <w:pStyle w:val="ListParagraph"/>
        <w:numPr>
          <w:ilvl w:val="0"/>
          <w:numId w:val="32"/>
        </w:numPr>
        <w:spacing w:before="240" w:after="120"/>
        <w:ind w:left="284" w:hanging="284"/>
        <w:jc w:val="both"/>
        <w:rPr>
          <w:b/>
          <w:bCs/>
          <w:color w:val="0099CC"/>
          <w:sz w:val="24"/>
        </w:rPr>
      </w:pPr>
      <w:r w:rsidRPr="005D7AB9">
        <w:rPr>
          <w:b/>
          <w:bCs/>
          <w:color w:val="0099CC"/>
          <w:sz w:val="24"/>
        </w:rPr>
        <w:t xml:space="preserve">Vadlīniju piemērošana sadārdzinājuma novērtēšanai publisko būvdarbu līgumu </w:t>
      </w:r>
      <w:r w:rsidR="005D7AB9" w:rsidRPr="005D7AB9">
        <w:rPr>
          <w:b/>
          <w:bCs/>
          <w:color w:val="0099CC"/>
          <w:sz w:val="24"/>
        </w:rPr>
        <w:t xml:space="preserve">ietvaros </w:t>
      </w:r>
      <w:r w:rsidRPr="005D7AB9">
        <w:rPr>
          <w:b/>
          <w:bCs/>
          <w:color w:val="0099CC"/>
          <w:sz w:val="24"/>
        </w:rPr>
        <w:t>Krievijas uzsāktās karadarbības dēļ Ukrainā un situācijas uzlabošanai Latvijas būvniecības nozarē</w:t>
      </w:r>
      <w:r w:rsidR="005D7AB9" w:rsidRPr="005D7AB9">
        <w:rPr>
          <w:b/>
          <w:bCs/>
          <w:color w:val="0099CC"/>
          <w:sz w:val="24"/>
        </w:rPr>
        <w:t xml:space="preserve"> </w:t>
      </w:r>
      <w:r w:rsidR="00A35937" w:rsidRPr="005D7AB9">
        <w:rPr>
          <w:b/>
          <w:bCs/>
          <w:color w:val="0099CC"/>
          <w:sz w:val="24"/>
        </w:rPr>
        <w:t>un valsts atbalsts publisko infrastruktūras projektu sekmīgai vadīšanai</w:t>
      </w:r>
    </w:p>
    <w:p w14:paraId="2B816BC6" w14:textId="0E9A175B" w:rsidR="007C3E1E" w:rsidRPr="000F0902" w:rsidRDefault="000F6B54" w:rsidP="007C3E1E">
      <w:pPr>
        <w:pStyle w:val="ListParagraph"/>
        <w:numPr>
          <w:ilvl w:val="1"/>
          <w:numId w:val="32"/>
        </w:numPr>
        <w:spacing w:before="240" w:after="120"/>
        <w:ind w:left="777"/>
        <w:contextualSpacing w:val="0"/>
        <w:jc w:val="both"/>
        <w:rPr>
          <w:color w:val="0099CC"/>
          <w:sz w:val="24"/>
        </w:rPr>
      </w:pPr>
      <w:r>
        <w:rPr>
          <w:color w:val="0099CC"/>
          <w:sz w:val="24"/>
        </w:rPr>
        <w:t>Vadlīnijas sadārdzinājuma novērtēšanai</w:t>
      </w:r>
    </w:p>
    <w:p w14:paraId="7F0AD460" w14:textId="3F4EC198" w:rsidR="00B63F5A" w:rsidRDefault="003B0A52" w:rsidP="003F44F4">
      <w:pPr>
        <w:ind w:firstLine="709"/>
        <w:jc w:val="both"/>
        <w:rPr>
          <w:sz w:val="24"/>
        </w:rPr>
      </w:pPr>
      <w:r w:rsidRPr="00FB42B1">
        <w:rPr>
          <w:sz w:val="24"/>
        </w:rPr>
        <w:t>Pasūtītājiem šobrīd nav pietiekama</w:t>
      </w:r>
      <w:r w:rsidR="0033186B" w:rsidRPr="00FB42B1">
        <w:rPr>
          <w:sz w:val="24"/>
        </w:rPr>
        <w:t>s</w:t>
      </w:r>
      <w:r w:rsidRPr="00FB42B1">
        <w:rPr>
          <w:sz w:val="24"/>
        </w:rPr>
        <w:t xml:space="preserve"> izpratne</w:t>
      </w:r>
      <w:r w:rsidR="0033186B" w:rsidRPr="00FB42B1">
        <w:rPr>
          <w:sz w:val="24"/>
        </w:rPr>
        <w:t>s</w:t>
      </w:r>
      <w:r w:rsidRPr="00FB42B1">
        <w:rPr>
          <w:sz w:val="24"/>
        </w:rPr>
        <w:t xml:space="preserve"> par </w:t>
      </w:r>
      <w:r w:rsidR="00486B5F" w:rsidRPr="00FB42B1">
        <w:rPr>
          <w:sz w:val="24"/>
        </w:rPr>
        <w:t xml:space="preserve">būvdarbu </w:t>
      </w:r>
      <w:r w:rsidRPr="00FB42B1">
        <w:rPr>
          <w:sz w:val="24"/>
        </w:rPr>
        <w:t xml:space="preserve">sadārdzinājuma kompensēšanas pieļaujamību, sadārdzinājuma aprēķināšanas metodiku, kā arī sadārdzinājuma kompensēšanas kārtību un noteikumiem. </w:t>
      </w:r>
      <w:r w:rsidR="00FB42B1" w:rsidRPr="00FB42B1">
        <w:rPr>
          <w:sz w:val="24"/>
        </w:rPr>
        <w:t xml:space="preserve">Lai veicinātu efektīvu un jēgpilnu publisko būvdarbu līgumu vadību, </w:t>
      </w:r>
      <w:r w:rsidR="00486B5F" w:rsidRPr="00FB42B1">
        <w:rPr>
          <w:sz w:val="24"/>
        </w:rPr>
        <w:t>Ekonomikas ministrija</w:t>
      </w:r>
      <w:r w:rsidR="00486B5F" w:rsidRPr="00FB42B1">
        <w:rPr>
          <w:sz w:val="24"/>
          <w:shd w:val="clear" w:color="auto" w:fill="FFFFFF"/>
        </w:rPr>
        <w:t xml:space="preserve"> ir iz</w:t>
      </w:r>
      <w:r w:rsidR="00486B5F" w:rsidRPr="00E445CA">
        <w:rPr>
          <w:sz w:val="24"/>
          <w:shd w:val="clear" w:color="auto" w:fill="FFFFFF"/>
        </w:rPr>
        <w:t xml:space="preserve">strādājusi </w:t>
      </w:r>
      <w:r w:rsidR="00BE2823" w:rsidRPr="008F08F5">
        <w:rPr>
          <w:i/>
          <w:iCs/>
          <w:sz w:val="24"/>
        </w:rPr>
        <w:t>vadlīnijas būvmateriālu izmaksu sadārdzinājuma novērtēšanai sakarā ar Krievijas militāro agresiju Ukrainā grozījumu veikšanai spēkā esošajos publiskajos būvdarbu līgumos attiecībā uz ēku būvniecību</w:t>
      </w:r>
      <w:r w:rsidR="00BE2823">
        <w:rPr>
          <w:rStyle w:val="FootnoteReference"/>
          <w:sz w:val="24"/>
        </w:rPr>
        <w:footnoteReference w:id="2"/>
      </w:r>
      <w:r w:rsidR="000974BB">
        <w:rPr>
          <w:sz w:val="24"/>
        </w:rPr>
        <w:t xml:space="preserve"> un </w:t>
      </w:r>
      <w:r w:rsidR="00C67C62" w:rsidRPr="00E445CA">
        <w:rPr>
          <w:sz w:val="24"/>
        </w:rPr>
        <w:t>Satiksme</w:t>
      </w:r>
      <w:r w:rsidR="00C67C62">
        <w:rPr>
          <w:sz w:val="24"/>
        </w:rPr>
        <w:t>s</w:t>
      </w:r>
      <w:r w:rsidR="00C67C62" w:rsidRPr="00E445CA">
        <w:rPr>
          <w:sz w:val="24"/>
        </w:rPr>
        <w:t xml:space="preserve"> ministrijas pārraudzībā esošā kapitālsabiedrība VSIA “Latvijas Valsts ceļi” </w:t>
      </w:r>
      <w:r w:rsidR="00C67C62" w:rsidRPr="00E445CA">
        <w:rPr>
          <w:color w:val="000000" w:themeColor="text1"/>
          <w:sz w:val="24"/>
        </w:rPr>
        <w:t xml:space="preserve">sadarbībā ar ceļu būvniecības nozari ir izstrādājušas </w:t>
      </w:r>
      <w:r w:rsidR="00C67C62" w:rsidRPr="00E445CA">
        <w:rPr>
          <w:sz w:val="24"/>
        </w:rPr>
        <w:t xml:space="preserve">līgumcenas pārrēķināšanas metodi tipveida līgumiem autoceļu būvdarbos </w:t>
      </w:r>
      <w:r w:rsidR="00C67C62" w:rsidRPr="00715F52">
        <w:rPr>
          <w:i/>
          <w:iCs/>
          <w:color w:val="000000" w:themeColor="text1"/>
          <w:sz w:val="24"/>
        </w:rPr>
        <w:t>“Būvdarbu līguma vienības cenu pārrēķina metode”</w:t>
      </w:r>
      <w:r w:rsidR="00C67C62" w:rsidRPr="00E445CA">
        <w:rPr>
          <w:rStyle w:val="FootnoteReference"/>
          <w:sz w:val="24"/>
        </w:rPr>
        <w:footnoteReference w:id="3"/>
      </w:r>
      <w:r w:rsidR="000974BB">
        <w:rPr>
          <w:sz w:val="24"/>
        </w:rPr>
        <w:t xml:space="preserve">, </w:t>
      </w:r>
      <w:r w:rsidR="000974BB" w:rsidRPr="009517F1">
        <w:rPr>
          <w:sz w:val="24"/>
        </w:rPr>
        <w:t xml:space="preserve">kas paredz sadārdzinājuma novērtēšanu spēkā esošajos būvdarbu līgumos. </w:t>
      </w:r>
      <w:r w:rsidR="00C67C62">
        <w:rPr>
          <w:sz w:val="24"/>
        </w:rPr>
        <w:t xml:space="preserve">Papildus </w:t>
      </w:r>
      <w:r w:rsidR="00C67C62" w:rsidRPr="00FB42B1">
        <w:rPr>
          <w:sz w:val="24"/>
        </w:rPr>
        <w:t>Ekonomikas ministrija</w:t>
      </w:r>
      <w:r w:rsidR="00C67C62" w:rsidRPr="00FB42B1">
        <w:rPr>
          <w:sz w:val="24"/>
          <w:shd w:val="clear" w:color="auto" w:fill="FFFFFF"/>
        </w:rPr>
        <w:t xml:space="preserve"> ir iz</w:t>
      </w:r>
      <w:r w:rsidR="00C67C62" w:rsidRPr="00E445CA">
        <w:rPr>
          <w:sz w:val="24"/>
          <w:shd w:val="clear" w:color="auto" w:fill="FFFFFF"/>
        </w:rPr>
        <w:t>strādājusi</w:t>
      </w:r>
      <w:r w:rsidR="00C67C62">
        <w:rPr>
          <w:sz w:val="24"/>
          <w:shd w:val="clear" w:color="auto" w:fill="FFFFFF"/>
        </w:rPr>
        <w:t xml:space="preserve"> </w:t>
      </w:r>
      <w:r w:rsidR="00212D5F" w:rsidRPr="008F08F5">
        <w:rPr>
          <w:i/>
          <w:iCs/>
          <w:sz w:val="24"/>
        </w:rPr>
        <w:t>v</w:t>
      </w:r>
      <w:r w:rsidR="00486B5F" w:rsidRPr="008F08F5">
        <w:rPr>
          <w:i/>
          <w:iCs/>
          <w:sz w:val="24"/>
          <w:shd w:val="clear" w:color="auto" w:fill="FFFFFF"/>
        </w:rPr>
        <w:t xml:space="preserve">adlīnijas būvdarbu līguma </w:t>
      </w:r>
      <w:r w:rsidR="00486B5F" w:rsidRPr="008F08F5">
        <w:rPr>
          <w:i/>
          <w:iCs/>
          <w:color w:val="000000"/>
          <w:sz w:val="24"/>
          <w:shd w:val="clear" w:color="auto" w:fill="FFFFFF"/>
        </w:rPr>
        <w:t xml:space="preserve">cenas indeksācijai </w:t>
      </w:r>
      <w:r w:rsidR="00486B5F" w:rsidRPr="008F08F5">
        <w:rPr>
          <w:i/>
          <w:iCs/>
          <w:sz w:val="24"/>
        </w:rPr>
        <w:t>no jauna slēdzamajos publiskajos būvdarbu līgumos</w:t>
      </w:r>
      <w:r w:rsidR="008F08F5" w:rsidRPr="00E445CA">
        <w:rPr>
          <w:rStyle w:val="FootnoteReference"/>
          <w:sz w:val="24"/>
        </w:rPr>
        <w:footnoteReference w:id="4"/>
      </w:r>
      <w:r w:rsidR="00486B5F" w:rsidRPr="00E445CA">
        <w:rPr>
          <w:sz w:val="24"/>
        </w:rPr>
        <w:t>,</w:t>
      </w:r>
      <w:r w:rsidR="00C67C62">
        <w:rPr>
          <w:sz w:val="24"/>
        </w:rPr>
        <w:t xml:space="preserve"> kas pieejamas ministrijas portāla tīmekļvietnē.</w:t>
      </w:r>
      <w:r w:rsidR="00486B5F" w:rsidRPr="00E445CA">
        <w:rPr>
          <w:sz w:val="24"/>
        </w:rPr>
        <w:t xml:space="preserve"> </w:t>
      </w:r>
      <w:r w:rsidR="00A652FC" w:rsidRPr="00E445CA">
        <w:rPr>
          <w:sz w:val="24"/>
        </w:rPr>
        <w:t xml:space="preserve">Vadlīnijas būvdarbu līguma cenas pārskatīšanai ir efektīvs instruments riska, kas ir saistīts ar būvdarbu izmaksu </w:t>
      </w:r>
      <w:r w:rsidR="00510E1C">
        <w:rPr>
          <w:sz w:val="24"/>
        </w:rPr>
        <w:t>svārstībām</w:t>
      </w:r>
      <w:r w:rsidR="00A652FC" w:rsidRPr="00E445CA">
        <w:rPr>
          <w:sz w:val="24"/>
        </w:rPr>
        <w:t>, pārvaldībai būvdarbu līgumos. Regulējuma par būvdarbu līgumu cenas sadārdzinājuma novērtēšanu un indeksāciju iekļaušana būvdarbu līgumos ļaus līgumslēdzējpusēm elastīgi pielāgoties būvdarbu tirgus svārstībām.</w:t>
      </w:r>
    </w:p>
    <w:p w14:paraId="5EBC82D6" w14:textId="7617AE35" w:rsidR="003B0A52" w:rsidRPr="00E445CA" w:rsidRDefault="00491B8D" w:rsidP="002E7743">
      <w:pPr>
        <w:ind w:firstLine="709"/>
        <w:jc w:val="both"/>
        <w:rPr>
          <w:sz w:val="24"/>
        </w:rPr>
      </w:pPr>
      <w:r w:rsidRPr="00E445CA">
        <w:rPr>
          <w:sz w:val="24"/>
        </w:rPr>
        <w:t xml:space="preserve">Ekonomikas ministrijas izstrādātās </w:t>
      </w:r>
      <w:r w:rsidR="008F17CB" w:rsidRPr="008F17CB">
        <w:rPr>
          <w:b/>
          <w:bCs/>
          <w:sz w:val="24"/>
        </w:rPr>
        <w:t>vadlīnijas būvmateriālu izmaksu sadārdzinājuma novērtēšanai sakarā ar Krievijas militāro agresiju Ukrainā grozījumu veikšanai spēkā esošajos publiskajos būvdarbu līgumos attiecībā uz ēku būvniecību</w:t>
      </w:r>
      <w:r w:rsidRPr="00E445CA">
        <w:rPr>
          <w:sz w:val="24"/>
        </w:rPr>
        <w:t xml:space="preserve"> balstītas uz m</w:t>
      </w:r>
      <w:r w:rsidR="00E5536A" w:rsidRPr="00E445CA">
        <w:rPr>
          <w:sz w:val="24"/>
        </w:rPr>
        <w:t xml:space="preserve">inistrijas informatīvo ziņojumu </w:t>
      </w:r>
      <w:r w:rsidR="00E5536A" w:rsidRPr="00E445CA">
        <w:rPr>
          <w:i/>
          <w:iCs/>
          <w:sz w:val="24"/>
        </w:rPr>
        <w:t xml:space="preserve">“Par situāciju būvniecības nozarē saistībā ar Krievijas agresiju Ukrainā un nepieciešamajiem risinājumiem publisko investīciju projektos” </w:t>
      </w:r>
      <w:r w:rsidR="00E5536A" w:rsidRPr="00E445CA">
        <w:rPr>
          <w:sz w:val="24"/>
        </w:rPr>
        <w:t>(TAP 22-TA-938, apstiprināts Ministru kabineta 2022.</w:t>
      </w:r>
      <w:r w:rsidR="00097F81">
        <w:rPr>
          <w:sz w:val="24"/>
        </w:rPr>
        <w:t xml:space="preserve"> </w:t>
      </w:r>
      <w:r w:rsidR="00E5536A" w:rsidRPr="00E445CA">
        <w:rPr>
          <w:sz w:val="24"/>
        </w:rPr>
        <w:t>gada 5.</w:t>
      </w:r>
      <w:r w:rsidR="00097F81">
        <w:rPr>
          <w:sz w:val="24"/>
        </w:rPr>
        <w:t xml:space="preserve"> </w:t>
      </w:r>
      <w:r w:rsidR="00E5536A" w:rsidRPr="00E445CA">
        <w:rPr>
          <w:sz w:val="24"/>
        </w:rPr>
        <w:t>aprīļa sēdē, protokols Nr.19,  43.§, darba kārtības jautājums 4.4)</w:t>
      </w:r>
      <w:r w:rsidR="00E5536A" w:rsidRPr="00E445CA">
        <w:rPr>
          <w:rStyle w:val="FootnoteReference"/>
          <w:sz w:val="24"/>
        </w:rPr>
        <w:footnoteReference w:id="5"/>
      </w:r>
      <w:r w:rsidR="00E5536A" w:rsidRPr="00E445CA">
        <w:rPr>
          <w:sz w:val="24"/>
        </w:rPr>
        <w:t>, kurā norādīta Krievijas uzsāktās karadarbības Ukrainā tiešā ietekme uz būvmateriālu sadārdzinājumu un piegādes traucējumiem.</w:t>
      </w:r>
      <w:r w:rsidR="002E7743">
        <w:rPr>
          <w:sz w:val="24"/>
        </w:rPr>
        <w:t xml:space="preserve"> V</w:t>
      </w:r>
      <w:r w:rsidR="005C0F85" w:rsidRPr="005C0F85">
        <w:rPr>
          <w:sz w:val="24"/>
        </w:rPr>
        <w:t xml:space="preserve">adlīnijas </w:t>
      </w:r>
      <w:r w:rsidR="008D5910" w:rsidRPr="00E445CA">
        <w:rPr>
          <w:sz w:val="24"/>
        </w:rPr>
        <w:t xml:space="preserve">piedāvā vienotu metodiku </w:t>
      </w:r>
      <w:r w:rsidR="008D5910">
        <w:rPr>
          <w:sz w:val="24"/>
        </w:rPr>
        <w:t xml:space="preserve">un </w:t>
      </w:r>
      <w:r w:rsidR="005C0F85">
        <w:rPr>
          <w:sz w:val="24"/>
        </w:rPr>
        <w:t xml:space="preserve">norāda uz faktoriem, </w:t>
      </w:r>
      <w:r w:rsidR="005C0F85" w:rsidRPr="005C0F85">
        <w:rPr>
          <w:sz w:val="24"/>
        </w:rPr>
        <w:t xml:space="preserve">kas būtu </w:t>
      </w:r>
      <w:r w:rsidR="008D5910" w:rsidRPr="00E445CA">
        <w:rPr>
          <w:sz w:val="24"/>
        </w:rPr>
        <w:t>vērā ņemami, vienojoties par būvmateriālu sadārdzinājuma kompensēšanu</w:t>
      </w:r>
      <w:r w:rsidR="008D5910">
        <w:rPr>
          <w:sz w:val="24"/>
        </w:rPr>
        <w:t xml:space="preserve"> un </w:t>
      </w:r>
      <w:r w:rsidR="002E7743">
        <w:rPr>
          <w:sz w:val="24"/>
        </w:rPr>
        <w:t>grozījumu veikšanu</w:t>
      </w:r>
      <w:r w:rsidR="008D5910" w:rsidRPr="005C0F85">
        <w:rPr>
          <w:sz w:val="24"/>
        </w:rPr>
        <w:t xml:space="preserve"> spēkā esošajos publiskajos būvdarbu līgumos</w:t>
      </w:r>
      <w:r w:rsidR="008D5910">
        <w:rPr>
          <w:sz w:val="24"/>
        </w:rPr>
        <w:t xml:space="preserve">. </w:t>
      </w:r>
      <w:r w:rsidR="005C0F85" w:rsidRPr="005C0F85">
        <w:rPr>
          <w:sz w:val="24"/>
        </w:rPr>
        <w:t>Būvdarbos iesaistītās puses varēs izmantot šajās vadlīnijās ietvertos principus, taču grozījumu pieļaujamība un grozījumu tvērums būtu vērtējami atsevišķi, ņemot vērā normatīvo aktu prasības publisko iepirkumu jomā, kā arī atbalsta nosacījumus, ja būvniecība tiek līdzfinansēta ES fondu ietvaros.</w:t>
      </w:r>
      <w:r w:rsidR="008D5910">
        <w:rPr>
          <w:sz w:val="24"/>
        </w:rPr>
        <w:t xml:space="preserve"> </w:t>
      </w:r>
      <w:r w:rsidR="003B0A52" w:rsidRPr="00E445CA">
        <w:rPr>
          <w:sz w:val="24"/>
        </w:rPr>
        <w:t xml:space="preserve">Publisko būvdarbu līguma grozījumi ir veicami, pusēm </w:t>
      </w:r>
      <w:r w:rsidR="003B0A52" w:rsidRPr="00E445CA">
        <w:rPr>
          <w:sz w:val="24"/>
        </w:rPr>
        <w:lastRenderedPageBreak/>
        <w:t>savstarpēji vienojoties par solidāro sadārdzinājuma kompensēšanu, kas būtu efektīvs instruments publisko būvdarbu līguma vadībai un veiksmīgai pabeigšanai.</w:t>
      </w:r>
    </w:p>
    <w:p w14:paraId="58C6B2D5" w14:textId="77777777" w:rsidR="005101DF" w:rsidRPr="005101DF" w:rsidRDefault="00F37A60" w:rsidP="005101DF">
      <w:pPr>
        <w:ind w:firstLine="709"/>
        <w:jc w:val="both"/>
        <w:rPr>
          <w:color w:val="000000" w:themeColor="text1"/>
          <w:sz w:val="24"/>
        </w:rPr>
      </w:pPr>
      <w:r w:rsidRPr="00353EB3">
        <w:rPr>
          <w:sz w:val="24"/>
        </w:rPr>
        <w:t xml:space="preserve">VSIA “Latvijas Valsts ceļi” </w:t>
      </w:r>
      <w:r w:rsidRPr="00353EB3">
        <w:rPr>
          <w:color w:val="000000" w:themeColor="text1"/>
          <w:sz w:val="24"/>
        </w:rPr>
        <w:t xml:space="preserve">izstrādātā </w:t>
      </w:r>
      <w:r w:rsidRPr="00353EB3">
        <w:rPr>
          <w:b/>
          <w:bCs/>
          <w:sz w:val="24"/>
        </w:rPr>
        <w:t xml:space="preserve">metode tipveida līgumiem autoceļu būvdarbos </w:t>
      </w:r>
      <w:r w:rsidRPr="00353EB3">
        <w:rPr>
          <w:b/>
          <w:bCs/>
          <w:color w:val="000000" w:themeColor="text1"/>
          <w:sz w:val="24"/>
        </w:rPr>
        <w:t>“Būvdarbu līguma vienības cenu pārrēķina metode”</w:t>
      </w:r>
      <w:r w:rsidRPr="00353EB3">
        <w:rPr>
          <w:sz w:val="24"/>
        </w:rPr>
        <w:t xml:space="preserve"> </w:t>
      </w:r>
      <w:r w:rsidR="00FD7617" w:rsidRPr="00353EB3">
        <w:rPr>
          <w:color w:val="000000" w:themeColor="text1"/>
          <w:sz w:val="24"/>
        </w:rPr>
        <w:t>ir piemērojam</w:t>
      </w:r>
      <w:r w:rsidR="005D3EBC" w:rsidRPr="00353EB3">
        <w:rPr>
          <w:color w:val="000000" w:themeColor="text1"/>
          <w:sz w:val="24"/>
        </w:rPr>
        <w:t>a</w:t>
      </w:r>
      <w:r w:rsidR="00FD7617" w:rsidRPr="00353EB3">
        <w:rPr>
          <w:color w:val="000000" w:themeColor="text1"/>
          <w:sz w:val="24"/>
        </w:rPr>
        <w:t xml:space="preserve"> tikai tādā gadījumā,</w:t>
      </w:r>
      <w:r w:rsidR="00FD7617" w:rsidRPr="00E445CA">
        <w:rPr>
          <w:color w:val="000000" w:themeColor="text1"/>
          <w:sz w:val="24"/>
        </w:rPr>
        <w:t xml:space="preserve"> kad šāda piedāvātās cenas pārskatīšanas vajadzība, kas radusies saistībā ar karadarbību Ukrainā un pret Krieviju un </w:t>
      </w:r>
      <w:r w:rsidR="00FD7617" w:rsidRPr="005101DF">
        <w:rPr>
          <w:color w:val="000000" w:themeColor="text1"/>
          <w:sz w:val="24"/>
        </w:rPr>
        <w:t>Baltkrieviju ieviesto sankciju rezultātā patiesi pastāv, proti tā piemērojama, ja bez cenu pārskatīšanas nav iespējama līguma izpilde. Attiecīgi pasūtītājam katrā konkrētā gadījumā ir pienākums izvērtēt, vai iepirkuma līgums tā sākotnējā ietvarā ir izpildāms.</w:t>
      </w:r>
    </w:p>
    <w:p w14:paraId="39F99DD0" w14:textId="244D828E" w:rsidR="0026763A" w:rsidRDefault="004C0875" w:rsidP="007049A8">
      <w:pPr>
        <w:ind w:firstLine="709"/>
        <w:jc w:val="both"/>
        <w:rPr>
          <w:sz w:val="24"/>
        </w:rPr>
      </w:pPr>
      <w:r w:rsidRPr="005101DF">
        <w:rPr>
          <w:sz w:val="24"/>
        </w:rPr>
        <w:t xml:space="preserve">Lai mazinātu cenu svārstību negatīvās ietekmes riskus nākotnē, </w:t>
      </w:r>
      <w:r w:rsidR="004633DA" w:rsidRPr="005101DF">
        <w:rPr>
          <w:sz w:val="24"/>
        </w:rPr>
        <w:t>M</w:t>
      </w:r>
      <w:r w:rsidR="00510E1C">
        <w:rPr>
          <w:sz w:val="24"/>
        </w:rPr>
        <w:t>inistru kabineta 2022.</w:t>
      </w:r>
      <w:r w:rsidR="005857B1">
        <w:rPr>
          <w:sz w:val="24"/>
        </w:rPr>
        <w:t xml:space="preserve"> </w:t>
      </w:r>
      <w:r w:rsidR="00510E1C">
        <w:rPr>
          <w:sz w:val="24"/>
        </w:rPr>
        <w:t>gada 5.</w:t>
      </w:r>
      <w:r w:rsidR="005857B1">
        <w:rPr>
          <w:sz w:val="24"/>
        </w:rPr>
        <w:t xml:space="preserve"> </w:t>
      </w:r>
      <w:r w:rsidR="00510E1C">
        <w:rPr>
          <w:sz w:val="24"/>
        </w:rPr>
        <w:t>jūlija</w:t>
      </w:r>
      <w:r w:rsidR="004633DA" w:rsidRPr="005101DF">
        <w:rPr>
          <w:sz w:val="24"/>
        </w:rPr>
        <w:t xml:space="preserve"> noteikumi Nr. 419 </w:t>
      </w:r>
      <w:r w:rsidRPr="005101DF">
        <w:rPr>
          <w:sz w:val="24"/>
        </w:rPr>
        <w:t>“Noteikumi par publisko būvdarbu līgumos obligāti iekļaujamiem noteikumiem un to saturu</w:t>
      </w:r>
      <w:r w:rsidR="0040771A" w:rsidRPr="005101DF">
        <w:rPr>
          <w:sz w:val="24"/>
        </w:rPr>
        <w:t>”</w:t>
      </w:r>
      <w:r w:rsidR="00430D64" w:rsidRPr="005101DF">
        <w:rPr>
          <w:rStyle w:val="FootnoteReference"/>
          <w:sz w:val="24"/>
        </w:rPr>
        <w:footnoteReference w:id="6"/>
      </w:r>
      <w:r w:rsidRPr="005101DF">
        <w:rPr>
          <w:sz w:val="24"/>
        </w:rPr>
        <w:t>  paredz līgumcenas indeksācijas noteikumu</w:t>
      </w:r>
      <w:r w:rsidR="005101DF" w:rsidRPr="005101DF">
        <w:rPr>
          <w:sz w:val="24"/>
        </w:rPr>
        <w:t>s p</w:t>
      </w:r>
      <w:r w:rsidRPr="005101DF">
        <w:rPr>
          <w:sz w:val="24"/>
        </w:rPr>
        <w:t xml:space="preserve">ubliskajos būvdarbu līgumos. Lai sniegtu metodisku palīdzību pasūtītājiem līgumcenas indeksācijas modeļa izvēlē, Ekonomikas ministrija sadarbībā ar nozares profesionālām organizācijām ir izstrādājusi </w:t>
      </w:r>
      <w:r w:rsidRPr="005101DF">
        <w:rPr>
          <w:b/>
          <w:bCs/>
          <w:sz w:val="24"/>
        </w:rPr>
        <w:t xml:space="preserve">vadlīnijas būvdarbu līguma cenas indeksācijai no jauna slēdzamajos publiskajos būvdarbu </w:t>
      </w:r>
      <w:r w:rsidR="0097479C" w:rsidRPr="005101DF">
        <w:rPr>
          <w:b/>
          <w:bCs/>
          <w:sz w:val="24"/>
        </w:rPr>
        <w:t>līgumos</w:t>
      </w:r>
      <w:r w:rsidRPr="005101DF">
        <w:rPr>
          <w:sz w:val="24"/>
        </w:rPr>
        <w:t xml:space="preserve">. Minētās vadlīnijas ir izstrādātas, ņemot vērā, ka </w:t>
      </w:r>
      <w:r w:rsidR="005101DF">
        <w:rPr>
          <w:sz w:val="24"/>
        </w:rPr>
        <w:t>attiecīgie MK noteikumi</w:t>
      </w:r>
      <w:r w:rsidRPr="005101DF">
        <w:rPr>
          <w:sz w:val="24"/>
        </w:rPr>
        <w:t xml:space="preserve"> paredz pienākumu iekļaut publiskajā būvdarbu līgumā noteikumus</w:t>
      </w:r>
      <w:r w:rsidRPr="0097479C">
        <w:rPr>
          <w:sz w:val="24"/>
        </w:rPr>
        <w:t xml:space="preserve"> par cenu indeksāciju, bet neparedz indeksācijas nosacījumus. Konkrēts indeksācijas modelis būtu jānosaka pasūtītājam, ņemot vērā konkrētās būvniecības ieceres raksturojumu, ar ieceres īstenošanu saistītus riskus, kā arī pasūtītāja vēlamo modeli sadārdzinājuma riska pārvaldīšanā. Vadlīnijas būvdarbu līguma cenas indeksācijai no jauna slēdzamajos publiskajos būvdarbu līgumos satur ieteikumus būvdarbu līguma cenas indeksācijas modeļiem, ieskicē faktorus, kas būtu vērtējami, izvēloties konkrēto indeksācijas modeli, lemjot par publiskajā būvdarbu līgumā iekļaujamiem līgumcenas indeksācijas noteikumiem. </w:t>
      </w:r>
      <w:r w:rsidR="005101DF">
        <w:rPr>
          <w:sz w:val="24"/>
        </w:rPr>
        <w:t>B</w:t>
      </w:r>
      <w:r w:rsidR="005101DF" w:rsidRPr="0097479C">
        <w:rPr>
          <w:sz w:val="24"/>
        </w:rPr>
        <w:t>ūvdarbu līgumu cenas sadārdzinājuma novērtēšan</w:t>
      </w:r>
      <w:r w:rsidR="005101DF">
        <w:rPr>
          <w:sz w:val="24"/>
        </w:rPr>
        <w:t>a</w:t>
      </w:r>
      <w:r w:rsidR="005101DF" w:rsidRPr="0097479C">
        <w:rPr>
          <w:sz w:val="24"/>
        </w:rPr>
        <w:t xml:space="preserve"> un indeksācij</w:t>
      </w:r>
      <w:r w:rsidR="005101DF">
        <w:rPr>
          <w:sz w:val="24"/>
        </w:rPr>
        <w:t>as</w:t>
      </w:r>
      <w:r w:rsidR="005101DF" w:rsidRPr="0097479C">
        <w:rPr>
          <w:sz w:val="24"/>
        </w:rPr>
        <w:t xml:space="preserve"> iekļaušana būvdarbu līgumos ļaus līgumslēdzējpusēm elastīgi pielāgoties būvdarbu tirgus svārstībām.</w:t>
      </w:r>
      <w:r w:rsidR="005101DF">
        <w:rPr>
          <w:sz w:val="24"/>
        </w:rPr>
        <w:t xml:space="preserve"> </w:t>
      </w:r>
      <w:r w:rsidRPr="0097479C">
        <w:rPr>
          <w:sz w:val="24"/>
        </w:rPr>
        <w:t>Vadlīnijas attiecas uz no jauna slēdzamajiem būvdarbu līgumiem un neskar būtisku grozījumu veikšanu jau noslēgtajos publiskajos būvdarbu līgumos.</w:t>
      </w:r>
    </w:p>
    <w:p w14:paraId="7FCD72FC" w14:textId="22BAEB5C" w:rsidR="00C67C62" w:rsidRPr="00DE3D62" w:rsidRDefault="007C3E1E" w:rsidP="00C67C62">
      <w:pPr>
        <w:pStyle w:val="ListParagraph"/>
        <w:numPr>
          <w:ilvl w:val="1"/>
          <w:numId w:val="32"/>
        </w:numPr>
        <w:spacing w:before="240" w:after="120"/>
        <w:ind w:left="777"/>
        <w:contextualSpacing w:val="0"/>
        <w:jc w:val="both"/>
        <w:rPr>
          <w:color w:val="0099CC"/>
          <w:sz w:val="24"/>
        </w:rPr>
      </w:pPr>
      <w:r w:rsidRPr="00DE3D62">
        <w:rPr>
          <w:color w:val="0099CC"/>
          <w:sz w:val="24"/>
        </w:rPr>
        <w:t>Valsts sniegtais atbalsts pasūtītājiem publisko infrastruktūras projektu sekmīgai vadīšanai</w:t>
      </w:r>
    </w:p>
    <w:p w14:paraId="5F31E71C" w14:textId="77777777" w:rsidR="00CA74EF" w:rsidRPr="005E487E" w:rsidRDefault="00CA74EF" w:rsidP="00CA74EF">
      <w:pPr>
        <w:pStyle w:val="Default"/>
        <w:shd w:val="clear" w:color="auto" w:fill="FFFFFF" w:themeFill="background1"/>
        <w:ind w:firstLine="709"/>
        <w:jc w:val="both"/>
        <w:rPr>
          <w:color w:val="auto"/>
        </w:rPr>
      </w:pPr>
      <w:r w:rsidRPr="00724934">
        <w:rPr>
          <w:color w:val="auto"/>
        </w:rPr>
        <w:t>Jāņem vērā, ka ne visiem pasūtītājiem būs iespēja nodrošināt papildu finansējumu sadārdzinājuma kompensēšanai publiskās infrastruktūras projektu sekmīgai pabeigšanai, t.sk. ES fondu un pārējās ārvalstu finanšu palīdzības līdzfinansēto projektu īstenošanai. Centrālā finanšu un līguma aģentūra, kas nodrošina ES fondu projektu īstenošanas uzraudzību savā tīmekļvietnē</w:t>
      </w:r>
      <w:r w:rsidRPr="00724934">
        <w:rPr>
          <w:rStyle w:val="FootnoteReference"/>
          <w:color w:val="auto"/>
        </w:rPr>
        <w:footnoteReference w:id="7"/>
      </w:r>
      <w:r w:rsidRPr="00724934">
        <w:rPr>
          <w:color w:val="auto"/>
        </w:rPr>
        <w:t>, ir publicējusi praktisko informāciju par izmaksu sadārdzinājumu un termiņa pagarinājuma pamatotību būvniecības līgumu ietvaros, detalizēti atspoguļojot ieteikumus, kas var palīdzēt ES fondu projektu īstenotājiem komunikācijā un risinājumu meklēšanā ar būvdarbu līgumu izpildītājiem. Tāpat arī Iepirkumu uzraudzības birojs savā tīmekļa vietnē</w:t>
      </w:r>
      <w:r w:rsidRPr="00724934">
        <w:rPr>
          <w:rStyle w:val="FootnoteReference"/>
          <w:color w:val="auto"/>
        </w:rPr>
        <w:footnoteReference w:id="8"/>
      </w:r>
      <w:r w:rsidRPr="00724934">
        <w:rPr>
          <w:color w:val="auto"/>
        </w:rPr>
        <w:t xml:space="preserve"> ir norādījis uz pasūtītāja tiesībām uzsāktā iepirkuma procedūrā veikt grozījumus iepirkuma līgumā (pirms tā noslēgšanas), ņemot vērā norādītās līgumu grozījumu iespējas, kā arī atrunājot, ka </w:t>
      </w:r>
      <w:r w:rsidRPr="005E487E">
        <w:rPr>
          <w:color w:val="auto"/>
        </w:rPr>
        <w:t>līgumprojektu grozījumu pieļaujamība, kā arī būvizstrādājumu tirgus traucējuma ietekme ir vērtējama pēc tiem pašiem principiem kā grozījumu veikšana publiskajos būvdarbu līgumos.</w:t>
      </w:r>
    </w:p>
    <w:p w14:paraId="187C0374" w14:textId="77777777" w:rsidR="00CA74EF" w:rsidRDefault="00CA74EF" w:rsidP="00CA74EF">
      <w:pPr>
        <w:pStyle w:val="Default"/>
        <w:shd w:val="clear" w:color="auto" w:fill="FFFFFF" w:themeFill="background1"/>
        <w:ind w:firstLine="709"/>
        <w:jc w:val="both"/>
        <w:rPr>
          <w:color w:val="auto"/>
        </w:rPr>
      </w:pPr>
      <w:r w:rsidRPr="005E487E">
        <w:rPr>
          <w:color w:val="auto"/>
        </w:rPr>
        <w:t xml:space="preserve">Savukārt, ja pašvaldībai rodas nepieciešamība palielināt finansējumu investīciju projektiem, kas tiek īstenoti no pašvaldības budžeta līdzekļiem, pašvaldībai ir nepieciešams </w:t>
      </w:r>
      <w:r w:rsidRPr="005E487E">
        <w:rPr>
          <w:color w:val="auto"/>
        </w:rPr>
        <w:lastRenderedPageBreak/>
        <w:t xml:space="preserve">izvērtēt savas finanšu iespējas un investīciju programmu, prioritāti nosakot uzsākto projektu pabeigšanu vai nepieciešamības gadījumā </w:t>
      </w:r>
      <w:r>
        <w:rPr>
          <w:color w:val="auto"/>
        </w:rPr>
        <w:t xml:space="preserve">būvdarbus </w:t>
      </w:r>
      <w:r w:rsidRPr="005E487E">
        <w:rPr>
          <w:color w:val="auto"/>
        </w:rPr>
        <w:t>uz laiku atliekot. Nepieciešamības gadījumā pašvaldības var aizņemties nepieciešamos finanšu līdzekļus Valsts kasē investīciju projektu sekmīgai pabeigšanai.</w:t>
      </w:r>
    </w:p>
    <w:p w14:paraId="10DDDA58" w14:textId="5A4AE2C7" w:rsidR="0026763A" w:rsidRPr="007049A8" w:rsidRDefault="0026763A" w:rsidP="007049A8">
      <w:pPr>
        <w:spacing w:before="240" w:after="120"/>
        <w:jc w:val="both"/>
        <w:rPr>
          <w:b/>
          <w:bCs/>
          <w:color w:val="0099CC"/>
          <w:sz w:val="24"/>
        </w:rPr>
      </w:pPr>
      <w:r w:rsidRPr="007049A8">
        <w:rPr>
          <w:b/>
          <w:bCs/>
          <w:color w:val="0099CC"/>
          <w:sz w:val="24"/>
        </w:rPr>
        <w:t>Secinājumi</w:t>
      </w:r>
    </w:p>
    <w:p w14:paraId="4543B9A2" w14:textId="31F36087" w:rsidR="00F255E2" w:rsidRPr="004470F8" w:rsidRDefault="00F255E2" w:rsidP="00F255E2">
      <w:pPr>
        <w:pStyle w:val="Default"/>
        <w:numPr>
          <w:ilvl w:val="0"/>
          <w:numId w:val="31"/>
        </w:numPr>
        <w:shd w:val="clear" w:color="auto" w:fill="FFFFFF" w:themeFill="background1"/>
        <w:jc w:val="both"/>
        <w:rPr>
          <w:color w:val="auto"/>
        </w:rPr>
      </w:pPr>
      <w:r>
        <w:rPr>
          <w:color w:val="auto"/>
        </w:rPr>
        <w:t>2022.</w:t>
      </w:r>
      <w:r w:rsidR="00097F81">
        <w:rPr>
          <w:color w:val="auto"/>
        </w:rPr>
        <w:t xml:space="preserve"> </w:t>
      </w:r>
      <w:r>
        <w:rPr>
          <w:color w:val="auto"/>
        </w:rPr>
        <w:t xml:space="preserve">gada jūnija </w:t>
      </w:r>
      <w:r w:rsidR="00DC6D4A">
        <w:rPr>
          <w:color w:val="auto"/>
        </w:rPr>
        <w:t xml:space="preserve">un jūlija </w:t>
      </w:r>
      <w:r>
        <w:rPr>
          <w:color w:val="auto"/>
        </w:rPr>
        <w:t>mēnesī būvniecības tirgū novērotas pirmās stabilizēšan</w:t>
      </w:r>
      <w:r w:rsidR="00220EC2">
        <w:rPr>
          <w:color w:val="auto"/>
        </w:rPr>
        <w:t>ā</w:t>
      </w:r>
      <w:r>
        <w:rPr>
          <w:color w:val="auto"/>
        </w:rPr>
        <w:t>s pazīmes, būvizstrādājumu cenu kāpums ir sabremzējies, uzlabojusies būvizstrādājumu pieejamība. Tomēr komersanti ar bažām vēro būvizstrādājumu tirgus tendences, ņemot vērā, ka vairāku būvizstrādājumu ražošana ir energoietilpīgs process, t.sk.</w:t>
      </w:r>
      <w:r w:rsidR="00220EC2">
        <w:rPr>
          <w:color w:val="auto"/>
        </w:rPr>
        <w:t>,</w:t>
      </w:r>
      <w:r>
        <w:rPr>
          <w:color w:val="auto"/>
        </w:rPr>
        <w:t xml:space="preserve"> ar lielu gāzes patēriņu. Tāpat līdz galam nav nostiprinājušās jaunās loģistikas ķēdes un jaunie piegādes maršruti.</w:t>
      </w:r>
      <w:r w:rsidR="00831590">
        <w:rPr>
          <w:color w:val="auto"/>
        </w:rPr>
        <w:t xml:space="preserve"> </w:t>
      </w:r>
      <w:r w:rsidRPr="007049A8">
        <w:rPr>
          <w:color w:val="auto"/>
        </w:rPr>
        <w:t>Krievijas</w:t>
      </w:r>
      <w:r>
        <w:rPr>
          <w:color w:val="auto"/>
        </w:rPr>
        <w:t xml:space="preserve"> uzsāktās</w:t>
      </w:r>
      <w:r w:rsidRPr="007049A8">
        <w:rPr>
          <w:color w:val="auto"/>
        </w:rPr>
        <w:t xml:space="preserve"> karadarbības </w:t>
      </w:r>
      <w:r>
        <w:rPr>
          <w:color w:val="auto"/>
        </w:rPr>
        <w:t xml:space="preserve">dēļ </w:t>
      </w:r>
      <w:r w:rsidRPr="007049A8">
        <w:rPr>
          <w:color w:val="auto"/>
        </w:rPr>
        <w:t xml:space="preserve">Ukrainā </w:t>
      </w:r>
      <w:r>
        <w:rPr>
          <w:color w:val="auto"/>
        </w:rPr>
        <w:t>joprojām novērojams</w:t>
      </w:r>
      <w:r w:rsidRPr="00B11A41">
        <w:rPr>
          <w:color w:val="auto"/>
        </w:rPr>
        <w:t xml:space="preserve"> </w:t>
      </w:r>
      <w:r>
        <w:rPr>
          <w:color w:val="auto"/>
        </w:rPr>
        <w:t xml:space="preserve">būvizstrādājumu </w:t>
      </w:r>
      <w:r w:rsidRPr="00CC445F">
        <w:rPr>
          <w:color w:val="auto"/>
        </w:rPr>
        <w:t>sadārdzinājum</w:t>
      </w:r>
      <w:r>
        <w:rPr>
          <w:color w:val="auto"/>
        </w:rPr>
        <w:t xml:space="preserve">s un cenu svārstības, kā arī </w:t>
      </w:r>
      <w:r w:rsidRPr="00E445CA">
        <w:t>problēmas piegādes ķēžu plānošanā</w:t>
      </w:r>
      <w:r>
        <w:t xml:space="preserve">. </w:t>
      </w:r>
    </w:p>
    <w:p w14:paraId="31BFEE63" w14:textId="304809D0" w:rsidR="004470F8" w:rsidRDefault="004470F8" w:rsidP="004470F8">
      <w:pPr>
        <w:pStyle w:val="Default"/>
        <w:numPr>
          <w:ilvl w:val="0"/>
          <w:numId w:val="31"/>
        </w:numPr>
        <w:shd w:val="clear" w:color="auto" w:fill="FFFFFF" w:themeFill="background1"/>
        <w:jc w:val="both"/>
        <w:rPr>
          <w:color w:val="auto"/>
        </w:rPr>
      </w:pPr>
      <w:r w:rsidRPr="004470F8">
        <w:rPr>
          <w:color w:val="auto"/>
        </w:rPr>
        <w:t>Lai gan 2022. gada 2. ceturksnī ir novērots būtiskas problēmas būvizstrādājumu un izejmateriālu pieejamībā, t.sk. straujš cenu pieaugums, Ekonomikas ministrijas rīcībā esošie dati liecina, ka tikai 11% publisko infrastruktūras projektu īstenošanā notiek sarunas par nepieciešamajiem risinājumiem publisko būvdarbu līgumu sekmīgai pabeigšanai. Šāda situācija norāda uz iespējamiem riskiem, jo nepietiekamā publisko būvdarbu vadība var rezultēties publisko būvdarbu līguma izbeigšanā no būvdarbu veicēju puses un infrastruktūras projektu īstenošanas apturēšanā vismaz līdz nākama gada sezonai.</w:t>
      </w:r>
    </w:p>
    <w:p w14:paraId="56AD4D66" w14:textId="361434B3" w:rsidR="009517F1" w:rsidRDefault="009517F1" w:rsidP="004470F8">
      <w:pPr>
        <w:pStyle w:val="Default"/>
        <w:numPr>
          <w:ilvl w:val="0"/>
          <w:numId w:val="31"/>
        </w:numPr>
        <w:shd w:val="clear" w:color="auto" w:fill="FFFFFF" w:themeFill="background1"/>
        <w:jc w:val="both"/>
        <w:rPr>
          <w:color w:val="auto"/>
        </w:rPr>
      </w:pPr>
      <w:r>
        <w:rPr>
          <w:color w:val="auto"/>
        </w:rPr>
        <w:t xml:space="preserve">Lai turpmāk mazinātu risku būvniecības cenu svārstību gadījumā, publiskajiem pasūtītājiem ieteicams no jauna slēdzamajos publiskajos būvdarbu līgumos iekļaut līgumcenas indeksācijas noteikumus. </w:t>
      </w:r>
    </w:p>
    <w:p w14:paraId="52110682" w14:textId="57E4B302" w:rsidR="00694860" w:rsidRPr="009517F1" w:rsidRDefault="004470F8" w:rsidP="00694860">
      <w:pPr>
        <w:pStyle w:val="Default"/>
        <w:numPr>
          <w:ilvl w:val="0"/>
          <w:numId w:val="31"/>
        </w:numPr>
        <w:shd w:val="clear" w:color="auto" w:fill="FFFFFF" w:themeFill="background1"/>
        <w:jc w:val="both"/>
        <w:rPr>
          <w:color w:val="auto"/>
        </w:rPr>
      </w:pPr>
      <w:r w:rsidRPr="009517F1">
        <w:rPr>
          <w:color w:val="auto"/>
        </w:rPr>
        <w:t>Būvniecības nozarē novērojams produkcijas apjoma kritums. Kavēšanās uzsākt Latvijas Atveseļošanas un noturības mehānisma plānu un ES struktūrfondu projektu īstenošanu un īstenošanas pārcelšanu uz vēlāku laiku, palielin</w:t>
      </w:r>
      <w:r w:rsidR="009517F1" w:rsidRPr="009517F1">
        <w:rPr>
          <w:color w:val="auto"/>
        </w:rPr>
        <w:t>ās</w:t>
      </w:r>
      <w:r w:rsidRPr="009517F1">
        <w:rPr>
          <w:color w:val="auto"/>
        </w:rPr>
        <w:t xml:space="preserve"> nozares pārkāršanas risku, veidojot pārāk lielus būvdarbu apjomus 2024. gadā un 2025. gadā.</w:t>
      </w:r>
    </w:p>
    <w:p w14:paraId="76D2FE7B" w14:textId="5E3FD667" w:rsidR="00EF5389" w:rsidRPr="00694860" w:rsidRDefault="00EF5389" w:rsidP="00694860">
      <w:pPr>
        <w:pStyle w:val="Default"/>
        <w:numPr>
          <w:ilvl w:val="0"/>
          <w:numId w:val="31"/>
        </w:numPr>
        <w:shd w:val="clear" w:color="auto" w:fill="FFFFFF" w:themeFill="background1"/>
        <w:jc w:val="both"/>
        <w:rPr>
          <w:color w:val="0000FF"/>
        </w:rPr>
      </w:pPr>
      <w:r w:rsidRPr="00694860">
        <w:rPr>
          <w:color w:val="auto"/>
        </w:rPr>
        <w:t xml:space="preserve">Būvprojektu apturēšana, ņemot vērā esošo sociālekonomisko situāciju valstī un globālos notikumus pasaulē, nav vēlama un nākotnē var radīt apstākļus būvniecības nozares pārkaršanai, izņemot gadījumus, kad dažādu iemeslu dēļ būvprojektu nav iespējams turpināt vai arī būvprojekts </w:t>
      </w:r>
      <w:r w:rsidRPr="00B443E5">
        <w:t xml:space="preserve">ir tikai īstenošanas sākumposmā. </w:t>
      </w:r>
      <w:r w:rsidRPr="00694860">
        <w:rPr>
          <w:color w:val="auto"/>
        </w:rPr>
        <w:t>Būvprojektu turpināšana ir svarīga arī no būvniecības nozares darbības specifikas un tajā darbojošos uzņēmumu finansiālā stāvokļa, lai uzņēmumiem neradītu finansiāla rakstura grūtības.</w:t>
      </w:r>
    </w:p>
    <w:p w14:paraId="14B51C9C" w14:textId="22731463" w:rsidR="00D532EA" w:rsidRPr="000F6714" w:rsidRDefault="00F255E2" w:rsidP="000F6714">
      <w:pPr>
        <w:pStyle w:val="Default"/>
        <w:numPr>
          <w:ilvl w:val="0"/>
          <w:numId w:val="31"/>
        </w:numPr>
        <w:shd w:val="clear" w:color="auto" w:fill="FFFFFF" w:themeFill="background1"/>
        <w:jc w:val="both"/>
        <w:rPr>
          <w:color w:val="auto"/>
        </w:rPr>
      </w:pPr>
      <w:r>
        <w:rPr>
          <w:color w:val="auto"/>
        </w:rPr>
        <w:t xml:space="preserve">Valsts institūcijas sniedz pietiekamu atbalstu pasūtītājiem efektīvās publisko būvdarbu līgumu vadības nodrošināšanai, ir izstrādāti metodiskie materiāli iepriekš noslēgto publisko būvdarbu līgumu vadība krīzes apstākļos, kā arī vadlīnijas turpmāk slēdzamo publisko būvdarbu līgumu regulējumam. </w:t>
      </w:r>
    </w:p>
    <w:sectPr w:rsidR="00D532EA" w:rsidRPr="000F6714" w:rsidSect="00BA0F84">
      <w:headerReference w:type="default" r:id="rId18"/>
      <w:footerReference w:type="default" r:id="rId1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46B73" w14:textId="77777777" w:rsidR="00AD22BF" w:rsidRDefault="00AD22BF">
      <w:r>
        <w:separator/>
      </w:r>
    </w:p>
  </w:endnote>
  <w:endnote w:type="continuationSeparator" w:id="0">
    <w:p w14:paraId="61EAA06D" w14:textId="77777777" w:rsidR="00AD22BF" w:rsidRDefault="00AD22BF">
      <w:r>
        <w:continuationSeparator/>
      </w:r>
    </w:p>
  </w:endnote>
  <w:endnote w:type="continuationNotice" w:id="1">
    <w:p w14:paraId="452E54A8" w14:textId="77777777" w:rsidR="00AD22BF" w:rsidRDefault="00AD22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335654"/>
      <w:docPartObj>
        <w:docPartGallery w:val="Page Numbers (Bottom of Page)"/>
        <w:docPartUnique/>
      </w:docPartObj>
    </w:sdtPr>
    <w:sdtEndPr>
      <w:rPr>
        <w:noProof/>
      </w:rPr>
    </w:sdtEndPr>
    <w:sdtContent>
      <w:p w14:paraId="402A4B8B" w14:textId="03AA05D8" w:rsidR="00DA2661" w:rsidRDefault="00DA26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1D2BB9" w14:textId="77777777" w:rsidR="004C0A8A" w:rsidRDefault="004C0A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8B0A0" w14:textId="77777777" w:rsidR="00AD22BF" w:rsidRDefault="00AD22BF">
      <w:r>
        <w:separator/>
      </w:r>
    </w:p>
  </w:footnote>
  <w:footnote w:type="continuationSeparator" w:id="0">
    <w:p w14:paraId="7048FB16" w14:textId="77777777" w:rsidR="00AD22BF" w:rsidRDefault="00AD22BF">
      <w:r>
        <w:continuationSeparator/>
      </w:r>
    </w:p>
  </w:footnote>
  <w:footnote w:type="continuationNotice" w:id="1">
    <w:p w14:paraId="298DEE3A" w14:textId="77777777" w:rsidR="00AD22BF" w:rsidRDefault="00AD22BF"/>
  </w:footnote>
  <w:footnote w:id="2">
    <w:p w14:paraId="2D953244" w14:textId="5D5880E3" w:rsidR="000D511E" w:rsidRPr="00430D64" w:rsidRDefault="00BE2823" w:rsidP="00430D64">
      <w:pPr>
        <w:pStyle w:val="FootnoteText"/>
        <w:jc w:val="both"/>
      </w:pPr>
      <w:r w:rsidRPr="00430D64">
        <w:rPr>
          <w:rStyle w:val="FootnoteReference"/>
        </w:rPr>
        <w:footnoteRef/>
      </w:r>
      <w:r w:rsidRPr="00430D64">
        <w:t>Vadlīnijas būvmateriālu izmaksu sadārdzinājuma novērtēšanai sakarā ar Krievijas militāro agresiju Ukrainā grozījumu veikšanai spēkā esošajos publiskajos būvdarbu līgumos attiecībā uz ēku būvniecību</w:t>
      </w:r>
      <w:r w:rsidR="000D511E" w:rsidRPr="00430D64">
        <w:t xml:space="preserve"> pieejamas Ekonomikas ministrijas tīmekļvietnē: </w:t>
      </w:r>
      <w:hyperlink r:id="rId1" w:history="1">
        <w:r w:rsidR="000D511E" w:rsidRPr="00430D64">
          <w:rPr>
            <w:rStyle w:val="Hyperlink"/>
            <w:color w:val="auto"/>
          </w:rPr>
          <w:t>https://www.em.gov.lv/lv/vadlinijas-buvmaterialu-izmaksu-sadardzinajuma-novertesanai</w:t>
        </w:r>
      </w:hyperlink>
    </w:p>
  </w:footnote>
  <w:footnote w:id="3">
    <w:p w14:paraId="13CF45E1" w14:textId="77777777" w:rsidR="00C67C62" w:rsidRPr="00430D64" w:rsidRDefault="00C67C62" w:rsidP="00C67C62">
      <w:pPr>
        <w:pStyle w:val="FootnoteText"/>
        <w:jc w:val="both"/>
      </w:pPr>
      <w:r w:rsidRPr="00430D64">
        <w:rPr>
          <w:rStyle w:val="FootnoteReference"/>
        </w:rPr>
        <w:footnoteRef/>
      </w:r>
      <w:r w:rsidRPr="00430D64">
        <w:t xml:space="preserve"> VSIA “Latvijas Valsts ceļi” metodika pieejama tīmekļvietnē: </w:t>
      </w:r>
      <w:hyperlink r:id="rId2" w:history="1">
        <w:r w:rsidRPr="00430D64">
          <w:rPr>
            <w:rStyle w:val="Hyperlink"/>
            <w:rFonts w:eastAsiaTheme="majorEastAsia"/>
            <w:color w:val="auto"/>
          </w:rPr>
          <w:t>https://lvceli.lv/wp-content/uploads/2022/05/LVC_Parrekina_metode.docx</w:t>
        </w:r>
      </w:hyperlink>
    </w:p>
  </w:footnote>
  <w:footnote w:id="4">
    <w:p w14:paraId="51C4B770" w14:textId="77777777" w:rsidR="008F08F5" w:rsidRPr="00430D64" w:rsidRDefault="008F08F5" w:rsidP="00430D64">
      <w:pPr>
        <w:pStyle w:val="FootnoteText"/>
        <w:jc w:val="both"/>
      </w:pPr>
      <w:r w:rsidRPr="00430D64">
        <w:rPr>
          <w:rStyle w:val="FootnoteReference"/>
        </w:rPr>
        <w:footnoteRef/>
      </w:r>
      <w:r w:rsidRPr="00430D64">
        <w:t>V</w:t>
      </w:r>
      <w:r w:rsidRPr="00430D64">
        <w:rPr>
          <w:shd w:val="clear" w:color="auto" w:fill="FFFFFF"/>
        </w:rPr>
        <w:t xml:space="preserve">adlīnijas būvdarbu līguma cenas indeksācijai </w:t>
      </w:r>
      <w:r w:rsidRPr="00430D64">
        <w:t xml:space="preserve">no jauna slēdzamajos publiskajos būvdarbu līgumos pieejamas Ekonomikas ministrijas tīmekļvietnē: </w:t>
      </w:r>
      <w:hyperlink r:id="rId3" w:history="1">
        <w:r w:rsidRPr="00430D64">
          <w:rPr>
            <w:rStyle w:val="Hyperlink"/>
            <w:color w:val="auto"/>
          </w:rPr>
          <w:t>https://www.em.gov.lv/lv/vadlinijas-2</w:t>
        </w:r>
      </w:hyperlink>
      <w:r w:rsidRPr="00430D64">
        <w:t xml:space="preserve"> </w:t>
      </w:r>
    </w:p>
  </w:footnote>
  <w:footnote w:id="5">
    <w:p w14:paraId="4CE11534" w14:textId="132FF154" w:rsidR="00FB1E89" w:rsidRPr="00430D64" w:rsidRDefault="00E5536A" w:rsidP="00430D64">
      <w:pPr>
        <w:pStyle w:val="FootnoteText"/>
        <w:jc w:val="both"/>
      </w:pPr>
      <w:r w:rsidRPr="00430D64">
        <w:rPr>
          <w:rStyle w:val="FootnoteReference"/>
        </w:rPr>
        <w:footnoteRef/>
      </w:r>
      <w:r w:rsidR="00FB1E89" w:rsidRPr="00430D64">
        <w:t xml:space="preserve"> </w:t>
      </w:r>
      <w:r w:rsidRPr="00430D64">
        <w:t xml:space="preserve">EM informatīvais ziņojums </w:t>
      </w:r>
      <w:r w:rsidRPr="00430D64">
        <w:rPr>
          <w:i/>
          <w:iCs/>
        </w:rPr>
        <w:t>“Par situāciju būvniecības nozarē saistībā ar Krievijas agresiju Ukrainā un nepieciešamajiem risinājumiem publisko investīciju projektos” (TAP 22-TA-938)</w:t>
      </w:r>
      <w:r w:rsidRPr="00430D64">
        <w:t xml:space="preserve"> pieejams </w:t>
      </w:r>
      <w:r w:rsidRPr="00430D64">
        <w:rPr>
          <w:shd w:val="clear" w:color="auto" w:fill="FFFFFF"/>
        </w:rPr>
        <w:t>tiesību aktu projektu</w:t>
      </w:r>
      <w:r w:rsidRPr="00430D64">
        <w:t xml:space="preserve"> portāl</w:t>
      </w:r>
      <w:r w:rsidR="0033656B" w:rsidRPr="00430D64">
        <w:t>a tīmekļvietnē</w:t>
      </w:r>
      <w:r w:rsidRPr="00430D64">
        <w:t xml:space="preserve">: </w:t>
      </w:r>
      <w:hyperlink r:id="rId4" w:history="1">
        <w:r w:rsidR="00FB1E89" w:rsidRPr="00430D64">
          <w:rPr>
            <w:rStyle w:val="Hyperlink"/>
            <w:color w:val="auto"/>
          </w:rPr>
          <w:t>https://tapportals.mk.gov.lv/legal_acts/5ede348a-1c08-43af-a118-d1468eb458b</w:t>
        </w:r>
      </w:hyperlink>
    </w:p>
  </w:footnote>
  <w:footnote w:id="6">
    <w:p w14:paraId="546D9F91" w14:textId="130C2173" w:rsidR="00430D64" w:rsidRPr="00430D64" w:rsidRDefault="00430D64" w:rsidP="00430D64">
      <w:pPr>
        <w:pStyle w:val="FootnoteText"/>
        <w:jc w:val="both"/>
      </w:pPr>
      <w:r w:rsidRPr="00430D64">
        <w:rPr>
          <w:rStyle w:val="FootnoteReference"/>
        </w:rPr>
        <w:footnoteRef/>
      </w:r>
      <w:r w:rsidRPr="00430D64">
        <w:t xml:space="preserve"> MK noteikumi Nr. 419 “Noteikumi par publisko būvdarbu līgumos obligāti iekļaujamiem noteikumiem un to saturu” pieejami </w:t>
      </w:r>
      <w:r w:rsidRPr="00430D64">
        <w:rPr>
          <w:shd w:val="clear" w:color="auto" w:fill="FFFFFF"/>
        </w:rPr>
        <w:t>tiesību aktu projektu</w:t>
      </w:r>
      <w:r w:rsidRPr="00430D64">
        <w:t xml:space="preserve"> portāla tīmekļvietnē: https://likumi.lv/ta/id/333852-noteikumi-par-publisko-buvdarbu-ligumos-obligati-ietveramajiem-noteikumiem-un-to-saturu</w:t>
      </w:r>
    </w:p>
  </w:footnote>
  <w:footnote w:id="7">
    <w:p w14:paraId="73DED760" w14:textId="77777777" w:rsidR="00CA74EF" w:rsidRPr="00430D64" w:rsidRDefault="00CA74EF" w:rsidP="00CA74EF">
      <w:pPr>
        <w:pStyle w:val="FootnoteText"/>
        <w:jc w:val="both"/>
      </w:pPr>
      <w:r w:rsidRPr="00430D64">
        <w:rPr>
          <w:rStyle w:val="FootnoteReference"/>
        </w:rPr>
        <w:footnoteRef/>
      </w:r>
      <w:r w:rsidRPr="00430D64">
        <w:t xml:space="preserve">Informācija pieejama Centrālās finanšu un līguma aģentūras tīmekļvietnē: </w:t>
      </w:r>
      <w:hyperlink r:id="rId5" w:history="1">
        <w:r w:rsidRPr="00430D64">
          <w:rPr>
            <w:rStyle w:val="Hyperlink"/>
            <w:rFonts w:eastAsiaTheme="majorEastAsia"/>
            <w:color w:val="auto"/>
          </w:rPr>
          <w:t>https://www.cfla.gov.lv/lv/jaunums/par-izmaksu-sadardzinajumu-un-termina-pagarinajuma-pamatotibu-es-fondu-projektos-saistiba-kara-darbibu-ukraina-ieteikumi-un-ricibas-plans</w:t>
        </w:r>
      </w:hyperlink>
    </w:p>
  </w:footnote>
  <w:footnote w:id="8">
    <w:p w14:paraId="46F964C0" w14:textId="77777777" w:rsidR="00CA74EF" w:rsidRPr="00430D64" w:rsidRDefault="00CA74EF" w:rsidP="00CA74EF">
      <w:pPr>
        <w:pStyle w:val="FootnoteText"/>
        <w:jc w:val="both"/>
      </w:pPr>
      <w:r w:rsidRPr="00430D64">
        <w:rPr>
          <w:rStyle w:val="FootnoteReference"/>
        </w:rPr>
        <w:footnoteRef/>
      </w:r>
      <w:r w:rsidRPr="00430D64">
        <w:t xml:space="preserve">Informācija pieejama Iepirkumu uzraudzības biroja tīmekļvietnē: </w:t>
      </w:r>
      <w:hyperlink r:id="rId6" w:history="1">
        <w:r w:rsidRPr="00430D64">
          <w:rPr>
            <w:rStyle w:val="Hyperlink"/>
            <w:rFonts w:eastAsiaTheme="majorEastAsia"/>
            <w:color w:val="auto"/>
          </w:rPr>
          <w:t>https://www.iub.gov.lv/lv/jaunums/ligumu-vadiba-krizes-apstaklos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8326A" w14:textId="6423F0A4" w:rsidR="001D08EC" w:rsidRDefault="001D08E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6DB9"/>
    <w:multiLevelType w:val="hybridMultilevel"/>
    <w:tmpl w:val="548E38B2"/>
    <w:lvl w:ilvl="0" w:tplc="DFB01162">
      <w:start w:val="1"/>
      <w:numFmt w:val="bullet"/>
      <w:lvlText w:val="–"/>
      <w:lvlJc w:val="left"/>
      <w:pPr>
        <w:ind w:left="1346" w:hanging="360"/>
      </w:pPr>
      <w:rPr>
        <w:rFonts w:ascii="Times New Roman" w:hAnsi="Times New Roman" w:cs="Times New Roman" w:hint="default"/>
      </w:rPr>
    </w:lvl>
    <w:lvl w:ilvl="1" w:tplc="04260003" w:tentative="1">
      <w:start w:val="1"/>
      <w:numFmt w:val="bullet"/>
      <w:lvlText w:val="o"/>
      <w:lvlJc w:val="left"/>
      <w:pPr>
        <w:ind w:left="2066" w:hanging="360"/>
      </w:pPr>
      <w:rPr>
        <w:rFonts w:ascii="Courier New" w:hAnsi="Courier New" w:cs="Courier New" w:hint="default"/>
      </w:rPr>
    </w:lvl>
    <w:lvl w:ilvl="2" w:tplc="04260005" w:tentative="1">
      <w:start w:val="1"/>
      <w:numFmt w:val="bullet"/>
      <w:lvlText w:val=""/>
      <w:lvlJc w:val="left"/>
      <w:pPr>
        <w:ind w:left="2786" w:hanging="360"/>
      </w:pPr>
      <w:rPr>
        <w:rFonts w:ascii="Wingdings" w:hAnsi="Wingdings" w:hint="default"/>
      </w:rPr>
    </w:lvl>
    <w:lvl w:ilvl="3" w:tplc="04260001" w:tentative="1">
      <w:start w:val="1"/>
      <w:numFmt w:val="bullet"/>
      <w:lvlText w:val=""/>
      <w:lvlJc w:val="left"/>
      <w:pPr>
        <w:ind w:left="3506" w:hanging="360"/>
      </w:pPr>
      <w:rPr>
        <w:rFonts w:ascii="Symbol" w:hAnsi="Symbol" w:hint="default"/>
      </w:rPr>
    </w:lvl>
    <w:lvl w:ilvl="4" w:tplc="04260003" w:tentative="1">
      <w:start w:val="1"/>
      <w:numFmt w:val="bullet"/>
      <w:lvlText w:val="o"/>
      <w:lvlJc w:val="left"/>
      <w:pPr>
        <w:ind w:left="4226" w:hanging="360"/>
      </w:pPr>
      <w:rPr>
        <w:rFonts w:ascii="Courier New" w:hAnsi="Courier New" w:cs="Courier New" w:hint="default"/>
      </w:rPr>
    </w:lvl>
    <w:lvl w:ilvl="5" w:tplc="04260005" w:tentative="1">
      <w:start w:val="1"/>
      <w:numFmt w:val="bullet"/>
      <w:lvlText w:val=""/>
      <w:lvlJc w:val="left"/>
      <w:pPr>
        <w:ind w:left="4946" w:hanging="360"/>
      </w:pPr>
      <w:rPr>
        <w:rFonts w:ascii="Wingdings" w:hAnsi="Wingdings" w:hint="default"/>
      </w:rPr>
    </w:lvl>
    <w:lvl w:ilvl="6" w:tplc="04260001" w:tentative="1">
      <w:start w:val="1"/>
      <w:numFmt w:val="bullet"/>
      <w:lvlText w:val=""/>
      <w:lvlJc w:val="left"/>
      <w:pPr>
        <w:ind w:left="5666" w:hanging="360"/>
      </w:pPr>
      <w:rPr>
        <w:rFonts w:ascii="Symbol" w:hAnsi="Symbol" w:hint="default"/>
      </w:rPr>
    </w:lvl>
    <w:lvl w:ilvl="7" w:tplc="04260003" w:tentative="1">
      <w:start w:val="1"/>
      <w:numFmt w:val="bullet"/>
      <w:lvlText w:val="o"/>
      <w:lvlJc w:val="left"/>
      <w:pPr>
        <w:ind w:left="6386" w:hanging="360"/>
      </w:pPr>
      <w:rPr>
        <w:rFonts w:ascii="Courier New" w:hAnsi="Courier New" w:cs="Courier New" w:hint="default"/>
      </w:rPr>
    </w:lvl>
    <w:lvl w:ilvl="8" w:tplc="04260005" w:tentative="1">
      <w:start w:val="1"/>
      <w:numFmt w:val="bullet"/>
      <w:lvlText w:val=""/>
      <w:lvlJc w:val="left"/>
      <w:pPr>
        <w:ind w:left="7106" w:hanging="360"/>
      </w:pPr>
      <w:rPr>
        <w:rFonts w:ascii="Wingdings" w:hAnsi="Wingdings" w:hint="default"/>
      </w:rPr>
    </w:lvl>
  </w:abstractNum>
  <w:abstractNum w:abstractNumId="1" w15:restartNumberingAfterBreak="0">
    <w:nsid w:val="03021CCC"/>
    <w:multiLevelType w:val="hybridMultilevel"/>
    <w:tmpl w:val="5896E27E"/>
    <w:lvl w:ilvl="0" w:tplc="82D0EE4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613420"/>
    <w:multiLevelType w:val="hybridMultilevel"/>
    <w:tmpl w:val="737CD4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C05198"/>
    <w:multiLevelType w:val="hybridMultilevel"/>
    <w:tmpl w:val="0470BA7C"/>
    <w:lvl w:ilvl="0" w:tplc="FD8EB6B0">
      <w:start w:val="1"/>
      <w:numFmt w:val="decimal"/>
      <w:lvlText w:val="2.%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135365"/>
    <w:multiLevelType w:val="hybridMultilevel"/>
    <w:tmpl w:val="86225B2A"/>
    <w:lvl w:ilvl="0" w:tplc="4544D60E">
      <w:start w:val="1"/>
      <w:numFmt w:val="bullet"/>
      <w:lvlText w:val="-"/>
      <w:lvlJc w:val="left"/>
      <w:pPr>
        <w:ind w:left="430" w:hanging="360"/>
      </w:pPr>
      <w:rPr>
        <w:rFonts w:ascii="Times New Roman" w:eastAsia="Times New Roman" w:hAnsi="Times New Roman" w:cs="Times New Roman" w:hint="default"/>
      </w:rPr>
    </w:lvl>
    <w:lvl w:ilvl="1" w:tplc="04260003" w:tentative="1">
      <w:start w:val="1"/>
      <w:numFmt w:val="bullet"/>
      <w:lvlText w:val="o"/>
      <w:lvlJc w:val="left"/>
      <w:pPr>
        <w:ind w:left="1150" w:hanging="360"/>
      </w:pPr>
      <w:rPr>
        <w:rFonts w:ascii="Courier New" w:hAnsi="Courier New" w:cs="Courier New" w:hint="default"/>
      </w:rPr>
    </w:lvl>
    <w:lvl w:ilvl="2" w:tplc="04260005" w:tentative="1">
      <w:start w:val="1"/>
      <w:numFmt w:val="bullet"/>
      <w:lvlText w:val=""/>
      <w:lvlJc w:val="left"/>
      <w:pPr>
        <w:ind w:left="1870" w:hanging="360"/>
      </w:pPr>
      <w:rPr>
        <w:rFonts w:ascii="Wingdings" w:hAnsi="Wingdings" w:hint="default"/>
      </w:rPr>
    </w:lvl>
    <w:lvl w:ilvl="3" w:tplc="04260001" w:tentative="1">
      <w:start w:val="1"/>
      <w:numFmt w:val="bullet"/>
      <w:lvlText w:val=""/>
      <w:lvlJc w:val="left"/>
      <w:pPr>
        <w:ind w:left="2590" w:hanging="360"/>
      </w:pPr>
      <w:rPr>
        <w:rFonts w:ascii="Symbol" w:hAnsi="Symbol" w:hint="default"/>
      </w:rPr>
    </w:lvl>
    <w:lvl w:ilvl="4" w:tplc="04260003" w:tentative="1">
      <w:start w:val="1"/>
      <w:numFmt w:val="bullet"/>
      <w:lvlText w:val="o"/>
      <w:lvlJc w:val="left"/>
      <w:pPr>
        <w:ind w:left="3310" w:hanging="360"/>
      </w:pPr>
      <w:rPr>
        <w:rFonts w:ascii="Courier New" w:hAnsi="Courier New" w:cs="Courier New" w:hint="default"/>
      </w:rPr>
    </w:lvl>
    <w:lvl w:ilvl="5" w:tplc="04260005" w:tentative="1">
      <w:start w:val="1"/>
      <w:numFmt w:val="bullet"/>
      <w:lvlText w:val=""/>
      <w:lvlJc w:val="left"/>
      <w:pPr>
        <w:ind w:left="4030" w:hanging="360"/>
      </w:pPr>
      <w:rPr>
        <w:rFonts w:ascii="Wingdings" w:hAnsi="Wingdings" w:hint="default"/>
      </w:rPr>
    </w:lvl>
    <w:lvl w:ilvl="6" w:tplc="04260001" w:tentative="1">
      <w:start w:val="1"/>
      <w:numFmt w:val="bullet"/>
      <w:lvlText w:val=""/>
      <w:lvlJc w:val="left"/>
      <w:pPr>
        <w:ind w:left="4750" w:hanging="360"/>
      </w:pPr>
      <w:rPr>
        <w:rFonts w:ascii="Symbol" w:hAnsi="Symbol" w:hint="default"/>
      </w:rPr>
    </w:lvl>
    <w:lvl w:ilvl="7" w:tplc="04260003" w:tentative="1">
      <w:start w:val="1"/>
      <w:numFmt w:val="bullet"/>
      <w:lvlText w:val="o"/>
      <w:lvlJc w:val="left"/>
      <w:pPr>
        <w:ind w:left="5470" w:hanging="360"/>
      </w:pPr>
      <w:rPr>
        <w:rFonts w:ascii="Courier New" w:hAnsi="Courier New" w:cs="Courier New" w:hint="default"/>
      </w:rPr>
    </w:lvl>
    <w:lvl w:ilvl="8" w:tplc="04260005" w:tentative="1">
      <w:start w:val="1"/>
      <w:numFmt w:val="bullet"/>
      <w:lvlText w:val=""/>
      <w:lvlJc w:val="left"/>
      <w:pPr>
        <w:ind w:left="6190" w:hanging="360"/>
      </w:pPr>
      <w:rPr>
        <w:rFonts w:ascii="Wingdings" w:hAnsi="Wingdings" w:hint="default"/>
      </w:rPr>
    </w:lvl>
  </w:abstractNum>
  <w:abstractNum w:abstractNumId="5" w15:restartNumberingAfterBreak="0">
    <w:nsid w:val="0ACE3050"/>
    <w:multiLevelType w:val="hybridMultilevel"/>
    <w:tmpl w:val="F1CE0724"/>
    <w:lvl w:ilvl="0" w:tplc="FD8EB6B0">
      <w:start w:val="1"/>
      <w:numFmt w:val="decimal"/>
      <w:lvlText w:val="2.%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770D5F"/>
    <w:multiLevelType w:val="hybridMultilevel"/>
    <w:tmpl w:val="6D9C8058"/>
    <w:lvl w:ilvl="0" w:tplc="DFB01162">
      <w:start w:val="1"/>
      <w:numFmt w:val="bullet"/>
      <w:lvlText w:val="–"/>
      <w:lvlJc w:val="left"/>
      <w:pPr>
        <w:ind w:left="1080" w:hanging="360"/>
      </w:pPr>
      <w:rPr>
        <w:rFonts w:ascii="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68366CD"/>
    <w:multiLevelType w:val="hybridMultilevel"/>
    <w:tmpl w:val="3B6E3FF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A4576F0"/>
    <w:multiLevelType w:val="hybridMultilevel"/>
    <w:tmpl w:val="3E80396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1B677B2D"/>
    <w:multiLevelType w:val="hybridMultilevel"/>
    <w:tmpl w:val="A49681F0"/>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5D5B2A"/>
    <w:multiLevelType w:val="hybridMultilevel"/>
    <w:tmpl w:val="90EE9E74"/>
    <w:lvl w:ilvl="0" w:tplc="63ECE8D6">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225A1D1E"/>
    <w:multiLevelType w:val="hybridMultilevel"/>
    <w:tmpl w:val="67FC8AA0"/>
    <w:lvl w:ilvl="0" w:tplc="DFB01162">
      <w:start w:val="1"/>
      <w:numFmt w:val="bullet"/>
      <w:lvlText w:val="–"/>
      <w:lvlJc w:val="left"/>
      <w:pPr>
        <w:ind w:left="1287" w:hanging="360"/>
      </w:pPr>
      <w:rPr>
        <w:rFonts w:ascii="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24C14097"/>
    <w:multiLevelType w:val="multilevel"/>
    <w:tmpl w:val="555AC928"/>
    <w:lvl w:ilvl="0">
      <w:start w:val="1"/>
      <w:numFmt w:val="decimal"/>
      <w:lvlText w:val="%1."/>
      <w:lvlJc w:val="left"/>
      <w:pPr>
        <w:ind w:left="19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C014BE4"/>
    <w:multiLevelType w:val="hybridMultilevel"/>
    <w:tmpl w:val="C5C6AE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F10E25"/>
    <w:multiLevelType w:val="hybridMultilevel"/>
    <w:tmpl w:val="14986B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79918E3"/>
    <w:multiLevelType w:val="hybridMultilevel"/>
    <w:tmpl w:val="59E4E4DC"/>
    <w:lvl w:ilvl="0" w:tplc="219A8BA2">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89D0F0C"/>
    <w:multiLevelType w:val="hybridMultilevel"/>
    <w:tmpl w:val="D94859B8"/>
    <w:lvl w:ilvl="0" w:tplc="DFB01162">
      <w:start w:val="1"/>
      <w:numFmt w:val="bullet"/>
      <w:lvlText w:val="–"/>
      <w:lvlJc w:val="left"/>
      <w:pPr>
        <w:ind w:left="1854" w:hanging="360"/>
      </w:pPr>
      <w:rPr>
        <w:rFonts w:ascii="Times New Roman" w:hAnsi="Times New Roman" w:cs="Times New Roman"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7" w15:restartNumberingAfterBreak="0">
    <w:nsid w:val="39D84C42"/>
    <w:multiLevelType w:val="multilevel"/>
    <w:tmpl w:val="F6909F5E"/>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2BD1B13"/>
    <w:multiLevelType w:val="hybridMultilevel"/>
    <w:tmpl w:val="CE9AA58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43B247C1"/>
    <w:multiLevelType w:val="hybridMultilevel"/>
    <w:tmpl w:val="18782EB0"/>
    <w:lvl w:ilvl="0" w:tplc="7098F44E">
      <w:start w:val="1"/>
      <w:numFmt w:val="decimal"/>
      <w:lvlText w:val="2.%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512AD7"/>
    <w:multiLevelType w:val="hybridMultilevel"/>
    <w:tmpl w:val="FF46A8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D6F6F53"/>
    <w:multiLevelType w:val="hybridMultilevel"/>
    <w:tmpl w:val="406E2A3C"/>
    <w:lvl w:ilvl="0" w:tplc="30187AC0">
      <w:start w:val="1"/>
      <w:numFmt w:val="bullet"/>
      <w:lvlText w:val="–"/>
      <w:lvlJc w:val="left"/>
      <w:pPr>
        <w:ind w:left="1287" w:hanging="360"/>
      </w:pPr>
      <w:rPr>
        <w:rFonts w:ascii="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2" w15:restartNumberingAfterBreak="0">
    <w:nsid w:val="4FDE3D4B"/>
    <w:multiLevelType w:val="hybridMultilevel"/>
    <w:tmpl w:val="6352A1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A50E63"/>
    <w:multiLevelType w:val="hybridMultilevel"/>
    <w:tmpl w:val="3C7EF918"/>
    <w:lvl w:ilvl="0" w:tplc="1D3A989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51451AFE"/>
    <w:multiLevelType w:val="hybridMultilevel"/>
    <w:tmpl w:val="2F5C689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CE86B6A"/>
    <w:multiLevelType w:val="hybridMultilevel"/>
    <w:tmpl w:val="0726BA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0FA20BB"/>
    <w:multiLevelType w:val="hybridMultilevel"/>
    <w:tmpl w:val="DFFC59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767994"/>
    <w:multiLevelType w:val="hybridMultilevel"/>
    <w:tmpl w:val="4D6C78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5D2080E"/>
    <w:multiLevelType w:val="hybridMultilevel"/>
    <w:tmpl w:val="2C8076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90F3A70"/>
    <w:multiLevelType w:val="hybridMultilevel"/>
    <w:tmpl w:val="4F6A2F22"/>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0" w15:restartNumberingAfterBreak="0">
    <w:nsid w:val="69E70BFA"/>
    <w:multiLevelType w:val="hybridMultilevel"/>
    <w:tmpl w:val="4D6C78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2BB4EE4"/>
    <w:multiLevelType w:val="hybridMultilevel"/>
    <w:tmpl w:val="785257C8"/>
    <w:lvl w:ilvl="0" w:tplc="DFB01162">
      <w:start w:val="1"/>
      <w:numFmt w:val="bullet"/>
      <w:lvlText w:val="–"/>
      <w:lvlJc w:val="left"/>
      <w:pPr>
        <w:ind w:left="1346" w:hanging="360"/>
      </w:pPr>
      <w:rPr>
        <w:rFonts w:ascii="Times New Roman" w:hAnsi="Times New Roman" w:cs="Times New Roman" w:hint="default"/>
      </w:rPr>
    </w:lvl>
    <w:lvl w:ilvl="1" w:tplc="04260003" w:tentative="1">
      <w:start w:val="1"/>
      <w:numFmt w:val="bullet"/>
      <w:lvlText w:val="o"/>
      <w:lvlJc w:val="left"/>
      <w:pPr>
        <w:ind w:left="2066" w:hanging="360"/>
      </w:pPr>
      <w:rPr>
        <w:rFonts w:ascii="Courier New" w:hAnsi="Courier New" w:cs="Courier New" w:hint="default"/>
      </w:rPr>
    </w:lvl>
    <w:lvl w:ilvl="2" w:tplc="04260005" w:tentative="1">
      <w:start w:val="1"/>
      <w:numFmt w:val="bullet"/>
      <w:lvlText w:val=""/>
      <w:lvlJc w:val="left"/>
      <w:pPr>
        <w:ind w:left="2786" w:hanging="360"/>
      </w:pPr>
      <w:rPr>
        <w:rFonts w:ascii="Wingdings" w:hAnsi="Wingdings" w:hint="default"/>
      </w:rPr>
    </w:lvl>
    <w:lvl w:ilvl="3" w:tplc="04260001" w:tentative="1">
      <w:start w:val="1"/>
      <w:numFmt w:val="bullet"/>
      <w:lvlText w:val=""/>
      <w:lvlJc w:val="left"/>
      <w:pPr>
        <w:ind w:left="3506" w:hanging="360"/>
      </w:pPr>
      <w:rPr>
        <w:rFonts w:ascii="Symbol" w:hAnsi="Symbol" w:hint="default"/>
      </w:rPr>
    </w:lvl>
    <w:lvl w:ilvl="4" w:tplc="04260003" w:tentative="1">
      <w:start w:val="1"/>
      <w:numFmt w:val="bullet"/>
      <w:lvlText w:val="o"/>
      <w:lvlJc w:val="left"/>
      <w:pPr>
        <w:ind w:left="4226" w:hanging="360"/>
      </w:pPr>
      <w:rPr>
        <w:rFonts w:ascii="Courier New" w:hAnsi="Courier New" w:cs="Courier New" w:hint="default"/>
      </w:rPr>
    </w:lvl>
    <w:lvl w:ilvl="5" w:tplc="04260005" w:tentative="1">
      <w:start w:val="1"/>
      <w:numFmt w:val="bullet"/>
      <w:lvlText w:val=""/>
      <w:lvlJc w:val="left"/>
      <w:pPr>
        <w:ind w:left="4946" w:hanging="360"/>
      </w:pPr>
      <w:rPr>
        <w:rFonts w:ascii="Wingdings" w:hAnsi="Wingdings" w:hint="default"/>
      </w:rPr>
    </w:lvl>
    <w:lvl w:ilvl="6" w:tplc="04260001" w:tentative="1">
      <w:start w:val="1"/>
      <w:numFmt w:val="bullet"/>
      <w:lvlText w:val=""/>
      <w:lvlJc w:val="left"/>
      <w:pPr>
        <w:ind w:left="5666" w:hanging="360"/>
      </w:pPr>
      <w:rPr>
        <w:rFonts w:ascii="Symbol" w:hAnsi="Symbol" w:hint="default"/>
      </w:rPr>
    </w:lvl>
    <w:lvl w:ilvl="7" w:tplc="04260003" w:tentative="1">
      <w:start w:val="1"/>
      <w:numFmt w:val="bullet"/>
      <w:lvlText w:val="o"/>
      <w:lvlJc w:val="left"/>
      <w:pPr>
        <w:ind w:left="6386" w:hanging="360"/>
      </w:pPr>
      <w:rPr>
        <w:rFonts w:ascii="Courier New" w:hAnsi="Courier New" w:cs="Courier New" w:hint="default"/>
      </w:rPr>
    </w:lvl>
    <w:lvl w:ilvl="8" w:tplc="04260005" w:tentative="1">
      <w:start w:val="1"/>
      <w:numFmt w:val="bullet"/>
      <w:lvlText w:val=""/>
      <w:lvlJc w:val="left"/>
      <w:pPr>
        <w:ind w:left="7106" w:hanging="360"/>
      </w:pPr>
      <w:rPr>
        <w:rFonts w:ascii="Wingdings" w:hAnsi="Wingdings" w:hint="default"/>
      </w:rPr>
    </w:lvl>
  </w:abstractNum>
  <w:abstractNum w:abstractNumId="32" w15:restartNumberingAfterBreak="0">
    <w:nsid w:val="72C01052"/>
    <w:multiLevelType w:val="hybridMultilevel"/>
    <w:tmpl w:val="E4647A18"/>
    <w:lvl w:ilvl="0" w:tplc="6130E240">
      <w:start w:val="1"/>
      <w:numFmt w:val="decimal"/>
      <w:lvlText w:val="%1."/>
      <w:lvlJc w:val="left"/>
      <w:pPr>
        <w:ind w:left="502"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3265315"/>
    <w:multiLevelType w:val="hybridMultilevel"/>
    <w:tmpl w:val="4202AFB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4" w15:restartNumberingAfterBreak="0">
    <w:nsid w:val="78BA4141"/>
    <w:multiLevelType w:val="hybridMultilevel"/>
    <w:tmpl w:val="C8061D92"/>
    <w:lvl w:ilvl="0" w:tplc="1E982E68">
      <w:start w:val="1"/>
      <w:numFmt w:val="decimal"/>
      <w:lvlText w:val="2.%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BFC3C39"/>
    <w:multiLevelType w:val="hybridMultilevel"/>
    <w:tmpl w:val="4B1A9822"/>
    <w:lvl w:ilvl="0" w:tplc="30187AC0">
      <w:start w:val="1"/>
      <w:numFmt w:val="bullet"/>
      <w:lvlText w:val="–"/>
      <w:lvlJc w:val="left"/>
      <w:pPr>
        <w:ind w:left="1287" w:hanging="360"/>
      </w:pPr>
      <w:rPr>
        <w:rFonts w:ascii="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6" w15:restartNumberingAfterBreak="0">
    <w:nsid w:val="7E3D3695"/>
    <w:multiLevelType w:val="hybridMultilevel"/>
    <w:tmpl w:val="46E2BC40"/>
    <w:lvl w:ilvl="0" w:tplc="DFB0116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F6E64B0"/>
    <w:multiLevelType w:val="hybridMultilevel"/>
    <w:tmpl w:val="7AFEFDF2"/>
    <w:lvl w:ilvl="0" w:tplc="FD8EB6B0">
      <w:start w:val="1"/>
      <w:numFmt w:val="decimal"/>
      <w:lvlText w:val="2.%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29"/>
  </w:num>
  <w:num w:numId="3">
    <w:abstractNumId w:val="11"/>
  </w:num>
  <w:num w:numId="4">
    <w:abstractNumId w:val="6"/>
  </w:num>
  <w:num w:numId="5">
    <w:abstractNumId w:val="18"/>
  </w:num>
  <w:num w:numId="6">
    <w:abstractNumId w:val="8"/>
  </w:num>
  <w:num w:numId="7">
    <w:abstractNumId w:val="0"/>
  </w:num>
  <w:num w:numId="8">
    <w:abstractNumId w:val="31"/>
  </w:num>
  <w:num w:numId="9">
    <w:abstractNumId w:val="7"/>
  </w:num>
  <w:num w:numId="10">
    <w:abstractNumId w:val="16"/>
  </w:num>
  <w:num w:numId="11">
    <w:abstractNumId w:val="36"/>
  </w:num>
  <w:num w:numId="12">
    <w:abstractNumId w:val="35"/>
  </w:num>
  <w:num w:numId="13">
    <w:abstractNumId w:val="21"/>
  </w:num>
  <w:num w:numId="14">
    <w:abstractNumId w:val="15"/>
  </w:num>
  <w:num w:numId="15">
    <w:abstractNumId w:val="14"/>
  </w:num>
  <w:num w:numId="16">
    <w:abstractNumId w:val="20"/>
  </w:num>
  <w:num w:numId="17">
    <w:abstractNumId w:val="1"/>
  </w:num>
  <w:num w:numId="18">
    <w:abstractNumId w:val="4"/>
  </w:num>
  <w:num w:numId="19">
    <w:abstractNumId w:val="24"/>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2"/>
  </w:num>
  <w:num w:numId="23">
    <w:abstractNumId w:val="22"/>
  </w:num>
  <w:num w:numId="24">
    <w:abstractNumId w:val="23"/>
  </w:num>
  <w:num w:numId="25">
    <w:abstractNumId w:val="12"/>
  </w:num>
  <w:num w:numId="26">
    <w:abstractNumId w:val="28"/>
  </w:num>
  <w:num w:numId="27">
    <w:abstractNumId w:val="26"/>
  </w:num>
  <w:num w:numId="28">
    <w:abstractNumId w:val="27"/>
  </w:num>
  <w:num w:numId="29">
    <w:abstractNumId w:val="25"/>
  </w:num>
  <w:num w:numId="30">
    <w:abstractNumId w:val="30"/>
  </w:num>
  <w:num w:numId="31">
    <w:abstractNumId w:val="32"/>
  </w:num>
  <w:num w:numId="32">
    <w:abstractNumId w:val="17"/>
  </w:num>
  <w:num w:numId="33">
    <w:abstractNumId w:val="37"/>
  </w:num>
  <w:num w:numId="34">
    <w:abstractNumId w:val="13"/>
  </w:num>
  <w:num w:numId="35">
    <w:abstractNumId w:val="3"/>
  </w:num>
  <w:num w:numId="36">
    <w:abstractNumId w:val="5"/>
  </w:num>
  <w:num w:numId="37">
    <w:abstractNumId w:val="34"/>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FA2"/>
    <w:rsid w:val="0000229D"/>
    <w:rsid w:val="00002917"/>
    <w:rsid w:val="00002E01"/>
    <w:rsid w:val="00003A35"/>
    <w:rsid w:val="00005522"/>
    <w:rsid w:val="00007782"/>
    <w:rsid w:val="00010069"/>
    <w:rsid w:val="000104B1"/>
    <w:rsid w:val="00010DA5"/>
    <w:rsid w:val="00011209"/>
    <w:rsid w:val="00013CA4"/>
    <w:rsid w:val="000169AA"/>
    <w:rsid w:val="00020255"/>
    <w:rsid w:val="00020C48"/>
    <w:rsid w:val="000232FB"/>
    <w:rsid w:val="00023D82"/>
    <w:rsid w:val="00024B01"/>
    <w:rsid w:val="00025194"/>
    <w:rsid w:val="000311ED"/>
    <w:rsid w:val="00035B77"/>
    <w:rsid w:val="00035CB3"/>
    <w:rsid w:val="0004026E"/>
    <w:rsid w:val="000404C3"/>
    <w:rsid w:val="00042FB1"/>
    <w:rsid w:val="00044DE9"/>
    <w:rsid w:val="000463C0"/>
    <w:rsid w:val="000467E1"/>
    <w:rsid w:val="0005019B"/>
    <w:rsid w:val="0005039B"/>
    <w:rsid w:val="00050E11"/>
    <w:rsid w:val="0005121D"/>
    <w:rsid w:val="00051AAD"/>
    <w:rsid w:val="00053DF2"/>
    <w:rsid w:val="000540D9"/>
    <w:rsid w:val="000543D9"/>
    <w:rsid w:val="0005575F"/>
    <w:rsid w:val="00055F05"/>
    <w:rsid w:val="000561B3"/>
    <w:rsid w:val="000564A7"/>
    <w:rsid w:val="00060741"/>
    <w:rsid w:val="000619F7"/>
    <w:rsid w:val="0006283D"/>
    <w:rsid w:val="00062B70"/>
    <w:rsid w:val="00063D75"/>
    <w:rsid w:val="00064ACA"/>
    <w:rsid w:val="00065997"/>
    <w:rsid w:val="00065F5E"/>
    <w:rsid w:val="000666C1"/>
    <w:rsid w:val="00070B5A"/>
    <w:rsid w:val="0007241C"/>
    <w:rsid w:val="00073191"/>
    <w:rsid w:val="0007428B"/>
    <w:rsid w:val="0007551E"/>
    <w:rsid w:val="00077050"/>
    <w:rsid w:val="00080280"/>
    <w:rsid w:val="0008140C"/>
    <w:rsid w:val="00081A72"/>
    <w:rsid w:val="00082449"/>
    <w:rsid w:val="00082995"/>
    <w:rsid w:val="000836C5"/>
    <w:rsid w:val="00083B2F"/>
    <w:rsid w:val="00084C94"/>
    <w:rsid w:val="00085614"/>
    <w:rsid w:val="0008646B"/>
    <w:rsid w:val="00087ACE"/>
    <w:rsid w:val="0009008A"/>
    <w:rsid w:val="000907E3"/>
    <w:rsid w:val="00090946"/>
    <w:rsid w:val="00090F71"/>
    <w:rsid w:val="00091E0A"/>
    <w:rsid w:val="0009361D"/>
    <w:rsid w:val="00093857"/>
    <w:rsid w:val="000974BB"/>
    <w:rsid w:val="00097F81"/>
    <w:rsid w:val="000A04B1"/>
    <w:rsid w:val="000A0ED2"/>
    <w:rsid w:val="000A5D6C"/>
    <w:rsid w:val="000B03A5"/>
    <w:rsid w:val="000B3344"/>
    <w:rsid w:val="000B392E"/>
    <w:rsid w:val="000B4E37"/>
    <w:rsid w:val="000B4F28"/>
    <w:rsid w:val="000B5AB1"/>
    <w:rsid w:val="000B6C97"/>
    <w:rsid w:val="000B7542"/>
    <w:rsid w:val="000B7957"/>
    <w:rsid w:val="000B7FD7"/>
    <w:rsid w:val="000C1191"/>
    <w:rsid w:val="000C2905"/>
    <w:rsid w:val="000C4CCB"/>
    <w:rsid w:val="000C63BB"/>
    <w:rsid w:val="000D03ED"/>
    <w:rsid w:val="000D0911"/>
    <w:rsid w:val="000D120C"/>
    <w:rsid w:val="000D288F"/>
    <w:rsid w:val="000D4322"/>
    <w:rsid w:val="000D511E"/>
    <w:rsid w:val="000D797A"/>
    <w:rsid w:val="000E203D"/>
    <w:rsid w:val="000E2FA8"/>
    <w:rsid w:val="000E35E7"/>
    <w:rsid w:val="000E7B3B"/>
    <w:rsid w:val="000E7B9D"/>
    <w:rsid w:val="000F0902"/>
    <w:rsid w:val="000F0BA0"/>
    <w:rsid w:val="000F31E5"/>
    <w:rsid w:val="000F40C7"/>
    <w:rsid w:val="000F4628"/>
    <w:rsid w:val="000F4EB0"/>
    <w:rsid w:val="000F525A"/>
    <w:rsid w:val="000F56C6"/>
    <w:rsid w:val="000F5F2E"/>
    <w:rsid w:val="000F6714"/>
    <w:rsid w:val="000F6B54"/>
    <w:rsid w:val="000F6F73"/>
    <w:rsid w:val="000F7007"/>
    <w:rsid w:val="00100147"/>
    <w:rsid w:val="00102897"/>
    <w:rsid w:val="0010351E"/>
    <w:rsid w:val="00103F56"/>
    <w:rsid w:val="00104005"/>
    <w:rsid w:val="001043A7"/>
    <w:rsid w:val="00104526"/>
    <w:rsid w:val="00104793"/>
    <w:rsid w:val="00106E47"/>
    <w:rsid w:val="00106E94"/>
    <w:rsid w:val="00112C19"/>
    <w:rsid w:val="0011311E"/>
    <w:rsid w:val="0012129D"/>
    <w:rsid w:val="001214A1"/>
    <w:rsid w:val="001216D8"/>
    <w:rsid w:val="001252DB"/>
    <w:rsid w:val="001267C8"/>
    <w:rsid w:val="00132181"/>
    <w:rsid w:val="001328B4"/>
    <w:rsid w:val="00132C1F"/>
    <w:rsid w:val="001334CF"/>
    <w:rsid w:val="00134959"/>
    <w:rsid w:val="00134FD3"/>
    <w:rsid w:val="0013540E"/>
    <w:rsid w:val="001363F9"/>
    <w:rsid w:val="00140E88"/>
    <w:rsid w:val="00142CB9"/>
    <w:rsid w:val="00145EEF"/>
    <w:rsid w:val="00146540"/>
    <w:rsid w:val="00150727"/>
    <w:rsid w:val="00150CEC"/>
    <w:rsid w:val="00153DD4"/>
    <w:rsid w:val="00156FA2"/>
    <w:rsid w:val="00163C4F"/>
    <w:rsid w:val="0016511B"/>
    <w:rsid w:val="00166822"/>
    <w:rsid w:val="00167A30"/>
    <w:rsid w:val="00170A8A"/>
    <w:rsid w:val="00171BC2"/>
    <w:rsid w:val="00171BEC"/>
    <w:rsid w:val="001742B7"/>
    <w:rsid w:val="001760D8"/>
    <w:rsid w:val="00176414"/>
    <w:rsid w:val="00177BC1"/>
    <w:rsid w:val="00180E9D"/>
    <w:rsid w:val="001823A7"/>
    <w:rsid w:val="00185A3C"/>
    <w:rsid w:val="001861F0"/>
    <w:rsid w:val="001863F0"/>
    <w:rsid w:val="00186620"/>
    <w:rsid w:val="00186694"/>
    <w:rsid w:val="00187376"/>
    <w:rsid w:val="001907E3"/>
    <w:rsid w:val="00190A81"/>
    <w:rsid w:val="00191DC2"/>
    <w:rsid w:val="00193C37"/>
    <w:rsid w:val="001A04F6"/>
    <w:rsid w:val="001A2321"/>
    <w:rsid w:val="001A3566"/>
    <w:rsid w:val="001A4CFD"/>
    <w:rsid w:val="001A5095"/>
    <w:rsid w:val="001A55AD"/>
    <w:rsid w:val="001A6483"/>
    <w:rsid w:val="001A698B"/>
    <w:rsid w:val="001B0AD3"/>
    <w:rsid w:val="001B36A0"/>
    <w:rsid w:val="001B4632"/>
    <w:rsid w:val="001B4E82"/>
    <w:rsid w:val="001B4F91"/>
    <w:rsid w:val="001B52F3"/>
    <w:rsid w:val="001B675B"/>
    <w:rsid w:val="001B67BD"/>
    <w:rsid w:val="001B6F27"/>
    <w:rsid w:val="001C0045"/>
    <w:rsid w:val="001C0780"/>
    <w:rsid w:val="001C0B8A"/>
    <w:rsid w:val="001C1BEC"/>
    <w:rsid w:val="001C3EA7"/>
    <w:rsid w:val="001C4040"/>
    <w:rsid w:val="001C4CD9"/>
    <w:rsid w:val="001C515F"/>
    <w:rsid w:val="001C6970"/>
    <w:rsid w:val="001C6D16"/>
    <w:rsid w:val="001C7562"/>
    <w:rsid w:val="001C769E"/>
    <w:rsid w:val="001D005F"/>
    <w:rsid w:val="001D08EC"/>
    <w:rsid w:val="001D0CD4"/>
    <w:rsid w:val="001D243B"/>
    <w:rsid w:val="001D244D"/>
    <w:rsid w:val="001D352E"/>
    <w:rsid w:val="001D3AEA"/>
    <w:rsid w:val="001D4715"/>
    <w:rsid w:val="001D7F25"/>
    <w:rsid w:val="001E0636"/>
    <w:rsid w:val="001E0BC8"/>
    <w:rsid w:val="001E1D8B"/>
    <w:rsid w:val="001E5220"/>
    <w:rsid w:val="001E6AEF"/>
    <w:rsid w:val="001F073F"/>
    <w:rsid w:val="001F1711"/>
    <w:rsid w:val="001F2654"/>
    <w:rsid w:val="001F319E"/>
    <w:rsid w:val="001F373F"/>
    <w:rsid w:val="001F6E7D"/>
    <w:rsid w:val="002004EF"/>
    <w:rsid w:val="00205211"/>
    <w:rsid w:val="00207EF6"/>
    <w:rsid w:val="00211E2B"/>
    <w:rsid w:val="002126A8"/>
    <w:rsid w:val="00212D5F"/>
    <w:rsid w:val="00215515"/>
    <w:rsid w:val="002169D8"/>
    <w:rsid w:val="002178A5"/>
    <w:rsid w:val="002208D3"/>
    <w:rsid w:val="00220EC2"/>
    <w:rsid w:val="00221260"/>
    <w:rsid w:val="002225C5"/>
    <w:rsid w:val="002228A4"/>
    <w:rsid w:val="002230E0"/>
    <w:rsid w:val="002232F6"/>
    <w:rsid w:val="00227399"/>
    <w:rsid w:val="002276F2"/>
    <w:rsid w:val="00227FD2"/>
    <w:rsid w:val="002312F6"/>
    <w:rsid w:val="00235633"/>
    <w:rsid w:val="00237EE3"/>
    <w:rsid w:val="00242663"/>
    <w:rsid w:val="002441F6"/>
    <w:rsid w:val="00245826"/>
    <w:rsid w:val="002506D2"/>
    <w:rsid w:val="00251098"/>
    <w:rsid w:val="00251132"/>
    <w:rsid w:val="00251736"/>
    <w:rsid w:val="00251CF2"/>
    <w:rsid w:val="00252D45"/>
    <w:rsid w:val="002548D6"/>
    <w:rsid w:val="00254D81"/>
    <w:rsid w:val="0025551E"/>
    <w:rsid w:val="002567D3"/>
    <w:rsid w:val="00257A37"/>
    <w:rsid w:val="00260B1F"/>
    <w:rsid w:val="00260BF5"/>
    <w:rsid w:val="00263CE5"/>
    <w:rsid w:val="002641CB"/>
    <w:rsid w:val="00266EC1"/>
    <w:rsid w:val="0026763A"/>
    <w:rsid w:val="002708B9"/>
    <w:rsid w:val="002722BB"/>
    <w:rsid w:val="00272ADD"/>
    <w:rsid w:val="00274BA2"/>
    <w:rsid w:val="00274F46"/>
    <w:rsid w:val="00276694"/>
    <w:rsid w:val="00276F59"/>
    <w:rsid w:val="0028353E"/>
    <w:rsid w:val="002837F3"/>
    <w:rsid w:val="0028410B"/>
    <w:rsid w:val="002904B3"/>
    <w:rsid w:val="00290AA5"/>
    <w:rsid w:val="00290E88"/>
    <w:rsid w:val="002916EF"/>
    <w:rsid w:val="00291809"/>
    <w:rsid w:val="00292409"/>
    <w:rsid w:val="002926A0"/>
    <w:rsid w:val="00292D26"/>
    <w:rsid w:val="0029473D"/>
    <w:rsid w:val="002A2B22"/>
    <w:rsid w:val="002A5BD7"/>
    <w:rsid w:val="002A7434"/>
    <w:rsid w:val="002A7ED6"/>
    <w:rsid w:val="002B00D1"/>
    <w:rsid w:val="002B1C5A"/>
    <w:rsid w:val="002B35DD"/>
    <w:rsid w:val="002B3737"/>
    <w:rsid w:val="002B7998"/>
    <w:rsid w:val="002B7FC7"/>
    <w:rsid w:val="002C0234"/>
    <w:rsid w:val="002C294C"/>
    <w:rsid w:val="002C4C5D"/>
    <w:rsid w:val="002C4D0B"/>
    <w:rsid w:val="002C4DBF"/>
    <w:rsid w:val="002C7904"/>
    <w:rsid w:val="002D02E9"/>
    <w:rsid w:val="002D0781"/>
    <w:rsid w:val="002D0D52"/>
    <w:rsid w:val="002D2122"/>
    <w:rsid w:val="002D25C0"/>
    <w:rsid w:val="002D3BBE"/>
    <w:rsid w:val="002D5D41"/>
    <w:rsid w:val="002E0CBF"/>
    <w:rsid w:val="002E261D"/>
    <w:rsid w:val="002E2ADD"/>
    <w:rsid w:val="002E5EEF"/>
    <w:rsid w:val="002E7743"/>
    <w:rsid w:val="002F0074"/>
    <w:rsid w:val="002F4499"/>
    <w:rsid w:val="002F6407"/>
    <w:rsid w:val="002F6D8A"/>
    <w:rsid w:val="002F7D8C"/>
    <w:rsid w:val="0030150B"/>
    <w:rsid w:val="003021FA"/>
    <w:rsid w:val="00303327"/>
    <w:rsid w:val="003051B1"/>
    <w:rsid w:val="003073A2"/>
    <w:rsid w:val="003077EB"/>
    <w:rsid w:val="003100F4"/>
    <w:rsid w:val="00310B33"/>
    <w:rsid w:val="0031274F"/>
    <w:rsid w:val="003134F5"/>
    <w:rsid w:val="00313A3C"/>
    <w:rsid w:val="00313CE2"/>
    <w:rsid w:val="003154CC"/>
    <w:rsid w:val="0031760B"/>
    <w:rsid w:val="00317C4A"/>
    <w:rsid w:val="003203F4"/>
    <w:rsid w:val="0032168D"/>
    <w:rsid w:val="00321B66"/>
    <w:rsid w:val="003224D7"/>
    <w:rsid w:val="0032506C"/>
    <w:rsid w:val="00326FA1"/>
    <w:rsid w:val="00330851"/>
    <w:rsid w:val="00330EA6"/>
    <w:rsid w:val="0033186B"/>
    <w:rsid w:val="0033212F"/>
    <w:rsid w:val="003321A9"/>
    <w:rsid w:val="003340C3"/>
    <w:rsid w:val="0033656B"/>
    <w:rsid w:val="00342B80"/>
    <w:rsid w:val="003457FC"/>
    <w:rsid w:val="003470CD"/>
    <w:rsid w:val="00350471"/>
    <w:rsid w:val="00350502"/>
    <w:rsid w:val="0035104B"/>
    <w:rsid w:val="00351C75"/>
    <w:rsid w:val="00353657"/>
    <w:rsid w:val="00353EB3"/>
    <w:rsid w:val="00354C80"/>
    <w:rsid w:val="003639FA"/>
    <w:rsid w:val="003651C0"/>
    <w:rsid w:val="003672A2"/>
    <w:rsid w:val="00370838"/>
    <w:rsid w:val="00370D7C"/>
    <w:rsid w:val="00371122"/>
    <w:rsid w:val="003713FE"/>
    <w:rsid w:val="00376367"/>
    <w:rsid w:val="0037793E"/>
    <w:rsid w:val="00380285"/>
    <w:rsid w:val="00381660"/>
    <w:rsid w:val="0038167C"/>
    <w:rsid w:val="00383956"/>
    <w:rsid w:val="0038636A"/>
    <w:rsid w:val="00386427"/>
    <w:rsid w:val="003922C0"/>
    <w:rsid w:val="003952B1"/>
    <w:rsid w:val="00396643"/>
    <w:rsid w:val="003975BC"/>
    <w:rsid w:val="003A2144"/>
    <w:rsid w:val="003A23A2"/>
    <w:rsid w:val="003A38DC"/>
    <w:rsid w:val="003A3EC3"/>
    <w:rsid w:val="003A60F9"/>
    <w:rsid w:val="003A7CE9"/>
    <w:rsid w:val="003B07E8"/>
    <w:rsid w:val="003B0A52"/>
    <w:rsid w:val="003B0B8F"/>
    <w:rsid w:val="003B18CC"/>
    <w:rsid w:val="003B35A2"/>
    <w:rsid w:val="003B35CC"/>
    <w:rsid w:val="003B7F05"/>
    <w:rsid w:val="003C24DC"/>
    <w:rsid w:val="003C4699"/>
    <w:rsid w:val="003C58F7"/>
    <w:rsid w:val="003C76D6"/>
    <w:rsid w:val="003C7B78"/>
    <w:rsid w:val="003C7E52"/>
    <w:rsid w:val="003D0E13"/>
    <w:rsid w:val="003D144E"/>
    <w:rsid w:val="003D2152"/>
    <w:rsid w:val="003D339C"/>
    <w:rsid w:val="003D3B4A"/>
    <w:rsid w:val="003D3BF8"/>
    <w:rsid w:val="003D4001"/>
    <w:rsid w:val="003D5665"/>
    <w:rsid w:val="003D6A3A"/>
    <w:rsid w:val="003E076C"/>
    <w:rsid w:val="003E150C"/>
    <w:rsid w:val="003E4A9E"/>
    <w:rsid w:val="003E58A2"/>
    <w:rsid w:val="003E5D71"/>
    <w:rsid w:val="003E6997"/>
    <w:rsid w:val="003E6CC7"/>
    <w:rsid w:val="003F06EF"/>
    <w:rsid w:val="003F091B"/>
    <w:rsid w:val="003F1A37"/>
    <w:rsid w:val="003F44F4"/>
    <w:rsid w:val="003F562D"/>
    <w:rsid w:val="003F65CA"/>
    <w:rsid w:val="003F6C63"/>
    <w:rsid w:val="003F76A0"/>
    <w:rsid w:val="003F7EF6"/>
    <w:rsid w:val="003F7F19"/>
    <w:rsid w:val="00400B9E"/>
    <w:rsid w:val="00401E33"/>
    <w:rsid w:val="004035AD"/>
    <w:rsid w:val="00404863"/>
    <w:rsid w:val="00405637"/>
    <w:rsid w:val="00406709"/>
    <w:rsid w:val="0040771A"/>
    <w:rsid w:val="00410841"/>
    <w:rsid w:val="00411C5A"/>
    <w:rsid w:val="0041444A"/>
    <w:rsid w:val="00415411"/>
    <w:rsid w:val="0041565D"/>
    <w:rsid w:val="004158C9"/>
    <w:rsid w:val="00416A9A"/>
    <w:rsid w:val="00417AAA"/>
    <w:rsid w:val="004213AE"/>
    <w:rsid w:val="00424D69"/>
    <w:rsid w:val="0042707E"/>
    <w:rsid w:val="00430D64"/>
    <w:rsid w:val="00431CF5"/>
    <w:rsid w:val="004367E4"/>
    <w:rsid w:val="0044059A"/>
    <w:rsid w:val="004408DA"/>
    <w:rsid w:val="004430FC"/>
    <w:rsid w:val="00443650"/>
    <w:rsid w:val="0044555E"/>
    <w:rsid w:val="004456D0"/>
    <w:rsid w:val="0044589A"/>
    <w:rsid w:val="004470F8"/>
    <w:rsid w:val="004523BD"/>
    <w:rsid w:val="004526D0"/>
    <w:rsid w:val="00452ECD"/>
    <w:rsid w:val="00454149"/>
    <w:rsid w:val="00454184"/>
    <w:rsid w:val="00454603"/>
    <w:rsid w:val="00456404"/>
    <w:rsid w:val="00457ABD"/>
    <w:rsid w:val="00457BCC"/>
    <w:rsid w:val="004612AC"/>
    <w:rsid w:val="0046134D"/>
    <w:rsid w:val="00462016"/>
    <w:rsid w:val="00462770"/>
    <w:rsid w:val="004633DA"/>
    <w:rsid w:val="004643E0"/>
    <w:rsid w:val="0046456E"/>
    <w:rsid w:val="00464B01"/>
    <w:rsid w:val="00465AC0"/>
    <w:rsid w:val="00466248"/>
    <w:rsid w:val="00466547"/>
    <w:rsid w:val="0047178E"/>
    <w:rsid w:val="00474276"/>
    <w:rsid w:val="00474E59"/>
    <w:rsid w:val="00477A9E"/>
    <w:rsid w:val="00481277"/>
    <w:rsid w:val="00482D1C"/>
    <w:rsid w:val="00483BB4"/>
    <w:rsid w:val="00485BCE"/>
    <w:rsid w:val="00486B5F"/>
    <w:rsid w:val="004878EF"/>
    <w:rsid w:val="00487ABA"/>
    <w:rsid w:val="00491B8D"/>
    <w:rsid w:val="004936C5"/>
    <w:rsid w:val="0049752C"/>
    <w:rsid w:val="004979CD"/>
    <w:rsid w:val="004A433B"/>
    <w:rsid w:val="004A6410"/>
    <w:rsid w:val="004A6423"/>
    <w:rsid w:val="004A7AB6"/>
    <w:rsid w:val="004B1D1A"/>
    <w:rsid w:val="004B22E0"/>
    <w:rsid w:val="004B27A8"/>
    <w:rsid w:val="004B2D48"/>
    <w:rsid w:val="004B5BD0"/>
    <w:rsid w:val="004B736F"/>
    <w:rsid w:val="004B7C95"/>
    <w:rsid w:val="004C03F2"/>
    <w:rsid w:val="004C05B2"/>
    <w:rsid w:val="004C07D9"/>
    <w:rsid w:val="004C0875"/>
    <w:rsid w:val="004C0A8A"/>
    <w:rsid w:val="004C3085"/>
    <w:rsid w:val="004C5105"/>
    <w:rsid w:val="004D26D8"/>
    <w:rsid w:val="004D4460"/>
    <w:rsid w:val="004D6F5B"/>
    <w:rsid w:val="004E03C9"/>
    <w:rsid w:val="004E2721"/>
    <w:rsid w:val="004E310D"/>
    <w:rsid w:val="004E373B"/>
    <w:rsid w:val="004E3C54"/>
    <w:rsid w:val="004E5996"/>
    <w:rsid w:val="004E5D64"/>
    <w:rsid w:val="004E7EA6"/>
    <w:rsid w:val="004F0B7D"/>
    <w:rsid w:val="004F14D5"/>
    <w:rsid w:val="004F198A"/>
    <w:rsid w:val="004F1EA6"/>
    <w:rsid w:val="004F2024"/>
    <w:rsid w:val="004F5192"/>
    <w:rsid w:val="004F51CF"/>
    <w:rsid w:val="004F5E01"/>
    <w:rsid w:val="004F623D"/>
    <w:rsid w:val="004F738D"/>
    <w:rsid w:val="004F7EF4"/>
    <w:rsid w:val="0050259C"/>
    <w:rsid w:val="00503748"/>
    <w:rsid w:val="0050635F"/>
    <w:rsid w:val="005101DF"/>
    <w:rsid w:val="00510E1C"/>
    <w:rsid w:val="00512763"/>
    <w:rsid w:val="0051316A"/>
    <w:rsid w:val="0051343E"/>
    <w:rsid w:val="00514A9A"/>
    <w:rsid w:val="00514E45"/>
    <w:rsid w:val="0051544D"/>
    <w:rsid w:val="00516F9B"/>
    <w:rsid w:val="005209F7"/>
    <w:rsid w:val="00523006"/>
    <w:rsid w:val="005269F3"/>
    <w:rsid w:val="00526A8F"/>
    <w:rsid w:val="00527EC3"/>
    <w:rsid w:val="00530D56"/>
    <w:rsid w:val="00531F23"/>
    <w:rsid w:val="005332EE"/>
    <w:rsid w:val="005337F3"/>
    <w:rsid w:val="00534628"/>
    <w:rsid w:val="00534F22"/>
    <w:rsid w:val="00540270"/>
    <w:rsid w:val="0054347F"/>
    <w:rsid w:val="0054354D"/>
    <w:rsid w:val="00545066"/>
    <w:rsid w:val="00545375"/>
    <w:rsid w:val="00546D74"/>
    <w:rsid w:val="0055194E"/>
    <w:rsid w:val="00551B6B"/>
    <w:rsid w:val="00552C3B"/>
    <w:rsid w:val="00552E7D"/>
    <w:rsid w:val="00553951"/>
    <w:rsid w:val="005557CC"/>
    <w:rsid w:val="00556025"/>
    <w:rsid w:val="00562549"/>
    <w:rsid w:val="00562CA3"/>
    <w:rsid w:val="00564C1B"/>
    <w:rsid w:val="00564D19"/>
    <w:rsid w:val="005657DB"/>
    <w:rsid w:val="005671B6"/>
    <w:rsid w:val="005676A5"/>
    <w:rsid w:val="00567E51"/>
    <w:rsid w:val="005704A1"/>
    <w:rsid w:val="00570869"/>
    <w:rsid w:val="0057086B"/>
    <w:rsid w:val="005708F1"/>
    <w:rsid w:val="00571453"/>
    <w:rsid w:val="00571B61"/>
    <w:rsid w:val="00571F35"/>
    <w:rsid w:val="00572C40"/>
    <w:rsid w:val="005732FB"/>
    <w:rsid w:val="0057473D"/>
    <w:rsid w:val="00574DD8"/>
    <w:rsid w:val="005753A1"/>
    <w:rsid w:val="00575C31"/>
    <w:rsid w:val="00577029"/>
    <w:rsid w:val="00580DA7"/>
    <w:rsid w:val="0058228C"/>
    <w:rsid w:val="00582705"/>
    <w:rsid w:val="00582F30"/>
    <w:rsid w:val="00584EB1"/>
    <w:rsid w:val="00584EEB"/>
    <w:rsid w:val="005857B1"/>
    <w:rsid w:val="00585CB0"/>
    <w:rsid w:val="00586F0C"/>
    <w:rsid w:val="005903E0"/>
    <w:rsid w:val="00591E49"/>
    <w:rsid w:val="0059354B"/>
    <w:rsid w:val="00593D97"/>
    <w:rsid w:val="00594B4D"/>
    <w:rsid w:val="0059572B"/>
    <w:rsid w:val="00596392"/>
    <w:rsid w:val="00596394"/>
    <w:rsid w:val="005A3E07"/>
    <w:rsid w:val="005A43EB"/>
    <w:rsid w:val="005A5477"/>
    <w:rsid w:val="005A562B"/>
    <w:rsid w:val="005A75CE"/>
    <w:rsid w:val="005B2112"/>
    <w:rsid w:val="005B27AD"/>
    <w:rsid w:val="005C002D"/>
    <w:rsid w:val="005C0919"/>
    <w:rsid w:val="005C0F85"/>
    <w:rsid w:val="005C1C2F"/>
    <w:rsid w:val="005C21BB"/>
    <w:rsid w:val="005C2A62"/>
    <w:rsid w:val="005C7E73"/>
    <w:rsid w:val="005D1852"/>
    <w:rsid w:val="005D27A5"/>
    <w:rsid w:val="005D2F38"/>
    <w:rsid w:val="005D397F"/>
    <w:rsid w:val="005D3EBC"/>
    <w:rsid w:val="005D51E7"/>
    <w:rsid w:val="005D5FD2"/>
    <w:rsid w:val="005D60E6"/>
    <w:rsid w:val="005D7AB9"/>
    <w:rsid w:val="005D7C2A"/>
    <w:rsid w:val="005D7CCA"/>
    <w:rsid w:val="005E09EB"/>
    <w:rsid w:val="005E0F7B"/>
    <w:rsid w:val="005E13B2"/>
    <w:rsid w:val="005E16A4"/>
    <w:rsid w:val="005E268E"/>
    <w:rsid w:val="005E2D37"/>
    <w:rsid w:val="005E3C38"/>
    <w:rsid w:val="005E487E"/>
    <w:rsid w:val="005E4DDB"/>
    <w:rsid w:val="005E6CBD"/>
    <w:rsid w:val="005E7374"/>
    <w:rsid w:val="005F153D"/>
    <w:rsid w:val="005F3498"/>
    <w:rsid w:val="005F3DDE"/>
    <w:rsid w:val="005F4DCE"/>
    <w:rsid w:val="00601469"/>
    <w:rsid w:val="00604888"/>
    <w:rsid w:val="00604A61"/>
    <w:rsid w:val="006057ED"/>
    <w:rsid w:val="0061077E"/>
    <w:rsid w:val="0061192D"/>
    <w:rsid w:val="006121F5"/>
    <w:rsid w:val="006123F5"/>
    <w:rsid w:val="00614656"/>
    <w:rsid w:val="006158B5"/>
    <w:rsid w:val="006173AC"/>
    <w:rsid w:val="006179FF"/>
    <w:rsid w:val="00617BA2"/>
    <w:rsid w:val="00621708"/>
    <w:rsid w:val="006274C9"/>
    <w:rsid w:val="006275EC"/>
    <w:rsid w:val="006278CB"/>
    <w:rsid w:val="00627C54"/>
    <w:rsid w:val="00632A24"/>
    <w:rsid w:val="00632BD7"/>
    <w:rsid w:val="0064088A"/>
    <w:rsid w:val="00642694"/>
    <w:rsid w:val="00642C42"/>
    <w:rsid w:val="006463E8"/>
    <w:rsid w:val="00647B11"/>
    <w:rsid w:val="00647E1A"/>
    <w:rsid w:val="0065057B"/>
    <w:rsid w:val="00651049"/>
    <w:rsid w:val="00651578"/>
    <w:rsid w:val="00651BF6"/>
    <w:rsid w:val="00652338"/>
    <w:rsid w:val="006565F3"/>
    <w:rsid w:val="00661F91"/>
    <w:rsid w:val="006648C1"/>
    <w:rsid w:val="0066490F"/>
    <w:rsid w:val="00665A83"/>
    <w:rsid w:val="00666225"/>
    <w:rsid w:val="00667384"/>
    <w:rsid w:val="00670D50"/>
    <w:rsid w:val="00671C54"/>
    <w:rsid w:val="00673975"/>
    <w:rsid w:val="0067494C"/>
    <w:rsid w:val="00675015"/>
    <w:rsid w:val="00675DF2"/>
    <w:rsid w:val="006766AD"/>
    <w:rsid w:val="006770F0"/>
    <w:rsid w:val="006801FB"/>
    <w:rsid w:val="00682CA7"/>
    <w:rsid w:val="00685178"/>
    <w:rsid w:val="0068741E"/>
    <w:rsid w:val="00692708"/>
    <w:rsid w:val="0069451C"/>
    <w:rsid w:val="00694860"/>
    <w:rsid w:val="00696074"/>
    <w:rsid w:val="0069650A"/>
    <w:rsid w:val="00697FF5"/>
    <w:rsid w:val="006A01C4"/>
    <w:rsid w:val="006A0D11"/>
    <w:rsid w:val="006A3676"/>
    <w:rsid w:val="006A5AB8"/>
    <w:rsid w:val="006A5F4A"/>
    <w:rsid w:val="006A7FA6"/>
    <w:rsid w:val="006B013B"/>
    <w:rsid w:val="006B0E96"/>
    <w:rsid w:val="006B172A"/>
    <w:rsid w:val="006B2147"/>
    <w:rsid w:val="006B23D0"/>
    <w:rsid w:val="006B4B2D"/>
    <w:rsid w:val="006B6E73"/>
    <w:rsid w:val="006B7B97"/>
    <w:rsid w:val="006B7C19"/>
    <w:rsid w:val="006B7D4D"/>
    <w:rsid w:val="006C2C4F"/>
    <w:rsid w:val="006C2C72"/>
    <w:rsid w:val="006C30CA"/>
    <w:rsid w:val="006C748F"/>
    <w:rsid w:val="006C7E84"/>
    <w:rsid w:val="006D0249"/>
    <w:rsid w:val="006D2385"/>
    <w:rsid w:val="006D3F44"/>
    <w:rsid w:val="006D6230"/>
    <w:rsid w:val="006D62C8"/>
    <w:rsid w:val="006D7A24"/>
    <w:rsid w:val="006D7E99"/>
    <w:rsid w:val="006E32BF"/>
    <w:rsid w:val="006E3D66"/>
    <w:rsid w:val="006E4553"/>
    <w:rsid w:val="006E522A"/>
    <w:rsid w:val="006E69FA"/>
    <w:rsid w:val="006E7EF7"/>
    <w:rsid w:val="006F0008"/>
    <w:rsid w:val="006F0085"/>
    <w:rsid w:val="006F0CE5"/>
    <w:rsid w:val="006F0F91"/>
    <w:rsid w:val="006F12B5"/>
    <w:rsid w:val="006F18D8"/>
    <w:rsid w:val="006F2AC5"/>
    <w:rsid w:val="006F375F"/>
    <w:rsid w:val="00702115"/>
    <w:rsid w:val="00702168"/>
    <w:rsid w:val="00702723"/>
    <w:rsid w:val="00703EF6"/>
    <w:rsid w:val="007049A8"/>
    <w:rsid w:val="00706D4E"/>
    <w:rsid w:val="00707AAE"/>
    <w:rsid w:val="00710D06"/>
    <w:rsid w:val="00710ECA"/>
    <w:rsid w:val="0071126C"/>
    <w:rsid w:val="00712502"/>
    <w:rsid w:val="00715782"/>
    <w:rsid w:val="007157D6"/>
    <w:rsid w:val="00715F52"/>
    <w:rsid w:val="007173BA"/>
    <w:rsid w:val="0072058C"/>
    <w:rsid w:val="00720F80"/>
    <w:rsid w:val="0072145A"/>
    <w:rsid w:val="00721FDD"/>
    <w:rsid w:val="00724726"/>
    <w:rsid w:val="00724857"/>
    <w:rsid w:val="00724934"/>
    <w:rsid w:val="007273CD"/>
    <w:rsid w:val="0072769E"/>
    <w:rsid w:val="007279A6"/>
    <w:rsid w:val="0073078E"/>
    <w:rsid w:val="007325D6"/>
    <w:rsid w:val="00732867"/>
    <w:rsid w:val="00733014"/>
    <w:rsid w:val="00733BB3"/>
    <w:rsid w:val="00734DAC"/>
    <w:rsid w:val="00735A58"/>
    <w:rsid w:val="00740191"/>
    <w:rsid w:val="00740E5B"/>
    <w:rsid w:val="00743F31"/>
    <w:rsid w:val="00744F26"/>
    <w:rsid w:val="00746640"/>
    <w:rsid w:val="0074772B"/>
    <w:rsid w:val="00750379"/>
    <w:rsid w:val="0075204E"/>
    <w:rsid w:val="00752D57"/>
    <w:rsid w:val="00753A5F"/>
    <w:rsid w:val="00754A5A"/>
    <w:rsid w:val="00754C1B"/>
    <w:rsid w:val="00755A61"/>
    <w:rsid w:val="00756970"/>
    <w:rsid w:val="0075762A"/>
    <w:rsid w:val="00761B4E"/>
    <w:rsid w:val="007624C7"/>
    <w:rsid w:val="00762920"/>
    <w:rsid w:val="00763AAD"/>
    <w:rsid w:val="00763CCF"/>
    <w:rsid w:val="007644D2"/>
    <w:rsid w:val="00764B71"/>
    <w:rsid w:val="007661EA"/>
    <w:rsid w:val="007663AB"/>
    <w:rsid w:val="00767308"/>
    <w:rsid w:val="007674E0"/>
    <w:rsid w:val="007706AD"/>
    <w:rsid w:val="00770D92"/>
    <w:rsid w:val="00773AE2"/>
    <w:rsid w:val="00774818"/>
    <w:rsid w:val="007754A3"/>
    <w:rsid w:val="00775F95"/>
    <w:rsid w:val="007764CB"/>
    <w:rsid w:val="0077702F"/>
    <w:rsid w:val="0077765A"/>
    <w:rsid w:val="00780507"/>
    <w:rsid w:val="007805D1"/>
    <w:rsid w:val="00780D9F"/>
    <w:rsid w:val="00784D30"/>
    <w:rsid w:val="00785C64"/>
    <w:rsid w:val="00786E0B"/>
    <w:rsid w:val="00790E8F"/>
    <w:rsid w:val="00792423"/>
    <w:rsid w:val="0079399E"/>
    <w:rsid w:val="00796D90"/>
    <w:rsid w:val="00797564"/>
    <w:rsid w:val="007A0960"/>
    <w:rsid w:val="007A31E3"/>
    <w:rsid w:val="007A67DB"/>
    <w:rsid w:val="007A7260"/>
    <w:rsid w:val="007A7F7A"/>
    <w:rsid w:val="007B1989"/>
    <w:rsid w:val="007B1D9A"/>
    <w:rsid w:val="007B37E6"/>
    <w:rsid w:val="007C035F"/>
    <w:rsid w:val="007C1453"/>
    <w:rsid w:val="007C30C5"/>
    <w:rsid w:val="007C3E1E"/>
    <w:rsid w:val="007C3F2A"/>
    <w:rsid w:val="007C65E0"/>
    <w:rsid w:val="007D0CC2"/>
    <w:rsid w:val="007D1617"/>
    <w:rsid w:val="007D177B"/>
    <w:rsid w:val="007D351F"/>
    <w:rsid w:val="007D5E13"/>
    <w:rsid w:val="007D5F8F"/>
    <w:rsid w:val="007D6C4C"/>
    <w:rsid w:val="007D7AE7"/>
    <w:rsid w:val="007D7C3B"/>
    <w:rsid w:val="007E117E"/>
    <w:rsid w:val="007E11F3"/>
    <w:rsid w:val="007E13B7"/>
    <w:rsid w:val="007E1F5C"/>
    <w:rsid w:val="007E2387"/>
    <w:rsid w:val="007E314D"/>
    <w:rsid w:val="007E3929"/>
    <w:rsid w:val="007F0C0A"/>
    <w:rsid w:val="007F7282"/>
    <w:rsid w:val="0080103B"/>
    <w:rsid w:val="008011FD"/>
    <w:rsid w:val="00801DD0"/>
    <w:rsid w:val="00802493"/>
    <w:rsid w:val="0080297E"/>
    <w:rsid w:val="008038AB"/>
    <w:rsid w:val="00803D4B"/>
    <w:rsid w:val="00805312"/>
    <w:rsid w:val="00805582"/>
    <w:rsid w:val="008105D5"/>
    <w:rsid w:val="00810E9B"/>
    <w:rsid w:val="00811A75"/>
    <w:rsid w:val="008126C8"/>
    <w:rsid w:val="00812853"/>
    <w:rsid w:val="008139E5"/>
    <w:rsid w:val="00814B34"/>
    <w:rsid w:val="008178C5"/>
    <w:rsid w:val="008205DA"/>
    <w:rsid w:val="0082345F"/>
    <w:rsid w:val="008241A9"/>
    <w:rsid w:val="00826ED6"/>
    <w:rsid w:val="008303E6"/>
    <w:rsid w:val="00831590"/>
    <w:rsid w:val="008322C9"/>
    <w:rsid w:val="00834D2E"/>
    <w:rsid w:val="0083592A"/>
    <w:rsid w:val="0083661F"/>
    <w:rsid w:val="0083723C"/>
    <w:rsid w:val="0084260C"/>
    <w:rsid w:val="0084270B"/>
    <w:rsid w:val="00844B43"/>
    <w:rsid w:val="00844CD7"/>
    <w:rsid w:val="00845D2C"/>
    <w:rsid w:val="00846D98"/>
    <w:rsid w:val="008502C0"/>
    <w:rsid w:val="00850F96"/>
    <w:rsid w:val="008514B4"/>
    <w:rsid w:val="00852B07"/>
    <w:rsid w:val="00852C4C"/>
    <w:rsid w:val="008608F3"/>
    <w:rsid w:val="00861C66"/>
    <w:rsid w:val="00861EF4"/>
    <w:rsid w:val="00862ABD"/>
    <w:rsid w:val="00863333"/>
    <w:rsid w:val="00863739"/>
    <w:rsid w:val="00863938"/>
    <w:rsid w:val="00863D08"/>
    <w:rsid w:val="00864262"/>
    <w:rsid w:val="0086625E"/>
    <w:rsid w:val="00867091"/>
    <w:rsid w:val="0087189E"/>
    <w:rsid w:val="00872D3E"/>
    <w:rsid w:val="008740CE"/>
    <w:rsid w:val="008749FC"/>
    <w:rsid w:val="00875DE6"/>
    <w:rsid w:val="00877B4E"/>
    <w:rsid w:val="00880DE4"/>
    <w:rsid w:val="008820A0"/>
    <w:rsid w:val="00883F08"/>
    <w:rsid w:val="008847F1"/>
    <w:rsid w:val="00890A47"/>
    <w:rsid w:val="00892522"/>
    <w:rsid w:val="00893405"/>
    <w:rsid w:val="00895844"/>
    <w:rsid w:val="00896ED0"/>
    <w:rsid w:val="008974BC"/>
    <w:rsid w:val="008A3669"/>
    <w:rsid w:val="008A4980"/>
    <w:rsid w:val="008B0A5B"/>
    <w:rsid w:val="008B0E68"/>
    <w:rsid w:val="008B1EB0"/>
    <w:rsid w:val="008B29E1"/>
    <w:rsid w:val="008B3380"/>
    <w:rsid w:val="008B3550"/>
    <w:rsid w:val="008B494C"/>
    <w:rsid w:val="008B4BDD"/>
    <w:rsid w:val="008B5E05"/>
    <w:rsid w:val="008B5F8D"/>
    <w:rsid w:val="008B67B7"/>
    <w:rsid w:val="008B69DD"/>
    <w:rsid w:val="008B72B1"/>
    <w:rsid w:val="008C2789"/>
    <w:rsid w:val="008C50FF"/>
    <w:rsid w:val="008D5910"/>
    <w:rsid w:val="008D7671"/>
    <w:rsid w:val="008E033A"/>
    <w:rsid w:val="008E3609"/>
    <w:rsid w:val="008E41D9"/>
    <w:rsid w:val="008E724C"/>
    <w:rsid w:val="008E75FD"/>
    <w:rsid w:val="008F08F5"/>
    <w:rsid w:val="008F17CB"/>
    <w:rsid w:val="008F19B4"/>
    <w:rsid w:val="008F2FF9"/>
    <w:rsid w:val="008F33B7"/>
    <w:rsid w:val="008F4DF9"/>
    <w:rsid w:val="008F51B7"/>
    <w:rsid w:val="008F5B6F"/>
    <w:rsid w:val="008F5CAD"/>
    <w:rsid w:val="008F5F12"/>
    <w:rsid w:val="00900561"/>
    <w:rsid w:val="00906166"/>
    <w:rsid w:val="00906670"/>
    <w:rsid w:val="00910D7B"/>
    <w:rsid w:val="00912308"/>
    <w:rsid w:val="009123F9"/>
    <w:rsid w:val="0091287B"/>
    <w:rsid w:val="0091294B"/>
    <w:rsid w:val="0091610A"/>
    <w:rsid w:val="0091636E"/>
    <w:rsid w:val="009167D6"/>
    <w:rsid w:val="009179B4"/>
    <w:rsid w:val="00920769"/>
    <w:rsid w:val="0092111E"/>
    <w:rsid w:val="009217D2"/>
    <w:rsid w:val="00921D68"/>
    <w:rsid w:val="00923CAB"/>
    <w:rsid w:val="0093355E"/>
    <w:rsid w:val="009335D3"/>
    <w:rsid w:val="009347FB"/>
    <w:rsid w:val="00935AEB"/>
    <w:rsid w:val="00937713"/>
    <w:rsid w:val="00943019"/>
    <w:rsid w:val="00944626"/>
    <w:rsid w:val="0094545D"/>
    <w:rsid w:val="00946B64"/>
    <w:rsid w:val="00946C15"/>
    <w:rsid w:val="00946EA7"/>
    <w:rsid w:val="00947CAA"/>
    <w:rsid w:val="00950181"/>
    <w:rsid w:val="0095109A"/>
    <w:rsid w:val="0095147B"/>
    <w:rsid w:val="009517F1"/>
    <w:rsid w:val="00952D08"/>
    <w:rsid w:val="009530DD"/>
    <w:rsid w:val="00954ACC"/>
    <w:rsid w:val="0095654C"/>
    <w:rsid w:val="009565DC"/>
    <w:rsid w:val="009566A7"/>
    <w:rsid w:val="00960FEC"/>
    <w:rsid w:val="0096205B"/>
    <w:rsid w:val="00962A4D"/>
    <w:rsid w:val="009630E7"/>
    <w:rsid w:val="00965940"/>
    <w:rsid w:val="00965979"/>
    <w:rsid w:val="00966476"/>
    <w:rsid w:val="00967CC4"/>
    <w:rsid w:val="0097119C"/>
    <w:rsid w:val="00973D3E"/>
    <w:rsid w:val="0097406B"/>
    <w:rsid w:val="0097479C"/>
    <w:rsid w:val="00974904"/>
    <w:rsid w:val="00974D8D"/>
    <w:rsid w:val="009750AC"/>
    <w:rsid w:val="009771F7"/>
    <w:rsid w:val="0097727B"/>
    <w:rsid w:val="00982460"/>
    <w:rsid w:val="009827A3"/>
    <w:rsid w:val="00983DAD"/>
    <w:rsid w:val="0098553A"/>
    <w:rsid w:val="009863B7"/>
    <w:rsid w:val="00986BF9"/>
    <w:rsid w:val="00987A0B"/>
    <w:rsid w:val="009900D9"/>
    <w:rsid w:val="00991B1A"/>
    <w:rsid w:val="0099284F"/>
    <w:rsid w:val="00992CEE"/>
    <w:rsid w:val="00993D1E"/>
    <w:rsid w:val="00994501"/>
    <w:rsid w:val="00995776"/>
    <w:rsid w:val="00995849"/>
    <w:rsid w:val="00995D98"/>
    <w:rsid w:val="00996F1C"/>
    <w:rsid w:val="009A1318"/>
    <w:rsid w:val="009A215A"/>
    <w:rsid w:val="009A4282"/>
    <w:rsid w:val="009A4299"/>
    <w:rsid w:val="009A454D"/>
    <w:rsid w:val="009A4E57"/>
    <w:rsid w:val="009A6A04"/>
    <w:rsid w:val="009A6F62"/>
    <w:rsid w:val="009B050A"/>
    <w:rsid w:val="009B1E94"/>
    <w:rsid w:val="009B29C4"/>
    <w:rsid w:val="009B543F"/>
    <w:rsid w:val="009B575F"/>
    <w:rsid w:val="009B68FC"/>
    <w:rsid w:val="009B76CD"/>
    <w:rsid w:val="009B78F4"/>
    <w:rsid w:val="009C0E19"/>
    <w:rsid w:val="009C1B62"/>
    <w:rsid w:val="009C390B"/>
    <w:rsid w:val="009C3B71"/>
    <w:rsid w:val="009C3C02"/>
    <w:rsid w:val="009C6C58"/>
    <w:rsid w:val="009C7891"/>
    <w:rsid w:val="009C7A2F"/>
    <w:rsid w:val="009D0376"/>
    <w:rsid w:val="009D15BA"/>
    <w:rsid w:val="009D1E65"/>
    <w:rsid w:val="009D2F92"/>
    <w:rsid w:val="009D3DC2"/>
    <w:rsid w:val="009D60AA"/>
    <w:rsid w:val="009D6359"/>
    <w:rsid w:val="009E0A5A"/>
    <w:rsid w:val="009E11C8"/>
    <w:rsid w:val="009E17F1"/>
    <w:rsid w:val="009E1872"/>
    <w:rsid w:val="009E463B"/>
    <w:rsid w:val="009E46E2"/>
    <w:rsid w:val="009E4B42"/>
    <w:rsid w:val="009E56D9"/>
    <w:rsid w:val="009E5CF9"/>
    <w:rsid w:val="009E6756"/>
    <w:rsid w:val="009E6D5F"/>
    <w:rsid w:val="009F0CFF"/>
    <w:rsid w:val="009F15AE"/>
    <w:rsid w:val="009F1B77"/>
    <w:rsid w:val="009F1EDF"/>
    <w:rsid w:val="009F25B0"/>
    <w:rsid w:val="009F35C6"/>
    <w:rsid w:val="009F3AE9"/>
    <w:rsid w:val="009F4F90"/>
    <w:rsid w:val="009F62DC"/>
    <w:rsid w:val="009F6819"/>
    <w:rsid w:val="00A02070"/>
    <w:rsid w:val="00A03623"/>
    <w:rsid w:val="00A038CF"/>
    <w:rsid w:val="00A06217"/>
    <w:rsid w:val="00A11433"/>
    <w:rsid w:val="00A1289D"/>
    <w:rsid w:val="00A14294"/>
    <w:rsid w:val="00A15ADA"/>
    <w:rsid w:val="00A162DE"/>
    <w:rsid w:val="00A22F75"/>
    <w:rsid w:val="00A24DFF"/>
    <w:rsid w:val="00A24F61"/>
    <w:rsid w:val="00A2612A"/>
    <w:rsid w:val="00A264B1"/>
    <w:rsid w:val="00A27C34"/>
    <w:rsid w:val="00A30129"/>
    <w:rsid w:val="00A30D15"/>
    <w:rsid w:val="00A31E77"/>
    <w:rsid w:val="00A32132"/>
    <w:rsid w:val="00A32561"/>
    <w:rsid w:val="00A32DC3"/>
    <w:rsid w:val="00A33996"/>
    <w:rsid w:val="00A33CD7"/>
    <w:rsid w:val="00A33FAD"/>
    <w:rsid w:val="00A34CA9"/>
    <w:rsid w:val="00A35599"/>
    <w:rsid w:val="00A35850"/>
    <w:rsid w:val="00A35937"/>
    <w:rsid w:val="00A36B83"/>
    <w:rsid w:val="00A36E1F"/>
    <w:rsid w:val="00A3787B"/>
    <w:rsid w:val="00A42047"/>
    <w:rsid w:val="00A43BBE"/>
    <w:rsid w:val="00A460A0"/>
    <w:rsid w:val="00A54AB9"/>
    <w:rsid w:val="00A56DD5"/>
    <w:rsid w:val="00A56E77"/>
    <w:rsid w:val="00A57058"/>
    <w:rsid w:val="00A571FB"/>
    <w:rsid w:val="00A61171"/>
    <w:rsid w:val="00A61799"/>
    <w:rsid w:val="00A63432"/>
    <w:rsid w:val="00A63588"/>
    <w:rsid w:val="00A636CA"/>
    <w:rsid w:val="00A6422D"/>
    <w:rsid w:val="00A64815"/>
    <w:rsid w:val="00A652FC"/>
    <w:rsid w:val="00A65C52"/>
    <w:rsid w:val="00A66551"/>
    <w:rsid w:val="00A7210D"/>
    <w:rsid w:val="00A7328B"/>
    <w:rsid w:val="00A736F2"/>
    <w:rsid w:val="00A74843"/>
    <w:rsid w:val="00A7622B"/>
    <w:rsid w:val="00A76661"/>
    <w:rsid w:val="00A81AB8"/>
    <w:rsid w:val="00A82650"/>
    <w:rsid w:val="00A84617"/>
    <w:rsid w:val="00A85F1D"/>
    <w:rsid w:val="00A8618D"/>
    <w:rsid w:val="00A86A37"/>
    <w:rsid w:val="00A86E51"/>
    <w:rsid w:val="00A87A72"/>
    <w:rsid w:val="00A9099A"/>
    <w:rsid w:val="00A93CCC"/>
    <w:rsid w:val="00A9542A"/>
    <w:rsid w:val="00A957DF"/>
    <w:rsid w:val="00A95C41"/>
    <w:rsid w:val="00A9630D"/>
    <w:rsid w:val="00AA090C"/>
    <w:rsid w:val="00AA2585"/>
    <w:rsid w:val="00AA2751"/>
    <w:rsid w:val="00AA3A3D"/>
    <w:rsid w:val="00AA523F"/>
    <w:rsid w:val="00AA6428"/>
    <w:rsid w:val="00AA69D0"/>
    <w:rsid w:val="00AA6FC9"/>
    <w:rsid w:val="00AB0590"/>
    <w:rsid w:val="00AB0D44"/>
    <w:rsid w:val="00AB10AA"/>
    <w:rsid w:val="00AB396F"/>
    <w:rsid w:val="00AB41CE"/>
    <w:rsid w:val="00AB613B"/>
    <w:rsid w:val="00AB7ABE"/>
    <w:rsid w:val="00AC054B"/>
    <w:rsid w:val="00AC16F2"/>
    <w:rsid w:val="00AC5E65"/>
    <w:rsid w:val="00AC666F"/>
    <w:rsid w:val="00AD0540"/>
    <w:rsid w:val="00AD1451"/>
    <w:rsid w:val="00AD1C65"/>
    <w:rsid w:val="00AD22BF"/>
    <w:rsid w:val="00AD2677"/>
    <w:rsid w:val="00AD4AD7"/>
    <w:rsid w:val="00AD565E"/>
    <w:rsid w:val="00AD5DAE"/>
    <w:rsid w:val="00AD6C17"/>
    <w:rsid w:val="00AE1C4A"/>
    <w:rsid w:val="00AE397B"/>
    <w:rsid w:val="00AE70AA"/>
    <w:rsid w:val="00AE76ED"/>
    <w:rsid w:val="00AF0483"/>
    <w:rsid w:val="00AF1D34"/>
    <w:rsid w:val="00AF26FC"/>
    <w:rsid w:val="00AF2A13"/>
    <w:rsid w:val="00AF2F29"/>
    <w:rsid w:val="00AF3598"/>
    <w:rsid w:val="00AF38D8"/>
    <w:rsid w:val="00AF5B6B"/>
    <w:rsid w:val="00AF7683"/>
    <w:rsid w:val="00B00962"/>
    <w:rsid w:val="00B00EC3"/>
    <w:rsid w:val="00B01F33"/>
    <w:rsid w:val="00B041FF"/>
    <w:rsid w:val="00B07ACC"/>
    <w:rsid w:val="00B10953"/>
    <w:rsid w:val="00B10C9B"/>
    <w:rsid w:val="00B1118F"/>
    <w:rsid w:val="00B1137A"/>
    <w:rsid w:val="00B11A41"/>
    <w:rsid w:val="00B14327"/>
    <w:rsid w:val="00B14449"/>
    <w:rsid w:val="00B15FAD"/>
    <w:rsid w:val="00B16748"/>
    <w:rsid w:val="00B22D90"/>
    <w:rsid w:val="00B23154"/>
    <w:rsid w:val="00B23A23"/>
    <w:rsid w:val="00B23F4E"/>
    <w:rsid w:val="00B26B54"/>
    <w:rsid w:val="00B2753F"/>
    <w:rsid w:val="00B30021"/>
    <w:rsid w:val="00B30C0E"/>
    <w:rsid w:val="00B349DE"/>
    <w:rsid w:val="00B35596"/>
    <w:rsid w:val="00B410BA"/>
    <w:rsid w:val="00B41311"/>
    <w:rsid w:val="00B42E24"/>
    <w:rsid w:val="00B43538"/>
    <w:rsid w:val="00B439BC"/>
    <w:rsid w:val="00B4416F"/>
    <w:rsid w:val="00B443E5"/>
    <w:rsid w:val="00B4627E"/>
    <w:rsid w:val="00B46C94"/>
    <w:rsid w:val="00B47F6E"/>
    <w:rsid w:val="00B53267"/>
    <w:rsid w:val="00B536BA"/>
    <w:rsid w:val="00B5420F"/>
    <w:rsid w:val="00B56A93"/>
    <w:rsid w:val="00B56D13"/>
    <w:rsid w:val="00B62958"/>
    <w:rsid w:val="00B63F5A"/>
    <w:rsid w:val="00B64EE9"/>
    <w:rsid w:val="00B6506C"/>
    <w:rsid w:val="00B7159C"/>
    <w:rsid w:val="00B73271"/>
    <w:rsid w:val="00B74401"/>
    <w:rsid w:val="00B764E6"/>
    <w:rsid w:val="00B76D39"/>
    <w:rsid w:val="00B76D3E"/>
    <w:rsid w:val="00B76F0B"/>
    <w:rsid w:val="00B77641"/>
    <w:rsid w:val="00B80005"/>
    <w:rsid w:val="00B80D1A"/>
    <w:rsid w:val="00B830B9"/>
    <w:rsid w:val="00B839FC"/>
    <w:rsid w:val="00B845AA"/>
    <w:rsid w:val="00B8480A"/>
    <w:rsid w:val="00B8488B"/>
    <w:rsid w:val="00B8550E"/>
    <w:rsid w:val="00B905E9"/>
    <w:rsid w:val="00B90877"/>
    <w:rsid w:val="00B91C3D"/>
    <w:rsid w:val="00B92165"/>
    <w:rsid w:val="00B92530"/>
    <w:rsid w:val="00B9272B"/>
    <w:rsid w:val="00B94139"/>
    <w:rsid w:val="00B942D8"/>
    <w:rsid w:val="00B944CA"/>
    <w:rsid w:val="00B95519"/>
    <w:rsid w:val="00BA0F84"/>
    <w:rsid w:val="00BA114C"/>
    <w:rsid w:val="00BA1B5E"/>
    <w:rsid w:val="00BA4805"/>
    <w:rsid w:val="00BA4C92"/>
    <w:rsid w:val="00BA519C"/>
    <w:rsid w:val="00BA5CB0"/>
    <w:rsid w:val="00BA5E38"/>
    <w:rsid w:val="00BA692C"/>
    <w:rsid w:val="00BB0041"/>
    <w:rsid w:val="00BB3759"/>
    <w:rsid w:val="00BB3BFA"/>
    <w:rsid w:val="00BB4A57"/>
    <w:rsid w:val="00BB57CC"/>
    <w:rsid w:val="00BB5C37"/>
    <w:rsid w:val="00BB66D7"/>
    <w:rsid w:val="00BB79B1"/>
    <w:rsid w:val="00BC136C"/>
    <w:rsid w:val="00BC14B3"/>
    <w:rsid w:val="00BC2894"/>
    <w:rsid w:val="00BC45FD"/>
    <w:rsid w:val="00BC6AD3"/>
    <w:rsid w:val="00BC6DA6"/>
    <w:rsid w:val="00BD1F3F"/>
    <w:rsid w:val="00BD3E9C"/>
    <w:rsid w:val="00BD4286"/>
    <w:rsid w:val="00BD536A"/>
    <w:rsid w:val="00BD7104"/>
    <w:rsid w:val="00BD71D7"/>
    <w:rsid w:val="00BD720E"/>
    <w:rsid w:val="00BE2823"/>
    <w:rsid w:val="00BE4684"/>
    <w:rsid w:val="00BE49AE"/>
    <w:rsid w:val="00BE7AAD"/>
    <w:rsid w:val="00BF18B4"/>
    <w:rsid w:val="00BF1A93"/>
    <w:rsid w:val="00BF4724"/>
    <w:rsid w:val="00BF50CE"/>
    <w:rsid w:val="00BF51F3"/>
    <w:rsid w:val="00BF60E6"/>
    <w:rsid w:val="00BF6F3A"/>
    <w:rsid w:val="00BF7C57"/>
    <w:rsid w:val="00C01550"/>
    <w:rsid w:val="00C01B13"/>
    <w:rsid w:val="00C037CE"/>
    <w:rsid w:val="00C03817"/>
    <w:rsid w:val="00C04B59"/>
    <w:rsid w:val="00C04CDC"/>
    <w:rsid w:val="00C054AA"/>
    <w:rsid w:val="00C055D6"/>
    <w:rsid w:val="00C06058"/>
    <w:rsid w:val="00C079C1"/>
    <w:rsid w:val="00C07F96"/>
    <w:rsid w:val="00C118BD"/>
    <w:rsid w:val="00C13685"/>
    <w:rsid w:val="00C13A0B"/>
    <w:rsid w:val="00C13F76"/>
    <w:rsid w:val="00C231F3"/>
    <w:rsid w:val="00C238C2"/>
    <w:rsid w:val="00C24310"/>
    <w:rsid w:val="00C26DD6"/>
    <w:rsid w:val="00C31E2C"/>
    <w:rsid w:val="00C324FD"/>
    <w:rsid w:val="00C3257B"/>
    <w:rsid w:val="00C337AB"/>
    <w:rsid w:val="00C340E8"/>
    <w:rsid w:val="00C341E2"/>
    <w:rsid w:val="00C36193"/>
    <w:rsid w:val="00C37A25"/>
    <w:rsid w:val="00C37A9D"/>
    <w:rsid w:val="00C4006A"/>
    <w:rsid w:val="00C40FE9"/>
    <w:rsid w:val="00C436E6"/>
    <w:rsid w:val="00C46556"/>
    <w:rsid w:val="00C51FDA"/>
    <w:rsid w:val="00C535CD"/>
    <w:rsid w:val="00C53C3C"/>
    <w:rsid w:val="00C54BF6"/>
    <w:rsid w:val="00C550AF"/>
    <w:rsid w:val="00C55AA6"/>
    <w:rsid w:val="00C605F2"/>
    <w:rsid w:val="00C61309"/>
    <w:rsid w:val="00C61F97"/>
    <w:rsid w:val="00C62A98"/>
    <w:rsid w:val="00C63169"/>
    <w:rsid w:val="00C64C9B"/>
    <w:rsid w:val="00C6554D"/>
    <w:rsid w:val="00C65F42"/>
    <w:rsid w:val="00C66CF3"/>
    <w:rsid w:val="00C67C62"/>
    <w:rsid w:val="00C733F6"/>
    <w:rsid w:val="00C750F3"/>
    <w:rsid w:val="00C76559"/>
    <w:rsid w:val="00C775A1"/>
    <w:rsid w:val="00C77CE2"/>
    <w:rsid w:val="00C80F61"/>
    <w:rsid w:val="00C810C1"/>
    <w:rsid w:val="00C821F0"/>
    <w:rsid w:val="00C82F42"/>
    <w:rsid w:val="00C838CF"/>
    <w:rsid w:val="00C843B1"/>
    <w:rsid w:val="00C852A4"/>
    <w:rsid w:val="00C865B3"/>
    <w:rsid w:val="00C87E03"/>
    <w:rsid w:val="00C9021A"/>
    <w:rsid w:val="00C967FA"/>
    <w:rsid w:val="00CA0857"/>
    <w:rsid w:val="00CA2919"/>
    <w:rsid w:val="00CA414B"/>
    <w:rsid w:val="00CA4F15"/>
    <w:rsid w:val="00CA4FA9"/>
    <w:rsid w:val="00CA74EF"/>
    <w:rsid w:val="00CB042D"/>
    <w:rsid w:val="00CB19C1"/>
    <w:rsid w:val="00CB1DB1"/>
    <w:rsid w:val="00CB57DA"/>
    <w:rsid w:val="00CB622E"/>
    <w:rsid w:val="00CB7E0E"/>
    <w:rsid w:val="00CC2739"/>
    <w:rsid w:val="00CC27A4"/>
    <w:rsid w:val="00CC2C57"/>
    <w:rsid w:val="00CC445F"/>
    <w:rsid w:val="00CC6399"/>
    <w:rsid w:val="00CD00E1"/>
    <w:rsid w:val="00CD1125"/>
    <w:rsid w:val="00CD177F"/>
    <w:rsid w:val="00CD2239"/>
    <w:rsid w:val="00CD4014"/>
    <w:rsid w:val="00CD47A7"/>
    <w:rsid w:val="00CD4F30"/>
    <w:rsid w:val="00CD5C18"/>
    <w:rsid w:val="00CD6AA9"/>
    <w:rsid w:val="00CD6B74"/>
    <w:rsid w:val="00CE341D"/>
    <w:rsid w:val="00CE5CA5"/>
    <w:rsid w:val="00CE6960"/>
    <w:rsid w:val="00CF0C00"/>
    <w:rsid w:val="00CF1BCE"/>
    <w:rsid w:val="00CF36C1"/>
    <w:rsid w:val="00CF5083"/>
    <w:rsid w:val="00CF52D1"/>
    <w:rsid w:val="00CF5604"/>
    <w:rsid w:val="00D01092"/>
    <w:rsid w:val="00D01477"/>
    <w:rsid w:val="00D0189E"/>
    <w:rsid w:val="00D02436"/>
    <w:rsid w:val="00D03E94"/>
    <w:rsid w:val="00D04601"/>
    <w:rsid w:val="00D11420"/>
    <w:rsid w:val="00D118A6"/>
    <w:rsid w:val="00D13A5C"/>
    <w:rsid w:val="00D13F22"/>
    <w:rsid w:val="00D14463"/>
    <w:rsid w:val="00D14E73"/>
    <w:rsid w:val="00D1628F"/>
    <w:rsid w:val="00D17681"/>
    <w:rsid w:val="00D176CA"/>
    <w:rsid w:val="00D20076"/>
    <w:rsid w:val="00D23483"/>
    <w:rsid w:val="00D25CE5"/>
    <w:rsid w:val="00D3197D"/>
    <w:rsid w:val="00D32685"/>
    <w:rsid w:val="00D32714"/>
    <w:rsid w:val="00D40C34"/>
    <w:rsid w:val="00D40F40"/>
    <w:rsid w:val="00D41802"/>
    <w:rsid w:val="00D42E9E"/>
    <w:rsid w:val="00D446B6"/>
    <w:rsid w:val="00D4596D"/>
    <w:rsid w:val="00D46D62"/>
    <w:rsid w:val="00D47E9B"/>
    <w:rsid w:val="00D50BC7"/>
    <w:rsid w:val="00D50DB8"/>
    <w:rsid w:val="00D51F3E"/>
    <w:rsid w:val="00D521BB"/>
    <w:rsid w:val="00D532EA"/>
    <w:rsid w:val="00D53ACA"/>
    <w:rsid w:val="00D546BF"/>
    <w:rsid w:val="00D54E23"/>
    <w:rsid w:val="00D54EBB"/>
    <w:rsid w:val="00D637A1"/>
    <w:rsid w:val="00D639CE"/>
    <w:rsid w:val="00D642A4"/>
    <w:rsid w:val="00D644D1"/>
    <w:rsid w:val="00D65FF9"/>
    <w:rsid w:val="00D6607D"/>
    <w:rsid w:val="00D67DBE"/>
    <w:rsid w:val="00D702B6"/>
    <w:rsid w:val="00D70353"/>
    <w:rsid w:val="00D70F1A"/>
    <w:rsid w:val="00D72785"/>
    <w:rsid w:val="00D7369A"/>
    <w:rsid w:val="00D74037"/>
    <w:rsid w:val="00D76401"/>
    <w:rsid w:val="00D81A28"/>
    <w:rsid w:val="00D8456C"/>
    <w:rsid w:val="00D84D8E"/>
    <w:rsid w:val="00D85531"/>
    <w:rsid w:val="00D85955"/>
    <w:rsid w:val="00D872CD"/>
    <w:rsid w:val="00D904FE"/>
    <w:rsid w:val="00D9073B"/>
    <w:rsid w:val="00D9142C"/>
    <w:rsid w:val="00D92B3F"/>
    <w:rsid w:val="00D93086"/>
    <w:rsid w:val="00D95291"/>
    <w:rsid w:val="00D971A4"/>
    <w:rsid w:val="00D97E88"/>
    <w:rsid w:val="00DA0BE0"/>
    <w:rsid w:val="00DA2661"/>
    <w:rsid w:val="00DA4F0F"/>
    <w:rsid w:val="00DA58FC"/>
    <w:rsid w:val="00DA7497"/>
    <w:rsid w:val="00DA754D"/>
    <w:rsid w:val="00DC28F4"/>
    <w:rsid w:val="00DC2AF3"/>
    <w:rsid w:val="00DC3AD5"/>
    <w:rsid w:val="00DC5640"/>
    <w:rsid w:val="00DC60E3"/>
    <w:rsid w:val="00DC6D4A"/>
    <w:rsid w:val="00DC7694"/>
    <w:rsid w:val="00DD1252"/>
    <w:rsid w:val="00DD1609"/>
    <w:rsid w:val="00DD488D"/>
    <w:rsid w:val="00DD5E16"/>
    <w:rsid w:val="00DD6208"/>
    <w:rsid w:val="00DE129B"/>
    <w:rsid w:val="00DE297D"/>
    <w:rsid w:val="00DE3D62"/>
    <w:rsid w:val="00DE4069"/>
    <w:rsid w:val="00DE4D0A"/>
    <w:rsid w:val="00DE5238"/>
    <w:rsid w:val="00DE5F88"/>
    <w:rsid w:val="00DF139F"/>
    <w:rsid w:val="00DF1580"/>
    <w:rsid w:val="00DF1DFD"/>
    <w:rsid w:val="00DF2CBE"/>
    <w:rsid w:val="00DF3073"/>
    <w:rsid w:val="00DF3CF4"/>
    <w:rsid w:val="00DF6AE7"/>
    <w:rsid w:val="00DF6DF4"/>
    <w:rsid w:val="00E00710"/>
    <w:rsid w:val="00E02CF6"/>
    <w:rsid w:val="00E06D72"/>
    <w:rsid w:val="00E11C78"/>
    <w:rsid w:val="00E13228"/>
    <w:rsid w:val="00E13B4E"/>
    <w:rsid w:val="00E13E9E"/>
    <w:rsid w:val="00E14B8E"/>
    <w:rsid w:val="00E1685D"/>
    <w:rsid w:val="00E21D3B"/>
    <w:rsid w:val="00E22CF2"/>
    <w:rsid w:val="00E23847"/>
    <w:rsid w:val="00E25A3B"/>
    <w:rsid w:val="00E26C69"/>
    <w:rsid w:val="00E2789D"/>
    <w:rsid w:val="00E30EB4"/>
    <w:rsid w:val="00E31BD9"/>
    <w:rsid w:val="00E32F9C"/>
    <w:rsid w:val="00E34713"/>
    <w:rsid w:val="00E367D2"/>
    <w:rsid w:val="00E41D6D"/>
    <w:rsid w:val="00E42800"/>
    <w:rsid w:val="00E445CA"/>
    <w:rsid w:val="00E4570A"/>
    <w:rsid w:val="00E475BE"/>
    <w:rsid w:val="00E50FE8"/>
    <w:rsid w:val="00E512AB"/>
    <w:rsid w:val="00E51311"/>
    <w:rsid w:val="00E51EFA"/>
    <w:rsid w:val="00E528E2"/>
    <w:rsid w:val="00E52A42"/>
    <w:rsid w:val="00E52BE2"/>
    <w:rsid w:val="00E5394E"/>
    <w:rsid w:val="00E548D6"/>
    <w:rsid w:val="00E5536A"/>
    <w:rsid w:val="00E55734"/>
    <w:rsid w:val="00E574B9"/>
    <w:rsid w:val="00E6089C"/>
    <w:rsid w:val="00E63E3E"/>
    <w:rsid w:val="00E64DC2"/>
    <w:rsid w:val="00E65051"/>
    <w:rsid w:val="00E65465"/>
    <w:rsid w:val="00E65E40"/>
    <w:rsid w:val="00E674B5"/>
    <w:rsid w:val="00E67E76"/>
    <w:rsid w:val="00E722AF"/>
    <w:rsid w:val="00E73512"/>
    <w:rsid w:val="00E75FD0"/>
    <w:rsid w:val="00E765DD"/>
    <w:rsid w:val="00E80E9C"/>
    <w:rsid w:val="00E8112E"/>
    <w:rsid w:val="00E81DED"/>
    <w:rsid w:val="00E81FB2"/>
    <w:rsid w:val="00E829A0"/>
    <w:rsid w:val="00E8325E"/>
    <w:rsid w:val="00E83DC0"/>
    <w:rsid w:val="00E8555C"/>
    <w:rsid w:val="00E8557A"/>
    <w:rsid w:val="00E861B0"/>
    <w:rsid w:val="00E862B1"/>
    <w:rsid w:val="00E86A5E"/>
    <w:rsid w:val="00E90138"/>
    <w:rsid w:val="00E90169"/>
    <w:rsid w:val="00E9097A"/>
    <w:rsid w:val="00E914A7"/>
    <w:rsid w:val="00E94285"/>
    <w:rsid w:val="00E94379"/>
    <w:rsid w:val="00E94D9E"/>
    <w:rsid w:val="00E97947"/>
    <w:rsid w:val="00EA084B"/>
    <w:rsid w:val="00EA2F85"/>
    <w:rsid w:val="00EA36AF"/>
    <w:rsid w:val="00EA421D"/>
    <w:rsid w:val="00EA514F"/>
    <w:rsid w:val="00EA5517"/>
    <w:rsid w:val="00EA7C63"/>
    <w:rsid w:val="00EB18D2"/>
    <w:rsid w:val="00EB3F43"/>
    <w:rsid w:val="00EB4091"/>
    <w:rsid w:val="00EB4BF9"/>
    <w:rsid w:val="00EB5C92"/>
    <w:rsid w:val="00EB74C5"/>
    <w:rsid w:val="00EB7A3F"/>
    <w:rsid w:val="00EB7E84"/>
    <w:rsid w:val="00EC36E6"/>
    <w:rsid w:val="00EC448B"/>
    <w:rsid w:val="00EC531F"/>
    <w:rsid w:val="00EC60A8"/>
    <w:rsid w:val="00EC7A58"/>
    <w:rsid w:val="00ED13BF"/>
    <w:rsid w:val="00ED14D6"/>
    <w:rsid w:val="00ED2873"/>
    <w:rsid w:val="00ED3B36"/>
    <w:rsid w:val="00ED48F6"/>
    <w:rsid w:val="00ED6C43"/>
    <w:rsid w:val="00ED75DB"/>
    <w:rsid w:val="00ED78ED"/>
    <w:rsid w:val="00EE1A1C"/>
    <w:rsid w:val="00EE274E"/>
    <w:rsid w:val="00EE2953"/>
    <w:rsid w:val="00EE5FCC"/>
    <w:rsid w:val="00EF1FF0"/>
    <w:rsid w:val="00EF2D54"/>
    <w:rsid w:val="00EF4155"/>
    <w:rsid w:val="00EF441C"/>
    <w:rsid w:val="00EF4DD2"/>
    <w:rsid w:val="00EF5389"/>
    <w:rsid w:val="00EF6D51"/>
    <w:rsid w:val="00F01C8B"/>
    <w:rsid w:val="00F01EAA"/>
    <w:rsid w:val="00F035AC"/>
    <w:rsid w:val="00F04BC3"/>
    <w:rsid w:val="00F10A72"/>
    <w:rsid w:val="00F11013"/>
    <w:rsid w:val="00F12225"/>
    <w:rsid w:val="00F1229B"/>
    <w:rsid w:val="00F12E26"/>
    <w:rsid w:val="00F133EA"/>
    <w:rsid w:val="00F13740"/>
    <w:rsid w:val="00F1509B"/>
    <w:rsid w:val="00F1532A"/>
    <w:rsid w:val="00F15D70"/>
    <w:rsid w:val="00F170EB"/>
    <w:rsid w:val="00F204A9"/>
    <w:rsid w:val="00F21255"/>
    <w:rsid w:val="00F222A8"/>
    <w:rsid w:val="00F22631"/>
    <w:rsid w:val="00F24FB8"/>
    <w:rsid w:val="00F253BF"/>
    <w:rsid w:val="00F255E2"/>
    <w:rsid w:val="00F274DC"/>
    <w:rsid w:val="00F30D04"/>
    <w:rsid w:val="00F3154D"/>
    <w:rsid w:val="00F32108"/>
    <w:rsid w:val="00F34355"/>
    <w:rsid w:val="00F35898"/>
    <w:rsid w:val="00F35C08"/>
    <w:rsid w:val="00F36601"/>
    <w:rsid w:val="00F37538"/>
    <w:rsid w:val="00F37A60"/>
    <w:rsid w:val="00F37F6B"/>
    <w:rsid w:val="00F4013C"/>
    <w:rsid w:val="00F41471"/>
    <w:rsid w:val="00F42774"/>
    <w:rsid w:val="00F42B1F"/>
    <w:rsid w:val="00F43B23"/>
    <w:rsid w:val="00F45FB9"/>
    <w:rsid w:val="00F47D5A"/>
    <w:rsid w:val="00F503C5"/>
    <w:rsid w:val="00F53B3B"/>
    <w:rsid w:val="00F5458A"/>
    <w:rsid w:val="00F546F1"/>
    <w:rsid w:val="00F56A72"/>
    <w:rsid w:val="00F56C7F"/>
    <w:rsid w:val="00F5754C"/>
    <w:rsid w:val="00F620E6"/>
    <w:rsid w:val="00F63100"/>
    <w:rsid w:val="00F65FB0"/>
    <w:rsid w:val="00F7119F"/>
    <w:rsid w:val="00F72D23"/>
    <w:rsid w:val="00F73BC2"/>
    <w:rsid w:val="00F74813"/>
    <w:rsid w:val="00F75A5D"/>
    <w:rsid w:val="00F77794"/>
    <w:rsid w:val="00F80641"/>
    <w:rsid w:val="00F82996"/>
    <w:rsid w:val="00F84AF9"/>
    <w:rsid w:val="00F84B1A"/>
    <w:rsid w:val="00F85FA9"/>
    <w:rsid w:val="00F871D8"/>
    <w:rsid w:val="00F875CB"/>
    <w:rsid w:val="00F90F56"/>
    <w:rsid w:val="00F916B6"/>
    <w:rsid w:val="00F91B6D"/>
    <w:rsid w:val="00F926D1"/>
    <w:rsid w:val="00F92A7C"/>
    <w:rsid w:val="00F92C56"/>
    <w:rsid w:val="00F92E05"/>
    <w:rsid w:val="00F9558D"/>
    <w:rsid w:val="00FA02B8"/>
    <w:rsid w:val="00FA0F6C"/>
    <w:rsid w:val="00FA116C"/>
    <w:rsid w:val="00FA5BB0"/>
    <w:rsid w:val="00FA6649"/>
    <w:rsid w:val="00FA6751"/>
    <w:rsid w:val="00FB15E4"/>
    <w:rsid w:val="00FB1D6B"/>
    <w:rsid w:val="00FB1E89"/>
    <w:rsid w:val="00FB23CC"/>
    <w:rsid w:val="00FB3FCA"/>
    <w:rsid w:val="00FB42B1"/>
    <w:rsid w:val="00FB5363"/>
    <w:rsid w:val="00FB69C4"/>
    <w:rsid w:val="00FB7D5C"/>
    <w:rsid w:val="00FC011E"/>
    <w:rsid w:val="00FC06BD"/>
    <w:rsid w:val="00FC4CC9"/>
    <w:rsid w:val="00FC5168"/>
    <w:rsid w:val="00FC545E"/>
    <w:rsid w:val="00FC7D07"/>
    <w:rsid w:val="00FD11B0"/>
    <w:rsid w:val="00FD1ED2"/>
    <w:rsid w:val="00FD40D8"/>
    <w:rsid w:val="00FD64C8"/>
    <w:rsid w:val="00FD68E1"/>
    <w:rsid w:val="00FD6D4B"/>
    <w:rsid w:val="00FD6F66"/>
    <w:rsid w:val="00FD741A"/>
    <w:rsid w:val="00FD7617"/>
    <w:rsid w:val="00FE127D"/>
    <w:rsid w:val="00FE166E"/>
    <w:rsid w:val="00FE2578"/>
    <w:rsid w:val="00FE3ACC"/>
    <w:rsid w:val="00FE3F1F"/>
    <w:rsid w:val="00FE47CA"/>
    <w:rsid w:val="00FE6416"/>
    <w:rsid w:val="00FE643D"/>
    <w:rsid w:val="00FE6D0F"/>
    <w:rsid w:val="00FF0856"/>
    <w:rsid w:val="00FF0F06"/>
    <w:rsid w:val="00FF17A2"/>
    <w:rsid w:val="00FF17C0"/>
    <w:rsid w:val="00FF2229"/>
    <w:rsid w:val="00FF24F8"/>
    <w:rsid w:val="00FF7D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02E556"/>
  <w15:docId w15:val="{395C8933-A119-4B86-A4FE-6E8F6FD35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5665"/>
    <w:rPr>
      <w:sz w:val="26"/>
      <w:lang w:eastAsia="en-US"/>
    </w:rPr>
  </w:style>
  <w:style w:type="paragraph" w:styleId="Heading1">
    <w:name w:val="heading 1"/>
    <w:basedOn w:val="Normal"/>
    <w:next w:val="Normal"/>
    <w:link w:val="Heading1Char"/>
    <w:qFormat/>
    <w:rsid w:val="003D56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3D566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26B54"/>
    <w:pPr>
      <w:tabs>
        <w:tab w:val="center" w:pos="4153"/>
        <w:tab w:val="right" w:pos="8306"/>
      </w:tabs>
    </w:pPr>
  </w:style>
  <w:style w:type="paragraph" w:styleId="Footer">
    <w:name w:val="footer"/>
    <w:basedOn w:val="Normal"/>
    <w:link w:val="FooterChar"/>
    <w:uiPriority w:val="99"/>
    <w:rsid w:val="00B26B54"/>
    <w:pPr>
      <w:tabs>
        <w:tab w:val="center" w:pos="4153"/>
        <w:tab w:val="right" w:pos="8306"/>
      </w:tabs>
    </w:pPr>
  </w:style>
  <w:style w:type="paragraph" w:styleId="Subtitle">
    <w:name w:val="Subtitle"/>
    <w:basedOn w:val="Normal"/>
    <w:next w:val="Normal"/>
    <w:link w:val="SubtitleChar"/>
    <w:qFormat/>
    <w:rsid w:val="003D5665"/>
    <w:pPr>
      <w:keepNext/>
      <w:keepLines/>
      <w:widowControl w:val="0"/>
      <w:suppressAutoHyphens/>
      <w:spacing w:before="600" w:after="600"/>
      <w:ind w:right="4820"/>
    </w:pPr>
    <w:rPr>
      <w:b/>
      <w:sz w:val="24"/>
    </w:rPr>
  </w:style>
  <w:style w:type="paragraph" w:styleId="BodyText">
    <w:name w:val="Body Text"/>
    <w:basedOn w:val="Normal"/>
    <w:rsid w:val="00B26B54"/>
    <w:pPr>
      <w:widowControl w:val="0"/>
      <w:spacing w:before="60" w:after="60"/>
    </w:pPr>
    <w:rPr>
      <w:sz w:val="20"/>
    </w:rPr>
  </w:style>
  <w:style w:type="character" w:customStyle="1" w:styleId="Heading1Char">
    <w:name w:val="Heading 1 Char"/>
    <w:basedOn w:val="DefaultParagraphFont"/>
    <w:link w:val="Heading1"/>
    <w:rsid w:val="003D5665"/>
    <w:rPr>
      <w:rFonts w:asciiTheme="majorHAnsi" w:eastAsiaTheme="majorEastAsia" w:hAnsiTheme="majorHAnsi" w:cstheme="majorBidi"/>
      <w:b/>
      <w:bCs/>
      <w:color w:val="365F91" w:themeColor="accent1" w:themeShade="BF"/>
      <w:sz w:val="28"/>
      <w:szCs w:val="28"/>
      <w:lang w:eastAsia="en-US"/>
    </w:rPr>
  </w:style>
  <w:style w:type="character" w:customStyle="1" w:styleId="Heading3Char">
    <w:name w:val="Heading 3 Char"/>
    <w:basedOn w:val="DefaultParagraphFont"/>
    <w:link w:val="Heading3"/>
    <w:semiHidden/>
    <w:rsid w:val="003D5665"/>
    <w:rPr>
      <w:rFonts w:asciiTheme="majorHAnsi" w:eastAsiaTheme="majorEastAsia" w:hAnsiTheme="majorHAnsi" w:cstheme="majorBidi"/>
      <w:b/>
      <w:bCs/>
      <w:color w:val="4F81BD" w:themeColor="accent1"/>
      <w:sz w:val="26"/>
      <w:lang w:eastAsia="en-US"/>
    </w:rPr>
  </w:style>
  <w:style w:type="character" w:customStyle="1" w:styleId="SubtitleChar">
    <w:name w:val="Subtitle Char"/>
    <w:basedOn w:val="DefaultParagraphFont"/>
    <w:link w:val="Subtitle"/>
    <w:rsid w:val="003D5665"/>
    <w:rPr>
      <w:b/>
      <w:lang w:eastAsia="en-US"/>
    </w:rPr>
  </w:style>
  <w:style w:type="character" w:styleId="Strong">
    <w:name w:val="Strong"/>
    <w:basedOn w:val="DefaultParagraphFont"/>
    <w:uiPriority w:val="22"/>
    <w:qFormat/>
    <w:rsid w:val="003D5665"/>
    <w:rPr>
      <w:b/>
      <w:bCs/>
    </w:rPr>
  </w:style>
  <w:style w:type="character" w:styleId="Emphasis">
    <w:name w:val="Emphasis"/>
    <w:basedOn w:val="DefaultParagraphFont"/>
    <w:qFormat/>
    <w:rsid w:val="003D5665"/>
    <w:rPr>
      <w:i/>
      <w:iCs/>
    </w:rPr>
  </w:style>
  <w:style w:type="paragraph" w:styleId="ListParagraph">
    <w:name w:val="List Paragraph"/>
    <w:basedOn w:val="Normal"/>
    <w:uiPriority w:val="34"/>
    <w:qFormat/>
    <w:rsid w:val="003D5665"/>
    <w:pPr>
      <w:ind w:left="720"/>
      <w:contextualSpacing/>
    </w:pPr>
  </w:style>
  <w:style w:type="character" w:customStyle="1" w:styleId="FooterChar">
    <w:name w:val="Footer Char"/>
    <w:basedOn w:val="DefaultParagraphFont"/>
    <w:link w:val="Footer"/>
    <w:uiPriority w:val="99"/>
    <w:rsid w:val="001C4040"/>
    <w:rPr>
      <w:sz w:val="26"/>
      <w:lang w:eastAsia="en-US"/>
    </w:rPr>
  </w:style>
  <w:style w:type="paragraph" w:styleId="BalloonText">
    <w:name w:val="Balloon Text"/>
    <w:basedOn w:val="Normal"/>
    <w:link w:val="BalloonTextChar"/>
    <w:rsid w:val="00867091"/>
    <w:rPr>
      <w:rFonts w:ascii="Tahoma" w:hAnsi="Tahoma" w:cs="Tahoma"/>
      <w:sz w:val="16"/>
      <w:szCs w:val="16"/>
    </w:rPr>
  </w:style>
  <w:style w:type="character" w:customStyle="1" w:styleId="BalloonTextChar">
    <w:name w:val="Balloon Text Char"/>
    <w:basedOn w:val="DefaultParagraphFont"/>
    <w:link w:val="BalloonText"/>
    <w:rsid w:val="00867091"/>
    <w:rPr>
      <w:rFonts w:ascii="Tahoma" w:hAnsi="Tahoma" w:cs="Tahoma"/>
      <w:sz w:val="16"/>
      <w:szCs w:val="16"/>
      <w:lang w:eastAsia="en-US"/>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qFormat/>
    <w:rsid w:val="00B1137A"/>
    <w:rPr>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B1137A"/>
    <w:rPr>
      <w:sz w:val="20"/>
      <w:szCs w:val="20"/>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qFormat/>
    <w:rsid w:val="00B1137A"/>
    <w:rPr>
      <w:vertAlign w:val="superscript"/>
    </w:rPr>
  </w:style>
  <w:style w:type="character" w:styleId="Hyperlink">
    <w:name w:val="Hyperlink"/>
    <w:basedOn w:val="DefaultParagraphFont"/>
    <w:rsid w:val="009D15BA"/>
    <w:rPr>
      <w:color w:val="0000FF" w:themeColor="hyperlink"/>
      <w:u w:val="single"/>
    </w:rPr>
  </w:style>
  <w:style w:type="character" w:customStyle="1" w:styleId="HeaderChar">
    <w:name w:val="Header Char"/>
    <w:basedOn w:val="DefaultParagraphFont"/>
    <w:link w:val="Header"/>
    <w:uiPriority w:val="99"/>
    <w:rsid w:val="001D08EC"/>
    <w:rPr>
      <w:sz w:val="26"/>
      <w:lang w:eastAsia="en-US"/>
    </w:rPr>
  </w:style>
  <w:style w:type="table" w:styleId="TableGrid">
    <w:name w:val="Table Grid"/>
    <w:basedOn w:val="TableNormal"/>
    <w:rsid w:val="00C05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AF2F29"/>
    <w:rPr>
      <w:sz w:val="16"/>
      <w:szCs w:val="16"/>
    </w:rPr>
  </w:style>
  <w:style w:type="paragraph" w:styleId="CommentText">
    <w:name w:val="annotation text"/>
    <w:basedOn w:val="Normal"/>
    <w:link w:val="CommentTextChar"/>
    <w:unhideWhenUsed/>
    <w:rsid w:val="00AF2F29"/>
    <w:rPr>
      <w:sz w:val="20"/>
      <w:szCs w:val="20"/>
    </w:rPr>
  </w:style>
  <w:style w:type="character" w:customStyle="1" w:styleId="CommentTextChar">
    <w:name w:val="Comment Text Char"/>
    <w:basedOn w:val="DefaultParagraphFont"/>
    <w:link w:val="CommentText"/>
    <w:rsid w:val="00AF2F29"/>
    <w:rPr>
      <w:sz w:val="20"/>
      <w:szCs w:val="20"/>
      <w:lang w:eastAsia="en-US"/>
    </w:rPr>
  </w:style>
  <w:style w:type="paragraph" w:styleId="CommentSubject">
    <w:name w:val="annotation subject"/>
    <w:basedOn w:val="CommentText"/>
    <w:next w:val="CommentText"/>
    <w:link w:val="CommentSubjectChar"/>
    <w:semiHidden/>
    <w:unhideWhenUsed/>
    <w:rsid w:val="00AF2F29"/>
    <w:rPr>
      <w:b/>
      <w:bCs/>
    </w:rPr>
  </w:style>
  <w:style w:type="character" w:customStyle="1" w:styleId="CommentSubjectChar">
    <w:name w:val="Comment Subject Char"/>
    <w:basedOn w:val="CommentTextChar"/>
    <w:link w:val="CommentSubject"/>
    <w:semiHidden/>
    <w:rsid w:val="00AF2F29"/>
    <w:rPr>
      <w:b/>
      <w:bCs/>
      <w:sz w:val="20"/>
      <w:szCs w:val="20"/>
      <w:lang w:eastAsia="en-US"/>
    </w:rPr>
  </w:style>
  <w:style w:type="paragraph" w:customStyle="1" w:styleId="Default">
    <w:name w:val="Default"/>
    <w:rsid w:val="001B0AD3"/>
    <w:pPr>
      <w:autoSpaceDE w:val="0"/>
      <w:autoSpaceDN w:val="0"/>
      <w:adjustRightInd w:val="0"/>
    </w:pPr>
    <w:rPr>
      <w:color w:val="000000"/>
    </w:rPr>
  </w:style>
  <w:style w:type="character" w:customStyle="1" w:styleId="cf01">
    <w:name w:val="cf01"/>
    <w:basedOn w:val="DefaultParagraphFont"/>
    <w:rsid w:val="00BC2894"/>
    <w:rPr>
      <w:rFonts w:ascii="Segoe UI" w:hAnsi="Segoe UI" w:cs="Segoe UI" w:hint="default"/>
      <w:sz w:val="18"/>
      <w:szCs w:val="18"/>
    </w:rPr>
  </w:style>
  <w:style w:type="character" w:styleId="UnresolvedMention">
    <w:name w:val="Unresolved Mention"/>
    <w:basedOn w:val="DefaultParagraphFont"/>
    <w:uiPriority w:val="99"/>
    <w:semiHidden/>
    <w:unhideWhenUsed/>
    <w:rsid w:val="004F5192"/>
    <w:rPr>
      <w:color w:val="605E5C"/>
      <w:shd w:val="clear" w:color="auto" w:fill="E1DFDD"/>
    </w:rPr>
  </w:style>
  <w:style w:type="paragraph" w:styleId="Revision">
    <w:name w:val="Revision"/>
    <w:hidden/>
    <w:uiPriority w:val="99"/>
    <w:semiHidden/>
    <w:rsid w:val="004C0A8A"/>
    <w:rPr>
      <w:sz w:val="26"/>
      <w:lang w:eastAsia="en-US"/>
    </w:rPr>
  </w:style>
  <w:style w:type="paragraph" w:styleId="NormalWeb">
    <w:name w:val="Normal (Web)"/>
    <w:basedOn w:val="Normal"/>
    <w:uiPriority w:val="99"/>
    <w:semiHidden/>
    <w:unhideWhenUsed/>
    <w:rsid w:val="00D639CE"/>
    <w:pPr>
      <w:spacing w:before="100" w:beforeAutospacing="1" w:after="100" w:afterAutospacing="1"/>
    </w:pPr>
    <w:rPr>
      <w:sz w:val="24"/>
      <w:lang w:eastAsia="lv-LV"/>
    </w:rPr>
  </w:style>
  <w:style w:type="paragraph" w:customStyle="1" w:styleId="CharCharCharChar">
    <w:name w:val="Char Char Char Char"/>
    <w:aliases w:val="Char2"/>
    <w:basedOn w:val="Normal"/>
    <w:next w:val="Normal"/>
    <w:link w:val="FootnoteReference"/>
    <w:uiPriority w:val="99"/>
    <w:qFormat/>
    <w:rsid w:val="00DC7694"/>
    <w:pPr>
      <w:spacing w:after="160" w:line="240" w:lineRule="exact"/>
      <w:ind w:left="567" w:hanging="499"/>
      <w:jc w:val="both"/>
    </w:pPr>
    <w:rPr>
      <w:sz w:val="24"/>
      <w:vertAlign w:val="superscript"/>
      <w:lang w:eastAsia="lv-LV"/>
    </w:rPr>
  </w:style>
  <w:style w:type="paragraph" w:styleId="Caption">
    <w:name w:val="caption"/>
    <w:basedOn w:val="Normal"/>
    <w:next w:val="Normal"/>
    <w:uiPriority w:val="35"/>
    <w:unhideWhenUsed/>
    <w:qFormat/>
    <w:rsid w:val="00A85F1D"/>
    <w:pPr>
      <w:spacing w:before="120" w:after="120"/>
      <w:ind w:firstLine="720"/>
      <w:jc w:val="both"/>
    </w:pPr>
    <w:rPr>
      <w:rFonts w:asciiTheme="minorHAnsi" w:eastAsiaTheme="minorHAnsi" w:hAnsiTheme="minorHAnsi" w:cstheme="minorBidi"/>
      <w:i/>
      <w:iCs/>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30814">
      <w:bodyDiv w:val="1"/>
      <w:marLeft w:val="0"/>
      <w:marRight w:val="0"/>
      <w:marTop w:val="0"/>
      <w:marBottom w:val="0"/>
      <w:divBdr>
        <w:top w:val="none" w:sz="0" w:space="0" w:color="auto"/>
        <w:left w:val="none" w:sz="0" w:space="0" w:color="auto"/>
        <w:bottom w:val="none" w:sz="0" w:space="0" w:color="auto"/>
        <w:right w:val="none" w:sz="0" w:space="0" w:color="auto"/>
      </w:divBdr>
    </w:div>
    <w:div w:id="506359873">
      <w:bodyDiv w:val="1"/>
      <w:marLeft w:val="0"/>
      <w:marRight w:val="0"/>
      <w:marTop w:val="0"/>
      <w:marBottom w:val="0"/>
      <w:divBdr>
        <w:top w:val="none" w:sz="0" w:space="0" w:color="auto"/>
        <w:left w:val="none" w:sz="0" w:space="0" w:color="auto"/>
        <w:bottom w:val="none" w:sz="0" w:space="0" w:color="auto"/>
        <w:right w:val="none" w:sz="0" w:space="0" w:color="auto"/>
      </w:divBdr>
      <w:divsChild>
        <w:div w:id="1625849246">
          <w:marLeft w:val="0"/>
          <w:marRight w:val="0"/>
          <w:marTop w:val="0"/>
          <w:marBottom w:val="0"/>
          <w:divBdr>
            <w:top w:val="none" w:sz="0" w:space="0" w:color="auto"/>
            <w:left w:val="none" w:sz="0" w:space="0" w:color="auto"/>
            <w:bottom w:val="none" w:sz="0" w:space="0" w:color="auto"/>
            <w:right w:val="none" w:sz="0" w:space="0" w:color="auto"/>
          </w:divBdr>
        </w:div>
        <w:div w:id="1219166909">
          <w:marLeft w:val="0"/>
          <w:marRight w:val="0"/>
          <w:marTop w:val="0"/>
          <w:marBottom w:val="0"/>
          <w:divBdr>
            <w:top w:val="none" w:sz="0" w:space="0" w:color="auto"/>
            <w:left w:val="none" w:sz="0" w:space="0" w:color="auto"/>
            <w:bottom w:val="none" w:sz="0" w:space="0" w:color="auto"/>
            <w:right w:val="none" w:sz="0" w:space="0" w:color="auto"/>
          </w:divBdr>
        </w:div>
      </w:divsChild>
    </w:div>
    <w:div w:id="1579290446">
      <w:bodyDiv w:val="1"/>
      <w:marLeft w:val="0"/>
      <w:marRight w:val="0"/>
      <w:marTop w:val="0"/>
      <w:marBottom w:val="0"/>
      <w:divBdr>
        <w:top w:val="none" w:sz="0" w:space="0" w:color="auto"/>
        <w:left w:val="none" w:sz="0" w:space="0" w:color="auto"/>
        <w:bottom w:val="none" w:sz="0" w:space="0" w:color="auto"/>
        <w:right w:val="none" w:sz="0" w:space="0" w:color="auto"/>
      </w:divBdr>
      <w:divsChild>
        <w:div w:id="886257394">
          <w:marLeft w:val="0"/>
          <w:marRight w:val="0"/>
          <w:marTop w:val="15"/>
          <w:marBottom w:val="0"/>
          <w:divBdr>
            <w:top w:val="single" w:sz="48" w:space="0" w:color="auto"/>
            <w:left w:val="single" w:sz="48" w:space="0" w:color="auto"/>
            <w:bottom w:val="single" w:sz="48" w:space="0" w:color="auto"/>
            <w:right w:val="single" w:sz="48" w:space="0" w:color="auto"/>
          </w:divBdr>
          <w:divsChild>
            <w:div w:id="973947196">
              <w:marLeft w:val="0"/>
              <w:marRight w:val="0"/>
              <w:marTop w:val="0"/>
              <w:marBottom w:val="0"/>
              <w:divBdr>
                <w:top w:val="none" w:sz="0" w:space="0" w:color="auto"/>
                <w:left w:val="none" w:sz="0" w:space="0" w:color="auto"/>
                <w:bottom w:val="none" w:sz="0" w:space="0" w:color="auto"/>
                <w:right w:val="none" w:sz="0" w:space="0" w:color="auto"/>
              </w:divBdr>
              <w:divsChild>
                <w:div w:id="962223820">
                  <w:marLeft w:val="0"/>
                  <w:marRight w:val="0"/>
                  <w:marTop w:val="0"/>
                  <w:marBottom w:val="0"/>
                  <w:divBdr>
                    <w:top w:val="none" w:sz="0" w:space="0" w:color="auto"/>
                    <w:left w:val="none" w:sz="0" w:space="0" w:color="auto"/>
                    <w:bottom w:val="none" w:sz="0" w:space="0" w:color="auto"/>
                    <w:right w:val="none" w:sz="0" w:space="0" w:color="auto"/>
                  </w:divBdr>
                </w:div>
                <w:div w:id="1382628337">
                  <w:marLeft w:val="0"/>
                  <w:marRight w:val="0"/>
                  <w:marTop w:val="0"/>
                  <w:marBottom w:val="0"/>
                  <w:divBdr>
                    <w:top w:val="none" w:sz="0" w:space="0" w:color="auto"/>
                    <w:left w:val="none" w:sz="0" w:space="0" w:color="auto"/>
                    <w:bottom w:val="none" w:sz="0" w:space="0" w:color="auto"/>
                    <w:right w:val="none" w:sz="0" w:space="0" w:color="auto"/>
                  </w:divBdr>
                </w:div>
                <w:div w:id="536086845">
                  <w:marLeft w:val="0"/>
                  <w:marRight w:val="0"/>
                  <w:marTop w:val="0"/>
                  <w:marBottom w:val="0"/>
                  <w:divBdr>
                    <w:top w:val="none" w:sz="0" w:space="0" w:color="auto"/>
                    <w:left w:val="none" w:sz="0" w:space="0" w:color="auto"/>
                    <w:bottom w:val="none" w:sz="0" w:space="0" w:color="auto"/>
                    <w:right w:val="none" w:sz="0" w:space="0" w:color="auto"/>
                  </w:divBdr>
                </w:div>
                <w:div w:id="2003971225">
                  <w:marLeft w:val="0"/>
                  <w:marRight w:val="0"/>
                  <w:marTop w:val="0"/>
                  <w:marBottom w:val="0"/>
                  <w:divBdr>
                    <w:top w:val="none" w:sz="0" w:space="0" w:color="auto"/>
                    <w:left w:val="none" w:sz="0" w:space="0" w:color="auto"/>
                    <w:bottom w:val="none" w:sz="0" w:space="0" w:color="auto"/>
                    <w:right w:val="none" w:sz="0" w:space="0" w:color="auto"/>
                  </w:divBdr>
                </w:div>
                <w:div w:id="2054697839">
                  <w:marLeft w:val="0"/>
                  <w:marRight w:val="0"/>
                  <w:marTop w:val="0"/>
                  <w:marBottom w:val="0"/>
                  <w:divBdr>
                    <w:top w:val="none" w:sz="0" w:space="0" w:color="auto"/>
                    <w:left w:val="none" w:sz="0" w:space="0" w:color="auto"/>
                    <w:bottom w:val="none" w:sz="0" w:space="0" w:color="auto"/>
                    <w:right w:val="none" w:sz="0" w:space="0" w:color="auto"/>
                  </w:divBdr>
                </w:div>
                <w:div w:id="1332367515">
                  <w:marLeft w:val="0"/>
                  <w:marRight w:val="0"/>
                  <w:marTop w:val="0"/>
                  <w:marBottom w:val="0"/>
                  <w:divBdr>
                    <w:top w:val="none" w:sz="0" w:space="0" w:color="auto"/>
                    <w:left w:val="none" w:sz="0" w:space="0" w:color="auto"/>
                    <w:bottom w:val="none" w:sz="0" w:space="0" w:color="auto"/>
                    <w:right w:val="none" w:sz="0" w:space="0" w:color="auto"/>
                  </w:divBdr>
                </w:div>
                <w:div w:id="1705792036">
                  <w:marLeft w:val="0"/>
                  <w:marRight w:val="0"/>
                  <w:marTop w:val="0"/>
                  <w:marBottom w:val="0"/>
                  <w:divBdr>
                    <w:top w:val="none" w:sz="0" w:space="0" w:color="auto"/>
                    <w:left w:val="none" w:sz="0" w:space="0" w:color="auto"/>
                    <w:bottom w:val="none" w:sz="0" w:space="0" w:color="auto"/>
                    <w:right w:val="none" w:sz="0" w:space="0" w:color="auto"/>
                  </w:divBdr>
                </w:div>
                <w:div w:id="1193153684">
                  <w:marLeft w:val="0"/>
                  <w:marRight w:val="0"/>
                  <w:marTop w:val="0"/>
                  <w:marBottom w:val="0"/>
                  <w:divBdr>
                    <w:top w:val="none" w:sz="0" w:space="0" w:color="auto"/>
                    <w:left w:val="none" w:sz="0" w:space="0" w:color="auto"/>
                    <w:bottom w:val="none" w:sz="0" w:space="0" w:color="auto"/>
                    <w:right w:val="none" w:sz="0" w:space="0" w:color="auto"/>
                  </w:divBdr>
                </w:div>
                <w:div w:id="1855610861">
                  <w:marLeft w:val="0"/>
                  <w:marRight w:val="0"/>
                  <w:marTop w:val="0"/>
                  <w:marBottom w:val="0"/>
                  <w:divBdr>
                    <w:top w:val="none" w:sz="0" w:space="0" w:color="auto"/>
                    <w:left w:val="none" w:sz="0" w:space="0" w:color="auto"/>
                    <w:bottom w:val="none" w:sz="0" w:space="0" w:color="auto"/>
                    <w:right w:val="none" w:sz="0" w:space="0" w:color="auto"/>
                  </w:divBdr>
                </w:div>
                <w:div w:id="756486595">
                  <w:marLeft w:val="0"/>
                  <w:marRight w:val="0"/>
                  <w:marTop w:val="0"/>
                  <w:marBottom w:val="0"/>
                  <w:divBdr>
                    <w:top w:val="none" w:sz="0" w:space="0" w:color="auto"/>
                    <w:left w:val="none" w:sz="0" w:space="0" w:color="auto"/>
                    <w:bottom w:val="none" w:sz="0" w:space="0" w:color="auto"/>
                    <w:right w:val="none" w:sz="0" w:space="0" w:color="auto"/>
                  </w:divBdr>
                </w:div>
                <w:div w:id="1936745749">
                  <w:marLeft w:val="0"/>
                  <w:marRight w:val="0"/>
                  <w:marTop w:val="0"/>
                  <w:marBottom w:val="0"/>
                  <w:divBdr>
                    <w:top w:val="none" w:sz="0" w:space="0" w:color="auto"/>
                    <w:left w:val="none" w:sz="0" w:space="0" w:color="auto"/>
                    <w:bottom w:val="none" w:sz="0" w:space="0" w:color="auto"/>
                    <w:right w:val="none" w:sz="0" w:space="0" w:color="auto"/>
                  </w:divBdr>
                </w:div>
                <w:div w:id="123819877">
                  <w:marLeft w:val="0"/>
                  <w:marRight w:val="0"/>
                  <w:marTop w:val="0"/>
                  <w:marBottom w:val="0"/>
                  <w:divBdr>
                    <w:top w:val="none" w:sz="0" w:space="0" w:color="auto"/>
                    <w:left w:val="none" w:sz="0" w:space="0" w:color="auto"/>
                    <w:bottom w:val="none" w:sz="0" w:space="0" w:color="auto"/>
                    <w:right w:val="none" w:sz="0" w:space="0" w:color="auto"/>
                  </w:divBdr>
                </w:div>
                <w:div w:id="1427313324">
                  <w:marLeft w:val="0"/>
                  <w:marRight w:val="0"/>
                  <w:marTop w:val="0"/>
                  <w:marBottom w:val="0"/>
                  <w:divBdr>
                    <w:top w:val="none" w:sz="0" w:space="0" w:color="auto"/>
                    <w:left w:val="none" w:sz="0" w:space="0" w:color="auto"/>
                    <w:bottom w:val="none" w:sz="0" w:space="0" w:color="auto"/>
                    <w:right w:val="none" w:sz="0" w:space="0" w:color="auto"/>
                  </w:divBdr>
                </w:div>
                <w:div w:id="1350839213">
                  <w:marLeft w:val="0"/>
                  <w:marRight w:val="0"/>
                  <w:marTop w:val="0"/>
                  <w:marBottom w:val="0"/>
                  <w:divBdr>
                    <w:top w:val="none" w:sz="0" w:space="0" w:color="auto"/>
                    <w:left w:val="none" w:sz="0" w:space="0" w:color="auto"/>
                    <w:bottom w:val="none" w:sz="0" w:space="0" w:color="auto"/>
                    <w:right w:val="none" w:sz="0" w:space="0" w:color="auto"/>
                  </w:divBdr>
                </w:div>
                <w:div w:id="828130738">
                  <w:marLeft w:val="0"/>
                  <w:marRight w:val="0"/>
                  <w:marTop w:val="0"/>
                  <w:marBottom w:val="0"/>
                  <w:divBdr>
                    <w:top w:val="none" w:sz="0" w:space="0" w:color="auto"/>
                    <w:left w:val="none" w:sz="0" w:space="0" w:color="auto"/>
                    <w:bottom w:val="none" w:sz="0" w:space="0" w:color="auto"/>
                    <w:right w:val="none" w:sz="0" w:space="0" w:color="auto"/>
                  </w:divBdr>
                </w:div>
                <w:div w:id="1319461661">
                  <w:marLeft w:val="0"/>
                  <w:marRight w:val="0"/>
                  <w:marTop w:val="0"/>
                  <w:marBottom w:val="0"/>
                  <w:divBdr>
                    <w:top w:val="none" w:sz="0" w:space="0" w:color="auto"/>
                    <w:left w:val="none" w:sz="0" w:space="0" w:color="auto"/>
                    <w:bottom w:val="none" w:sz="0" w:space="0" w:color="auto"/>
                    <w:right w:val="none" w:sz="0" w:space="0" w:color="auto"/>
                  </w:divBdr>
                </w:div>
                <w:div w:id="93673743">
                  <w:marLeft w:val="0"/>
                  <w:marRight w:val="0"/>
                  <w:marTop w:val="0"/>
                  <w:marBottom w:val="0"/>
                  <w:divBdr>
                    <w:top w:val="none" w:sz="0" w:space="0" w:color="auto"/>
                    <w:left w:val="none" w:sz="0" w:space="0" w:color="auto"/>
                    <w:bottom w:val="none" w:sz="0" w:space="0" w:color="auto"/>
                    <w:right w:val="none" w:sz="0" w:space="0" w:color="auto"/>
                  </w:divBdr>
                </w:div>
                <w:div w:id="726034912">
                  <w:marLeft w:val="0"/>
                  <w:marRight w:val="0"/>
                  <w:marTop w:val="0"/>
                  <w:marBottom w:val="0"/>
                  <w:divBdr>
                    <w:top w:val="none" w:sz="0" w:space="0" w:color="auto"/>
                    <w:left w:val="none" w:sz="0" w:space="0" w:color="auto"/>
                    <w:bottom w:val="none" w:sz="0" w:space="0" w:color="auto"/>
                    <w:right w:val="none" w:sz="0" w:space="0" w:color="auto"/>
                  </w:divBdr>
                </w:div>
                <w:div w:id="1605766058">
                  <w:marLeft w:val="0"/>
                  <w:marRight w:val="0"/>
                  <w:marTop w:val="0"/>
                  <w:marBottom w:val="0"/>
                  <w:divBdr>
                    <w:top w:val="none" w:sz="0" w:space="0" w:color="auto"/>
                    <w:left w:val="none" w:sz="0" w:space="0" w:color="auto"/>
                    <w:bottom w:val="none" w:sz="0" w:space="0" w:color="auto"/>
                    <w:right w:val="none" w:sz="0" w:space="0" w:color="auto"/>
                  </w:divBdr>
                </w:div>
                <w:div w:id="1914122150">
                  <w:marLeft w:val="0"/>
                  <w:marRight w:val="0"/>
                  <w:marTop w:val="0"/>
                  <w:marBottom w:val="0"/>
                  <w:divBdr>
                    <w:top w:val="none" w:sz="0" w:space="0" w:color="auto"/>
                    <w:left w:val="none" w:sz="0" w:space="0" w:color="auto"/>
                    <w:bottom w:val="none" w:sz="0" w:space="0" w:color="auto"/>
                    <w:right w:val="none" w:sz="0" w:space="0" w:color="auto"/>
                  </w:divBdr>
                </w:div>
                <w:div w:id="159779533">
                  <w:marLeft w:val="0"/>
                  <w:marRight w:val="0"/>
                  <w:marTop w:val="0"/>
                  <w:marBottom w:val="0"/>
                  <w:divBdr>
                    <w:top w:val="none" w:sz="0" w:space="0" w:color="auto"/>
                    <w:left w:val="none" w:sz="0" w:space="0" w:color="auto"/>
                    <w:bottom w:val="none" w:sz="0" w:space="0" w:color="auto"/>
                    <w:right w:val="none" w:sz="0" w:space="0" w:color="auto"/>
                  </w:divBdr>
                </w:div>
                <w:div w:id="1441490114">
                  <w:marLeft w:val="0"/>
                  <w:marRight w:val="0"/>
                  <w:marTop w:val="0"/>
                  <w:marBottom w:val="0"/>
                  <w:divBdr>
                    <w:top w:val="none" w:sz="0" w:space="0" w:color="auto"/>
                    <w:left w:val="none" w:sz="0" w:space="0" w:color="auto"/>
                    <w:bottom w:val="none" w:sz="0" w:space="0" w:color="auto"/>
                    <w:right w:val="none" w:sz="0" w:space="0" w:color="auto"/>
                  </w:divBdr>
                </w:div>
                <w:div w:id="457575980">
                  <w:marLeft w:val="0"/>
                  <w:marRight w:val="0"/>
                  <w:marTop w:val="0"/>
                  <w:marBottom w:val="0"/>
                  <w:divBdr>
                    <w:top w:val="none" w:sz="0" w:space="0" w:color="auto"/>
                    <w:left w:val="none" w:sz="0" w:space="0" w:color="auto"/>
                    <w:bottom w:val="none" w:sz="0" w:space="0" w:color="auto"/>
                    <w:right w:val="none" w:sz="0" w:space="0" w:color="auto"/>
                  </w:divBdr>
                </w:div>
                <w:div w:id="1120412225">
                  <w:marLeft w:val="0"/>
                  <w:marRight w:val="0"/>
                  <w:marTop w:val="0"/>
                  <w:marBottom w:val="0"/>
                  <w:divBdr>
                    <w:top w:val="none" w:sz="0" w:space="0" w:color="auto"/>
                    <w:left w:val="none" w:sz="0" w:space="0" w:color="auto"/>
                    <w:bottom w:val="none" w:sz="0" w:space="0" w:color="auto"/>
                    <w:right w:val="none" w:sz="0" w:space="0" w:color="auto"/>
                  </w:divBdr>
                </w:div>
                <w:div w:id="693576559">
                  <w:marLeft w:val="0"/>
                  <w:marRight w:val="0"/>
                  <w:marTop w:val="0"/>
                  <w:marBottom w:val="0"/>
                  <w:divBdr>
                    <w:top w:val="none" w:sz="0" w:space="0" w:color="auto"/>
                    <w:left w:val="none" w:sz="0" w:space="0" w:color="auto"/>
                    <w:bottom w:val="none" w:sz="0" w:space="0" w:color="auto"/>
                    <w:right w:val="none" w:sz="0" w:space="0" w:color="auto"/>
                  </w:divBdr>
                </w:div>
                <w:div w:id="1890603948">
                  <w:marLeft w:val="0"/>
                  <w:marRight w:val="0"/>
                  <w:marTop w:val="0"/>
                  <w:marBottom w:val="0"/>
                  <w:divBdr>
                    <w:top w:val="none" w:sz="0" w:space="0" w:color="auto"/>
                    <w:left w:val="none" w:sz="0" w:space="0" w:color="auto"/>
                    <w:bottom w:val="none" w:sz="0" w:space="0" w:color="auto"/>
                    <w:right w:val="none" w:sz="0" w:space="0" w:color="auto"/>
                  </w:divBdr>
                </w:div>
                <w:div w:id="382603029">
                  <w:marLeft w:val="0"/>
                  <w:marRight w:val="0"/>
                  <w:marTop w:val="0"/>
                  <w:marBottom w:val="0"/>
                  <w:divBdr>
                    <w:top w:val="none" w:sz="0" w:space="0" w:color="auto"/>
                    <w:left w:val="none" w:sz="0" w:space="0" w:color="auto"/>
                    <w:bottom w:val="none" w:sz="0" w:space="0" w:color="auto"/>
                    <w:right w:val="none" w:sz="0" w:space="0" w:color="auto"/>
                  </w:divBdr>
                </w:div>
                <w:div w:id="550657673">
                  <w:marLeft w:val="0"/>
                  <w:marRight w:val="0"/>
                  <w:marTop w:val="0"/>
                  <w:marBottom w:val="0"/>
                  <w:divBdr>
                    <w:top w:val="none" w:sz="0" w:space="0" w:color="auto"/>
                    <w:left w:val="none" w:sz="0" w:space="0" w:color="auto"/>
                    <w:bottom w:val="none" w:sz="0" w:space="0" w:color="auto"/>
                    <w:right w:val="none" w:sz="0" w:space="0" w:color="auto"/>
                  </w:divBdr>
                </w:div>
                <w:div w:id="1559435440">
                  <w:marLeft w:val="0"/>
                  <w:marRight w:val="0"/>
                  <w:marTop w:val="0"/>
                  <w:marBottom w:val="0"/>
                  <w:divBdr>
                    <w:top w:val="none" w:sz="0" w:space="0" w:color="auto"/>
                    <w:left w:val="none" w:sz="0" w:space="0" w:color="auto"/>
                    <w:bottom w:val="none" w:sz="0" w:space="0" w:color="auto"/>
                    <w:right w:val="none" w:sz="0" w:space="0" w:color="auto"/>
                  </w:divBdr>
                </w:div>
                <w:div w:id="397365184">
                  <w:marLeft w:val="0"/>
                  <w:marRight w:val="0"/>
                  <w:marTop w:val="0"/>
                  <w:marBottom w:val="0"/>
                  <w:divBdr>
                    <w:top w:val="none" w:sz="0" w:space="0" w:color="auto"/>
                    <w:left w:val="none" w:sz="0" w:space="0" w:color="auto"/>
                    <w:bottom w:val="none" w:sz="0" w:space="0" w:color="auto"/>
                    <w:right w:val="none" w:sz="0" w:space="0" w:color="auto"/>
                  </w:divBdr>
                </w:div>
                <w:div w:id="412510182">
                  <w:marLeft w:val="0"/>
                  <w:marRight w:val="0"/>
                  <w:marTop w:val="0"/>
                  <w:marBottom w:val="0"/>
                  <w:divBdr>
                    <w:top w:val="none" w:sz="0" w:space="0" w:color="auto"/>
                    <w:left w:val="none" w:sz="0" w:space="0" w:color="auto"/>
                    <w:bottom w:val="none" w:sz="0" w:space="0" w:color="auto"/>
                    <w:right w:val="none" w:sz="0" w:space="0" w:color="auto"/>
                  </w:divBdr>
                </w:div>
                <w:div w:id="13120146">
                  <w:marLeft w:val="0"/>
                  <w:marRight w:val="0"/>
                  <w:marTop w:val="0"/>
                  <w:marBottom w:val="0"/>
                  <w:divBdr>
                    <w:top w:val="none" w:sz="0" w:space="0" w:color="auto"/>
                    <w:left w:val="none" w:sz="0" w:space="0" w:color="auto"/>
                    <w:bottom w:val="none" w:sz="0" w:space="0" w:color="auto"/>
                    <w:right w:val="none" w:sz="0" w:space="0" w:color="auto"/>
                  </w:divBdr>
                </w:div>
                <w:div w:id="471824803">
                  <w:marLeft w:val="0"/>
                  <w:marRight w:val="0"/>
                  <w:marTop w:val="0"/>
                  <w:marBottom w:val="0"/>
                  <w:divBdr>
                    <w:top w:val="none" w:sz="0" w:space="0" w:color="auto"/>
                    <w:left w:val="none" w:sz="0" w:space="0" w:color="auto"/>
                    <w:bottom w:val="none" w:sz="0" w:space="0" w:color="auto"/>
                    <w:right w:val="none" w:sz="0" w:space="0" w:color="auto"/>
                  </w:divBdr>
                </w:div>
                <w:div w:id="146165635">
                  <w:marLeft w:val="0"/>
                  <w:marRight w:val="0"/>
                  <w:marTop w:val="0"/>
                  <w:marBottom w:val="0"/>
                  <w:divBdr>
                    <w:top w:val="none" w:sz="0" w:space="0" w:color="auto"/>
                    <w:left w:val="none" w:sz="0" w:space="0" w:color="auto"/>
                    <w:bottom w:val="none" w:sz="0" w:space="0" w:color="auto"/>
                    <w:right w:val="none" w:sz="0" w:space="0" w:color="auto"/>
                  </w:divBdr>
                </w:div>
                <w:div w:id="30618767">
                  <w:marLeft w:val="0"/>
                  <w:marRight w:val="0"/>
                  <w:marTop w:val="0"/>
                  <w:marBottom w:val="0"/>
                  <w:divBdr>
                    <w:top w:val="none" w:sz="0" w:space="0" w:color="auto"/>
                    <w:left w:val="none" w:sz="0" w:space="0" w:color="auto"/>
                    <w:bottom w:val="none" w:sz="0" w:space="0" w:color="auto"/>
                    <w:right w:val="none" w:sz="0" w:space="0" w:color="auto"/>
                  </w:divBdr>
                </w:div>
                <w:div w:id="2077320549">
                  <w:marLeft w:val="0"/>
                  <w:marRight w:val="0"/>
                  <w:marTop w:val="0"/>
                  <w:marBottom w:val="0"/>
                  <w:divBdr>
                    <w:top w:val="none" w:sz="0" w:space="0" w:color="auto"/>
                    <w:left w:val="none" w:sz="0" w:space="0" w:color="auto"/>
                    <w:bottom w:val="none" w:sz="0" w:space="0" w:color="auto"/>
                    <w:right w:val="none" w:sz="0" w:space="0" w:color="auto"/>
                  </w:divBdr>
                </w:div>
                <w:div w:id="1905722248">
                  <w:marLeft w:val="0"/>
                  <w:marRight w:val="0"/>
                  <w:marTop w:val="0"/>
                  <w:marBottom w:val="0"/>
                  <w:divBdr>
                    <w:top w:val="none" w:sz="0" w:space="0" w:color="auto"/>
                    <w:left w:val="none" w:sz="0" w:space="0" w:color="auto"/>
                    <w:bottom w:val="none" w:sz="0" w:space="0" w:color="auto"/>
                    <w:right w:val="none" w:sz="0" w:space="0" w:color="auto"/>
                  </w:divBdr>
                </w:div>
                <w:div w:id="149256621">
                  <w:marLeft w:val="0"/>
                  <w:marRight w:val="0"/>
                  <w:marTop w:val="0"/>
                  <w:marBottom w:val="0"/>
                  <w:divBdr>
                    <w:top w:val="none" w:sz="0" w:space="0" w:color="auto"/>
                    <w:left w:val="none" w:sz="0" w:space="0" w:color="auto"/>
                    <w:bottom w:val="none" w:sz="0" w:space="0" w:color="auto"/>
                    <w:right w:val="none" w:sz="0" w:space="0" w:color="auto"/>
                  </w:divBdr>
                </w:div>
                <w:div w:id="282616214">
                  <w:marLeft w:val="0"/>
                  <w:marRight w:val="0"/>
                  <w:marTop w:val="0"/>
                  <w:marBottom w:val="0"/>
                  <w:divBdr>
                    <w:top w:val="none" w:sz="0" w:space="0" w:color="auto"/>
                    <w:left w:val="none" w:sz="0" w:space="0" w:color="auto"/>
                    <w:bottom w:val="none" w:sz="0" w:space="0" w:color="auto"/>
                    <w:right w:val="none" w:sz="0" w:space="0" w:color="auto"/>
                  </w:divBdr>
                </w:div>
                <w:div w:id="1287196084">
                  <w:marLeft w:val="0"/>
                  <w:marRight w:val="0"/>
                  <w:marTop w:val="0"/>
                  <w:marBottom w:val="0"/>
                  <w:divBdr>
                    <w:top w:val="none" w:sz="0" w:space="0" w:color="auto"/>
                    <w:left w:val="none" w:sz="0" w:space="0" w:color="auto"/>
                    <w:bottom w:val="none" w:sz="0" w:space="0" w:color="auto"/>
                    <w:right w:val="none" w:sz="0" w:space="0" w:color="auto"/>
                  </w:divBdr>
                </w:div>
                <w:div w:id="910652402">
                  <w:marLeft w:val="0"/>
                  <w:marRight w:val="0"/>
                  <w:marTop w:val="0"/>
                  <w:marBottom w:val="0"/>
                  <w:divBdr>
                    <w:top w:val="none" w:sz="0" w:space="0" w:color="auto"/>
                    <w:left w:val="none" w:sz="0" w:space="0" w:color="auto"/>
                    <w:bottom w:val="none" w:sz="0" w:space="0" w:color="auto"/>
                    <w:right w:val="none" w:sz="0" w:space="0" w:color="auto"/>
                  </w:divBdr>
                </w:div>
                <w:div w:id="1184395571">
                  <w:marLeft w:val="0"/>
                  <w:marRight w:val="0"/>
                  <w:marTop w:val="0"/>
                  <w:marBottom w:val="0"/>
                  <w:divBdr>
                    <w:top w:val="none" w:sz="0" w:space="0" w:color="auto"/>
                    <w:left w:val="none" w:sz="0" w:space="0" w:color="auto"/>
                    <w:bottom w:val="none" w:sz="0" w:space="0" w:color="auto"/>
                    <w:right w:val="none" w:sz="0" w:space="0" w:color="auto"/>
                  </w:divBdr>
                </w:div>
                <w:div w:id="1778596910">
                  <w:marLeft w:val="0"/>
                  <w:marRight w:val="0"/>
                  <w:marTop w:val="0"/>
                  <w:marBottom w:val="0"/>
                  <w:divBdr>
                    <w:top w:val="none" w:sz="0" w:space="0" w:color="auto"/>
                    <w:left w:val="none" w:sz="0" w:space="0" w:color="auto"/>
                    <w:bottom w:val="none" w:sz="0" w:space="0" w:color="auto"/>
                    <w:right w:val="none" w:sz="0" w:space="0" w:color="auto"/>
                  </w:divBdr>
                </w:div>
                <w:div w:id="1195314780">
                  <w:marLeft w:val="0"/>
                  <w:marRight w:val="0"/>
                  <w:marTop w:val="0"/>
                  <w:marBottom w:val="0"/>
                  <w:divBdr>
                    <w:top w:val="none" w:sz="0" w:space="0" w:color="auto"/>
                    <w:left w:val="none" w:sz="0" w:space="0" w:color="auto"/>
                    <w:bottom w:val="none" w:sz="0" w:space="0" w:color="auto"/>
                    <w:right w:val="none" w:sz="0" w:space="0" w:color="auto"/>
                  </w:divBdr>
                </w:div>
                <w:div w:id="1729722239">
                  <w:marLeft w:val="0"/>
                  <w:marRight w:val="0"/>
                  <w:marTop w:val="0"/>
                  <w:marBottom w:val="0"/>
                  <w:divBdr>
                    <w:top w:val="none" w:sz="0" w:space="0" w:color="auto"/>
                    <w:left w:val="none" w:sz="0" w:space="0" w:color="auto"/>
                    <w:bottom w:val="none" w:sz="0" w:space="0" w:color="auto"/>
                    <w:right w:val="none" w:sz="0" w:space="0" w:color="auto"/>
                  </w:divBdr>
                </w:div>
                <w:div w:id="1682314743">
                  <w:marLeft w:val="0"/>
                  <w:marRight w:val="0"/>
                  <w:marTop w:val="0"/>
                  <w:marBottom w:val="0"/>
                  <w:divBdr>
                    <w:top w:val="none" w:sz="0" w:space="0" w:color="auto"/>
                    <w:left w:val="none" w:sz="0" w:space="0" w:color="auto"/>
                    <w:bottom w:val="none" w:sz="0" w:space="0" w:color="auto"/>
                    <w:right w:val="none" w:sz="0" w:space="0" w:color="auto"/>
                  </w:divBdr>
                </w:div>
                <w:div w:id="601180401">
                  <w:marLeft w:val="0"/>
                  <w:marRight w:val="0"/>
                  <w:marTop w:val="0"/>
                  <w:marBottom w:val="0"/>
                  <w:divBdr>
                    <w:top w:val="none" w:sz="0" w:space="0" w:color="auto"/>
                    <w:left w:val="none" w:sz="0" w:space="0" w:color="auto"/>
                    <w:bottom w:val="none" w:sz="0" w:space="0" w:color="auto"/>
                    <w:right w:val="none" w:sz="0" w:space="0" w:color="auto"/>
                  </w:divBdr>
                </w:div>
                <w:div w:id="1438209443">
                  <w:marLeft w:val="0"/>
                  <w:marRight w:val="0"/>
                  <w:marTop w:val="0"/>
                  <w:marBottom w:val="0"/>
                  <w:divBdr>
                    <w:top w:val="none" w:sz="0" w:space="0" w:color="auto"/>
                    <w:left w:val="none" w:sz="0" w:space="0" w:color="auto"/>
                    <w:bottom w:val="none" w:sz="0" w:space="0" w:color="auto"/>
                    <w:right w:val="none" w:sz="0" w:space="0" w:color="auto"/>
                  </w:divBdr>
                </w:div>
                <w:div w:id="1719739088">
                  <w:marLeft w:val="0"/>
                  <w:marRight w:val="0"/>
                  <w:marTop w:val="0"/>
                  <w:marBottom w:val="0"/>
                  <w:divBdr>
                    <w:top w:val="none" w:sz="0" w:space="0" w:color="auto"/>
                    <w:left w:val="none" w:sz="0" w:space="0" w:color="auto"/>
                    <w:bottom w:val="none" w:sz="0" w:space="0" w:color="auto"/>
                    <w:right w:val="none" w:sz="0" w:space="0" w:color="auto"/>
                  </w:divBdr>
                </w:div>
                <w:div w:id="454760142">
                  <w:marLeft w:val="0"/>
                  <w:marRight w:val="0"/>
                  <w:marTop w:val="0"/>
                  <w:marBottom w:val="0"/>
                  <w:divBdr>
                    <w:top w:val="none" w:sz="0" w:space="0" w:color="auto"/>
                    <w:left w:val="none" w:sz="0" w:space="0" w:color="auto"/>
                    <w:bottom w:val="none" w:sz="0" w:space="0" w:color="auto"/>
                    <w:right w:val="none" w:sz="0" w:space="0" w:color="auto"/>
                  </w:divBdr>
                </w:div>
                <w:div w:id="2113627662">
                  <w:marLeft w:val="0"/>
                  <w:marRight w:val="0"/>
                  <w:marTop w:val="0"/>
                  <w:marBottom w:val="0"/>
                  <w:divBdr>
                    <w:top w:val="none" w:sz="0" w:space="0" w:color="auto"/>
                    <w:left w:val="none" w:sz="0" w:space="0" w:color="auto"/>
                    <w:bottom w:val="none" w:sz="0" w:space="0" w:color="auto"/>
                    <w:right w:val="none" w:sz="0" w:space="0" w:color="auto"/>
                  </w:divBdr>
                </w:div>
                <w:div w:id="1166748590">
                  <w:marLeft w:val="0"/>
                  <w:marRight w:val="0"/>
                  <w:marTop w:val="0"/>
                  <w:marBottom w:val="0"/>
                  <w:divBdr>
                    <w:top w:val="none" w:sz="0" w:space="0" w:color="auto"/>
                    <w:left w:val="none" w:sz="0" w:space="0" w:color="auto"/>
                    <w:bottom w:val="none" w:sz="0" w:space="0" w:color="auto"/>
                    <w:right w:val="none" w:sz="0" w:space="0" w:color="auto"/>
                  </w:divBdr>
                </w:div>
                <w:div w:id="88074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23328">
          <w:marLeft w:val="0"/>
          <w:marRight w:val="0"/>
          <w:marTop w:val="15"/>
          <w:marBottom w:val="0"/>
          <w:divBdr>
            <w:top w:val="single" w:sz="48" w:space="0" w:color="auto"/>
            <w:left w:val="single" w:sz="48" w:space="0" w:color="auto"/>
            <w:bottom w:val="single" w:sz="48" w:space="0" w:color="auto"/>
            <w:right w:val="single" w:sz="48" w:space="0" w:color="auto"/>
          </w:divBdr>
          <w:divsChild>
            <w:div w:id="1445887027">
              <w:marLeft w:val="0"/>
              <w:marRight w:val="0"/>
              <w:marTop w:val="0"/>
              <w:marBottom w:val="0"/>
              <w:divBdr>
                <w:top w:val="none" w:sz="0" w:space="0" w:color="auto"/>
                <w:left w:val="none" w:sz="0" w:space="0" w:color="auto"/>
                <w:bottom w:val="none" w:sz="0" w:space="0" w:color="auto"/>
                <w:right w:val="none" w:sz="0" w:space="0" w:color="auto"/>
              </w:divBdr>
              <w:divsChild>
                <w:div w:id="1895698644">
                  <w:marLeft w:val="0"/>
                  <w:marRight w:val="0"/>
                  <w:marTop w:val="0"/>
                  <w:marBottom w:val="0"/>
                  <w:divBdr>
                    <w:top w:val="none" w:sz="0" w:space="0" w:color="auto"/>
                    <w:left w:val="none" w:sz="0" w:space="0" w:color="auto"/>
                    <w:bottom w:val="none" w:sz="0" w:space="0" w:color="auto"/>
                    <w:right w:val="none" w:sz="0" w:space="0" w:color="auto"/>
                  </w:divBdr>
                </w:div>
                <w:div w:id="247424188">
                  <w:marLeft w:val="0"/>
                  <w:marRight w:val="0"/>
                  <w:marTop w:val="0"/>
                  <w:marBottom w:val="0"/>
                  <w:divBdr>
                    <w:top w:val="none" w:sz="0" w:space="0" w:color="auto"/>
                    <w:left w:val="none" w:sz="0" w:space="0" w:color="auto"/>
                    <w:bottom w:val="none" w:sz="0" w:space="0" w:color="auto"/>
                    <w:right w:val="none" w:sz="0" w:space="0" w:color="auto"/>
                  </w:divBdr>
                </w:div>
                <w:div w:id="420028210">
                  <w:marLeft w:val="0"/>
                  <w:marRight w:val="0"/>
                  <w:marTop w:val="0"/>
                  <w:marBottom w:val="0"/>
                  <w:divBdr>
                    <w:top w:val="none" w:sz="0" w:space="0" w:color="auto"/>
                    <w:left w:val="none" w:sz="0" w:space="0" w:color="auto"/>
                    <w:bottom w:val="none" w:sz="0" w:space="0" w:color="auto"/>
                    <w:right w:val="none" w:sz="0" w:space="0" w:color="auto"/>
                  </w:divBdr>
                </w:div>
                <w:div w:id="1333340431">
                  <w:marLeft w:val="0"/>
                  <w:marRight w:val="0"/>
                  <w:marTop w:val="0"/>
                  <w:marBottom w:val="0"/>
                  <w:divBdr>
                    <w:top w:val="none" w:sz="0" w:space="0" w:color="auto"/>
                    <w:left w:val="none" w:sz="0" w:space="0" w:color="auto"/>
                    <w:bottom w:val="none" w:sz="0" w:space="0" w:color="auto"/>
                    <w:right w:val="none" w:sz="0" w:space="0" w:color="auto"/>
                  </w:divBdr>
                </w:div>
                <w:div w:id="122159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05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footnotes.xml.rels><?xml version="1.0" encoding="UTF-8" standalone="yes"?>
<Relationships xmlns="http://schemas.openxmlformats.org/package/2006/relationships"><Relationship Id="rId3" Type="http://schemas.openxmlformats.org/officeDocument/2006/relationships/hyperlink" Target="https://www.em.gov.lv/lv/vadlinijas-2" TargetMode="External"/><Relationship Id="rId2" Type="http://schemas.openxmlformats.org/officeDocument/2006/relationships/hyperlink" Target="https://lvceli.lv/wp-content/uploads/2022/05/LVC_Parrekina_metode.docx" TargetMode="External"/><Relationship Id="rId1" Type="http://schemas.openxmlformats.org/officeDocument/2006/relationships/hyperlink" Target="https://www.em.gov.lv/lv/vadlinijas-buvmaterialu-izmaksu-sadardzinajuma-novertesanai" TargetMode="External"/><Relationship Id="rId6" Type="http://schemas.openxmlformats.org/officeDocument/2006/relationships/hyperlink" Target="https://www.iub.gov.lv/lv/jaunums/ligumu-vadiba-krizes-apstaklos" TargetMode="External"/><Relationship Id="rId5" Type="http://schemas.openxmlformats.org/officeDocument/2006/relationships/hyperlink" Target="https://www.cfla.gov.lv/lv/jaunums/par-izmaksu-sadardzinajumu-un-termina-pagarinajuma-pamatotibu-es-fondu-projektos-saistiba-kara-darbibu-ukraina-ieteikumi-un-ricibas-plans" TargetMode="External"/><Relationship Id="rId4" Type="http://schemas.openxmlformats.org/officeDocument/2006/relationships/hyperlink" Target="https://tapportals.mk.gov.lv/legal_acts/5ede348a-1c08-43af-a118-d1468eb458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9A6E0A5577AAB64BBC02552CE6366509" ma:contentTypeVersion="15" ma:contentTypeDescription="Izveidot jaunu dokumentu." ma:contentTypeScope="" ma:versionID="ceb58de9804651d4693276a8070a0410">
  <xsd:schema xmlns:xsd="http://www.w3.org/2001/XMLSchema" xmlns:xs="http://www.w3.org/2001/XMLSchema" xmlns:p="http://schemas.microsoft.com/office/2006/metadata/properties" xmlns:ns1="http://schemas.microsoft.com/sharepoint/v3" xmlns:ns2="1bc3c780-2bb1-47eb-9d86-5e03f4973a45" xmlns:ns3="a69edea8-00eb-4580-9f73-f1910d8c677f" targetNamespace="http://schemas.microsoft.com/office/2006/metadata/properties" ma:root="true" ma:fieldsID="d74a7cacbd59c0ec595ee073a813aa7b" ns1:_="" ns2:_="" ns3:_="">
    <xsd:import namespace="http://schemas.microsoft.com/sharepoint/v3"/>
    <xsd:import namespace="1bc3c780-2bb1-47eb-9d86-5e03f4973a45"/>
    <xsd:import namespace="a69edea8-00eb-4580-9f73-f1910d8c67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Vienotās atbilstības politikas rekvizīti" ma:hidden="true" ma:internalName="_ip_UnifiedCompliancePolicyProperties">
      <xsd:simpleType>
        <xsd:restriction base="dms:Note"/>
      </xsd:simpleType>
    </xsd:element>
    <xsd:element name="_ip_UnifiedCompliancePolicyUIAction" ma:index="21"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3c780-2bb1-47eb-9d86-5e03f4973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9edea8-00eb-4580-9f73-f1910d8c677f"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EC9F21-1A1A-4626-9581-4C57477DCB1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2C13CAF-4873-482A-B7CC-A5258FBE840C}">
  <ds:schemaRefs>
    <ds:schemaRef ds:uri="http://schemas.openxmlformats.org/officeDocument/2006/bibliography"/>
  </ds:schemaRefs>
</ds:datastoreItem>
</file>

<file path=customXml/itemProps3.xml><?xml version="1.0" encoding="utf-8"?>
<ds:datastoreItem xmlns:ds="http://schemas.openxmlformats.org/officeDocument/2006/customXml" ds:itemID="{60D4E389-89DC-427D-9610-7DFA161F2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c3c780-2bb1-47eb-9d86-5e03f4973a45"/>
    <ds:schemaRef ds:uri="a69edea8-00eb-4580-9f73-f1910d8c67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CC3C2B-56BD-4A6A-8FCA-73FB8618D1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10</Pages>
  <Words>17856</Words>
  <Characters>10178</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Informatīvais ziņojums par vadlīnijām būvniecības izmaksu indeksācijai</vt:lpstr>
    </vt:vector>
  </TitlesOfParts>
  <Company>Ekonomikas ministrija</Company>
  <LinksUpToDate>false</LinksUpToDate>
  <CharactersWithSpaces>27979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vadlīnijām būvniecības izmaksu indeksācijai</dc:title>
  <dc:subject>Informatīvais ziņojums</dc:subject>
  <dc:creator>Gunta Piņķe</dc:creator>
  <cp:keywords/>
  <dc:description/>
  <cp:lastModifiedBy>Inese Biukšāne</cp:lastModifiedBy>
  <cp:revision>51</cp:revision>
  <cp:lastPrinted>2022-03-28T08:41:00Z</cp:lastPrinted>
  <dcterms:created xsi:type="dcterms:W3CDTF">2022-09-02T06:33:00Z</dcterms:created>
  <dcterms:modified xsi:type="dcterms:W3CDTF">2022-09-02T07:40:00Z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0x0101009A6E0A5577AAB64BBC02552CE6366509</vt:lpwstr>
  </property>
</Properties>
</file>