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C65DE9" w14:textId="58D9F68E" w:rsidR="0095025C" w:rsidRPr="00463086" w:rsidRDefault="0095025C" w:rsidP="00FE78B5">
      <w:pPr>
        <w:pStyle w:val="Title"/>
        <w:ind w:left="709" w:right="706" w:firstLine="0"/>
        <w:contextualSpacing/>
        <w:mirrorIndents/>
        <w:outlineLvl w:val="0"/>
        <w:rPr>
          <w:rFonts w:eastAsiaTheme="minorHAnsi"/>
          <w:b/>
          <w:szCs w:val="24"/>
          <w:lang w:eastAsia="en-US"/>
        </w:rPr>
      </w:pPr>
      <w:r w:rsidRPr="00631FE8">
        <w:rPr>
          <w:rFonts w:eastAsiaTheme="minorHAnsi"/>
          <w:b/>
          <w:szCs w:val="24"/>
          <w:lang w:eastAsia="en-US"/>
        </w:rPr>
        <w:t xml:space="preserve">Informatīvais ziņojums “Par </w:t>
      </w:r>
      <w:r w:rsidRPr="00631FE8">
        <w:rPr>
          <w:b/>
          <w:szCs w:val="24"/>
        </w:rPr>
        <w:t>Eiropas Parlamenta un Padomes regula</w:t>
      </w:r>
      <w:r w:rsidR="00463086">
        <w:rPr>
          <w:b/>
          <w:szCs w:val="24"/>
        </w:rPr>
        <w:t xml:space="preserve">s </w:t>
      </w:r>
      <w:r w:rsidR="00463086" w:rsidRPr="00463086">
        <w:rPr>
          <w:b/>
          <w:szCs w:val="24"/>
        </w:rPr>
        <w:t>2021/887</w:t>
      </w:r>
      <w:r w:rsidRPr="00631FE8">
        <w:rPr>
          <w:b/>
          <w:szCs w:val="24"/>
        </w:rPr>
        <w:t>, ar ko izveido Eiropas Industriālo, tehnoloģisko un pētniecisko kiberdrošības centru un Nacionālo koordinācijas centru tīklu</w:t>
      </w:r>
      <w:r w:rsidR="00463086">
        <w:rPr>
          <w:b/>
          <w:szCs w:val="24"/>
        </w:rPr>
        <w:t>, īstenošanu</w:t>
      </w:r>
      <w:r w:rsidRPr="00631FE8">
        <w:rPr>
          <w:rFonts w:eastAsiaTheme="minorHAnsi"/>
          <w:b/>
          <w:szCs w:val="24"/>
          <w:lang w:eastAsia="en-US"/>
        </w:rPr>
        <w:t>”</w:t>
      </w:r>
    </w:p>
    <w:p w14:paraId="740D7D99" w14:textId="77777777" w:rsidR="0095025C" w:rsidRPr="00631FE8" w:rsidRDefault="0095025C" w:rsidP="0095025C">
      <w:pPr>
        <w:pStyle w:val="Title"/>
        <w:ind w:right="-28"/>
        <w:contextualSpacing/>
        <w:mirrorIndents/>
        <w:outlineLvl w:val="0"/>
        <w:rPr>
          <w:rFonts w:eastAsiaTheme="minorHAnsi"/>
          <w:szCs w:val="24"/>
          <w:lang w:eastAsia="en-US"/>
        </w:rPr>
      </w:pPr>
    </w:p>
    <w:p w14:paraId="44983B23" w14:textId="77777777" w:rsidR="0095025C" w:rsidRPr="00B84019" w:rsidRDefault="0095025C" w:rsidP="0095025C">
      <w:pPr>
        <w:pStyle w:val="ListParagraph"/>
        <w:numPr>
          <w:ilvl w:val="0"/>
          <w:numId w:val="22"/>
        </w:numPr>
        <w:spacing w:after="200"/>
        <w:ind w:left="357" w:hanging="357"/>
        <w:mirrorIndents/>
        <w:jc w:val="center"/>
        <w:rPr>
          <w:rFonts w:eastAsiaTheme="minorHAnsi" w:cs="Times New Roman"/>
          <w:b/>
          <w:szCs w:val="24"/>
          <w:lang w:eastAsia="en-US"/>
        </w:rPr>
      </w:pPr>
      <w:r w:rsidRPr="00631FE8">
        <w:rPr>
          <w:rFonts w:eastAsiaTheme="minorHAnsi" w:cs="Times New Roman"/>
          <w:b/>
          <w:szCs w:val="24"/>
          <w:lang w:eastAsia="en-US"/>
        </w:rPr>
        <w:t>Ievads</w:t>
      </w:r>
    </w:p>
    <w:p w14:paraId="4BC3F161" w14:textId="41233399" w:rsidR="00FE78B5" w:rsidRDefault="0095025C" w:rsidP="00FE78B5">
      <w:pPr>
        <w:spacing w:after="120"/>
        <w:jc w:val="both"/>
        <w:rPr>
          <w:rFonts w:eastAsiaTheme="minorHAnsi"/>
          <w:lang w:eastAsia="en-US"/>
        </w:rPr>
      </w:pPr>
      <w:r w:rsidRPr="00631FE8">
        <w:rPr>
          <w:rStyle w:val="Nessuno"/>
          <w:rFonts w:cs="Times New Roman"/>
          <w:noProof/>
          <w:szCs w:val="24"/>
        </w:rPr>
        <w:t xml:space="preserve">Saskaņā ar </w:t>
      </w:r>
      <w:r w:rsidRPr="00631FE8">
        <w:rPr>
          <w:noProof/>
        </w:rPr>
        <w:t>Eiro</w:t>
      </w:r>
      <w:r>
        <w:rPr>
          <w:noProof/>
        </w:rPr>
        <w:t xml:space="preserve">pas Parlamenta un Padomes </w:t>
      </w:r>
      <w:r w:rsidR="00FE78B5">
        <w:rPr>
          <w:noProof/>
        </w:rPr>
        <w:t xml:space="preserve">2021. gada 20. maija </w:t>
      </w:r>
      <w:r>
        <w:rPr>
          <w:noProof/>
        </w:rPr>
        <w:t xml:space="preserve">regulu </w:t>
      </w:r>
      <w:r w:rsidR="00FE78B5">
        <w:rPr>
          <w:noProof/>
        </w:rPr>
        <w:t xml:space="preserve">(ES) Nr. </w:t>
      </w:r>
      <w:r w:rsidRPr="00340E72">
        <w:rPr>
          <w:noProof/>
        </w:rPr>
        <w:t>2021/887</w:t>
      </w:r>
      <w:r w:rsidRPr="00631FE8">
        <w:rPr>
          <w:noProof/>
        </w:rPr>
        <w:t>, ar ko izveido Eiropas Industriālo, tehnoloģisko un pētniecisko kiberdrošības centru un Nacionālo koordinācijas centru tīklu</w:t>
      </w:r>
      <w:r w:rsidRPr="00631FE8">
        <w:rPr>
          <w:rFonts w:eastAsia="Times New Roman"/>
          <w:noProof/>
          <w:vertAlign w:val="superscript"/>
        </w:rPr>
        <w:footnoteReference w:id="1"/>
      </w:r>
      <w:r>
        <w:rPr>
          <w:noProof/>
        </w:rPr>
        <w:t xml:space="preserve"> (turpmāk – regula</w:t>
      </w:r>
      <w:r w:rsidRPr="00631FE8">
        <w:rPr>
          <w:noProof/>
        </w:rPr>
        <w:t>)</w:t>
      </w:r>
      <w:r w:rsidRPr="00631FE8">
        <w:rPr>
          <w:rStyle w:val="Nessuno"/>
          <w:rFonts w:cs="Times New Roman"/>
          <w:noProof/>
          <w:szCs w:val="24"/>
        </w:rPr>
        <w:t xml:space="preserve">, </w:t>
      </w:r>
      <w:r w:rsidRPr="00631FE8">
        <w:rPr>
          <w:rFonts w:eastAsiaTheme="minorHAnsi"/>
          <w:lang w:eastAsia="en-US"/>
        </w:rPr>
        <w:t>tiek veidots Eiropas Industriālais, tehnoloģiskais un pētnieciskais kiberdrošības kompetenču centrs (turpmāk – Centrs) un Nacionālo koordinācijas centru tīkls (turpmāk – Tīkls), kā arī Kiberdrošības kompetenču kopiena (turpmāk – Kopiena).</w:t>
      </w:r>
      <w:r>
        <w:rPr>
          <w:rFonts w:eastAsiaTheme="minorHAnsi"/>
          <w:lang w:eastAsia="en-US"/>
        </w:rPr>
        <w:t xml:space="preserve"> Regula stājās spēkā 2021. gada 28. jūnijā. Savukārt, pamatojoties uz dalībvalstu 2020. gada 9. decembrī pieņemto lēmumu, Bukarestē, Rumānijā jau notiek darbs pie Centra izveides.</w:t>
      </w:r>
      <w:r w:rsidRPr="00631FE8">
        <w:rPr>
          <w:rFonts w:eastAsiaTheme="minorHAnsi"/>
          <w:lang w:eastAsia="en-US"/>
        </w:rPr>
        <w:t xml:space="preserve"> </w:t>
      </w:r>
    </w:p>
    <w:p w14:paraId="7FAC70C9" w14:textId="547499A9" w:rsidR="00125172" w:rsidRDefault="0095025C" w:rsidP="00FE78B5">
      <w:pPr>
        <w:spacing w:after="120"/>
        <w:jc w:val="both"/>
        <w:rPr>
          <w:rFonts w:eastAsiaTheme="minorHAnsi"/>
          <w:lang w:eastAsia="en-US"/>
        </w:rPr>
      </w:pPr>
      <w:r w:rsidRPr="00631FE8">
        <w:rPr>
          <w:rFonts w:eastAsiaTheme="minorHAnsi"/>
          <w:lang w:eastAsia="en-US"/>
        </w:rPr>
        <w:t>Centram paredzēta būtiska loma programmas “Digitālā Eiropa” un “Apvārsnis Eiropa” kiberdrošības daļas īstenošanā.</w:t>
      </w:r>
      <w:r>
        <w:rPr>
          <w:rFonts w:eastAsiaTheme="minorHAnsi"/>
          <w:lang w:eastAsia="en-US"/>
        </w:rPr>
        <w:t xml:space="preserve"> </w:t>
      </w:r>
      <w:r w:rsidRPr="00631FE8">
        <w:rPr>
          <w:rFonts w:eastAsiaTheme="minorHAnsi"/>
          <w:lang w:eastAsia="en-US"/>
        </w:rPr>
        <w:t>Konkrēti, Centrs, piešķirot dotācijas un rīkojot iepirkumus, ciešā sadarbībā ar Tīklu un Kopienu būs galvenā finanšu koordinēšanas struktūra attiecībā uz Eiropas Savienības (turpmāk – ES) finanšu līdzekļiem, kas atvēlēti kiberdrošībai</w:t>
      </w:r>
      <w:r w:rsidRPr="00631FE8" w:rsidDel="000D5C6E">
        <w:rPr>
          <w:rFonts w:eastAsiaTheme="minorHAnsi"/>
          <w:lang w:eastAsia="en-US"/>
        </w:rPr>
        <w:t xml:space="preserve"> </w:t>
      </w:r>
      <w:r w:rsidR="0082209A">
        <w:rPr>
          <w:rFonts w:eastAsiaTheme="minorHAnsi"/>
          <w:lang w:eastAsia="en-US"/>
        </w:rPr>
        <w:t xml:space="preserve">ES </w:t>
      </w:r>
      <w:r w:rsidR="00111E77">
        <w:rPr>
          <w:rFonts w:eastAsiaTheme="minorHAnsi"/>
          <w:lang w:eastAsia="en-US"/>
        </w:rPr>
        <w:t>daudzgadu budžetā 2021.–</w:t>
      </w:r>
      <w:r w:rsidRPr="00631FE8">
        <w:rPr>
          <w:rFonts w:eastAsiaTheme="minorHAnsi"/>
          <w:lang w:eastAsia="en-US"/>
        </w:rPr>
        <w:t>2027.</w:t>
      </w:r>
      <w:r>
        <w:rPr>
          <w:rFonts w:eastAsiaTheme="minorHAnsi"/>
          <w:lang w:eastAsia="en-US"/>
        </w:rPr>
        <w:t> </w:t>
      </w:r>
      <w:r w:rsidR="00111E77">
        <w:rPr>
          <w:rFonts w:eastAsiaTheme="minorHAnsi"/>
          <w:lang w:eastAsia="en-US"/>
        </w:rPr>
        <w:t xml:space="preserve">gadam, </w:t>
      </w:r>
      <w:r w:rsidRPr="00631FE8">
        <w:rPr>
          <w:rFonts w:eastAsiaTheme="minorHAnsi"/>
          <w:lang w:eastAsia="en-US"/>
        </w:rPr>
        <w:t>saglabājot iespēju, ka noteiktos gadījumos Centrs tiek izmantots arī citu</w:t>
      </w:r>
      <w:r>
        <w:rPr>
          <w:rFonts w:eastAsiaTheme="minorHAnsi"/>
          <w:lang w:eastAsia="en-US"/>
        </w:rPr>
        <w:t xml:space="preserve"> finanšu</w:t>
      </w:r>
      <w:r w:rsidRPr="00631FE8">
        <w:rPr>
          <w:rFonts w:eastAsiaTheme="minorHAnsi"/>
          <w:lang w:eastAsia="en-US"/>
        </w:rPr>
        <w:t xml:space="preserve"> programmu ietvaros.</w:t>
      </w:r>
      <w:r>
        <w:rPr>
          <w:rFonts w:eastAsiaTheme="minorHAnsi"/>
          <w:lang w:eastAsia="en-US"/>
        </w:rPr>
        <w:t xml:space="preserve"> Centrs uzlabos kiberdrošības industrijas un pētniecības koordināciju ES līmenī un veicinās šo tehnoloģiju attīstību Savienībā. </w:t>
      </w:r>
      <w:r w:rsidRPr="00631FE8">
        <w:rPr>
          <w:rFonts w:eastAsiaTheme="minorHAnsi"/>
          <w:lang w:eastAsia="en-US"/>
        </w:rPr>
        <w:t xml:space="preserve"> Lai būtu iespējams īstenot minēto Centra un Tīkla sadarbības modeli, regula katrai dalībvalstij uzliek pienākumu nominēt Nacionālo koordinācijas centru (turpmāk – NKC). </w:t>
      </w:r>
    </w:p>
    <w:p w14:paraId="630133C6" w14:textId="3AC251F9" w:rsidR="0095025C" w:rsidRPr="00FE78B5" w:rsidRDefault="0095025C" w:rsidP="00FE78B5">
      <w:pPr>
        <w:spacing w:after="120"/>
        <w:jc w:val="both"/>
        <w:rPr>
          <w:rFonts w:eastAsiaTheme="minorHAnsi"/>
          <w:lang w:eastAsia="en-US"/>
        </w:rPr>
      </w:pPr>
      <w:r w:rsidRPr="00631FE8">
        <w:t xml:space="preserve">Informatīvā ziņojuma </w:t>
      </w:r>
      <w:r w:rsidR="00125172">
        <w:t xml:space="preserve">sagatavošanas </w:t>
      </w:r>
      <w:r w:rsidRPr="00631FE8">
        <w:t xml:space="preserve">mērķis ir </w:t>
      </w:r>
      <w:r w:rsidR="00125172">
        <w:t>noteikt atbildīgo iestādi, kas nodrošinās</w:t>
      </w:r>
      <w:r>
        <w:t xml:space="preserve"> Latvijas NKC</w:t>
      </w:r>
      <w:r w:rsidR="00125172">
        <w:t xml:space="preserve"> funkciju un uzdevumu īstenošanu</w:t>
      </w:r>
      <w:r>
        <w:t>.</w:t>
      </w:r>
    </w:p>
    <w:p w14:paraId="402C2E7D" w14:textId="77777777" w:rsidR="0095025C" w:rsidRPr="00631FE8" w:rsidRDefault="0095025C" w:rsidP="0095025C">
      <w:pPr>
        <w:contextualSpacing/>
        <w:mirrorIndents/>
        <w:jc w:val="both"/>
        <w:rPr>
          <w:rFonts w:eastAsiaTheme="minorHAnsi" w:cs="Times New Roman"/>
          <w:szCs w:val="24"/>
          <w:lang w:eastAsia="en-US"/>
        </w:rPr>
      </w:pPr>
    </w:p>
    <w:p w14:paraId="7A00390A" w14:textId="77777777" w:rsidR="0095025C" w:rsidRPr="00B84019" w:rsidRDefault="0095025C" w:rsidP="0095025C">
      <w:pPr>
        <w:pStyle w:val="ListParagraph"/>
        <w:numPr>
          <w:ilvl w:val="0"/>
          <w:numId w:val="22"/>
        </w:numPr>
        <w:spacing w:after="200"/>
        <w:ind w:left="357" w:hanging="357"/>
        <w:mirrorIndents/>
        <w:jc w:val="center"/>
        <w:rPr>
          <w:rFonts w:eastAsiaTheme="minorHAnsi" w:cs="Times New Roman"/>
          <w:b/>
          <w:szCs w:val="24"/>
          <w:lang w:eastAsia="en-US"/>
        </w:rPr>
      </w:pPr>
      <w:r>
        <w:rPr>
          <w:rFonts w:eastAsiaTheme="minorHAnsi" w:cs="Times New Roman"/>
          <w:b/>
          <w:szCs w:val="24"/>
          <w:lang w:eastAsia="en-US"/>
        </w:rPr>
        <w:t xml:space="preserve">Regula </w:t>
      </w:r>
      <w:r w:rsidRPr="00631FE8">
        <w:rPr>
          <w:rFonts w:eastAsiaTheme="minorHAnsi" w:cs="Times New Roman"/>
          <w:b/>
          <w:szCs w:val="24"/>
          <w:lang w:eastAsia="en-US"/>
        </w:rPr>
        <w:t>un Centrs</w:t>
      </w:r>
    </w:p>
    <w:p w14:paraId="75992758" w14:textId="77777777" w:rsidR="0095025C" w:rsidRDefault="0095025C" w:rsidP="0095025C">
      <w:pPr>
        <w:spacing w:after="120"/>
        <w:jc w:val="both"/>
        <w:rPr>
          <w:rFonts w:cs="Times New Roman"/>
        </w:rPr>
      </w:pPr>
      <w:r>
        <w:rPr>
          <w:rFonts w:cs="Times New Roman"/>
        </w:rPr>
        <w:t>Sabiedrības pieaugošā digitalizācija sniedz milzīgas iespējas, tā vienlaikus padara sabiedrību ievainojamu attiecībā uz kiberdraudiem. Kiberuzbrukumu apmērs un sarežģītība nepārtraukti pieaug, kas savukārt atstāj arvien lielāku ietekmi uz ikdienas dzīvi. Šie pieaugošie kiberdrošības izaicinājumi rada nepieciešamību stiprināt iedzīvotāju un uzņēmumu aizsardzību pret kiberdraudiem un uzsākt spēcīgākas ES kiberdrošības ekosistēmas veidošanu. Eiropas Komisija ir secinājusi, ka, lai gan Eiropā netrūkst inovatīvas kiberdrošības pētniecības, tā reti tiek pilnvērtīgi komercializēta</w:t>
      </w:r>
      <w:r>
        <w:rPr>
          <w:rStyle w:val="FootnoteReference"/>
          <w:rFonts w:cs="Times New Roman"/>
        </w:rPr>
        <w:footnoteReference w:id="2"/>
      </w:r>
      <w:r>
        <w:rPr>
          <w:rFonts w:cs="Times New Roman"/>
        </w:rPr>
        <w:t xml:space="preserve">. Regulas mērķis ir veicināt ES kiberdrošības industrijas globālo konkurētspēju, kā arī attīstīt kiberdrošību, kā dalībvalstu </w:t>
      </w:r>
      <w:r>
        <w:rPr>
          <w:rFonts w:cs="Times New Roman"/>
          <w:i/>
        </w:rPr>
        <w:t>spēcīgo pusi</w:t>
      </w:r>
      <w:r>
        <w:rPr>
          <w:rFonts w:cs="Times New Roman"/>
        </w:rPr>
        <w:t xml:space="preserve">. Tādējādi ar regulas palīdzību tiks stiprinātas tās informācijas un komunikācijas tehnoloģijas, uz kurām paļaujamies un kuras ikdienā izmantojam. </w:t>
      </w:r>
    </w:p>
    <w:p w14:paraId="0F875EC5" w14:textId="77777777" w:rsidR="0095025C" w:rsidRPr="00631FE8" w:rsidRDefault="0095025C" w:rsidP="0095025C">
      <w:pPr>
        <w:jc w:val="both"/>
        <w:rPr>
          <w:rFonts w:cs="Times New Roman"/>
        </w:rPr>
      </w:pPr>
      <w:r>
        <w:rPr>
          <w:rFonts w:cs="Times New Roman"/>
        </w:rPr>
        <w:t xml:space="preserve">Ar regulu ir plānots veicināt ES spējas noturēt un attīstīt kiberdrošības tehnoloģiskās un industriālās kompetences, kas nepieciešamas Eiropas Digitālās desmitgades uzņemtajam kursam. Vienlaikus, tiek veidota Eiropas līmeņa kiberdrošības ekosistēma, ļaujot iesaistītajiem pilnvērtīgi izmantot ES pieejamo, taču izkliedēto, kiberdrošības ekspertīzi un resursus. Šādai pieejai būtu jāpalīdz ES un dalībvalstīm veidot proaktīvu, ilgtermiņa kiberdrošības industriālo politiku, kas sniedzas tālāk par pētniecību un izstrādi. Vienlaikus regulai būtu jāpalīdz visai kiberdrošības kopienai </w:t>
      </w:r>
      <w:r>
        <w:rPr>
          <w:rFonts w:cs="Times New Roman"/>
        </w:rPr>
        <w:lastRenderedPageBreak/>
        <w:t>iegūt pieeju dažādiem pakalpojumiem, piemēram, testēšanas un eksperimentēšanas vidēm, kas nereti individuālām valstīm nav pieejamas dēļ nepietiekama finansējuma vai cilvēkresursiem. Tāpat, sniedzot iespēju veikt nozīmīgu un izaicinošu darbu, ES tiktu noturēti vadošie nozares profesionāļi.</w:t>
      </w:r>
    </w:p>
    <w:p w14:paraId="574B7286" w14:textId="77777777" w:rsidR="0095025C" w:rsidRDefault="0095025C" w:rsidP="0095025C">
      <w:pPr>
        <w:jc w:val="both"/>
        <w:rPr>
          <w:rFonts w:cs="Times New Roman"/>
          <w:iCs/>
        </w:rPr>
      </w:pPr>
    </w:p>
    <w:p w14:paraId="0475590C" w14:textId="77777777" w:rsidR="0095025C" w:rsidRPr="004073D8" w:rsidRDefault="0095025C" w:rsidP="0095025C">
      <w:pPr>
        <w:spacing w:after="200"/>
        <w:jc w:val="center"/>
        <w:rPr>
          <w:rFonts w:cs="Times New Roman"/>
          <w:b/>
          <w:iCs/>
        </w:rPr>
      </w:pPr>
      <w:r w:rsidRPr="004073D8">
        <w:rPr>
          <w:rFonts w:cs="Times New Roman"/>
          <w:b/>
          <w:iCs/>
        </w:rPr>
        <w:t>2.1 Digitālās Eiropas programma un pamatprogramma “Apvārsnis Eiropa”</w:t>
      </w:r>
    </w:p>
    <w:p w14:paraId="24E5D716" w14:textId="3F279908" w:rsidR="0095025C" w:rsidRPr="00631FE8" w:rsidRDefault="0095025C" w:rsidP="0095025C">
      <w:pPr>
        <w:spacing w:after="120"/>
        <w:jc w:val="both"/>
        <w:rPr>
          <w:rFonts w:cs="Times New Roman"/>
        </w:rPr>
      </w:pPr>
      <w:r w:rsidRPr="00631FE8">
        <w:rPr>
          <w:rFonts w:cs="Times New Roman"/>
          <w:iCs/>
        </w:rPr>
        <w:t>Eirop</w:t>
      </w:r>
      <w:r>
        <w:rPr>
          <w:rFonts w:cs="Times New Roman"/>
          <w:iCs/>
        </w:rPr>
        <w:t xml:space="preserve">as Parlamenta un Padomes </w:t>
      </w:r>
      <w:r w:rsidR="009934B1">
        <w:rPr>
          <w:rFonts w:cs="Times New Roman"/>
          <w:iCs/>
        </w:rPr>
        <w:t xml:space="preserve">2021. gada 29. aprīļa </w:t>
      </w:r>
      <w:r>
        <w:rPr>
          <w:rFonts w:cs="Times New Roman"/>
          <w:iCs/>
        </w:rPr>
        <w:t>regula</w:t>
      </w:r>
      <w:r w:rsidR="009934B1">
        <w:rPr>
          <w:rFonts w:cs="Times New Roman"/>
          <w:iCs/>
        </w:rPr>
        <w:t xml:space="preserve"> Nr. 2021/694</w:t>
      </w:r>
      <w:r w:rsidRPr="00631FE8">
        <w:rPr>
          <w:rFonts w:cs="Times New Roman"/>
          <w:iCs/>
        </w:rPr>
        <w:t xml:space="preserve">, ar ko izveido </w:t>
      </w:r>
      <w:r w:rsidR="009934B1">
        <w:rPr>
          <w:rFonts w:cs="Times New Roman"/>
          <w:iCs/>
        </w:rPr>
        <w:t>programmu “</w:t>
      </w:r>
      <w:r w:rsidRPr="00631FE8">
        <w:rPr>
          <w:rFonts w:cs="Times New Roman"/>
          <w:iCs/>
        </w:rPr>
        <w:t>Digitālā Eiropa</w:t>
      </w:r>
      <w:r w:rsidR="009934B1">
        <w:rPr>
          <w:rFonts w:cs="Times New Roman"/>
          <w:iCs/>
        </w:rPr>
        <w:t>”</w:t>
      </w:r>
      <w:r w:rsidRPr="00631FE8">
        <w:rPr>
          <w:rFonts w:cs="Times New Roman"/>
          <w:iCs/>
        </w:rPr>
        <w:t xml:space="preserve"> </w:t>
      </w:r>
      <w:r w:rsidR="009934B1">
        <w:rPr>
          <w:rFonts w:cs="Times New Roman"/>
          <w:iCs/>
        </w:rPr>
        <w:t>un atceļ Lēmumu (ES) 2015/2240</w:t>
      </w:r>
      <w:r w:rsidRPr="00631FE8">
        <w:rPr>
          <w:rStyle w:val="FootnoteReference"/>
          <w:rFonts w:cs="Times New Roman"/>
          <w:iCs/>
          <w:szCs w:val="24"/>
        </w:rPr>
        <w:footnoteReference w:id="3"/>
      </w:r>
      <w:r w:rsidRPr="00631FE8">
        <w:rPr>
          <w:rFonts w:cs="Times New Roman"/>
          <w:iCs/>
        </w:rPr>
        <w:t xml:space="preserve">, </w:t>
      </w:r>
      <w:r w:rsidRPr="00631FE8">
        <w:rPr>
          <w:rFonts w:cs="Times New Roman"/>
        </w:rPr>
        <w:t>sagatavot</w:t>
      </w:r>
      <w:r>
        <w:rPr>
          <w:rFonts w:cs="Times New Roman"/>
        </w:rPr>
        <w:t>a</w:t>
      </w:r>
      <w:r w:rsidRPr="00631FE8">
        <w:rPr>
          <w:rFonts w:cs="Times New Roman"/>
        </w:rPr>
        <w:t xml:space="preserve"> ar mērķi paplašināt un maksimāli izmantot digitalizācijas priekšrocības Eiropas pilsoņu un uzņēmumu labā visās attiecīgajās ES politikas jomās, stiprinot politikas un atbalstot digitālā vienotā tirgus mērķus. Programma paredz visaptverošu pieeju, lai nodrošinātu efektīvāko jaunāko tehnoloģiju izmantošanas veidu, kā arī tehnisko spēju un cilvēku kompetenču pareizu kombināciju digitalizācijas procesam — attiecībā uz viedo datu infrastruktūru, mākslīgo intelektu, kiberdrošību, augstāka līmeņa prasmēm un to pielietošanu industrijā un sabiedriskas nozīmes jomās. Šie elementi ir savstarpēji atkarīgi, viens otru pastiprinoši, un, tos vienlaicīgi veicinot, ir iespējams sasniegt nepieciešamo līmeni datu ekonomikas </w:t>
      </w:r>
      <w:r>
        <w:rPr>
          <w:rFonts w:cs="Times New Roman"/>
        </w:rPr>
        <w:t>straujai attīstībai</w:t>
      </w:r>
      <w:r w:rsidRPr="00631FE8">
        <w:rPr>
          <w:rFonts w:cs="Times New Roman"/>
        </w:rPr>
        <w:t>.</w:t>
      </w:r>
    </w:p>
    <w:p w14:paraId="20792389" w14:textId="7A4FF277" w:rsidR="0095025C" w:rsidRPr="00631FE8" w:rsidRDefault="0082209A" w:rsidP="0095025C">
      <w:pPr>
        <w:spacing w:after="120"/>
        <w:jc w:val="both"/>
        <w:rPr>
          <w:rFonts w:cs="Times New Roman"/>
        </w:rPr>
      </w:pPr>
      <w:r>
        <w:t>Programmai paredzētā finansējuma ietvaros plānots atvēlēt līdz 1 649 566 000 euro (faktiskajās cenās) mērķim Nr. 3 “Kiberdrošība un uzticamība</w:t>
      </w:r>
      <w:r>
        <w:t>”</w:t>
      </w:r>
      <w:r w:rsidR="0095025C" w:rsidRPr="00631FE8">
        <w:rPr>
          <w:rFonts w:cs="Times New Roman"/>
        </w:rPr>
        <w:t xml:space="preserve">. </w:t>
      </w:r>
      <w:r>
        <w:rPr>
          <w:rFonts w:cs="Times New Roman"/>
        </w:rPr>
        <w:t xml:space="preserve">ES </w:t>
      </w:r>
      <w:r w:rsidR="0095025C" w:rsidRPr="00631FE8">
        <w:rPr>
          <w:rFonts w:cs="Times New Roman"/>
        </w:rPr>
        <w:t>finansiālajai intervencei</w:t>
      </w:r>
      <w:r w:rsidR="0095025C">
        <w:rPr>
          <w:rFonts w:cs="Times New Roman"/>
        </w:rPr>
        <w:t>,</w:t>
      </w:r>
      <w:r w:rsidR="0095025C" w:rsidRPr="00631FE8">
        <w:rPr>
          <w:rFonts w:cs="Times New Roman"/>
        </w:rPr>
        <w:t xml:space="preserve"> saskaņā ar konkrēto mērķi</w:t>
      </w:r>
      <w:r w:rsidR="0095025C">
        <w:rPr>
          <w:rFonts w:cs="Times New Roman"/>
        </w:rPr>
        <w:t>,</w:t>
      </w:r>
      <w:r w:rsidR="0095025C" w:rsidRPr="00631FE8">
        <w:rPr>
          <w:rFonts w:cs="Times New Roman"/>
        </w:rPr>
        <w:t xml:space="preserve"> ir šādi darbības </w:t>
      </w:r>
      <w:r w:rsidR="0095025C">
        <w:rPr>
          <w:rFonts w:cs="Times New Roman"/>
        </w:rPr>
        <w:t>virzieni</w:t>
      </w:r>
      <w:r w:rsidR="0095025C" w:rsidRPr="00631FE8">
        <w:rPr>
          <w:rFonts w:cs="Times New Roman"/>
        </w:rPr>
        <w:t xml:space="preserve">: </w:t>
      </w:r>
    </w:p>
    <w:p w14:paraId="62550F9E" w14:textId="77777777" w:rsidR="0095025C" w:rsidRPr="00631FE8" w:rsidRDefault="0095025C" w:rsidP="0095025C">
      <w:pPr>
        <w:pStyle w:val="ListParagraph"/>
        <w:numPr>
          <w:ilvl w:val="0"/>
          <w:numId w:val="32"/>
        </w:numPr>
        <w:jc w:val="both"/>
        <w:rPr>
          <w:rFonts w:cs="Times New Roman"/>
        </w:rPr>
      </w:pPr>
      <w:r w:rsidRPr="00631FE8">
        <w:rPr>
          <w:rFonts w:cs="Times New Roman"/>
        </w:rPr>
        <w:t>kopā ar dalībvalstīm atbalstīt progresīva kiberdrošības aprīkojuma, rīku un datu infrastruktūru iepirkšanu, vienlaikus nodrošinot stratēģisko autonomiju;</w:t>
      </w:r>
    </w:p>
    <w:p w14:paraId="7444F9DC" w14:textId="77777777" w:rsidR="0095025C" w:rsidRPr="00631FE8" w:rsidRDefault="0095025C" w:rsidP="0095025C">
      <w:pPr>
        <w:pStyle w:val="ListParagraph"/>
        <w:numPr>
          <w:ilvl w:val="0"/>
          <w:numId w:val="32"/>
        </w:numPr>
        <w:jc w:val="both"/>
        <w:rPr>
          <w:rFonts w:cs="Times New Roman"/>
        </w:rPr>
      </w:pPr>
      <w:r w:rsidRPr="00631FE8">
        <w:rPr>
          <w:rFonts w:cs="Times New Roman"/>
        </w:rPr>
        <w:t xml:space="preserve">atbalstīt ar kiberdrošību saistīto Eiropas zināšanu, spēju un prasmju optimālu izmantojumu; </w:t>
      </w:r>
    </w:p>
    <w:p w14:paraId="1532687B" w14:textId="77777777" w:rsidR="0095025C" w:rsidRPr="00631FE8" w:rsidRDefault="0095025C" w:rsidP="0095025C">
      <w:pPr>
        <w:pStyle w:val="ListParagraph"/>
        <w:numPr>
          <w:ilvl w:val="0"/>
          <w:numId w:val="32"/>
        </w:numPr>
        <w:jc w:val="both"/>
        <w:rPr>
          <w:rFonts w:cs="Times New Roman"/>
        </w:rPr>
      </w:pPr>
      <w:r w:rsidRPr="00631FE8">
        <w:rPr>
          <w:rFonts w:cs="Times New Roman"/>
        </w:rPr>
        <w:t>nodrošināt jaunāko kiberdrošības risinājumu plašu izvēršanu ekonomikā;</w:t>
      </w:r>
    </w:p>
    <w:p w14:paraId="49DEFE64" w14:textId="77777777" w:rsidR="0095025C" w:rsidRPr="00631FE8" w:rsidRDefault="0095025C" w:rsidP="0095025C">
      <w:pPr>
        <w:pStyle w:val="ListParagraph"/>
        <w:numPr>
          <w:ilvl w:val="0"/>
          <w:numId w:val="32"/>
        </w:numPr>
        <w:jc w:val="both"/>
        <w:rPr>
          <w:rFonts w:cs="Times New Roman"/>
        </w:rPr>
      </w:pPr>
      <w:r w:rsidRPr="00631FE8">
        <w:rPr>
          <w:rFonts w:cs="Times New Roman"/>
        </w:rPr>
        <w:t>stiprināt dalībvalstu un privātā sektora spējas, lai sasniegtu Eiropas Parlamenta un Padomes 2016.</w:t>
      </w:r>
      <w:r>
        <w:rPr>
          <w:rFonts w:eastAsiaTheme="minorHAnsi"/>
          <w:lang w:eastAsia="en-US"/>
        </w:rPr>
        <w:t> </w:t>
      </w:r>
      <w:r w:rsidRPr="00631FE8">
        <w:rPr>
          <w:rFonts w:cs="Times New Roman"/>
        </w:rPr>
        <w:t>gada 6.</w:t>
      </w:r>
      <w:r>
        <w:rPr>
          <w:rFonts w:eastAsiaTheme="minorHAnsi"/>
          <w:lang w:eastAsia="en-US"/>
        </w:rPr>
        <w:t> </w:t>
      </w:r>
      <w:r w:rsidRPr="00631FE8">
        <w:rPr>
          <w:rFonts w:cs="Times New Roman"/>
        </w:rPr>
        <w:t>jūlija Direktīvā (ES) 2016/1148 par pasākumiem nolūkā panākt vienādi augsta līmeņa tīklu un informācijas sistēmu drošību visā Savienībā (turpmāk – NIS direktīva) noteiktās prasības;</w:t>
      </w:r>
    </w:p>
    <w:p w14:paraId="0AD215A7" w14:textId="77777777" w:rsidR="0095025C" w:rsidRPr="00631FE8" w:rsidRDefault="0095025C" w:rsidP="0095025C">
      <w:pPr>
        <w:pStyle w:val="ListParagraph"/>
        <w:numPr>
          <w:ilvl w:val="0"/>
          <w:numId w:val="32"/>
        </w:numPr>
        <w:jc w:val="both"/>
        <w:rPr>
          <w:rFonts w:cs="Times New Roman"/>
        </w:rPr>
      </w:pPr>
      <w:r w:rsidRPr="00631FE8">
        <w:rPr>
          <w:rFonts w:cs="Times New Roman"/>
        </w:rPr>
        <w:t>uzlabot noturību pret kiberuzbrukumiem, veicināt riska apzināšanos un zināšanas par kiberdrošības procesiem;</w:t>
      </w:r>
    </w:p>
    <w:p w14:paraId="38955A8C" w14:textId="77777777" w:rsidR="0095025C" w:rsidRPr="00631FE8" w:rsidRDefault="0095025C" w:rsidP="0095025C">
      <w:pPr>
        <w:pStyle w:val="ListParagraph"/>
        <w:numPr>
          <w:ilvl w:val="0"/>
          <w:numId w:val="32"/>
        </w:numPr>
        <w:spacing w:after="120"/>
        <w:jc w:val="both"/>
        <w:rPr>
          <w:rFonts w:cs="Times New Roman"/>
        </w:rPr>
      </w:pPr>
      <w:r w:rsidRPr="00631FE8">
        <w:rPr>
          <w:rFonts w:cs="Times New Roman"/>
        </w:rPr>
        <w:t xml:space="preserve">uzlabot sadarbību starp civilo un aizsardzības jomu attiecībā uz divējāda </w:t>
      </w:r>
      <w:r>
        <w:rPr>
          <w:rFonts w:cs="Times New Roman"/>
        </w:rPr>
        <w:t xml:space="preserve">pielietojuma </w:t>
      </w:r>
      <w:r w:rsidRPr="00631FE8">
        <w:rPr>
          <w:rFonts w:cs="Times New Roman"/>
        </w:rPr>
        <w:t>projektiem, pakalpojumiem, kompetencēm kiberdrošības jomā.</w:t>
      </w:r>
    </w:p>
    <w:p w14:paraId="41803112" w14:textId="23C62A2B" w:rsidR="002F3C6F" w:rsidRDefault="002F3C6F" w:rsidP="0095025C">
      <w:pPr>
        <w:spacing w:after="120"/>
        <w:jc w:val="both"/>
        <w:rPr>
          <w:rFonts w:cs="Times New Roman"/>
        </w:rPr>
      </w:pPr>
      <w:r>
        <w:rPr>
          <w:rFonts w:cs="Times New Roman"/>
        </w:rPr>
        <w:t xml:space="preserve">Tāpat “Digitālās Eiropas” programmas Kiberdrošības darba programmas 2021.-2022. gadam ietvaros </w:t>
      </w:r>
      <w:r w:rsidRPr="00631FE8">
        <w:rPr>
          <w:rFonts w:eastAsiaTheme="minorHAnsi" w:cs="Times New Roman"/>
          <w:szCs w:val="24"/>
          <w:lang w:eastAsia="en-US"/>
        </w:rPr>
        <w:t xml:space="preserve">ir </w:t>
      </w:r>
      <w:r w:rsidRPr="00631FE8">
        <w:rPr>
          <w:rFonts w:cs="Times New Roman"/>
        </w:rPr>
        <w:t>paredzēts finansējums Tīkla izvēršanai – NKC spēju un kapacitātes veidošanai, trešo pušu finansiālam atbalstam, lai veicinātu kiberdrošības risinājumu ieviešanu (kopējais plānotais finansējums 50 m</w:t>
      </w:r>
      <w:r>
        <w:rPr>
          <w:rFonts w:cs="Times New Roman"/>
        </w:rPr>
        <w:t>i</w:t>
      </w:r>
      <w:r w:rsidRPr="00631FE8">
        <w:rPr>
          <w:rFonts w:cs="Times New Roman"/>
        </w:rPr>
        <w:t xml:space="preserve">lj. </w:t>
      </w:r>
      <w:r w:rsidRPr="00B84019">
        <w:rPr>
          <w:rFonts w:cs="Times New Roman"/>
          <w:i/>
        </w:rPr>
        <w:t>euro</w:t>
      </w:r>
      <w:r w:rsidRPr="00631FE8">
        <w:rPr>
          <w:rFonts w:cs="Times New Roman"/>
        </w:rPr>
        <w:t>).</w:t>
      </w:r>
    </w:p>
    <w:p w14:paraId="54BF6D26" w14:textId="124B9BBC" w:rsidR="0095025C" w:rsidRPr="00B84019" w:rsidRDefault="0095025C" w:rsidP="0095025C">
      <w:pPr>
        <w:spacing w:after="120"/>
        <w:jc w:val="both"/>
        <w:rPr>
          <w:rFonts w:cs="Times New Roman"/>
          <w:iCs/>
        </w:rPr>
      </w:pPr>
      <w:r w:rsidRPr="00631FE8">
        <w:rPr>
          <w:rFonts w:cs="Times New Roman"/>
        </w:rPr>
        <w:t xml:space="preserve">Arī nākamajā ES pētniecības un inovācijas pamatprogrammā – </w:t>
      </w:r>
      <w:r w:rsidRPr="00471915">
        <w:rPr>
          <w:rFonts w:cs="Times New Roman"/>
          <w:iCs/>
        </w:rPr>
        <w:t>“Apvārsnis Eiropa”</w:t>
      </w:r>
      <w:r w:rsidRPr="00631FE8">
        <w:rPr>
          <w:rStyle w:val="FootnoteReference"/>
          <w:rFonts w:cs="Times New Roman"/>
          <w:iCs/>
          <w:szCs w:val="24"/>
        </w:rPr>
        <w:footnoteReference w:id="4"/>
      </w:r>
      <w:r w:rsidRPr="00631FE8">
        <w:rPr>
          <w:rFonts w:cs="Times New Roman"/>
          <w:iCs/>
        </w:rPr>
        <w:t xml:space="preserve"> II pīlāra “Globālās problēmas un rūpniecības konkurētspēja” klasterī “Iekļaujoša un droša sabiedrība” iekļauta kiberdrošības joma, ņemot vērā to, ka ļaunprātīgas kiberdarbības var apdraudēt valstu ekonomikas </w:t>
      </w:r>
      <w:r w:rsidRPr="00631FE8">
        <w:rPr>
          <w:rFonts w:cs="Times New Roman"/>
          <w:iCs/>
        </w:rPr>
        <w:lastRenderedPageBreak/>
        <w:t xml:space="preserve">un demokrātiju funkcionēšanu, kā arī digitālā transformācija dažādās jomās prasa būtiski uzlabot kiberdrošību. Finansējums no programmas tiks piešķirts </w:t>
      </w:r>
      <w:r w:rsidR="00125172" w:rsidRPr="00631FE8">
        <w:rPr>
          <w:rFonts w:cs="Times New Roman"/>
          <w:iCs/>
        </w:rPr>
        <w:t>kop</w:t>
      </w:r>
      <w:r w:rsidR="00125172">
        <w:rPr>
          <w:rFonts w:cs="Times New Roman"/>
          <w:iCs/>
        </w:rPr>
        <w:t>īgām</w:t>
      </w:r>
      <w:r w:rsidR="00125172" w:rsidRPr="00631FE8">
        <w:rPr>
          <w:rFonts w:cs="Times New Roman"/>
          <w:iCs/>
        </w:rPr>
        <w:t xml:space="preserve"> </w:t>
      </w:r>
      <w:r w:rsidRPr="00631FE8">
        <w:rPr>
          <w:rFonts w:cs="Times New Roman"/>
          <w:iCs/>
        </w:rPr>
        <w:t>darbībām</w:t>
      </w:r>
      <w:r w:rsidRPr="00631FE8">
        <w:rPr>
          <w:rStyle w:val="FootnoteReference"/>
          <w:rFonts w:cs="Times New Roman"/>
          <w:iCs/>
          <w:szCs w:val="24"/>
        </w:rPr>
        <w:footnoteReference w:id="5"/>
      </w:r>
      <w:r w:rsidRPr="00631FE8">
        <w:rPr>
          <w:rFonts w:cs="Times New Roman"/>
          <w:iCs/>
        </w:rPr>
        <w:t xml:space="preserve"> un būs līdzvērtīgs dalībvalstu veiktaj</w:t>
      </w:r>
      <w:r w:rsidR="0082209A">
        <w:rPr>
          <w:rFonts w:cs="Times New Roman"/>
          <w:iCs/>
        </w:rPr>
        <w:t>iem</w:t>
      </w:r>
      <w:r w:rsidRPr="00631FE8">
        <w:rPr>
          <w:rFonts w:cs="Times New Roman"/>
          <w:iCs/>
        </w:rPr>
        <w:t xml:space="preserve"> </w:t>
      </w:r>
      <w:r w:rsidR="0082209A">
        <w:rPr>
          <w:rFonts w:cs="Times New Roman"/>
          <w:iCs/>
        </w:rPr>
        <w:t>ieguldījumiem</w:t>
      </w:r>
      <w:r w:rsidRPr="00631FE8">
        <w:rPr>
          <w:rFonts w:cs="Times New Roman"/>
          <w:iCs/>
        </w:rPr>
        <w:t xml:space="preserve">. </w:t>
      </w:r>
      <w:r w:rsidR="0082209A">
        <w:t>Saskaņā ar Eiropas Komisijas aplēsēm minētās programmas “Digitālās, rūpniecības un kosmosa” apakšprogrammas kopējais budžets būs 13 462 000 000 euro (faktiskajās cenās)</w:t>
      </w:r>
      <w:r>
        <w:rPr>
          <w:rFonts w:cs="Times New Roman"/>
          <w:iCs/>
        </w:rPr>
        <w:t>.</w:t>
      </w:r>
      <w:r>
        <w:rPr>
          <w:rStyle w:val="FootnoteReference"/>
          <w:rFonts w:cs="Times New Roman"/>
          <w:iCs/>
        </w:rPr>
        <w:footnoteReference w:id="6"/>
      </w:r>
      <w:r>
        <w:rPr>
          <w:rFonts w:cs="Times New Roman"/>
          <w:iCs/>
        </w:rPr>
        <w:t xml:space="preserve"> </w:t>
      </w:r>
    </w:p>
    <w:p w14:paraId="4ECB1ECC" w14:textId="77777777" w:rsidR="0095025C" w:rsidRDefault="0095025C" w:rsidP="0095025C">
      <w:pPr>
        <w:tabs>
          <w:tab w:val="left" w:pos="0"/>
        </w:tabs>
        <w:ind w:firstLine="0"/>
        <w:mirrorIndents/>
        <w:jc w:val="both"/>
        <w:rPr>
          <w:rFonts w:cs="Times New Roman"/>
          <w:szCs w:val="24"/>
        </w:rPr>
      </w:pPr>
      <w:r>
        <w:rPr>
          <w:rFonts w:cs="Times New Roman"/>
          <w:szCs w:val="24"/>
        </w:rPr>
        <w:tab/>
      </w:r>
      <w:r w:rsidRPr="00631FE8">
        <w:rPr>
          <w:rFonts w:cs="Times New Roman"/>
          <w:szCs w:val="24"/>
        </w:rPr>
        <w:t>Centrs caur Kiberdrošības industriālo, tehnoloģisko un pētījumu darba kārtību (</w:t>
      </w:r>
      <w:r w:rsidRPr="00631FE8">
        <w:rPr>
          <w:rFonts w:cs="Times New Roman"/>
          <w:i/>
          <w:szCs w:val="24"/>
        </w:rPr>
        <w:t>agenda</w:t>
      </w:r>
      <w:r w:rsidRPr="00631FE8">
        <w:rPr>
          <w:rFonts w:cs="Times New Roman"/>
          <w:szCs w:val="24"/>
        </w:rPr>
        <w:t xml:space="preserve">) un daudzgadu darba programmu veicinās sinerģiju ar programmas </w:t>
      </w:r>
      <w:r>
        <w:rPr>
          <w:rFonts w:cs="Times New Roman"/>
          <w:szCs w:val="24"/>
        </w:rPr>
        <w:t>“</w:t>
      </w:r>
      <w:r w:rsidRPr="00631FE8">
        <w:rPr>
          <w:rFonts w:cs="Times New Roman"/>
          <w:szCs w:val="24"/>
        </w:rPr>
        <w:t>Digitālā Eiropa</w:t>
      </w:r>
      <w:r>
        <w:rPr>
          <w:rFonts w:cs="Times New Roman"/>
          <w:szCs w:val="24"/>
        </w:rPr>
        <w:t>”</w:t>
      </w:r>
      <w:r w:rsidRPr="00631FE8">
        <w:rPr>
          <w:rFonts w:cs="Times New Roman"/>
          <w:szCs w:val="24"/>
        </w:rPr>
        <w:t xml:space="preserve"> un programmas “Apvārsnis Eiropa” daļām, definējot prioritātes, atbalstot industriju un veicinot </w:t>
      </w:r>
      <w:r>
        <w:rPr>
          <w:rFonts w:cs="Times New Roman"/>
          <w:szCs w:val="24"/>
        </w:rPr>
        <w:t>sadarbību</w:t>
      </w:r>
      <w:r w:rsidRPr="00631FE8">
        <w:rPr>
          <w:rFonts w:cs="Times New Roman"/>
          <w:szCs w:val="24"/>
        </w:rPr>
        <w:t xml:space="preserve"> ar citām ES institūcijām. Tāpat Centra uzdevumos būs veicināt pētījumu un inovāciju, kiberdrošības kapacitātes, spēju, zināšanu un infrastruktūras pieejamību industrijai, publiskajam sektoram, pētniecības kopienai, m</w:t>
      </w:r>
      <w:bookmarkStart w:id="0" w:name="_GoBack"/>
      <w:bookmarkEnd w:id="0"/>
      <w:r w:rsidRPr="00631FE8">
        <w:rPr>
          <w:rFonts w:cs="Times New Roman"/>
          <w:szCs w:val="24"/>
        </w:rPr>
        <w:t xml:space="preserve">aziem-vidējiem uzņēmumiem un civilajam sektoram, lai atbalstītu iesaistītās puses, veicinātu kiberdrošības noturību, pārņemtu labo praksi, drošas konstrukcijas principus un digitālo produktu un pakalpojumu drošības pārbaudāmību. </w:t>
      </w:r>
    </w:p>
    <w:p w14:paraId="616969B3" w14:textId="77777777" w:rsidR="0095025C" w:rsidRDefault="0095025C" w:rsidP="0095025C">
      <w:pPr>
        <w:tabs>
          <w:tab w:val="left" w:pos="0"/>
        </w:tabs>
        <w:ind w:firstLine="0"/>
        <w:mirrorIndents/>
        <w:jc w:val="both"/>
        <w:rPr>
          <w:rFonts w:cs="Times New Roman"/>
          <w:szCs w:val="24"/>
        </w:rPr>
      </w:pPr>
    </w:p>
    <w:p w14:paraId="2408DFF4" w14:textId="77777777" w:rsidR="0095025C" w:rsidRPr="004073D8" w:rsidRDefault="0095025C" w:rsidP="0095025C">
      <w:pPr>
        <w:tabs>
          <w:tab w:val="left" w:pos="0"/>
        </w:tabs>
        <w:spacing w:after="200"/>
        <w:ind w:firstLine="0"/>
        <w:mirrorIndents/>
        <w:jc w:val="center"/>
        <w:rPr>
          <w:rFonts w:cs="Times New Roman"/>
          <w:b/>
          <w:szCs w:val="24"/>
        </w:rPr>
      </w:pPr>
      <w:r w:rsidRPr="004073D8">
        <w:rPr>
          <w:rFonts w:cs="Times New Roman"/>
          <w:b/>
          <w:szCs w:val="24"/>
        </w:rPr>
        <w:t>2.2. Centra</w:t>
      </w:r>
      <w:r>
        <w:rPr>
          <w:rFonts w:cs="Times New Roman"/>
          <w:b/>
          <w:szCs w:val="24"/>
        </w:rPr>
        <w:t xml:space="preserve"> uzdevumi un</w:t>
      </w:r>
      <w:r w:rsidRPr="004073D8">
        <w:rPr>
          <w:rFonts w:cs="Times New Roman"/>
          <w:b/>
          <w:szCs w:val="24"/>
        </w:rPr>
        <w:t xml:space="preserve"> </w:t>
      </w:r>
      <w:r>
        <w:rPr>
          <w:rFonts w:cs="Times New Roman"/>
          <w:b/>
          <w:szCs w:val="24"/>
        </w:rPr>
        <w:t>pārvaldība</w:t>
      </w:r>
    </w:p>
    <w:p w14:paraId="6475F8C4" w14:textId="77777777" w:rsidR="00C148D7" w:rsidRDefault="0095025C" w:rsidP="0095025C">
      <w:pPr>
        <w:tabs>
          <w:tab w:val="left" w:pos="0"/>
        </w:tabs>
        <w:spacing w:after="120"/>
        <w:jc w:val="both"/>
        <w:rPr>
          <w:rFonts w:cs="Times New Roman"/>
        </w:rPr>
      </w:pPr>
      <w:r>
        <w:rPr>
          <w:rFonts w:cs="Times New Roman"/>
        </w:rPr>
        <w:t xml:space="preserve">Regula </w:t>
      </w:r>
      <w:r w:rsidRPr="00631FE8">
        <w:rPr>
          <w:rFonts w:cs="Times New Roman"/>
        </w:rPr>
        <w:t>paredz, ka Centrs kopā ar Tīklu palīdzēs ES apvienot un sasaistīt zināšanas</w:t>
      </w:r>
      <w:r>
        <w:rPr>
          <w:rFonts w:cs="Times New Roman"/>
        </w:rPr>
        <w:t xml:space="preserve"> un investīcijas</w:t>
      </w:r>
      <w:r w:rsidRPr="00631FE8">
        <w:rPr>
          <w:rFonts w:cs="Times New Roman"/>
        </w:rPr>
        <w:t xml:space="preserve"> kiberdrošības pētniecības, tehnoloģiju un rūpniecības attīstības jomā,</w:t>
      </w:r>
      <w:r>
        <w:rPr>
          <w:rFonts w:cs="Times New Roman"/>
        </w:rPr>
        <w:t xml:space="preserve"> kā arī</w:t>
      </w:r>
      <w:r w:rsidRPr="00631FE8">
        <w:rPr>
          <w:rFonts w:cs="Times New Roman"/>
        </w:rPr>
        <w:t xml:space="preserve"> veicinās jaunāko kiberdrošības risinājumu ieviešanu. Lai sekmētu Eiropas kiberdrošības tehnoloģisko un industriālo ekosistēmu, šim mērķim izveidotajam sadarbības modelim jāfunkcionē šādi: Centrs, kā vadošā iestāde, sekmēs un koordinēs Tīkla darbību, kā arī sniegs atbalstu Kopienai, tādējādi, caur visu iesaistīto pušu sadarbību, veicinot kiberdrošības tehnoloģiju attīstību un atvieglojot iespējas izmantot šādi iegūtu lietpratību.</w:t>
      </w:r>
      <w:r>
        <w:rPr>
          <w:rFonts w:cs="Times New Roman"/>
        </w:rPr>
        <w:t xml:space="preserve"> </w:t>
      </w:r>
    </w:p>
    <w:p w14:paraId="03846B03" w14:textId="6F45A170" w:rsidR="0095025C" w:rsidRDefault="0095025C" w:rsidP="0095025C">
      <w:pPr>
        <w:tabs>
          <w:tab w:val="left" w:pos="0"/>
        </w:tabs>
        <w:spacing w:after="120"/>
        <w:jc w:val="both"/>
        <w:rPr>
          <w:rFonts w:cs="Times New Roman"/>
        </w:rPr>
      </w:pPr>
      <w:r>
        <w:rPr>
          <w:rFonts w:cs="Times New Roman"/>
        </w:rPr>
        <w:t xml:space="preserve">Kopienu </w:t>
      </w:r>
      <w:r w:rsidR="00C148D7">
        <w:t>veidos industrija, tostarp mazie un vidējie uzņēmumi, izglītības un pētniecības iestādes, sabiedriskās organizācijas, Eiropas standartizācijas organizācijas, valsts pārvaldes iestādes un kapitālsabiedrības, un citas publiskā un privāta sektora vienības, kas nodarbojas ar kiberdrošības operatīviem un tehniskiem jautājumiem.</w:t>
      </w:r>
      <w:r w:rsidR="00C148D7" w:rsidRPr="00834385">
        <w:t xml:space="preserve"> Kopien</w:t>
      </w:r>
      <w:r w:rsidR="00C148D7">
        <w:t xml:space="preserve">as dalībniekiem jāspēj </w:t>
      </w:r>
      <w:r w:rsidR="00C148D7" w:rsidRPr="00834385">
        <w:t xml:space="preserve">sniegt ieguldījumu Centra un </w:t>
      </w:r>
      <w:r w:rsidR="00C148D7">
        <w:t>NKC t</w:t>
      </w:r>
      <w:r w:rsidR="00C148D7" w:rsidRPr="00834385">
        <w:t>īkla uzdevum</w:t>
      </w:r>
      <w:r w:rsidR="00C148D7">
        <w:t>u</w:t>
      </w:r>
      <w:r w:rsidR="00C148D7" w:rsidRPr="00834385">
        <w:t xml:space="preserve"> izpildē, </w:t>
      </w:r>
      <w:r w:rsidR="00C148D7">
        <w:t xml:space="preserve">kā arī jābūt </w:t>
      </w:r>
      <w:r w:rsidR="00C148D7" w:rsidRPr="00834385">
        <w:t>lietpratība</w:t>
      </w:r>
      <w:r w:rsidR="00C148D7">
        <w:t>i</w:t>
      </w:r>
      <w:r w:rsidR="00C148D7" w:rsidRPr="00834385">
        <w:t xml:space="preserve"> kiberdrošībā vismaz vienā no šādām jomām:</w:t>
      </w:r>
    </w:p>
    <w:p w14:paraId="0A09FDA0" w14:textId="38AC686B" w:rsidR="0095025C" w:rsidRDefault="0095025C" w:rsidP="0095025C">
      <w:pPr>
        <w:pStyle w:val="ListParagraph"/>
        <w:numPr>
          <w:ilvl w:val="0"/>
          <w:numId w:val="42"/>
        </w:numPr>
        <w:tabs>
          <w:tab w:val="left" w:pos="0"/>
        </w:tabs>
        <w:jc w:val="both"/>
        <w:rPr>
          <w:rFonts w:cs="Times New Roman"/>
        </w:rPr>
      </w:pPr>
      <w:r>
        <w:rPr>
          <w:rFonts w:cs="Times New Roman"/>
        </w:rPr>
        <w:t>akadēmiski</w:t>
      </w:r>
      <w:r w:rsidR="00C148D7">
        <w:rPr>
          <w:rFonts w:cs="Times New Roman"/>
        </w:rPr>
        <w:t>e</w:t>
      </w:r>
      <w:r>
        <w:rPr>
          <w:rFonts w:cs="Times New Roman"/>
        </w:rPr>
        <w:t xml:space="preserve"> jautājumi, pētniecība vai inovācija;</w:t>
      </w:r>
    </w:p>
    <w:p w14:paraId="3C53AB0F" w14:textId="77777777" w:rsidR="0095025C" w:rsidRDefault="0095025C" w:rsidP="0095025C">
      <w:pPr>
        <w:pStyle w:val="ListParagraph"/>
        <w:numPr>
          <w:ilvl w:val="0"/>
          <w:numId w:val="42"/>
        </w:numPr>
        <w:tabs>
          <w:tab w:val="left" w:pos="0"/>
        </w:tabs>
        <w:jc w:val="both"/>
        <w:rPr>
          <w:rFonts w:cs="Times New Roman"/>
        </w:rPr>
      </w:pPr>
      <w:r>
        <w:rPr>
          <w:rFonts w:cs="Times New Roman"/>
        </w:rPr>
        <w:t>industriālā vai produktu izstrāde;</w:t>
      </w:r>
    </w:p>
    <w:p w14:paraId="70D6204F" w14:textId="77777777" w:rsidR="0095025C" w:rsidRDefault="0095025C" w:rsidP="0095025C">
      <w:pPr>
        <w:pStyle w:val="ListParagraph"/>
        <w:numPr>
          <w:ilvl w:val="0"/>
          <w:numId w:val="42"/>
        </w:numPr>
        <w:tabs>
          <w:tab w:val="left" w:pos="0"/>
        </w:tabs>
        <w:jc w:val="both"/>
        <w:rPr>
          <w:rFonts w:cs="Times New Roman"/>
        </w:rPr>
      </w:pPr>
      <w:r>
        <w:rPr>
          <w:rFonts w:cs="Times New Roman"/>
        </w:rPr>
        <w:t>apmācība un izglītība;</w:t>
      </w:r>
    </w:p>
    <w:p w14:paraId="61A269F0" w14:textId="77777777" w:rsidR="0095025C" w:rsidRDefault="0095025C" w:rsidP="0095025C">
      <w:pPr>
        <w:pStyle w:val="ListParagraph"/>
        <w:numPr>
          <w:ilvl w:val="0"/>
          <w:numId w:val="42"/>
        </w:numPr>
        <w:tabs>
          <w:tab w:val="left" w:pos="0"/>
        </w:tabs>
        <w:jc w:val="both"/>
        <w:rPr>
          <w:rFonts w:cs="Times New Roman"/>
        </w:rPr>
      </w:pPr>
      <w:r>
        <w:rPr>
          <w:rFonts w:cs="Times New Roman"/>
        </w:rPr>
        <w:t>informācijas drošības vai incidentu reaģēšanas operācijas;</w:t>
      </w:r>
    </w:p>
    <w:p w14:paraId="2EC7041D" w14:textId="77777777" w:rsidR="0095025C" w:rsidRDefault="0095025C" w:rsidP="0095025C">
      <w:pPr>
        <w:pStyle w:val="ListParagraph"/>
        <w:numPr>
          <w:ilvl w:val="0"/>
          <w:numId w:val="42"/>
        </w:numPr>
        <w:tabs>
          <w:tab w:val="left" w:pos="0"/>
        </w:tabs>
        <w:jc w:val="both"/>
        <w:rPr>
          <w:rFonts w:cs="Times New Roman"/>
        </w:rPr>
      </w:pPr>
      <w:r>
        <w:rPr>
          <w:rFonts w:cs="Times New Roman"/>
        </w:rPr>
        <w:t>ētika;</w:t>
      </w:r>
    </w:p>
    <w:p w14:paraId="23F5A3E7" w14:textId="77777777" w:rsidR="0095025C" w:rsidRPr="00B84019" w:rsidRDefault="0095025C" w:rsidP="0095025C">
      <w:pPr>
        <w:pStyle w:val="ListParagraph"/>
        <w:numPr>
          <w:ilvl w:val="0"/>
          <w:numId w:val="42"/>
        </w:numPr>
        <w:tabs>
          <w:tab w:val="left" w:pos="0"/>
        </w:tabs>
        <w:spacing w:after="120"/>
        <w:jc w:val="both"/>
        <w:rPr>
          <w:rFonts w:cs="Times New Roman"/>
        </w:rPr>
      </w:pPr>
      <w:r>
        <w:rPr>
          <w:rFonts w:cs="Times New Roman"/>
        </w:rPr>
        <w:t>oficiāla un tehniska standartizācija un specifikācijas.</w:t>
      </w:r>
    </w:p>
    <w:p w14:paraId="6C6C2BFC" w14:textId="791CCA88" w:rsidR="00C148D7" w:rsidRDefault="00C148D7" w:rsidP="0095025C">
      <w:pPr>
        <w:tabs>
          <w:tab w:val="left" w:pos="0"/>
        </w:tabs>
        <w:spacing w:after="120"/>
        <w:jc w:val="both"/>
        <w:rPr>
          <w:rFonts w:cs="Times New Roman"/>
        </w:rPr>
      </w:pPr>
      <w:r>
        <w:rPr>
          <w:rFonts w:cs="Times New Roman"/>
        </w:rPr>
        <w:t xml:space="preserve">Jāatzīmē, ka, lai vienība kļūtu par Kopienas dalībnieci, NKC būs jāpārbauda tās atbilstība regulā noteiktajām prasībām, tostarp jāizvērtē minētās lietpratības esamība. Kad Kopiena tiks izveidota, Centrs ar NKC starpniecību nodrošinās Kopienas īstenoto projektu koordināciju, sniedzot informatīvo atbalstu par Kopienas dalībnieku projektu īstenošanai pieejamajiem ES finanšu </w:t>
      </w:r>
      <w:r>
        <w:rPr>
          <w:rFonts w:cs="Times New Roman"/>
        </w:rPr>
        <w:lastRenderedPageBreak/>
        <w:t>instrumentu līdzekļiem un projektu iesniegšanas kārtību, kā arī nodrošinās šo projektu ieviešanas uzraudzību.</w:t>
      </w:r>
    </w:p>
    <w:p w14:paraId="219DA6D1" w14:textId="3DEA9BEA" w:rsidR="0095025C" w:rsidRPr="00631FE8" w:rsidRDefault="0095025C" w:rsidP="0095025C">
      <w:pPr>
        <w:tabs>
          <w:tab w:val="left" w:pos="0"/>
        </w:tabs>
        <w:spacing w:after="120"/>
        <w:jc w:val="both"/>
        <w:rPr>
          <w:rFonts w:cs="Times New Roman"/>
        </w:rPr>
      </w:pPr>
      <w:r>
        <w:rPr>
          <w:rFonts w:cs="Times New Roman"/>
        </w:rPr>
        <w:t>Papildus Centrs pārvaldīs ar kiberdrošību saistīto ES finansējumu un veicinās ES, dalībvalstu un industrijas kopīgās investīcijas, lai stiprinātu ES kiberdrošību. Savukārt</w:t>
      </w:r>
      <w:r w:rsidRPr="00631FE8">
        <w:rPr>
          <w:rFonts w:cs="Times New Roman"/>
        </w:rPr>
        <w:t xml:space="preserve"> Tīklā esošie NKC nacionālajā līmenī kalpos kā kontaktpunkti un īstenos Centra uzdevumus, bet Kopiena kalpos kā mehānisms </w:t>
      </w:r>
      <w:r>
        <w:rPr>
          <w:rFonts w:cs="Times New Roman"/>
        </w:rPr>
        <w:t xml:space="preserve">industrijas līdzdalībai regulas </w:t>
      </w:r>
      <w:r w:rsidRPr="00631FE8">
        <w:rPr>
          <w:rFonts w:cs="Times New Roman"/>
        </w:rPr>
        <w:t>ietvaros.</w:t>
      </w:r>
      <w:r>
        <w:rPr>
          <w:rFonts w:cs="Times New Roman"/>
        </w:rPr>
        <w:t xml:space="preserve"> Tādējādi ar Centra un Tīkla palīdzību tiks veicināti pētniecības un inovāciju projekti (ar pamatprogrammas “Apvārsnis Eiropa” atbalstu), kā arī kapacitātes veidošanas projekti (ar Digitālās Eiropas programmas atbalstu). Savukārt sadarbībā ar dalībvalstīm tiks atbalstīta moderna kiberdrošības ekipējuma, rīku un infrastruktūras veidošana un iepirkšana, lai veicinātu plašu jaunāko kiberdrošības tehnoloģiju izmantošanu ES tautsaimniecībā, tai skaitā atbalstot starpvalstu iepirkumus un projektus. </w:t>
      </w:r>
    </w:p>
    <w:p w14:paraId="381567DC" w14:textId="77777777" w:rsidR="0095025C" w:rsidRPr="00631FE8" w:rsidRDefault="0095025C" w:rsidP="0095025C">
      <w:pPr>
        <w:spacing w:after="120"/>
        <w:ind w:firstLine="567"/>
        <w:jc w:val="both"/>
        <w:rPr>
          <w:rFonts w:cs="Times New Roman"/>
        </w:rPr>
      </w:pPr>
      <w:r w:rsidRPr="00631FE8">
        <w:rPr>
          <w:rFonts w:cs="Times New Roman"/>
        </w:rPr>
        <w:t xml:space="preserve">Centra administratīvo vadību nodrošinās izpilddirektors. Savukārt Centru pārvaldīs valde.  Valdei ir vispārēja atbildība par Centra stratēģisko virzību un operācijām, kā arī </w:t>
      </w:r>
      <w:r>
        <w:rPr>
          <w:rFonts w:cs="Times New Roman"/>
        </w:rPr>
        <w:t xml:space="preserve">tā </w:t>
      </w:r>
      <w:r w:rsidRPr="00631FE8">
        <w:rPr>
          <w:rFonts w:cs="Times New Roman"/>
        </w:rPr>
        <w:t>uzrauga Centra darbību un ir atbildīga par visiem uzdevumiem, kas nav specifiski noteikti izpilddirektoram, apstiprina procedūras u.c. Tās sastāvā ir dalībvalst</w:t>
      </w:r>
      <w:r>
        <w:rPr>
          <w:rFonts w:cs="Times New Roman"/>
        </w:rPr>
        <w:t>u deleģētie pārstāvji (viens pa</w:t>
      </w:r>
      <w:r w:rsidRPr="00631FE8">
        <w:rPr>
          <w:rFonts w:cs="Times New Roman"/>
        </w:rPr>
        <w:t xml:space="preserve">stāvīgais pārstāvis un aizstājējs gadījumiem, ja patstāvīgais </w:t>
      </w:r>
      <w:r>
        <w:rPr>
          <w:rFonts w:cs="Times New Roman"/>
        </w:rPr>
        <w:t>pārstāvis</w:t>
      </w:r>
      <w:r w:rsidRPr="00631FE8">
        <w:rPr>
          <w:rFonts w:cs="Times New Roman"/>
        </w:rPr>
        <w:t xml:space="preserve"> ne</w:t>
      </w:r>
      <w:r>
        <w:rPr>
          <w:rFonts w:cs="Times New Roman"/>
        </w:rPr>
        <w:t>var piedalīties sēdēs) un divi Eiropas Komisijas pārstāvji</w:t>
      </w:r>
      <w:r w:rsidRPr="00631FE8">
        <w:rPr>
          <w:rFonts w:cs="Times New Roman"/>
        </w:rPr>
        <w:t xml:space="preserve">. </w:t>
      </w:r>
      <w:r>
        <w:rPr>
          <w:szCs w:val="24"/>
        </w:rPr>
        <w:t>Ministru kabineta 2021</w:t>
      </w:r>
      <w:r w:rsidRPr="00A15C41">
        <w:rPr>
          <w:szCs w:val="24"/>
        </w:rPr>
        <w:t>.</w:t>
      </w:r>
      <w:r>
        <w:rPr>
          <w:szCs w:val="24"/>
        </w:rPr>
        <w:t> gada 24</w:t>
      </w:r>
      <w:r w:rsidRPr="00A15C41">
        <w:rPr>
          <w:szCs w:val="24"/>
        </w:rPr>
        <w:t>.</w:t>
      </w:r>
      <w:r>
        <w:rPr>
          <w:szCs w:val="24"/>
        </w:rPr>
        <w:t> marta</w:t>
      </w:r>
      <w:r w:rsidRPr="00A15C41">
        <w:rPr>
          <w:szCs w:val="24"/>
        </w:rPr>
        <w:t xml:space="preserve"> sēdē </w:t>
      </w:r>
      <w:r>
        <w:rPr>
          <w:szCs w:val="24"/>
        </w:rPr>
        <w:t xml:space="preserve">(protokols Nr. 29 </w:t>
      </w:r>
      <w:bookmarkStart w:id="1" w:name="32"/>
      <w:r>
        <w:t>32.§</w:t>
      </w:r>
      <w:bookmarkEnd w:id="1"/>
      <w:r>
        <w:t xml:space="preserve">) </w:t>
      </w:r>
      <w:r w:rsidRPr="00A15C41">
        <w:rPr>
          <w:szCs w:val="24"/>
        </w:rPr>
        <w:t xml:space="preserve">tika izskatīts </w:t>
      </w:r>
      <w:r>
        <w:rPr>
          <w:szCs w:val="24"/>
        </w:rPr>
        <w:t>AM</w:t>
      </w:r>
      <w:r w:rsidRPr="00A15C41">
        <w:rPr>
          <w:szCs w:val="24"/>
        </w:rPr>
        <w:t xml:space="preserve"> sagatavotais informatīvais ziņojums </w:t>
      </w:r>
      <w:r w:rsidRPr="00B926AB">
        <w:rPr>
          <w:szCs w:val="24"/>
        </w:rPr>
        <w:t>“Par nacionālo pārstāvju noteikšanu Eiropas kiberdrošības industriālā, tehnoloģiskā un zinātniskā kompetenču centra valdē”</w:t>
      </w:r>
      <w:r>
        <w:rPr>
          <w:rStyle w:val="FootnoteReference"/>
          <w:szCs w:val="24"/>
        </w:rPr>
        <w:footnoteReference w:id="7"/>
      </w:r>
      <w:r>
        <w:rPr>
          <w:szCs w:val="24"/>
        </w:rPr>
        <w:t xml:space="preserve">. </w:t>
      </w:r>
      <w:r w:rsidRPr="00111E77">
        <w:rPr>
          <w:szCs w:val="24"/>
        </w:rPr>
        <w:t>Informatīvajā ziņojumā tika noteikts, ka AM deleģē pārstāvi dalībai Centra</w:t>
      </w:r>
      <w:r w:rsidRPr="00111E77">
        <w:t xml:space="preserve"> </w:t>
      </w:r>
      <w:r w:rsidRPr="00111E77">
        <w:rPr>
          <w:szCs w:val="24"/>
        </w:rPr>
        <w:t>valdē un koordinē Centra valdes jautājumus starp kompetentajām iestādēm, savukārt Vides aizsardzības un reģionālās attīstības ministrija deleģē pārstāvja aizvietotāju Centra valdē.</w:t>
      </w:r>
      <w:r>
        <w:rPr>
          <w:szCs w:val="24"/>
        </w:rPr>
        <w:t xml:space="preserve"> Papildus, Vides aizsardzības un reģionālas attīstības ministrija un</w:t>
      </w:r>
      <w:r w:rsidRPr="00B926AB">
        <w:rPr>
          <w:szCs w:val="24"/>
        </w:rPr>
        <w:t xml:space="preserve"> Izglītības un zinātnes ministrija sniedz atbalstu </w:t>
      </w:r>
      <w:r>
        <w:rPr>
          <w:szCs w:val="24"/>
        </w:rPr>
        <w:t>AM</w:t>
      </w:r>
      <w:r w:rsidRPr="00B926AB">
        <w:rPr>
          <w:szCs w:val="24"/>
        </w:rPr>
        <w:t xml:space="preserve"> savas kompetences jautājumos</w:t>
      </w:r>
      <w:r w:rsidRPr="00A15C41">
        <w:rPr>
          <w:szCs w:val="24"/>
        </w:rPr>
        <w:t>.</w:t>
      </w:r>
      <w:r>
        <w:rPr>
          <w:szCs w:val="24"/>
        </w:rPr>
        <w:t xml:space="preserve"> </w:t>
      </w:r>
      <w:r w:rsidRPr="00631FE8">
        <w:rPr>
          <w:rFonts w:cs="Times New Roman"/>
        </w:rPr>
        <w:t>Valdes locekļu un viņu aizstājēju pilnvaru termiņš ir četri gadi, termiņu var pagarināt.</w:t>
      </w:r>
    </w:p>
    <w:p w14:paraId="283E24C9" w14:textId="626427CB" w:rsidR="0095025C" w:rsidRPr="00631FE8" w:rsidRDefault="0095025C" w:rsidP="0095025C">
      <w:pPr>
        <w:jc w:val="both"/>
        <w:rPr>
          <w:rFonts w:cs="Times New Roman"/>
        </w:rPr>
      </w:pPr>
      <w:r w:rsidRPr="00631FE8">
        <w:rPr>
          <w:rFonts w:cs="Times New Roman"/>
        </w:rPr>
        <w:t>Centra pamatfinansējums nāks no ES budžeta, tai skaitā administratīvām un operacionālām izmaksām. Vienlaikus dalībvalstis var iesaistīties kopējās darbībās ar brīvprātīg</w:t>
      </w:r>
      <w:r w:rsidR="0082209A">
        <w:rPr>
          <w:rFonts w:cs="Times New Roman"/>
        </w:rPr>
        <w:t>iem ieguldījumiem</w:t>
      </w:r>
      <w:r w:rsidRPr="00631FE8">
        <w:rPr>
          <w:rFonts w:cs="Times New Roman"/>
        </w:rPr>
        <w:t>, t.sk. finansiālām un/vai nefinansiālām. Nefinansiāl</w:t>
      </w:r>
      <w:r w:rsidR="0082209A">
        <w:rPr>
          <w:rFonts w:cs="Times New Roman"/>
        </w:rPr>
        <w:t>ie</w:t>
      </w:r>
      <w:r w:rsidRPr="00631FE8">
        <w:rPr>
          <w:rFonts w:cs="Times New Roman"/>
        </w:rPr>
        <w:t xml:space="preserve"> </w:t>
      </w:r>
      <w:r w:rsidR="0082209A">
        <w:rPr>
          <w:rFonts w:cs="Times New Roman"/>
        </w:rPr>
        <w:t>ieguldījumi</w:t>
      </w:r>
      <w:r w:rsidRPr="00631FE8">
        <w:rPr>
          <w:rFonts w:cs="Times New Roman"/>
        </w:rPr>
        <w:t xml:space="preserve"> (</w:t>
      </w:r>
      <w:r w:rsidRPr="00631FE8">
        <w:rPr>
          <w:rFonts w:cs="Times New Roman"/>
          <w:i/>
        </w:rPr>
        <w:t>in-kind</w:t>
      </w:r>
      <w:r w:rsidRPr="00631FE8">
        <w:rPr>
          <w:rFonts w:cs="Times New Roman"/>
        </w:rPr>
        <w:t>) ir izmaksas, kas rodas NKC vai citām publiskā sektora iestādēm, piedaloties regulas</w:t>
      </w:r>
      <w:r>
        <w:rPr>
          <w:rFonts w:cs="Times New Roman"/>
        </w:rPr>
        <w:t xml:space="preserve"> </w:t>
      </w:r>
      <w:r w:rsidRPr="00631FE8">
        <w:rPr>
          <w:rFonts w:cs="Times New Roman"/>
        </w:rPr>
        <w:t>projektos un īstenojot tos (iestāde pati gūst labumu no saņemtā finansējuma),</w:t>
      </w:r>
      <w:r>
        <w:rPr>
          <w:rFonts w:cs="Times New Roman"/>
        </w:rPr>
        <w:t xml:space="preserve"> </w:t>
      </w:r>
      <w:r w:rsidRPr="00631FE8">
        <w:rPr>
          <w:rFonts w:cs="Times New Roman"/>
        </w:rPr>
        <w:t>un</w:t>
      </w:r>
      <w:r>
        <w:rPr>
          <w:rFonts w:cs="Times New Roman"/>
        </w:rPr>
        <w:t xml:space="preserve"> tie</w:t>
      </w:r>
      <w:r w:rsidRPr="00631FE8">
        <w:rPr>
          <w:rFonts w:cs="Times New Roman"/>
        </w:rPr>
        <w:t xml:space="preserve"> nav daļa no ES vai valstu finansiālaj</w:t>
      </w:r>
      <w:r w:rsidR="0082209A">
        <w:rPr>
          <w:rFonts w:cs="Times New Roman"/>
        </w:rPr>
        <w:t>iem</w:t>
      </w:r>
      <w:r w:rsidRPr="00631FE8">
        <w:rPr>
          <w:rFonts w:cs="Times New Roman"/>
        </w:rPr>
        <w:t xml:space="preserve"> </w:t>
      </w:r>
      <w:r w:rsidR="0082209A">
        <w:rPr>
          <w:rFonts w:cs="Times New Roman"/>
        </w:rPr>
        <w:t>ieguldījumiem</w:t>
      </w:r>
      <w:r w:rsidRPr="00631FE8">
        <w:rPr>
          <w:rFonts w:cs="Times New Roman"/>
        </w:rPr>
        <w:t xml:space="preserve">. Piemēram, ja ES finansē kādu NKC aktivitāti 50% apmērā, pārējās </w:t>
      </w:r>
      <w:r w:rsidR="0082209A">
        <w:rPr>
          <w:rFonts w:cs="Times New Roman"/>
        </w:rPr>
        <w:t>izmaksas tiktu uzskatītas par šiem</w:t>
      </w:r>
      <w:r w:rsidRPr="00631FE8">
        <w:rPr>
          <w:rFonts w:cs="Times New Roman"/>
        </w:rPr>
        <w:t xml:space="preserve"> </w:t>
      </w:r>
      <w:r w:rsidRPr="00631FE8">
        <w:rPr>
          <w:rFonts w:cs="Times New Roman"/>
          <w:i/>
        </w:rPr>
        <w:t xml:space="preserve">in-kind </w:t>
      </w:r>
      <w:r w:rsidR="0082209A">
        <w:rPr>
          <w:rFonts w:cs="Times New Roman"/>
        </w:rPr>
        <w:t>ieguldījumiem</w:t>
      </w:r>
      <w:r w:rsidRPr="00631FE8">
        <w:rPr>
          <w:rFonts w:cs="Times New Roman"/>
        </w:rPr>
        <w:t>. Dalībvalstis līdz 31.</w:t>
      </w:r>
      <w:r>
        <w:rPr>
          <w:rFonts w:eastAsiaTheme="minorHAnsi"/>
          <w:lang w:eastAsia="en-US"/>
        </w:rPr>
        <w:t> </w:t>
      </w:r>
      <w:r w:rsidRPr="00631FE8">
        <w:rPr>
          <w:rFonts w:cs="Times New Roman"/>
        </w:rPr>
        <w:t xml:space="preserve"> janvārim katru gadu ziņos valdei par </w:t>
      </w:r>
      <w:r w:rsidR="0082209A">
        <w:rPr>
          <w:rFonts w:cs="Times New Roman"/>
        </w:rPr>
        <w:t xml:space="preserve">ieguldījumu </w:t>
      </w:r>
      <w:r w:rsidRPr="00631FE8">
        <w:rPr>
          <w:rFonts w:cs="Times New Roman"/>
        </w:rPr>
        <w:t>apmēru kopējām darbībām iepriekšējā finanšu gadā.</w:t>
      </w:r>
    </w:p>
    <w:p w14:paraId="7315FFE5" w14:textId="77777777" w:rsidR="0095025C" w:rsidRPr="00631FE8" w:rsidRDefault="0095025C" w:rsidP="0095025C">
      <w:pPr>
        <w:contextualSpacing/>
        <w:mirrorIndents/>
        <w:jc w:val="both"/>
        <w:rPr>
          <w:rFonts w:cs="Times New Roman"/>
          <w:szCs w:val="24"/>
        </w:rPr>
      </w:pPr>
    </w:p>
    <w:p w14:paraId="0E0B21B7" w14:textId="77777777" w:rsidR="00111E77" w:rsidRDefault="00111E77">
      <w:pPr>
        <w:spacing w:after="160" w:line="259" w:lineRule="auto"/>
        <w:ind w:firstLine="0"/>
        <w:rPr>
          <w:rFonts w:eastAsiaTheme="minorHAnsi" w:cs="Times New Roman"/>
          <w:b/>
          <w:szCs w:val="24"/>
          <w:lang w:eastAsia="en-US"/>
        </w:rPr>
      </w:pPr>
      <w:r>
        <w:rPr>
          <w:rFonts w:eastAsiaTheme="minorHAnsi" w:cs="Times New Roman"/>
          <w:b/>
          <w:szCs w:val="24"/>
          <w:lang w:eastAsia="en-US"/>
        </w:rPr>
        <w:br w:type="page"/>
      </w:r>
    </w:p>
    <w:p w14:paraId="2E06DBF8" w14:textId="76F41D0B" w:rsidR="0095025C" w:rsidRPr="00B84019" w:rsidRDefault="0095025C" w:rsidP="0095025C">
      <w:pPr>
        <w:pStyle w:val="ListParagraph"/>
        <w:numPr>
          <w:ilvl w:val="0"/>
          <w:numId w:val="22"/>
        </w:numPr>
        <w:spacing w:after="200"/>
        <w:ind w:left="357" w:hanging="357"/>
        <w:mirrorIndents/>
        <w:jc w:val="center"/>
        <w:rPr>
          <w:rFonts w:eastAsiaTheme="minorHAnsi" w:cs="Times New Roman"/>
          <w:b/>
          <w:szCs w:val="24"/>
          <w:lang w:eastAsia="en-US"/>
        </w:rPr>
      </w:pPr>
      <w:r w:rsidRPr="00631FE8">
        <w:rPr>
          <w:rFonts w:eastAsiaTheme="minorHAnsi" w:cs="Times New Roman"/>
          <w:b/>
          <w:szCs w:val="24"/>
          <w:lang w:eastAsia="en-US"/>
        </w:rPr>
        <w:lastRenderedPageBreak/>
        <w:t>NKC un Tīkla loma un uzdevumi</w:t>
      </w:r>
    </w:p>
    <w:p w14:paraId="58318299" w14:textId="77777777" w:rsidR="0095025C" w:rsidRDefault="0095025C" w:rsidP="0095025C">
      <w:pPr>
        <w:spacing w:after="120"/>
        <w:jc w:val="both"/>
        <w:rPr>
          <w:rFonts w:eastAsia="Times New Roman"/>
        </w:rPr>
      </w:pPr>
      <w:r>
        <w:rPr>
          <w:rFonts w:eastAsia="Times New Roman"/>
        </w:rPr>
        <w:t xml:space="preserve">Saskaņā ar regulu Centra un Tīkla izveide ir optimāls modelis regulas mērķu sasniegšanai un īstenošanai. NKC galvenais uzdevums ir kalpot kā valsts kontakta, koordinācijas un atbalsta punktam gan sadarbībā ar Centru, gan pārējo Tīklu. Papildus, NKC ir uzdevums Latvijā izveidot Kopienu, lai stiprinātu vietējo kiberdrošības industriju un nozaru, kā arī publiskā un privātā sektora, sadarbību. Turklāt </w:t>
      </w:r>
      <w:r w:rsidRPr="00D60A7A">
        <w:rPr>
          <w:rFonts w:eastAsia="Times New Roman"/>
          <w:b/>
        </w:rPr>
        <w:t>NKC, caur sadarbību ar Tīklu, sniegs atbalstu Latvijas kiberdrošības industrijas un pētnieku piekļuvei prasmēm, infrastruktūrai un kompetencēm, kas pieejamas citās ES dalībvalstīs, tādējādi pilnvērtīgi izmantojot ES potenciālu un rodot attīstības iespējas, kuras nebūtu iespējams īstenot nacionāli</w:t>
      </w:r>
      <w:r>
        <w:rPr>
          <w:rFonts w:eastAsia="Times New Roman"/>
        </w:rPr>
        <w:t xml:space="preserve">. Tādējādi ar NKC palīdzību, tiks atbalstīti Latvijas uzņēmumi un pētniecības iestādes, kas nodarbojas ar kiberdrošību, kā arī tiks radīta vide, kas motivē jaunu uzņēmumu un projektu radīšanu. Turklāt, </w:t>
      </w:r>
      <w:r w:rsidRPr="00421BDF">
        <w:rPr>
          <w:rFonts w:eastAsia="Times New Roman"/>
          <w:b/>
        </w:rPr>
        <w:t>NKC ir tiesības saņemt tiešo ES finansējumu</w:t>
      </w:r>
      <w:r>
        <w:rPr>
          <w:rFonts w:eastAsia="Times New Roman"/>
        </w:rPr>
        <w:t>, tai skaitā grantus bez piedalīšanās uzsaukumos, savām, ar regulu saistītajām, darbībām.</w:t>
      </w:r>
    </w:p>
    <w:p w14:paraId="7E6C08B0" w14:textId="28147AD3" w:rsidR="0095025C" w:rsidRPr="00631FE8" w:rsidRDefault="0095025C" w:rsidP="0095025C">
      <w:pPr>
        <w:spacing w:after="120"/>
        <w:jc w:val="both"/>
        <w:rPr>
          <w:rFonts w:eastAsia="Times New Roman"/>
        </w:rPr>
      </w:pPr>
      <w:r>
        <w:rPr>
          <w:rFonts w:eastAsia="Times New Roman"/>
        </w:rPr>
        <w:t>Regulas apsvērumu 26.</w:t>
      </w:r>
      <w:r>
        <w:rPr>
          <w:rFonts w:eastAsiaTheme="minorHAnsi"/>
          <w:lang w:eastAsia="en-US"/>
        </w:rPr>
        <w:t> </w:t>
      </w:r>
      <w:r>
        <w:rPr>
          <w:rFonts w:eastAsia="Times New Roman"/>
        </w:rPr>
        <w:t>punkts, kā arī 6.</w:t>
      </w:r>
      <w:r>
        <w:rPr>
          <w:rFonts w:eastAsiaTheme="minorHAnsi"/>
          <w:lang w:eastAsia="en-US"/>
        </w:rPr>
        <w:t> </w:t>
      </w:r>
      <w:r>
        <w:rPr>
          <w:rFonts w:eastAsia="Times New Roman"/>
        </w:rPr>
        <w:t xml:space="preserve">pants nosaka, ka </w:t>
      </w:r>
      <w:r w:rsidRPr="00631FE8">
        <w:rPr>
          <w:rFonts w:eastAsia="Times New Roman"/>
        </w:rPr>
        <w:t xml:space="preserve">NKC jābūt </w:t>
      </w:r>
      <w:r w:rsidRPr="00631FE8">
        <w:rPr>
          <w:rFonts w:eastAsia="Times New Roman"/>
          <w:b/>
        </w:rPr>
        <w:t>publiskā sektora iestād</w:t>
      </w:r>
      <w:r>
        <w:rPr>
          <w:rFonts w:eastAsia="Times New Roman"/>
          <w:b/>
        </w:rPr>
        <w:t>ei vai iestādei, kurai deleģēti</w:t>
      </w:r>
      <w:r w:rsidRPr="00631FE8">
        <w:rPr>
          <w:rFonts w:eastAsia="Times New Roman"/>
          <w:b/>
        </w:rPr>
        <w:t xml:space="preserve"> valsts pārvaldes </w:t>
      </w:r>
      <w:r>
        <w:rPr>
          <w:rFonts w:eastAsia="Times New Roman"/>
          <w:b/>
        </w:rPr>
        <w:t>uzdevumi</w:t>
      </w:r>
      <w:r w:rsidRPr="00631FE8">
        <w:rPr>
          <w:rFonts w:eastAsia="Times New Roman"/>
        </w:rPr>
        <w:t>, kā arī tas var būt subjekts, kas jau pilda kādas no ES tiesību aktos noteiktām funkcijām, piemēram</w:t>
      </w:r>
      <w:r>
        <w:rPr>
          <w:rFonts w:eastAsia="Times New Roman"/>
        </w:rPr>
        <w:t>,</w:t>
      </w:r>
      <w:r w:rsidRPr="00631FE8">
        <w:rPr>
          <w:rFonts w:eastAsia="Times New Roman"/>
        </w:rPr>
        <w:t xml:space="preserve"> nacionālā kompetentā iestāde NIS direktīvas izpratnē, vai Eiropas Digitālais inovāciju centrs Digitālās Eiropas programmas izpratnē. Citas konkrētajā valstī izveidotās publiskā sektora </w:t>
      </w:r>
      <w:r w:rsidRPr="00631FE8">
        <w:rPr>
          <w:rFonts w:eastAsia="Times New Roman"/>
          <w:b/>
        </w:rPr>
        <w:t>iestādes</w:t>
      </w:r>
      <w:r w:rsidRPr="00631FE8">
        <w:rPr>
          <w:rFonts w:eastAsia="Times New Roman"/>
        </w:rPr>
        <w:t xml:space="preserve">, vai iestādes, kas pilda valsts pārvaldes </w:t>
      </w:r>
      <w:r>
        <w:rPr>
          <w:rFonts w:eastAsia="Times New Roman"/>
        </w:rPr>
        <w:t>uzdevumus</w:t>
      </w:r>
      <w:r w:rsidRPr="00631FE8">
        <w:rPr>
          <w:rFonts w:eastAsia="Times New Roman"/>
        </w:rPr>
        <w:t xml:space="preserve">, </w:t>
      </w:r>
      <w:r w:rsidRPr="00631FE8">
        <w:rPr>
          <w:rFonts w:eastAsia="Times New Roman"/>
          <w:b/>
        </w:rPr>
        <w:t>var sniegt atbalstu</w:t>
      </w:r>
      <w:r w:rsidRPr="00631FE8">
        <w:rPr>
          <w:rFonts w:eastAsia="Times New Roman"/>
        </w:rPr>
        <w:t xml:space="preserve"> NKC tā funkciju īstenošanā. NKC </w:t>
      </w:r>
      <w:r w:rsidR="00111E77">
        <w:rPr>
          <w:rFonts w:eastAsia="Times New Roman"/>
          <w:b/>
        </w:rPr>
        <w:t>jā</w:t>
      </w:r>
      <w:r w:rsidRPr="00631FE8">
        <w:rPr>
          <w:rFonts w:eastAsia="Times New Roman"/>
          <w:b/>
        </w:rPr>
        <w:t>būt kompetence</w:t>
      </w:r>
      <w:r w:rsidR="00111E77">
        <w:rPr>
          <w:rFonts w:eastAsia="Times New Roman"/>
          <w:b/>
        </w:rPr>
        <w:t>i</w:t>
      </w:r>
      <w:r w:rsidRPr="00631FE8">
        <w:rPr>
          <w:rFonts w:eastAsia="Times New Roman"/>
          <w:b/>
        </w:rPr>
        <w:t xml:space="preserve"> finanšu pārvaldībā, kā arī jābūt pieejai industriālai, tehnoloģiskai un pētniecības lietpratībai kiberdrošībā</w:t>
      </w:r>
      <w:r w:rsidRPr="00631FE8">
        <w:rPr>
          <w:rFonts w:eastAsia="Times New Roman"/>
        </w:rPr>
        <w:t xml:space="preserve">. Vienlaikus, </w:t>
      </w:r>
      <w:r w:rsidRPr="00436938">
        <w:rPr>
          <w:rFonts w:eastAsia="Times New Roman"/>
        </w:rPr>
        <w:t>NKC jāspēj arī iesaistīt un koordinēt kiberdrošības industriju, akadēmiju un pētniecības kopienu, pilsoņus un ar NIS direktīvu nozīmētās kompetentās iestādes.</w:t>
      </w:r>
      <w:r w:rsidRPr="00631FE8">
        <w:rPr>
          <w:rFonts w:eastAsia="Times New Roman"/>
        </w:rPr>
        <w:t xml:space="preserve"> Vienlaikus, Centram un Tīklam tiek izvirzīts uzdevums, iespēju robežās, savus uzdevumus veikt sadarbojoties ar ES Kiberdrošības aģentūru (</w:t>
      </w:r>
      <w:r>
        <w:rPr>
          <w:rFonts w:eastAsia="Times New Roman"/>
        </w:rPr>
        <w:t xml:space="preserve">turpmāk – </w:t>
      </w:r>
      <w:r w:rsidRPr="00631FE8">
        <w:rPr>
          <w:rFonts w:eastAsia="Times New Roman"/>
        </w:rPr>
        <w:t>ENISA) un Kopienu.</w:t>
      </w:r>
    </w:p>
    <w:p w14:paraId="1196315D" w14:textId="77777777" w:rsidR="0095025C" w:rsidRPr="00631FE8" w:rsidRDefault="0095025C" w:rsidP="0095025C">
      <w:pPr>
        <w:autoSpaceDE w:val="0"/>
        <w:autoSpaceDN w:val="0"/>
        <w:adjustRightInd w:val="0"/>
        <w:spacing w:after="120" w:line="240" w:lineRule="auto"/>
        <w:contextualSpacing/>
        <w:mirrorIndents/>
        <w:jc w:val="both"/>
        <w:rPr>
          <w:rFonts w:eastAsia="Times New Roman" w:cs="Times New Roman"/>
          <w:szCs w:val="24"/>
        </w:rPr>
      </w:pPr>
      <w:r>
        <w:rPr>
          <w:rFonts w:eastAsia="Times New Roman" w:cs="Times New Roman"/>
          <w:szCs w:val="24"/>
        </w:rPr>
        <w:t>Regula paredz, ka NKC</w:t>
      </w:r>
      <w:r w:rsidRPr="00631FE8">
        <w:rPr>
          <w:rFonts w:eastAsia="Times New Roman" w:cs="Times New Roman"/>
          <w:szCs w:val="24"/>
        </w:rPr>
        <w:t xml:space="preserve">: </w:t>
      </w:r>
    </w:p>
    <w:p w14:paraId="49F08624" w14:textId="77777777" w:rsidR="0095025C" w:rsidRPr="00631FE8" w:rsidRDefault="0095025C" w:rsidP="0095025C">
      <w:pPr>
        <w:pStyle w:val="ListParagraph"/>
        <w:numPr>
          <w:ilvl w:val="0"/>
          <w:numId w:val="43"/>
        </w:numPr>
        <w:jc w:val="both"/>
        <w:rPr>
          <w:rFonts w:eastAsia="Times New Roman" w:cs="Times New Roman"/>
        </w:rPr>
      </w:pPr>
      <w:r>
        <w:rPr>
          <w:rFonts w:eastAsia="Times New Roman" w:cs="Times New Roman"/>
        </w:rPr>
        <w:t>kalpo</w:t>
      </w:r>
      <w:r w:rsidRPr="00631FE8">
        <w:rPr>
          <w:rFonts w:eastAsia="Times New Roman" w:cs="Times New Roman"/>
        </w:rPr>
        <w:t xml:space="preserve"> kā </w:t>
      </w:r>
      <w:r>
        <w:rPr>
          <w:rFonts w:eastAsia="Times New Roman" w:cs="Times New Roman"/>
        </w:rPr>
        <w:t>nacionālais kontaktpunkts un nacionālā līmenī koordinē</w:t>
      </w:r>
      <w:r w:rsidRPr="00631FE8">
        <w:rPr>
          <w:rFonts w:eastAsia="Times New Roman" w:cs="Times New Roman"/>
        </w:rPr>
        <w:t xml:space="preserve"> </w:t>
      </w:r>
      <w:r>
        <w:rPr>
          <w:rFonts w:eastAsia="Times New Roman" w:cs="Times New Roman"/>
        </w:rPr>
        <w:t xml:space="preserve">sadarbību starp </w:t>
      </w:r>
      <w:r w:rsidRPr="00631FE8">
        <w:rPr>
          <w:rFonts w:eastAsia="Times New Roman" w:cs="Times New Roman"/>
        </w:rPr>
        <w:t>Kopien</w:t>
      </w:r>
      <w:r>
        <w:rPr>
          <w:rFonts w:eastAsia="Times New Roman" w:cs="Times New Roman"/>
        </w:rPr>
        <w:t>as locekļiem</w:t>
      </w:r>
      <w:r w:rsidRPr="00631FE8">
        <w:rPr>
          <w:rFonts w:eastAsia="Times New Roman" w:cs="Times New Roman"/>
        </w:rPr>
        <w:t xml:space="preserve">, kā arī </w:t>
      </w:r>
      <w:r>
        <w:rPr>
          <w:rFonts w:eastAsia="Times New Roman" w:cs="Times New Roman"/>
        </w:rPr>
        <w:t>atbalsta</w:t>
      </w:r>
      <w:r w:rsidRPr="00631FE8">
        <w:rPr>
          <w:rFonts w:eastAsia="Times New Roman" w:cs="Times New Roman"/>
        </w:rPr>
        <w:t xml:space="preserve"> Centru tā mērķu īstenošanā;</w:t>
      </w:r>
    </w:p>
    <w:p w14:paraId="2B56E640" w14:textId="77777777" w:rsidR="0095025C" w:rsidRPr="00631FE8" w:rsidRDefault="0095025C" w:rsidP="0095025C">
      <w:pPr>
        <w:pStyle w:val="ListParagraph"/>
        <w:numPr>
          <w:ilvl w:val="0"/>
          <w:numId w:val="43"/>
        </w:numPr>
        <w:jc w:val="both"/>
        <w:rPr>
          <w:rFonts w:eastAsia="Times New Roman" w:cs="Times New Roman"/>
        </w:rPr>
      </w:pPr>
      <w:r>
        <w:rPr>
          <w:rFonts w:eastAsia="Times New Roman" w:cs="Times New Roman"/>
        </w:rPr>
        <w:t>sniedz</w:t>
      </w:r>
      <w:r w:rsidRPr="00631FE8">
        <w:rPr>
          <w:rFonts w:eastAsia="Times New Roman" w:cs="Times New Roman"/>
        </w:rPr>
        <w:t xml:space="preserve"> ekspertīzi un aktīvi </w:t>
      </w:r>
      <w:r>
        <w:rPr>
          <w:rFonts w:eastAsia="Times New Roman" w:cs="Times New Roman"/>
        </w:rPr>
        <w:t>piedalās</w:t>
      </w:r>
      <w:r w:rsidRPr="00631FE8">
        <w:rPr>
          <w:rFonts w:eastAsia="Times New Roman" w:cs="Times New Roman"/>
        </w:rPr>
        <w:t xml:space="preserve"> stratēģisko uzdevumu izpildē, ņemot vērā nacionālos un reģionālos izaicinājumus dažādos sektoros kiberdrošības jomā;</w:t>
      </w:r>
    </w:p>
    <w:p w14:paraId="3FCBF08E" w14:textId="77777777" w:rsidR="0095025C" w:rsidRPr="00631FE8" w:rsidRDefault="0095025C" w:rsidP="0095025C">
      <w:pPr>
        <w:pStyle w:val="ListParagraph"/>
        <w:numPr>
          <w:ilvl w:val="0"/>
          <w:numId w:val="43"/>
        </w:numPr>
        <w:jc w:val="both"/>
        <w:rPr>
          <w:rFonts w:eastAsia="Times New Roman" w:cs="Times New Roman"/>
        </w:rPr>
      </w:pPr>
      <w:r>
        <w:rPr>
          <w:rFonts w:eastAsia="Times New Roman" w:cs="Times New Roman"/>
        </w:rPr>
        <w:t>sadarbojas</w:t>
      </w:r>
      <w:r w:rsidRPr="00631FE8">
        <w:rPr>
          <w:rFonts w:eastAsia="Times New Roman" w:cs="Times New Roman"/>
        </w:rPr>
        <w:t xml:space="preserve"> ar citu valstu NKC;</w:t>
      </w:r>
    </w:p>
    <w:p w14:paraId="0DD8401F" w14:textId="77777777" w:rsidR="0095025C" w:rsidRPr="00631FE8" w:rsidRDefault="0095025C" w:rsidP="0095025C">
      <w:pPr>
        <w:pStyle w:val="ListParagraph"/>
        <w:numPr>
          <w:ilvl w:val="0"/>
          <w:numId w:val="43"/>
        </w:numPr>
        <w:jc w:val="both"/>
        <w:rPr>
          <w:rFonts w:eastAsia="Times New Roman" w:cs="Times New Roman"/>
        </w:rPr>
      </w:pPr>
      <w:r>
        <w:rPr>
          <w:rFonts w:eastAsia="Times New Roman" w:cs="Times New Roman"/>
        </w:rPr>
        <w:t>veicina un atvieglo</w:t>
      </w:r>
      <w:r w:rsidRPr="00631FE8">
        <w:rPr>
          <w:rFonts w:eastAsia="Times New Roman" w:cs="Times New Roman"/>
        </w:rPr>
        <w:t xml:space="preserve"> sabiedrības, industrijas, īpaši </w:t>
      </w:r>
      <w:r w:rsidRPr="00E60A6D">
        <w:rPr>
          <w:rFonts w:eastAsia="Times New Roman" w:cs="Times New Roman"/>
          <w:i/>
        </w:rPr>
        <w:t>start-up</w:t>
      </w:r>
      <w:r w:rsidRPr="00631FE8">
        <w:rPr>
          <w:rFonts w:eastAsia="Times New Roman" w:cs="Times New Roman"/>
        </w:rPr>
        <w:t xml:space="preserve"> un mazo un vidējo uzņēmumu, akadēmisko un pētniecības aprindu dalību pārrobežu projektos un kiberdrošības projektos, kas finansēti caur ES programmām;</w:t>
      </w:r>
    </w:p>
    <w:p w14:paraId="3C209225" w14:textId="77777777" w:rsidR="0095025C" w:rsidRPr="00631FE8" w:rsidRDefault="0095025C" w:rsidP="0095025C">
      <w:pPr>
        <w:pStyle w:val="ListParagraph"/>
        <w:numPr>
          <w:ilvl w:val="0"/>
          <w:numId w:val="43"/>
        </w:numPr>
        <w:jc w:val="both"/>
        <w:rPr>
          <w:rFonts w:eastAsia="Times New Roman" w:cs="Times New Roman"/>
        </w:rPr>
      </w:pPr>
      <w:r>
        <w:rPr>
          <w:rFonts w:eastAsia="Times New Roman" w:cs="Times New Roman"/>
        </w:rPr>
        <w:t>nodrošina</w:t>
      </w:r>
      <w:r w:rsidRPr="00631FE8">
        <w:rPr>
          <w:rFonts w:eastAsia="Times New Roman" w:cs="Times New Roman"/>
        </w:rPr>
        <w:t xml:space="preserve"> tehnisko atbalstu pieteikumu, ko administrē Centrs, iesniegšanas posmā;</w:t>
      </w:r>
    </w:p>
    <w:p w14:paraId="489367B6" w14:textId="77777777" w:rsidR="0095025C" w:rsidRPr="00631FE8" w:rsidRDefault="0095025C" w:rsidP="0095025C">
      <w:pPr>
        <w:pStyle w:val="ListParagraph"/>
        <w:numPr>
          <w:ilvl w:val="0"/>
          <w:numId w:val="43"/>
        </w:numPr>
        <w:jc w:val="both"/>
        <w:rPr>
          <w:rFonts w:eastAsia="Times New Roman" w:cs="Times New Roman"/>
        </w:rPr>
      </w:pPr>
      <w:r>
        <w:rPr>
          <w:rFonts w:eastAsia="Times New Roman" w:cs="Times New Roman"/>
        </w:rPr>
        <w:t>administrē</w:t>
      </w:r>
      <w:r w:rsidRPr="00631FE8">
        <w:rPr>
          <w:rFonts w:eastAsia="Times New Roman" w:cs="Times New Roman"/>
        </w:rPr>
        <w:t xml:space="preserve"> Centra piešķirto </w:t>
      </w:r>
      <w:r>
        <w:rPr>
          <w:rFonts w:eastAsia="Times New Roman" w:cs="Times New Roman"/>
        </w:rPr>
        <w:t>finansējumu, grantu formā sniedz</w:t>
      </w:r>
      <w:r w:rsidRPr="00631FE8">
        <w:rPr>
          <w:rFonts w:eastAsia="Times New Roman" w:cs="Times New Roman"/>
        </w:rPr>
        <w:t xml:space="preserve"> finansiālu </w:t>
      </w:r>
      <w:r>
        <w:rPr>
          <w:rFonts w:eastAsia="Times New Roman" w:cs="Times New Roman"/>
        </w:rPr>
        <w:t>atbalstu trešajām pusēm. Īsteno</w:t>
      </w:r>
      <w:r w:rsidRPr="00631FE8">
        <w:rPr>
          <w:rFonts w:eastAsia="Times New Roman" w:cs="Times New Roman"/>
        </w:rPr>
        <w:t xml:space="preserve"> specifiskas darbības, kam Centrs piešķīris finansējumu;</w:t>
      </w:r>
    </w:p>
    <w:p w14:paraId="59FE9BE4" w14:textId="77777777" w:rsidR="0095025C" w:rsidRPr="00631FE8" w:rsidRDefault="0095025C" w:rsidP="0095025C">
      <w:pPr>
        <w:pStyle w:val="ListParagraph"/>
        <w:numPr>
          <w:ilvl w:val="0"/>
          <w:numId w:val="43"/>
        </w:numPr>
        <w:jc w:val="both"/>
        <w:rPr>
          <w:rFonts w:eastAsia="Times New Roman" w:cs="Times New Roman"/>
        </w:rPr>
      </w:pPr>
      <w:r>
        <w:rPr>
          <w:rFonts w:eastAsia="Times New Roman" w:cs="Times New Roman"/>
        </w:rPr>
        <w:t>veido</w:t>
      </w:r>
      <w:r w:rsidRPr="00631FE8">
        <w:rPr>
          <w:rFonts w:eastAsia="Times New Roman" w:cs="Times New Roman"/>
        </w:rPr>
        <w:t xml:space="preserve"> sinerģiju ar nacionālo un reģionālo politiku un aktivitātēm kiberdrošībā;</w:t>
      </w:r>
    </w:p>
    <w:p w14:paraId="17AF4D73" w14:textId="77777777" w:rsidR="0095025C" w:rsidRPr="00631FE8" w:rsidRDefault="0095025C" w:rsidP="0095025C">
      <w:pPr>
        <w:pStyle w:val="ListParagraph"/>
        <w:numPr>
          <w:ilvl w:val="0"/>
          <w:numId w:val="43"/>
        </w:numPr>
        <w:jc w:val="both"/>
        <w:rPr>
          <w:rFonts w:eastAsia="Times New Roman" w:cs="Times New Roman"/>
        </w:rPr>
      </w:pPr>
      <w:r w:rsidRPr="00631FE8">
        <w:rPr>
          <w:rFonts w:eastAsia="Times New Roman" w:cs="Times New Roman"/>
        </w:rPr>
        <w:t xml:space="preserve">izvērtē pieteikumus Kopienai no konkrētās dalībvalsts, </w:t>
      </w:r>
      <w:r>
        <w:rPr>
          <w:rFonts w:eastAsia="Times New Roman" w:cs="Times New Roman"/>
        </w:rPr>
        <w:t>uzrauga</w:t>
      </w:r>
      <w:r w:rsidRPr="00631FE8">
        <w:rPr>
          <w:rFonts w:eastAsia="Times New Roman" w:cs="Times New Roman"/>
        </w:rPr>
        <w:t xml:space="preserve"> Kopienas dalībnieku atbilstību Kopienai izvirzītajām prasībām;</w:t>
      </w:r>
    </w:p>
    <w:p w14:paraId="3B3B0387" w14:textId="77777777" w:rsidR="0095025C" w:rsidRPr="00631FE8" w:rsidRDefault="0095025C" w:rsidP="0095025C">
      <w:pPr>
        <w:pStyle w:val="ListParagraph"/>
        <w:numPr>
          <w:ilvl w:val="0"/>
          <w:numId w:val="43"/>
        </w:numPr>
        <w:spacing w:after="120"/>
        <w:jc w:val="both"/>
        <w:rPr>
          <w:rFonts w:cs="Times New Roman"/>
        </w:rPr>
      </w:pPr>
      <w:r>
        <w:rPr>
          <w:rFonts w:eastAsia="Times New Roman" w:cs="Times New Roman"/>
        </w:rPr>
        <w:t>veicina</w:t>
      </w:r>
      <w:r w:rsidRPr="00631FE8">
        <w:rPr>
          <w:rFonts w:eastAsia="Times New Roman" w:cs="Times New Roman"/>
        </w:rPr>
        <w:t xml:space="preserve"> līdzdalību Centra, Tīkla un Kopienas aktivitātēs, kā arī</w:t>
      </w:r>
      <w:r>
        <w:rPr>
          <w:rFonts w:eastAsia="Times New Roman" w:cs="Times New Roman"/>
        </w:rPr>
        <w:t>, pēc nepieciešamības, uzrauga to</w:t>
      </w:r>
      <w:r w:rsidRPr="00631FE8">
        <w:rPr>
          <w:rFonts w:eastAsia="Times New Roman" w:cs="Times New Roman"/>
        </w:rPr>
        <w:t xml:space="preserve"> iesaisti aktivitātēs, kurām piešķirti granti.</w:t>
      </w:r>
    </w:p>
    <w:p w14:paraId="1E956A2C" w14:textId="752F0B39" w:rsidR="006E59CF" w:rsidRDefault="0095025C" w:rsidP="0095025C">
      <w:pPr>
        <w:spacing w:after="120"/>
        <w:jc w:val="both"/>
        <w:rPr>
          <w:rFonts w:cs="Times New Roman"/>
        </w:rPr>
      </w:pPr>
      <w:r w:rsidRPr="00631FE8">
        <w:rPr>
          <w:rFonts w:cs="Times New Roman"/>
        </w:rPr>
        <w:t>NKC darbību un finansēšanu</w:t>
      </w:r>
      <w:r>
        <w:rPr>
          <w:rFonts w:cs="Times New Roman"/>
        </w:rPr>
        <w:t xml:space="preserve"> primāri nodrošinās dalībvalsts. Taču</w:t>
      </w:r>
      <w:r w:rsidRPr="00631FE8">
        <w:rPr>
          <w:rFonts w:cs="Times New Roman"/>
        </w:rPr>
        <w:t xml:space="preserve"> NKC varēs pieteikties un saņemt finansējumu centra darbību nodrošināšanai no </w:t>
      </w:r>
      <w:r w:rsidRPr="00631FE8">
        <w:rPr>
          <w:rFonts w:eastAsiaTheme="minorHAnsi" w:cs="Times New Roman"/>
          <w:szCs w:val="24"/>
          <w:lang w:eastAsia="en-US"/>
        </w:rPr>
        <w:t xml:space="preserve">programmām “Digitālā Eiropa” un “Apvārsnis Eiropa”. </w:t>
      </w:r>
      <w:r w:rsidRPr="00631FE8">
        <w:rPr>
          <w:rFonts w:cs="Times New Roman"/>
        </w:rPr>
        <w:t xml:space="preserve">Lai saņemtu grantus </w:t>
      </w:r>
      <w:r w:rsidR="00BD79BF">
        <w:rPr>
          <w:rFonts w:cs="Times New Roman"/>
        </w:rPr>
        <w:t>līdzekļus</w:t>
      </w:r>
      <w:r w:rsidRPr="00631FE8">
        <w:rPr>
          <w:rFonts w:cs="Times New Roman"/>
        </w:rPr>
        <w:t xml:space="preserve">, NKC jāsaņem Eiropas Komisijas atzinums, ka </w:t>
      </w:r>
      <w:r w:rsidR="00BD79BF">
        <w:rPr>
          <w:rFonts w:cs="Times New Roman"/>
        </w:rPr>
        <w:t>tas</w:t>
      </w:r>
      <w:r w:rsidRPr="00631FE8">
        <w:rPr>
          <w:rFonts w:cs="Times New Roman"/>
        </w:rPr>
        <w:t xml:space="preserve"> atbilst </w:t>
      </w:r>
      <w:r w:rsidRPr="00631FE8">
        <w:rPr>
          <w:rFonts w:cs="Times New Roman"/>
        </w:rPr>
        <w:lastRenderedPageBreak/>
        <w:t>regulā noteiktajām prasībām un var pārvaldīt finansējumu regulas mērķu un uzdevumu īstenošanai atbilstoši programm</w:t>
      </w:r>
      <w:r>
        <w:rPr>
          <w:rFonts w:cs="Times New Roman"/>
        </w:rPr>
        <w:t>ai</w:t>
      </w:r>
      <w:r w:rsidRPr="00631FE8">
        <w:rPr>
          <w:rFonts w:cs="Times New Roman"/>
        </w:rPr>
        <w:t xml:space="preserve"> “Digitālā Eiropa” un programm</w:t>
      </w:r>
      <w:r>
        <w:rPr>
          <w:rFonts w:cs="Times New Roman"/>
        </w:rPr>
        <w:t>ai</w:t>
      </w:r>
      <w:r w:rsidRPr="00631FE8">
        <w:rPr>
          <w:rFonts w:cs="Times New Roman"/>
        </w:rPr>
        <w:t xml:space="preserve"> “Apvārsnis Eiropa”. Ja tiek pieņemts lēmums, ka NKC nepārvalda Centra piešķirto finansējumu, NKC joprojām ir iespēja pieteikties izsludinātajiem atvērtajiem konkursiem (konkurējot ar citiem NKC, privāto sektoru u.c.) finansējuma saņemšanai</w:t>
      </w:r>
      <w:r>
        <w:rPr>
          <w:rFonts w:cs="Times New Roman"/>
        </w:rPr>
        <w:t xml:space="preserve"> vispārējā kārtībā</w:t>
      </w:r>
      <w:r w:rsidRPr="00631FE8">
        <w:rPr>
          <w:rFonts w:cs="Times New Roman"/>
        </w:rPr>
        <w:t xml:space="preserve">. </w:t>
      </w:r>
      <w:r w:rsidR="006E59CF">
        <w:rPr>
          <w:rFonts w:cs="Times New Roman"/>
        </w:rPr>
        <w:t xml:space="preserve">Tāpat NKC varēs </w:t>
      </w:r>
      <w:r w:rsidR="00FE134E">
        <w:rPr>
          <w:rFonts w:cs="Times New Roman"/>
        </w:rPr>
        <w:t>atbalstīt</w:t>
      </w:r>
      <w:r w:rsidR="006E59CF">
        <w:rPr>
          <w:rFonts w:cs="Times New Roman"/>
        </w:rPr>
        <w:t xml:space="preserve"> tādu Kopienas projektu koordināciju, kas saņem atbalstu no citiem ES finanšu instrumentiem, piemēram, ES Atveseļošan</w:t>
      </w:r>
      <w:r w:rsidR="00FE134E">
        <w:rPr>
          <w:rFonts w:cs="Times New Roman"/>
        </w:rPr>
        <w:t>a</w:t>
      </w:r>
      <w:r w:rsidR="006E59CF">
        <w:rPr>
          <w:rFonts w:cs="Times New Roman"/>
        </w:rPr>
        <w:t>s un noturības mehānisma plāna, ES struktūrfondu un Kohēzijas fonda 2021.-2027. gada plānošanas perioda atbalsta programmām kiberdrošības jomā, kuras nepārvalda Centrs</w:t>
      </w:r>
      <w:r w:rsidR="00FE134E">
        <w:rPr>
          <w:rFonts w:cs="Times New Roman"/>
        </w:rPr>
        <w:t>, sniedzot projektu īstenotājiem nepieciešamo informatīvo atbalstu un ekspertīzi kiberdrošības jautājumos</w:t>
      </w:r>
      <w:r w:rsidR="006E59CF">
        <w:rPr>
          <w:rFonts w:cs="Times New Roman"/>
        </w:rPr>
        <w:t>.</w:t>
      </w:r>
    </w:p>
    <w:p w14:paraId="2E2A751D" w14:textId="425185B5" w:rsidR="0095025C" w:rsidRPr="00631FE8" w:rsidRDefault="0095025C" w:rsidP="0095025C">
      <w:pPr>
        <w:spacing w:after="120"/>
        <w:jc w:val="both"/>
        <w:rPr>
          <w:rFonts w:cs="Times New Roman"/>
        </w:rPr>
      </w:pPr>
      <w:r w:rsidRPr="00631FE8">
        <w:rPr>
          <w:rFonts w:cs="Times New Roman"/>
        </w:rPr>
        <w:t xml:space="preserve">Eiropas Komisija </w:t>
      </w:r>
      <w:r w:rsidR="006E59CF" w:rsidRPr="00F87642">
        <w:rPr>
          <w:szCs w:val="24"/>
        </w:rPr>
        <w:t>2021</w:t>
      </w:r>
      <w:r w:rsidR="006E59CF">
        <w:rPr>
          <w:szCs w:val="24"/>
        </w:rPr>
        <w:t>. gada 19.  oktobrī</w:t>
      </w:r>
      <w:r w:rsidR="006E59CF" w:rsidRPr="00F87642">
        <w:rPr>
          <w:szCs w:val="24"/>
        </w:rPr>
        <w:t xml:space="preserve"> </w:t>
      </w:r>
      <w:r w:rsidR="006E59CF">
        <w:rPr>
          <w:szCs w:val="24"/>
        </w:rPr>
        <w:t>ir publicējusi paziņojumu “</w:t>
      </w:r>
      <w:r w:rsidR="006E59CF" w:rsidRPr="00F87642">
        <w:rPr>
          <w:szCs w:val="24"/>
        </w:rPr>
        <w:t xml:space="preserve">Pamatnostādnes par to, kā novērtēt </w:t>
      </w:r>
      <w:r w:rsidR="006E59CF">
        <w:rPr>
          <w:szCs w:val="24"/>
        </w:rPr>
        <w:t>NKC</w:t>
      </w:r>
      <w:r w:rsidR="006E59CF" w:rsidRPr="00F87642">
        <w:rPr>
          <w:szCs w:val="24"/>
        </w:rPr>
        <w:t xml:space="preserve"> spējas pārvaldīt</w:t>
      </w:r>
      <w:r w:rsidR="006E59CF">
        <w:rPr>
          <w:szCs w:val="24"/>
        </w:rPr>
        <w:t xml:space="preserve"> </w:t>
      </w:r>
      <w:r w:rsidR="006E59CF" w:rsidRPr="00F87642">
        <w:rPr>
          <w:szCs w:val="24"/>
        </w:rPr>
        <w:t xml:space="preserve">līdzekļus, lai izpildītu pamatuzdevumu un sasniegtu mērķus, kas noteikti </w:t>
      </w:r>
      <w:r w:rsidR="006E59CF">
        <w:rPr>
          <w:szCs w:val="24"/>
        </w:rPr>
        <w:t>R</w:t>
      </w:r>
      <w:r w:rsidR="006E59CF" w:rsidRPr="00F87642">
        <w:rPr>
          <w:szCs w:val="24"/>
        </w:rPr>
        <w:t>egulā</w:t>
      </w:r>
      <w:r w:rsidR="006E59CF">
        <w:rPr>
          <w:szCs w:val="24"/>
        </w:rPr>
        <w:t>” (EK</w:t>
      </w:r>
      <w:r w:rsidRPr="00631FE8">
        <w:rPr>
          <w:rFonts w:cs="Times New Roman"/>
        </w:rPr>
        <w:t xml:space="preserve"> vadlīnijas</w:t>
      </w:r>
      <w:r w:rsidR="006E59CF">
        <w:rPr>
          <w:rFonts w:cs="Times New Roman"/>
        </w:rPr>
        <w:t>)</w:t>
      </w:r>
      <w:r w:rsidR="006E59CF">
        <w:rPr>
          <w:rStyle w:val="FootnoteReference"/>
          <w:rFonts w:cs="Times New Roman"/>
        </w:rPr>
        <w:footnoteReference w:id="8"/>
      </w:r>
      <w:r w:rsidRPr="00631FE8">
        <w:rPr>
          <w:rFonts w:cs="Times New Roman"/>
        </w:rPr>
        <w:t xml:space="preserve">, </w:t>
      </w:r>
      <w:r w:rsidR="006E59CF">
        <w:rPr>
          <w:rFonts w:cs="Times New Roman"/>
        </w:rPr>
        <w:t xml:space="preserve">kas nosaka NKC izvirzāmās prasības un kārtību, kādā Eiropas Komisija izvērtē un pieņem lēmumu </w:t>
      </w:r>
      <w:r w:rsidRPr="00631FE8">
        <w:rPr>
          <w:rFonts w:cs="Times New Roman"/>
        </w:rPr>
        <w:t xml:space="preserve">attiecībā uz NKC spēju pārvaldīt </w:t>
      </w:r>
      <w:r w:rsidR="006E59CF">
        <w:rPr>
          <w:rFonts w:cs="Times New Roman"/>
        </w:rPr>
        <w:t xml:space="preserve">ES </w:t>
      </w:r>
      <w:r w:rsidRPr="00631FE8">
        <w:rPr>
          <w:rFonts w:cs="Times New Roman"/>
        </w:rPr>
        <w:t>finansējumu. Gadījumā, ja NKC neizpilda izvirzītās prasības, Komisija norādīs, ko nepieciešams uzlabot. NKC var tikt izvirzīts atkārtota</w:t>
      </w:r>
      <w:r>
        <w:rPr>
          <w:rFonts w:cs="Times New Roman"/>
        </w:rPr>
        <w:t>i</w:t>
      </w:r>
      <w:r w:rsidRPr="00631FE8">
        <w:rPr>
          <w:rFonts w:cs="Times New Roman"/>
        </w:rPr>
        <w:t xml:space="preserve"> izvērtē</w:t>
      </w:r>
      <w:r>
        <w:rPr>
          <w:rFonts w:cs="Times New Roman"/>
        </w:rPr>
        <w:t>šanai</w:t>
      </w:r>
      <w:r w:rsidRPr="00631FE8">
        <w:rPr>
          <w:rFonts w:cs="Times New Roman"/>
        </w:rPr>
        <w:t>, pievienojot papildinformāciju. Vienlaikus, dalībvalstīm ir pienākums informēt Komisiju, ja NKC tiek veiktas izmaiņas (struktūrā, juridiskajā statusā u.c.), kā arī</w:t>
      </w:r>
      <w:r>
        <w:rPr>
          <w:rFonts w:cs="Times New Roman"/>
        </w:rPr>
        <w:t>,</w:t>
      </w:r>
      <w:r w:rsidRPr="00631FE8">
        <w:rPr>
          <w:rFonts w:cs="Times New Roman"/>
        </w:rPr>
        <w:t xml:space="preserve"> ja tas saistīts ar iespējām pārvaldīt ES finansējumu. Šādā gadījumā Eiropas Komisija veic atkārtotu izvērtē</w:t>
      </w:r>
      <w:r>
        <w:rPr>
          <w:rFonts w:cs="Times New Roman"/>
        </w:rPr>
        <w:t>šanu</w:t>
      </w:r>
      <w:r w:rsidRPr="00631FE8">
        <w:rPr>
          <w:rFonts w:cs="Times New Roman"/>
        </w:rPr>
        <w:t>.</w:t>
      </w:r>
    </w:p>
    <w:p w14:paraId="2DDB96AE" w14:textId="77777777" w:rsidR="0095025C" w:rsidRPr="00631FE8" w:rsidRDefault="0095025C" w:rsidP="0095025C">
      <w:pPr>
        <w:spacing w:after="120"/>
        <w:jc w:val="both"/>
        <w:rPr>
          <w:rFonts w:cs="Times New Roman"/>
        </w:rPr>
      </w:pPr>
      <w:r w:rsidRPr="00631FE8">
        <w:rPr>
          <w:rFonts w:cs="Times New Roman"/>
        </w:rPr>
        <w:t xml:space="preserve">Dalībvalstīm sešu mēnešu laikā pēc regulas stāšanās spēkā </w:t>
      </w:r>
      <w:r>
        <w:rPr>
          <w:rFonts w:cs="Times New Roman"/>
        </w:rPr>
        <w:t>(l</w:t>
      </w:r>
      <w:r w:rsidRPr="00B80657">
        <w:rPr>
          <w:rFonts w:cs="Times New Roman"/>
        </w:rPr>
        <w:t>īdz 2021. gada 29. decembrim</w:t>
      </w:r>
      <w:r>
        <w:rPr>
          <w:rFonts w:cs="Times New Roman"/>
        </w:rPr>
        <w:t xml:space="preserve">) </w:t>
      </w:r>
      <w:r w:rsidRPr="00631FE8">
        <w:rPr>
          <w:rFonts w:cs="Times New Roman"/>
        </w:rPr>
        <w:t xml:space="preserve">ir jānominē iestāde, kas kalpos kā NKC un par to jāpaziņo Centra valdei. Termiņš var tikt pagarināts, ja tiek gaidīts augstākminētais </w:t>
      </w:r>
      <w:r>
        <w:rPr>
          <w:rFonts w:cs="Times New Roman"/>
        </w:rPr>
        <w:t xml:space="preserve">Eiropas </w:t>
      </w:r>
      <w:r w:rsidRPr="00631FE8">
        <w:rPr>
          <w:rFonts w:cs="Times New Roman"/>
        </w:rPr>
        <w:t>Komisijas atzinums par atbilstību pārvaldīt finansējumu. Valdei NKC nominācija jāreģistrē trīs mēnešu laikā. Valstis jebkurā brīdī var nominēt jaunu NKC, īstenojot tās pašas reģistrācijas procedūras.</w:t>
      </w:r>
    </w:p>
    <w:p w14:paraId="3DDFECB4" w14:textId="5D42B6B4" w:rsidR="00C148D7" w:rsidRDefault="0095025C" w:rsidP="00C148D7">
      <w:pPr>
        <w:jc w:val="both"/>
        <w:rPr>
          <w:rFonts w:cs="Times New Roman"/>
        </w:rPr>
      </w:pPr>
      <w:r>
        <w:rPr>
          <w:rFonts w:cs="Times New Roman"/>
          <w:b/>
        </w:rPr>
        <w:t xml:space="preserve">Paredzams, ka </w:t>
      </w:r>
      <w:r w:rsidRPr="00E60A6D">
        <w:rPr>
          <w:rFonts w:cs="Times New Roman"/>
          <w:b/>
        </w:rPr>
        <w:t>Tīkls</w:t>
      </w:r>
      <w:r>
        <w:rPr>
          <w:rFonts w:cs="Times New Roman"/>
          <w:b/>
        </w:rPr>
        <w:t xml:space="preserve"> un katrs NKC nacionāli,</w:t>
      </w:r>
      <w:r w:rsidRPr="00E60A6D">
        <w:rPr>
          <w:rFonts w:cs="Times New Roman"/>
          <w:b/>
        </w:rPr>
        <w:t xml:space="preserve"> stiprinās ES kiberdrošības kapacitāti</w:t>
      </w:r>
      <w:r w:rsidRPr="00631FE8">
        <w:rPr>
          <w:rFonts w:cs="Times New Roman"/>
        </w:rPr>
        <w:t xml:space="preserve"> </w:t>
      </w:r>
      <w:r w:rsidRPr="00E60A6D">
        <w:rPr>
          <w:rFonts w:cs="Times New Roman"/>
          <w:b/>
        </w:rPr>
        <w:t>un spējas</w:t>
      </w:r>
      <w:r w:rsidRPr="00631FE8">
        <w:rPr>
          <w:rFonts w:cs="Times New Roman"/>
        </w:rPr>
        <w:t xml:space="preserve">, industrijas </w:t>
      </w:r>
      <w:r>
        <w:rPr>
          <w:rFonts w:cs="Times New Roman"/>
        </w:rPr>
        <w:t>globālo</w:t>
      </w:r>
      <w:r w:rsidRPr="00631FE8">
        <w:rPr>
          <w:rFonts w:cs="Times New Roman"/>
        </w:rPr>
        <w:t xml:space="preserve"> konkurētspēj</w:t>
      </w:r>
      <w:r>
        <w:rPr>
          <w:rFonts w:cs="Times New Roman"/>
        </w:rPr>
        <w:t>u</w:t>
      </w:r>
      <w:r w:rsidRPr="00631FE8">
        <w:rPr>
          <w:rFonts w:cs="Times New Roman"/>
        </w:rPr>
        <w:t xml:space="preserve"> kā arī </w:t>
      </w:r>
      <w:r>
        <w:rPr>
          <w:rFonts w:cs="Times New Roman"/>
        </w:rPr>
        <w:t>veicinās</w:t>
      </w:r>
      <w:r w:rsidRPr="00631FE8">
        <w:rPr>
          <w:rFonts w:cs="Times New Roman"/>
        </w:rPr>
        <w:t xml:space="preserve"> </w:t>
      </w:r>
      <w:r>
        <w:rPr>
          <w:rFonts w:cs="Times New Roman"/>
        </w:rPr>
        <w:t xml:space="preserve">drošību un uzticību </w:t>
      </w:r>
      <w:r w:rsidRPr="00631FE8">
        <w:rPr>
          <w:rFonts w:cs="Times New Roman"/>
        </w:rPr>
        <w:t xml:space="preserve">Digitālajam vienotajam tirgum, </w:t>
      </w:r>
      <w:r>
        <w:rPr>
          <w:rFonts w:cs="Times New Roman"/>
        </w:rPr>
        <w:t>atbalstīs</w:t>
      </w:r>
      <w:r w:rsidRPr="00631FE8">
        <w:rPr>
          <w:rFonts w:cs="Times New Roman"/>
        </w:rPr>
        <w:t xml:space="preserve"> ES tehnoloģiskās spējas un prasmes saistībā ar tīkla un informācijas sistēmu, kritiskās infrastruktūras, interneta un visbiežāk lietoto programmu noturību un uzticamību.</w:t>
      </w:r>
      <w:r>
        <w:rPr>
          <w:rFonts w:cs="Times New Roman"/>
        </w:rPr>
        <w:t xml:space="preserve"> Ņemot vērā Latvijas ierobežotos resursus kiberdrošības stiprināšanai un atbalsta sniegšanai kiberdrošības jomā, ar regulas palīdzību ir iespējams būtiski attīstīt kiberdrošības jomu un, attiecīgi, arī celt kopējo valsts kiberdrošības līmeni. Turklāt, ņemot vērā, ka </w:t>
      </w:r>
      <w:r w:rsidRPr="007C45B5">
        <w:rPr>
          <w:rFonts w:cs="Times New Roman"/>
        </w:rPr>
        <w:t>Zemessardzes Kiberaizsardzības vienība</w:t>
      </w:r>
      <w:r>
        <w:rPr>
          <w:rFonts w:cs="Times New Roman"/>
        </w:rPr>
        <w:t xml:space="preserve"> apvieno privātajā sektorā nodarbinātos un brīvprātīgos kiberdrošības ekspertus (potenciālos regulas labumu guvējus), regulā paredzētais atbalsts var sniegt ieguldījumu arī </w:t>
      </w:r>
      <w:r w:rsidRPr="007C45B5">
        <w:rPr>
          <w:rFonts w:cs="Times New Roman"/>
        </w:rPr>
        <w:t>vienība</w:t>
      </w:r>
      <w:r>
        <w:rPr>
          <w:rFonts w:cs="Times New Roman"/>
        </w:rPr>
        <w:t>s ekspertu zināšanu, ekspertīzes un prasmju pilnveidē, kas tālāk varētu tikt izmantotas valsts drošības stiprināšanā.</w:t>
      </w:r>
      <w:r w:rsidR="00C148D7">
        <w:rPr>
          <w:rFonts w:cs="Times New Roman"/>
        </w:rPr>
        <w:t xml:space="preserve"> Tāpat </w:t>
      </w:r>
      <w:r w:rsidR="00230CD1">
        <w:rPr>
          <w:rFonts w:cs="Times New Roman"/>
        </w:rPr>
        <w:t xml:space="preserve">paredzams, ka </w:t>
      </w:r>
      <w:r w:rsidR="00C148D7">
        <w:rPr>
          <w:rFonts w:cs="Times New Roman"/>
        </w:rPr>
        <w:t xml:space="preserve">regulā noteikto aktivitāšu ieviešana </w:t>
      </w:r>
      <w:r w:rsidR="00230CD1">
        <w:rPr>
          <w:rFonts w:cs="Times New Roman"/>
        </w:rPr>
        <w:t>ļaus būtiski stiprināt</w:t>
      </w:r>
      <w:r w:rsidR="00C148D7">
        <w:rPr>
          <w:rFonts w:cs="Times New Roman"/>
        </w:rPr>
        <w:t xml:space="preserve"> valsts sektora </w:t>
      </w:r>
      <w:r w:rsidR="00230CD1">
        <w:rPr>
          <w:rFonts w:cs="Times New Roman"/>
        </w:rPr>
        <w:t xml:space="preserve">kritisko </w:t>
      </w:r>
      <w:r w:rsidR="00C148D7">
        <w:rPr>
          <w:rFonts w:cs="Times New Roman"/>
        </w:rPr>
        <w:t>infrastruktūru ilgtermiņā, k</w:t>
      </w:r>
      <w:r w:rsidR="00230CD1">
        <w:rPr>
          <w:rFonts w:cs="Times New Roman"/>
        </w:rPr>
        <w:t xml:space="preserve">o lielākā mērā pārvalda valsts akciju sabiedrība “Latvijas Valsts radio un televīzijas centrs”, stiprinot to gan no tehniskā viedokļa, gan padarot pieejamas šīs infrastruktūras attīstībai nepieciešamās kompetences, sekmējot valsts drošībai nozīmīgu jaunrisinājumu ieviešanu. </w:t>
      </w:r>
    </w:p>
    <w:p w14:paraId="4409D720" w14:textId="77777777" w:rsidR="0095025C" w:rsidRPr="00631FE8" w:rsidRDefault="0095025C" w:rsidP="0095025C">
      <w:pPr>
        <w:jc w:val="both"/>
        <w:rPr>
          <w:rFonts w:eastAsia="Times New Roman" w:cs="Times New Roman"/>
          <w:szCs w:val="24"/>
        </w:rPr>
      </w:pPr>
    </w:p>
    <w:p w14:paraId="378E19C3" w14:textId="77777777" w:rsidR="00111E77" w:rsidRDefault="00111E77">
      <w:pPr>
        <w:spacing w:after="160" w:line="259" w:lineRule="auto"/>
        <w:ind w:firstLine="0"/>
        <w:rPr>
          <w:rFonts w:eastAsia="Times New Roman" w:cs="Times New Roman"/>
          <w:b/>
          <w:szCs w:val="24"/>
        </w:rPr>
      </w:pPr>
      <w:r>
        <w:rPr>
          <w:b/>
          <w:szCs w:val="24"/>
        </w:rPr>
        <w:br w:type="page"/>
      </w:r>
    </w:p>
    <w:p w14:paraId="488EBED1" w14:textId="645BF9E1" w:rsidR="0095025C" w:rsidRPr="00B84019" w:rsidRDefault="0095025C" w:rsidP="0095025C">
      <w:pPr>
        <w:pStyle w:val="Title"/>
        <w:numPr>
          <w:ilvl w:val="0"/>
          <w:numId w:val="22"/>
        </w:numPr>
        <w:spacing w:after="200"/>
        <w:ind w:left="357" w:hanging="357"/>
        <w:contextualSpacing/>
        <w:mirrorIndents/>
        <w:rPr>
          <w:b/>
          <w:szCs w:val="24"/>
        </w:rPr>
      </w:pPr>
      <w:r w:rsidRPr="00631FE8">
        <w:rPr>
          <w:b/>
          <w:szCs w:val="24"/>
        </w:rPr>
        <w:lastRenderedPageBreak/>
        <w:t>Latvijas situācija attiecībā uz NKC</w:t>
      </w:r>
    </w:p>
    <w:p w14:paraId="273B29C0" w14:textId="77777777" w:rsidR="0095025C" w:rsidRPr="00436938" w:rsidRDefault="0095025C" w:rsidP="0095025C">
      <w:pPr>
        <w:spacing w:after="120"/>
        <w:jc w:val="both"/>
        <w:rPr>
          <w:rFonts w:eastAsia="Times New Roman"/>
          <w:b/>
        </w:rPr>
      </w:pPr>
      <w:r w:rsidRPr="00631FE8">
        <w:t xml:space="preserve">Latvijā </w:t>
      </w:r>
      <w:r>
        <w:rPr>
          <w:rFonts w:eastAsia="Times New Roman"/>
          <w:b/>
        </w:rPr>
        <w:t>AM</w:t>
      </w:r>
      <w:r w:rsidRPr="00631FE8">
        <w:rPr>
          <w:rFonts w:eastAsia="Times New Roman"/>
        </w:rPr>
        <w:t xml:space="preserve"> </w:t>
      </w:r>
      <w:r>
        <w:t>veido valsts</w:t>
      </w:r>
      <w:r w:rsidRPr="00631FE8">
        <w:t xml:space="preserve"> aizsardzības politik</w:t>
      </w:r>
      <w:r>
        <w:t>u, kā arī koordinē</w:t>
      </w:r>
      <w:r w:rsidRPr="00631FE8">
        <w:t xml:space="preserve"> informācijas tehnoloģiju drošības </w:t>
      </w:r>
      <w:r>
        <w:t xml:space="preserve">politikas veidošanu </w:t>
      </w:r>
      <w:r w:rsidRPr="00631FE8">
        <w:t>un īstenošanu, līdzdarbojas starptautiskās sadarbības nodrošināšanā. Ministrija nodrošina Nacionālās informācijas tehnoloģiju drošības padomes un Digitālās drošības uzraudzības komitejas darbu</w:t>
      </w:r>
      <w:r>
        <w:t>, veic kompetentās iestādes un Latvijas nacionālā kontaktpunkta funkcijas NIS direktīvas izpratnē.</w:t>
      </w:r>
      <w:r w:rsidRPr="00631FE8">
        <w:t xml:space="preserve"> </w:t>
      </w:r>
      <w:r w:rsidRPr="00631FE8">
        <w:rPr>
          <w:rFonts w:eastAsia="Times New Roman"/>
        </w:rPr>
        <w:t xml:space="preserve">Tāpat ministrija </w:t>
      </w:r>
      <w:r>
        <w:rPr>
          <w:rFonts w:eastAsia="Times New Roman"/>
        </w:rPr>
        <w:t>pārstāv</w:t>
      </w:r>
      <w:r w:rsidRPr="00631FE8">
        <w:rPr>
          <w:rFonts w:eastAsia="Times New Roman"/>
        </w:rPr>
        <w:t xml:space="preserve"> Latvijas </w:t>
      </w:r>
      <w:r>
        <w:rPr>
          <w:rFonts w:eastAsia="Times New Roman"/>
        </w:rPr>
        <w:t>intereses</w:t>
      </w:r>
      <w:r w:rsidRPr="00631FE8">
        <w:rPr>
          <w:rFonts w:eastAsia="Times New Roman"/>
        </w:rPr>
        <w:t xml:space="preserve"> ENISA administratīvajā padomē un Eiropas Kiberdrošības sertifikācijas grupā, </w:t>
      </w:r>
      <w:r>
        <w:rPr>
          <w:rFonts w:eastAsia="Times New Roman"/>
        </w:rPr>
        <w:t>kā arī</w:t>
      </w:r>
      <w:r w:rsidRPr="00631FE8">
        <w:rPr>
          <w:rFonts w:eastAsia="Times New Roman"/>
        </w:rPr>
        <w:t xml:space="preserve"> koordinē kiberdrošības sertifikācijas jautājumus starp kompetentajām iestādēm</w:t>
      </w:r>
      <w:r>
        <w:rPr>
          <w:rStyle w:val="FootnoteReference"/>
          <w:rFonts w:eastAsia="Times New Roman"/>
        </w:rPr>
        <w:footnoteReference w:id="9"/>
      </w:r>
      <w:r w:rsidRPr="00631FE8">
        <w:rPr>
          <w:rFonts w:eastAsia="Times New Roman"/>
        </w:rPr>
        <w:t>.</w:t>
      </w:r>
      <w:r>
        <w:rPr>
          <w:rFonts w:eastAsia="Times New Roman"/>
        </w:rPr>
        <w:t xml:space="preserve"> Turklāt saskaņā ar Ministru kabineta 2021.</w:t>
      </w:r>
      <w:r>
        <w:rPr>
          <w:rFonts w:eastAsiaTheme="minorHAnsi"/>
          <w:lang w:eastAsia="en-US"/>
        </w:rPr>
        <w:t> </w:t>
      </w:r>
      <w:r>
        <w:rPr>
          <w:rFonts w:eastAsia="Times New Roman"/>
        </w:rPr>
        <w:t xml:space="preserve"> gada 24.</w:t>
      </w:r>
      <w:r>
        <w:rPr>
          <w:rFonts w:eastAsiaTheme="minorHAnsi"/>
          <w:lang w:eastAsia="en-US"/>
        </w:rPr>
        <w:t> </w:t>
      </w:r>
      <w:r>
        <w:rPr>
          <w:rFonts w:eastAsia="Times New Roman"/>
        </w:rPr>
        <w:t>marta sēdes protokola Nr.</w:t>
      </w:r>
      <w:r>
        <w:rPr>
          <w:rFonts w:eastAsiaTheme="minorHAnsi"/>
          <w:lang w:eastAsia="en-US"/>
        </w:rPr>
        <w:t> </w:t>
      </w:r>
      <w:r>
        <w:rPr>
          <w:rFonts w:eastAsia="Times New Roman"/>
        </w:rPr>
        <w:t xml:space="preserve">29 </w:t>
      </w:r>
      <w:r w:rsidRPr="0033746D">
        <w:rPr>
          <w:rFonts w:eastAsia="Times New Roman"/>
        </w:rPr>
        <w:t>32.§</w:t>
      </w:r>
      <w:r>
        <w:rPr>
          <w:rFonts w:eastAsia="Times New Roman"/>
        </w:rPr>
        <w:t xml:space="preserve"> noteikto</w:t>
      </w:r>
      <w:r>
        <w:rPr>
          <w:rStyle w:val="FootnoteReference"/>
          <w:rFonts w:eastAsia="Times New Roman"/>
        </w:rPr>
        <w:footnoteReference w:id="10"/>
      </w:r>
      <w:r>
        <w:rPr>
          <w:rFonts w:eastAsia="Times New Roman"/>
        </w:rPr>
        <w:t xml:space="preserve"> </w:t>
      </w:r>
      <w:r>
        <w:rPr>
          <w:rFonts w:eastAsia="Times New Roman"/>
          <w:b/>
        </w:rPr>
        <w:t>ministrija jau</w:t>
      </w:r>
      <w:r w:rsidRPr="00436938">
        <w:rPr>
          <w:rFonts w:eastAsia="Times New Roman"/>
          <w:b/>
        </w:rPr>
        <w:t xml:space="preserve"> ir deleģējusi pārstāvi Centra valdē un koordinē Centra valdes jautājumus starp kompetentajām iestādēm.</w:t>
      </w:r>
    </w:p>
    <w:p w14:paraId="23BD6BB7" w14:textId="3DAA9592" w:rsidR="0095025C" w:rsidRDefault="0095025C" w:rsidP="0095025C">
      <w:pPr>
        <w:spacing w:after="120"/>
        <w:jc w:val="both"/>
        <w:rPr>
          <w:rFonts w:eastAsia="Times New Roman"/>
        </w:rPr>
      </w:pPr>
      <w:r w:rsidRPr="00631FE8">
        <w:rPr>
          <w:b/>
        </w:rPr>
        <w:t>I</w:t>
      </w:r>
      <w:r w:rsidRPr="00631FE8">
        <w:rPr>
          <w:rFonts w:eastAsia="Times New Roman"/>
          <w:b/>
        </w:rPr>
        <w:t>nformācijas tehnoloģiju drošības incidentu novēršanas institūcijas</w:t>
      </w:r>
      <w:r w:rsidRPr="00631FE8">
        <w:rPr>
          <w:rFonts w:eastAsia="Times New Roman"/>
        </w:rPr>
        <w:t xml:space="preserve"> uzdevumus veic Latvijas Universitātes Matemātikas un informātikas institūts (likumos noteiktos uzdevumus īsteno institūta struktūrvienība</w:t>
      </w:r>
      <w:r>
        <w:rPr>
          <w:rFonts w:eastAsia="Times New Roman"/>
        </w:rPr>
        <w:t xml:space="preserve"> – </w:t>
      </w:r>
      <w:r w:rsidRPr="00631FE8">
        <w:rPr>
          <w:rFonts w:eastAsia="Times New Roman"/>
        </w:rPr>
        <w:t>Informācijas tehnoloģiju drošības incidentu novēršanas institūcija CERT.LV (turpmāk – CERT.LV</w:t>
      </w:r>
      <w:r>
        <w:rPr>
          <w:rFonts w:eastAsia="Times New Roman"/>
        </w:rPr>
        <w:t xml:space="preserve">)), </w:t>
      </w:r>
      <w:r w:rsidRPr="00631FE8">
        <w:rPr>
          <w:rFonts w:eastAsia="Times New Roman"/>
        </w:rPr>
        <w:t>kas Informācijas tehnoloģiju drošības likumā</w:t>
      </w:r>
      <w:r>
        <w:rPr>
          <w:rFonts w:eastAsia="Times New Roman"/>
        </w:rPr>
        <w:t>,</w:t>
      </w:r>
      <w:r w:rsidRPr="00631FE8">
        <w:rPr>
          <w:rFonts w:eastAsia="Times New Roman"/>
        </w:rPr>
        <w:t xml:space="preserve"> tam noteiktos uzdevumus izpilda un tiesības īsteno AM pakļautībā. Savukārt attiecībā uz AM, tās padotībā esošajām iestādēm un Nacionālajiem bruņotajiem spēkiem, informācijas tehnoloģiju drošības incidentu novēršanas institūcijas funkcijas pilda Militāro informācijas tehnoloģiju drošības incidentu novēršanas komanda</w:t>
      </w:r>
      <w:r>
        <w:rPr>
          <w:rFonts w:eastAsia="Times New Roman"/>
        </w:rPr>
        <w:t>.</w:t>
      </w:r>
      <w:r w:rsidRPr="00631FE8">
        <w:rPr>
          <w:rFonts w:eastAsia="Times New Roman"/>
        </w:rPr>
        <w:t xml:space="preserve"> </w:t>
      </w:r>
      <w:r w:rsidRPr="00631FE8" w:rsidDel="004519D5">
        <w:rPr>
          <w:rFonts w:eastAsia="Times New Roman"/>
        </w:rPr>
        <w:t xml:space="preserve"> </w:t>
      </w:r>
    </w:p>
    <w:p w14:paraId="5438C4CD" w14:textId="37ED71DE" w:rsidR="00230CD1" w:rsidRPr="0062628C" w:rsidRDefault="0062628C" w:rsidP="0095025C">
      <w:pPr>
        <w:spacing w:after="120"/>
        <w:jc w:val="both"/>
        <w:rPr>
          <w:rFonts w:eastAsia="Times New Roman"/>
        </w:rPr>
      </w:pPr>
      <w:r>
        <w:rPr>
          <w:rFonts w:eastAsia="Times New Roman"/>
        </w:rPr>
        <w:t xml:space="preserve">Informācijas tehnoloģiju drošības kompetence tiks konsolidēta arī </w:t>
      </w:r>
      <w:r w:rsidRPr="00437BAE">
        <w:rPr>
          <w:rFonts w:eastAsia="Times New Roman"/>
          <w:b/>
        </w:rPr>
        <w:t>valsts informācijas un komunikācijas tehnoloģiju koplietošanas pakalpojumu centros</w:t>
      </w:r>
      <w:r>
        <w:rPr>
          <w:rFonts w:eastAsia="Times New Roman"/>
        </w:rPr>
        <w:t>, kas tiks izveidoti saskaņā ar Vides aizsardzības un reģionālās attīstības ministrijas izstrādāto informatīvo ziņojumu “</w:t>
      </w:r>
      <w:r w:rsidRPr="00B10A73">
        <w:rPr>
          <w:rFonts w:eastAsia="Calibri" w:cs="Times New Roman"/>
          <w:szCs w:val="24"/>
        </w:rPr>
        <w:t>Par valsts informācijas un komunikācijas tehnoloģiju resursu un kompetenču konsolidāciju”</w:t>
      </w:r>
      <w:r>
        <w:rPr>
          <w:rFonts w:eastAsia="Calibri" w:cs="Times New Roman"/>
          <w:szCs w:val="24"/>
        </w:rPr>
        <w:t>.</w:t>
      </w:r>
      <w:r w:rsidRPr="006D788C">
        <w:rPr>
          <w:vertAlign w:val="superscript"/>
        </w:rPr>
        <w:footnoteReference w:id="11"/>
      </w:r>
      <w:r>
        <w:rPr>
          <w:rFonts w:eastAsia="Calibri" w:cs="Times New Roman"/>
          <w:szCs w:val="24"/>
        </w:rPr>
        <w:t xml:space="preserve"> Saskaņā ar AM iecerēm tuvāko gadu laikā šajos koplietošanas pakalpojumu centros tiks izvērstas arī CERT.LV operacionālās šūnas jeb drošības operāciju centri (</w:t>
      </w:r>
      <w:r>
        <w:rPr>
          <w:rFonts w:eastAsia="Calibri" w:cs="Times New Roman"/>
          <w:i/>
          <w:szCs w:val="24"/>
        </w:rPr>
        <w:t>Security Operations Centres</w:t>
      </w:r>
      <w:r>
        <w:rPr>
          <w:rFonts w:eastAsia="Calibri" w:cs="Times New Roman"/>
          <w:szCs w:val="24"/>
        </w:rPr>
        <w:t>), kas nodrošinā</w:t>
      </w:r>
      <w:r w:rsidR="00B875CE">
        <w:rPr>
          <w:rFonts w:eastAsia="Calibri" w:cs="Times New Roman"/>
          <w:szCs w:val="24"/>
        </w:rPr>
        <w:t xml:space="preserve">tu </w:t>
      </w:r>
      <w:r w:rsidR="00B875CE" w:rsidRPr="00B10A73">
        <w:rPr>
          <w:rFonts w:eastAsia="Calibri" w:cs="Times New Roman"/>
          <w:szCs w:val="24"/>
        </w:rPr>
        <w:t xml:space="preserve">mūsdienu izaicinājumiem atbilstošu </w:t>
      </w:r>
      <w:r w:rsidR="00B875CE">
        <w:rPr>
          <w:rFonts w:eastAsia="Calibri" w:cs="Times New Roman"/>
          <w:szCs w:val="24"/>
        </w:rPr>
        <w:t xml:space="preserve">kiberdrošības </w:t>
      </w:r>
      <w:r w:rsidR="00B875CE" w:rsidRPr="00B10A73">
        <w:rPr>
          <w:rFonts w:eastAsia="Calibri" w:cs="Times New Roman"/>
          <w:szCs w:val="24"/>
        </w:rPr>
        <w:t xml:space="preserve">apdraudējumu monitoringa, reaģēšanas, izmeklēšanas un </w:t>
      </w:r>
      <w:r w:rsidR="00B875CE">
        <w:rPr>
          <w:rFonts w:eastAsia="Calibri" w:cs="Times New Roman"/>
          <w:szCs w:val="24"/>
        </w:rPr>
        <w:t>apdraudējumu</w:t>
      </w:r>
      <w:r w:rsidR="00B875CE" w:rsidRPr="00B10A73">
        <w:rPr>
          <w:rFonts w:eastAsia="Calibri" w:cs="Times New Roman"/>
          <w:szCs w:val="24"/>
        </w:rPr>
        <w:t xml:space="preserve"> </w:t>
      </w:r>
      <w:r w:rsidR="00B875CE">
        <w:rPr>
          <w:rFonts w:eastAsia="Calibri" w:cs="Times New Roman"/>
          <w:szCs w:val="24"/>
        </w:rPr>
        <w:t>identificēšanas</w:t>
      </w:r>
      <w:r w:rsidR="00B875CE" w:rsidRPr="00B10A73">
        <w:rPr>
          <w:rFonts w:eastAsia="Calibri" w:cs="Times New Roman"/>
          <w:szCs w:val="24"/>
        </w:rPr>
        <w:t xml:space="preserve"> (</w:t>
      </w:r>
      <w:r w:rsidR="00B875CE" w:rsidRPr="00B10A73">
        <w:rPr>
          <w:rFonts w:eastAsia="Calibri" w:cs="Times New Roman"/>
          <w:i/>
          <w:szCs w:val="24"/>
        </w:rPr>
        <w:t>threat hunt</w:t>
      </w:r>
      <w:r w:rsidR="00B875CE" w:rsidRPr="00B10A73">
        <w:rPr>
          <w:rFonts w:eastAsia="Calibri" w:cs="Times New Roman"/>
          <w:szCs w:val="24"/>
        </w:rPr>
        <w:t>) spēj</w:t>
      </w:r>
      <w:r w:rsidR="00B875CE">
        <w:rPr>
          <w:rFonts w:eastAsia="Calibri" w:cs="Times New Roman"/>
          <w:szCs w:val="24"/>
        </w:rPr>
        <w:t>as un kompetences.</w:t>
      </w:r>
    </w:p>
    <w:p w14:paraId="34DA1177" w14:textId="77777777" w:rsidR="0095025C" w:rsidRPr="00631FE8" w:rsidRDefault="0095025C" w:rsidP="0095025C">
      <w:pPr>
        <w:spacing w:after="120"/>
        <w:jc w:val="both"/>
      </w:pPr>
      <w:r w:rsidRPr="00631FE8">
        <w:t>R</w:t>
      </w:r>
      <w:r>
        <w:t xml:space="preserve">egula </w:t>
      </w:r>
      <w:r w:rsidRPr="00631FE8">
        <w:t xml:space="preserve">ir </w:t>
      </w:r>
      <w:r>
        <w:t>pakārtota</w:t>
      </w:r>
      <w:r w:rsidRPr="00631FE8">
        <w:t xml:space="preserve"> ES daudzgadu budžeta 2021.–2027.</w:t>
      </w:r>
      <w:r>
        <w:rPr>
          <w:rFonts w:eastAsiaTheme="minorHAnsi"/>
          <w:lang w:eastAsia="en-US"/>
        </w:rPr>
        <w:t> </w:t>
      </w:r>
      <w:r w:rsidRPr="00631FE8">
        <w:t xml:space="preserve">gada programmām “Digitālā Eiropa” un “Apvārsnis Eiropa”, par kuru ieviešanu </w:t>
      </w:r>
      <w:r>
        <w:t xml:space="preserve">Latvijā </w:t>
      </w:r>
      <w:r w:rsidRPr="00631FE8">
        <w:t>atbildīgas attiecīgi ir Vides aizsardzības un reģionālās attīstības ministrija un Izglītības un zinātnes ministrija. Turklāt Izglītības un zinātnes ministrijas padotībā esošā Valsts izglītības attīstības aģentūra jau šobrīd nodrošina ES struktūrfondu vadībā iesaistītās sadarbības iestādes pienākumu izpildi Ministru kabineta noteiktajām ES struktūrfondu aktivitātēm un apakšaktivitātēm izglītībā un zinātnē, nodrošina starptautiskās sadarbības projektu un ES politikas iniciatīvu īstenošanu Latvijā izglītības un zinātnes politikas jomā, kā arī nodrošin</w:t>
      </w:r>
      <w:r>
        <w:t>a</w:t>
      </w:r>
      <w:r w:rsidRPr="00631FE8">
        <w:t xml:space="preserve"> ES Ietvara programmas APVĀRSNIS 2020</w:t>
      </w:r>
      <w:r w:rsidRPr="00631FE8">
        <w:rPr>
          <w:rStyle w:val="FootnoteReference"/>
          <w:rFonts w:cs="Times New Roman"/>
          <w:spacing w:val="4"/>
          <w:szCs w:val="24"/>
        </w:rPr>
        <w:footnoteReference w:id="12"/>
      </w:r>
      <w:r w:rsidRPr="00631FE8">
        <w:t xml:space="preserve"> Nacionālā kontaktpunkta funkciju īstenošanu. </w:t>
      </w:r>
    </w:p>
    <w:p w14:paraId="2CDCCEBC" w14:textId="77777777" w:rsidR="0095025C" w:rsidRDefault="0095025C" w:rsidP="0095025C">
      <w:pPr>
        <w:spacing w:after="120"/>
        <w:jc w:val="both"/>
        <w:rPr>
          <w:rFonts w:cs="Times New Roman"/>
        </w:rPr>
      </w:pPr>
      <w:r w:rsidRPr="00631FE8">
        <w:rPr>
          <w:rFonts w:cs="Times New Roman"/>
        </w:rPr>
        <w:lastRenderedPageBreak/>
        <w:t>Finanšu ministrijas pakļautībā esošai Centrālai finanšu un līgumu aģentūrai ir kompetence ārvalstu finanšu līdzekļu administrēšanā. Tās funkcijās ietilpst Eiropas Reģionālās attīstības fonda otrā līmeņa starpniekinstitūcijas funkcijas, ES struktūrfondu un Kohēzijas fonda sadarbības iestādes funkcijas, </w:t>
      </w:r>
      <w:hyperlink r:id="rId8" w:tgtFrame="_blank" w:history="1">
        <w:r w:rsidRPr="00631FE8">
          <w:rPr>
            <w:rStyle w:val="Hyperlink"/>
            <w:rFonts w:cs="Times New Roman"/>
            <w:color w:val="auto"/>
            <w:spacing w:val="4"/>
            <w:szCs w:val="24"/>
            <w:u w:val="none"/>
          </w:rPr>
          <w:t>Publiskās un privātās partnerības likumā</w:t>
        </w:r>
      </w:hyperlink>
      <w:r w:rsidRPr="00631FE8">
        <w:rPr>
          <w:rFonts w:cs="Times New Roman"/>
        </w:rPr>
        <w:t> noteiktās publiskās un privātās partnerības uzraudzības institūcijas funkcijas. Aģentūra īsteno un uzrauga iestādes kompetencē esošās programmas un projektus, nodrošina programmu atbildīgo amatpersonu pienākumu izpildi iestādes kompetencē esošajos jautājumos, izveido</w:t>
      </w:r>
      <w:r>
        <w:rPr>
          <w:rFonts w:cs="Times New Roman"/>
        </w:rPr>
        <w:t xml:space="preserve"> </w:t>
      </w:r>
      <w:r w:rsidRPr="00631FE8">
        <w:rPr>
          <w:rFonts w:cs="Times New Roman"/>
        </w:rPr>
        <w:t>un ievieš iestādes kompetencē esošo programmu un projektu finanšu līdzekļu vadības, uzraudzības un kontroles sistēmu.</w:t>
      </w:r>
    </w:p>
    <w:p w14:paraId="2DF3C73B" w14:textId="719724E8" w:rsidR="0095025C" w:rsidRPr="00631FE8" w:rsidRDefault="0095025C" w:rsidP="0095025C">
      <w:pPr>
        <w:spacing w:after="120"/>
        <w:jc w:val="both"/>
        <w:rPr>
          <w:rFonts w:cs="Times New Roman"/>
          <w:spacing w:val="4"/>
          <w:szCs w:val="24"/>
        </w:rPr>
      </w:pPr>
      <w:r w:rsidRPr="00631FE8">
        <w:rPr>
          <w:rFonts w:eastAsia="Times New Roman" w:cs="Times New Roman"/>
          <w:szCs w:val="24"/>
        </w:rPr>
        <w:t xml:space="preserve">Savukārt </w:t>
      </w:r>
      <w:r w:rsidRPr="00631FE8">
        <w:rPr>
          <w:rFonts w:eastAsia="Times New Roman" w:cs="Times New Roman"/>
          <w:b/>
          <w:szCs w:val="24"/>
        </w:rPr>
        <w:t>Eiropas Digitālo inovāciju centros</w:t>
      </w:r>
      <w:r w:rsidRPr="00631FE8">
        <w:rPr>
          <w:rFonts w:eastAsia="Times New Roman" w:cs="Times New Roman"/>
          <w:szCs w:val="24"/>
        </w:rPr>
        <w:t xml:space="preserve"> un to izveidotajā tīklā, kas aptvers visu ES, valsts pārvaldes iestādes un privātie uzņēmumi varēs apmainīties ar informāciju, saņemt padomus un testēt digitālās inovācijas, kā arī veidot liela mēroga pilotprojektus lietu interneta, progresīvās ražošanas un tehnoloģiju stiprināšanai viedajās pilsētās, mājokļos, mobilās veselības ap</w:t>
      </w:r>
      <w:r w:rsidR="00437BAE">
        <w:rPr>
          <w:rFonts w:eastAsia="Times New Roman" w:cs="Times New Roman"/>
          <w:szCs w:val="24"/>
        </w:rPr>
        <w:t xml:space="preserve">rūpes pakalpojumos, u.c. jomās. Saskaņā ar </w:t>
      </w:r>
      <w:r w:rsidRPr="00631FE8">
        <w:rPr>
          <w:rFonts w:eastAsia="Times New Roman" w:cs="Times New Roman"/>
          <w:szCs w:val="24"/>
        </w:rPr>
        <w:t>Vides aizsardzības un reģionālās attīstības ministrija</w:t>
      </w:r>
      <w:r w:rsidR="00D6254E">
        <w:rPr>
          <w:rFonts w:eastAsia="Times New Roman" w:cs="Times New Roman"/>
          <w:szCs w:val="24"/>
        </w:rPr>
        <w:t>s</w:t>
      </w:r>
      <w:r w:rsidRPr="00631FE8">
        <w:rPr>
          <w:rFonts w:eastAsia="Times New Roman" w:cs="Times New Roman"/>
          <w:szCs w:val="24"/>
        </w:rPr>
        <w:t xml:space="preserve"> sagatavot</w:t>
      </w:r>
      <w:r w:rsidR="00437BAE">
        <w:rPr>
          <w:rFonts w:eastAsia="Times New Roman" w:cs="Times New Roman"/>
          <w:szCs w:val="24"/>
        </w:rPr>
        <w:t>o</w:t>
      </w:r>
      <w:r w:rsidRPr="00631FE8">
        <w:rPr>
          <w:rFonts w:eastAsia="Times New Roman" w:cs="Times New Roman"/>
          <w:szCs w:val="24"/>
        </w:rPr>
        <w:t xml:space="preserve"> informatīv</w:t>
      </w:r>
      <w:r w:rsidR="00437BAE">
        <w:rPr>
          <w:rFonts w:eastAsia="Times New Roman" w:cs="Times New Roman"/>
          <w:szCs w:val="24"/>
        </w:rPr>
        <w:t>o</w:t>
      </w:r>
      <w:r w:rsidRPr="00631FE8">
        <w:rPr>
          <w:rFonts w:eastAsia="Times New Roman" w:cs="Times New Roman"/>
          <w:szCs w:val="24"/>
        </w:rPr>
        <w:t xml:space="preserve"> ziņojum</w:t>
      </w:r>
      <w:r w:rsidR="00437BAE">
        <w:rPr>
          <w:rFonts w:eastAsia="Times New Roman" w:cs="Times New Roman"/>
          <w:szCs w:val="24"/>
        </w:rPr>
        <w:t>u “</w:t>
      </w:r>
      <w:r w:rsidR="00437BAE" w:rsidRPr="00437BAE">
        <w:rPr>
          <w:rFonts w:eastAsia="Times New Roman" w:cs="Times New Roman"/>
          <w:szCs w:val="24"/>
        </w:rPr>
        <w:t>Par nepieciešamo rīcību, lai sagatavotu priekšnosacījumus Eiropas Digitālās inovācijas centru izveidei Latvijas Republikā atbilstoši Eiropas Parlamenta un Padomes regulas priekšlikumam, ar ko laikposmam no 2021. līdz 2027. gadam izveido Digitālās Eiropas programmu”</w:t>
      </w:r>
      <w:r w:rsidRPr="00631FE8">
        <w:rPr>
          <w:rStyle w:val="FootnoteReference"/>
          <w:rFonts w:eastAsia="Times New Roman" w:cs="Times New Roman"/>
          <w:szCs w:val="24"/>
        </w:rPr>
        <w:footnoteReference w:id="13"/>
      </w:r>
      <w:r w:rsidR="00437BAE">
        <w:rPr>
          <w:rFonts w:eastAsia="Times New Roman" w:cs="Times New Roman"/>
          <w:szCs w:val="24"/>
        </w:rPr>
        <w:t xml:space="preserve"> tika veikta Eiropas Digitālās inovācijas centru nacionālā atlase, kuras ietvaros tika izvēlēti divi pretendenti – Latvijas informācijas tehnoloģiju klasteris un Latvijas Digitālais akselerators, kuru darbība būs vērsta tajā skaitā arī uz kiberdrošības jautājumiem</w:t>
      </w:r>
      <w:r w:rsidRPr="00631FE8">
        <w:rPr>
          <w:rFonts w:eastAsia="Times New Roman" w:cs="Times New Roman"/>
          <w:szCs w:val="24"/>
        </w:rPr>
        <w:t>.</w:t>
      </w:r>
    </w:p>
    <w:p w14:paraId="7C2F0077" w14:textId="145DA4D8" w:rsidR="0095025C" w:rsidRPr="00631FE8" w:rsidRDefault="00437BAE" w:rsidP="0095025C">
      <w:pPr>
        <w:spacing w:after="120"/>
        <w:jc w:val="both"/>
        <w:rPr>
          <w:rFonts w:cs="Times New Roman"/>
        </w:rPr>
      </w:pPr>
      <w:r>
        <w:rPr>
          <w:rFonts w:cs="Times New Roman"/>
        </w:rPr>
        <w:t>Tāpat, l</w:t>
      </w:r>
      <w:r w:rsidR="0095025C" w:rsidRPr="00631FE8">
        <w:rPr>
          <w:rFonts w:cs="Times New Roman"/>
        </w:rPr>
        <w:t>ai identificētu dalībvalstīs pašreiz esoš</w:t>
      </w:r>
      <w:r>
        <w:rPr>
          <w:rFonts w:cs="Times New Roman"/>
        </w:rPr>
        <w:t>ā</w:t>
      </w:r>
      <w:r w:rsidR="0095025C" w:rsidRPr="00631FE8">
        <w:rPr>
          <w:rFonts w:cs="Times New Roman"/>
        </w:rPr>
        <w:t>s pētniecības organizācijas, laboratorijas, asociācijas, akadēmiskās grupas, institūcijas, operacionāl</w:t>
      </w:r>
      <w:r>
        <w:rPr>
          <w:rFonts w:cs="Times New Roman"/>
        </w:rPr>
        <w:t>os</w:t>
      </w:r>
      <w:r w:rsidR="0095025C" w:rsidRPr="00631FE8">
        <w:rPr>
          <w:rFonts w:cs="Times New Roman"/>
        </w:rPr>
        <w:t xml:space="preserve"> centr</w:t>
      </w:r>
      <w:r>
        <w:rPr>
          <w:rFonts w:cs="Times New Roman"/>
        </w:rPr>
        <w:t>us kiberdrošības jomā,</w:t>
      </w:r>
      <w:r w:rsidR="0095025C" w:rsidRPr="00631FE8">
        <w:rPr>
          <w:rFonts w:cs="Times New Roman"/>
        </w:rPr>
        <w:t xml:space="preserve"> ES Zinātnes centrs (</w:t>
      </w:r>
      <w:r w:rsidR="0095025C" w:rsidRPr="00631FE8">
        <w:rPr>
          <w:rFonts w:cs="Times New Roman"/>
          <w:i/>
        </w:rPr>
        <w:t>EU Science Hub</w:t>
      </w:r>
      <w:r w:rsidR="0095025C" w:rsidRPr="00631FE8">
        <w:rPr>
          <w:rFonts w:cs="Times New Roman"/>
        </w:rPr>
        <w:t>) no 2018.</w:t>
      </w:r>
      <w:r w:rsidR="0095025C">
        <w:rPr>
          <w:rFonts w:eastAsiaTheme="minorHAnsi"/>
          <w:lang w:eastAsia="en-US"/>
        </w:rPr>
        <w:t> </w:t>
      </w:r>
      <w:r w:rsidR="0095025C" w:rsidRPr="00631FE8">
        <w:rPr>
          <w:rFonts w:cs="Times New Roman"/>
        </w:rPr>
        <w:t>gada janvāra līdz 2018.</w:t>
      </w:r>
      <w:r w:rsidR="0095025C">
        <w:rPr>
          <w:rFonts w:eastAsiaTheme="minorHAnsi"/>
          <w:lang w:eastAsia="en-US"/>
        </w:rPr>
        <w:t> </w:t>
      </w:r>
      <w:r w:rsidR="0095025C" w:rsidRPr="00631FE8">
        <w:rPr>
          <w:rFonts w:cs="Times New Roman"/>
        </w:rPr>
        <w:t>gada martam veica dalībvalstu aptauju.</w:t>
      </w:r>
      <w:r w:rsidR="0095025C" w:rsidRPr="00631FE8">
        <w:rPr>
          <w:rStyle w:val="FootnoteReference"/>
          <w:rFonts w:cs="Times New Roman"/>
          <w:szCs w:val="24"/>
        </w:rPr>
        <w:footnoteReference w:id="14"/>
      </w:r>
      <w:r w:rsidR="0095025C" w:rsidRPr="00631FE8">
        <w:rPr>
          <w:rFonts w:cs="Times New Roman"/>
        </w:rPr>
        <w:t xml:space="preserve"> No Latvijas </w:t>
      </w:r>
      <w:r w:rsidR="00125172">
        <w:rPr>
          <w:rFonts w:cs="Times New Roman"/>
        </w:rPr>
        <w:t>anketu aizpildīja</w:t>
      </w:r>
      <w:r w:rsidR="00125172" w:rsidRPr="00631FE8">
        <w:rPr>
          <w:rFonts w:cs="Times New Roman"/>
        </w:rPr>
        <w:t xml:space="preserve"> </w:t>
      </w:r>
      <w:r w:rsidR="0095025C" w:rsidRPr="00631FE8">
        <w:rPr>
          <w:rFonts w:cs="Times New Roman"/>
        </w:rPr>
        <w:t>šādas septiņas institūcijas:</w:t>
      </w:r>
    </w:p>
    <w:p w14:paraId="3231D3DC" w14:textId="77777777" w:rsidR="0095025C" w:rsidRPr="00631FE8" w:rsidRDefault="0095025C" w:rsidP="0095025C">
      <w:pPr>
        <w:pStyle w:val="ListParagraph"/>
        <w:numPr>
          <w:ilvl w:val="0"/>
          <w:numId w:val="34"/>
        </w:numPr>
        <w:rPr>
          <w:rFonts w:cs="Times New Roman"/>
        </w:rPr>
      </w:pPr>
      <w:r w:rsidRPr="00631FE8">
        <w:rPr>
          <w:rFonts w:cs="Times New Roman"/>
        </w:rPr>
        <w:t xml:space="preserve">Banku Augstskola: Profesionālā maģistra grāda programma “Kiberdrošības pārvaldība”: </w:t>
      </w:r>
      <w:hyperlink r:id="rId9" w:history="1">
        <w:r w:rsidRPr="00631FE8">
          <w:rPr>
            <w:rStyle w:val="Hyperlink"/>
            <w:rFonts w:cs="Times New Roman"/>
            <w:szCs w:val="24"/>
          </w:rPr>
          <w:t>www.ba.lv</w:t>
        </w:r>
      </w:hyperlink>
      <w:r w:rsidRPr="00631FE8">
        <w:rPr>
          <w:rStyle w:val="Hyperlink"/>
          <w:rFonts w:cs="Times New Roman"/>
          <w:szCs w:val="24"/>
        </w:rPr>
        <w:t>;</w:t>
      </w:r>
    </w:p>
    <w:p w14:paraId="3C9977DD" w14:textId="77777777" w:rsidR="0095025C" w:rsidRPr="00631FE8" w:rsidRDefault="0095025C" w:rsidP="0095025C">
      <w:pPr>
        <w:pStyle w:val="ListParagraph"/>
        <w:numPr>
          <w:ilvl w:val="0"/>
          <w:numId w:val="34"/>
        </w:numPr>
        <w:jc w:val="both"/>
        <w:rPr>
          <w:rFonts w:cs="Times New Roman"/>
        </w:rPr>
      </w:pPr>
      <w:r w:rsidRPr="00631FE8">
        <w:rPr>
          <w:rFonts w:cs="Times New Roman"/>
        </w:rPr>
        <w:t xml:space="preserve">CERT.LV: </w:t>
      </w:r>
      <w:hyperlink r:id="rId10" w:history="1">
        <w:r w:rsidRPr="00631FE8">
          <w:rPr>
            <w:rStyle w:val="Hyperlink"/>
            <w:rFonts w:cs="Times New Roman"/>
            <w:szCs w:val="24"/>
          </w:rPr>
          <w:t>www.cert.lv</w:t>
        </w:r>
      </w:hyperlink>
      <w:r w:rsidRPr="00631FE8">
        <w:rPr>
          <w:rStyle w:val="Hyperlink"/>
          <w:rFonts w:cs="Times New Roman"/>
          <w:szCs w:val="24"/>
        </w:rPr>
        <w:t>;</w:t>
      </w:r>
    </w:p>
    <w:p w14:paraId="66982410" w14:textId="77777777" w:rsidR="0095025C" w:rsidRPr="00631FE8" w:rsidRDefault="0095025C" w:rsidP="0095025C">
      <w:pPr>
        <w:pStyle w:val="ListParagraph"/>
        <w:numPr>
          <w:ilvl w:val="0"/>
          <w:numId w:val="34"/>
        </w:numPr>
        <w:jc w:val="both"/>
        <w:rPr>
          <w:rFonts w:cs="Times New Roman"/>
        </w:rPr>
      </w:pPr>
      <w:r>
        <w:rPr>
          <w:rFonts w:cs="Times New Roman"/>
        </w:rPr>
        <w:t>SIA “</w:t>
      </w:r>
      <w:r w:rsidRPr="00631FE8">
        <w:rPr>
          <w:rFonts w:cs="Times New Roman"/>
        </w:rPr>
        <w:t>Data Security Solutions</w:t>
      </w:r>
      <w:r>
        <w:rPr>
          <w:rFonts w:cs="Times New Roman"/>
        </w:rPr>
        <w:t>”</w:t>
      </w:r>
      <w:r w:rsidRPr="00631FE8">
        <w:rPr>
          <w:rFonts w:cs="Times New Roman"/>
        </w:rPr>
        <w:t xml:space="preserve">: </w:t>
      </w:r>
      <w:hyperlink r:id="rId11" w:history="1">
        <w:r w:rsidRPr="00631FE8">
          <w:rPr>
            <w:rStyle w:val="Hyperlink"/>
            <w:rFonts w:cs="Times New Roman"/>
            <w:szCs w:val="24"/>
          </w:rPr>
          <w:t>www.dss.lv</w:t>
        </w:r>
      </w:hyperlink>
      <w:r w:rsidRPr="00631FE8">
        <w:rPr>
          <w:rStyle w:val="Hyperlink"/>
          <w:rFonts w:cs="Times New Roman"/>
          <w:szCs w:val="24"/>
        </w:rPr>
        <w:t>;</w:t>
      </w:r>
    </w:p>
    <w:p w14:paraId="75AC5E4A" w14:textId="77777777" w:rsidR="0095025C" w:rsidRPr="00631FE8" w:rsidRDefault="0095025C" w:rsidP="0095025C">
      <w:pPr>
        <w:pStyle w:val="ListParagraph"/>
        <w:numPr>
          <w:ilvl w:val="0"/>
          <w:numId w:val="34"/>
        </w:numPr>
        <w:jc w:val="both"/>
        <w:rPr>
          <w:rFonts w:cs="Times New Roman"/>
        </w:rPr>
      </w:pPr>
      <w:r w:rsidRPr="00631FE8">
        <w:rPr>
          <w:rFonts w:cs="Times New Roman"/>
        </w:rPr>
        <w:t xml:space="preserve">Latvijas informācijas un komunikācijas tehnoloģijas asociācija: </w:t>
      </w:r>
      <w:hyperlink r:id="rId12" w:history="1">
        <w:r w:rsidRPr="00631FE8">
          <w:rPr>
            <w:rStyle w:val="Hyperlink"/>
            <w:rFonts w:cs="Times New Roman"/>
            <w:szCs w:val="24"/>
          </w:rPr>
          <w:t>www.likta.lv</w:t>
        </w:r>
      </w:hyperlink>
      <w:r w:rsidRPr="00631FE8">
        <w:rPr>
          <w:rStyle w:val="Hyperlink"/>
          <w:rFonts w:cs="Times New Roman"/>
          <w:szCs w:val="24"/>
        </w:rPr>
        <w:t>;</w:t>
      </w:r>
    </w:p>
    <w:p w14:paraId="70AA2CF9" w14:textId="77777777" w:rsidR="0095025C" w:rsidRPr="00631FE8" w:rsidRDefault="0095025C" w:rsidP="0095025C">
      <w:pPr>
        <w:pStyle w:val="ListParagraph"/>
        <w:numPr>
          <w:ilvl w:val="0"/>
          <w:numId w:val="34"/>
        </w:numPr>
        <w:jc w:val="both"/>
        <w:rPr>
          <w:rFonts w:cs="Times New Roman"/>
        </w:rPr>
      </w:pPr>
      <w:r w:rsidRPr="00631FE8">
        <w:rPr>
          <w:rFonts w:cs="Times New Roman"/>
        </w:rPr>
        <w:t xml:space="preserve">Latvijas Jūras akadēmija: Pētījumu institūts: </w:t>
      </w:r>
      <w:hyperlink r:id="rId13" w:history="1">
        <w:r w:rsidRPr="00631FE8">
          <w:rPr>
            <w:rStyle w:val="Hyperlink"/>
            <w:rFonts w:cs="Times New Roman"/>
            <w:szCs w:val="24"/>
          </w:rPr>
          <w:t>www.latja.lv</w:t>
        </w:r>
      </w:hyperlink>
      <w:r w:rsidRPr="00631FE8">
        <w:rPr>
          <w:rStyle w:val="Hyperlink"/>
          <w:rFonts w:cs="Times New Roman"/>
          <w:szCs w:val="24"/>
        </w:rPr>
        <w:t>;</w:t>
      </w:r>
    </w:p>
    <w:p w14:paraId="4B8C4278" w14:textId="77777777" w:rsidR="0095025C" w:rsidRPr="00631FE8" w:rsidRDefault="0095025C" w:rsidP="0095025C">
      <w:pPr>
        <w:pStyle w:val="ListParagraph"/>
        <w:numPr>
          <w:ilvl w:val="0"/>
          <w:numId w:val="34"/>
        </w:numPr>
        <w:jc w:val="both"/>
        <w:rPr>
          <w:rFonts w:cs="Times New Roman"/>
        </w:rPr>
      </w:pPr>
      <w:r w:rsidRPr="00631FE8">
        <w:rPr>
          <w:rFonts w:cs="Times New Roman"/>
        </w:rPr>
        <w:t xml:space="preserve">Apvienotā kiberaizsardzības līga: </w:t>
      </w:r>
      <w:hyperlink r:id="rId14" w:history="1">
        <w:r w:rsidRPr="00631FE8">
          <w:rPr>
            <w:rFonts w:cs="Times New Roman"/>
            <w:color w:val="0065A2"/>
          </w:rPr>
          <w:t>cyber.ngo</w:t>
        </w:r>
      </w:hyperlink>
      <w:r w:rsidRPr="00631FE8">
        <w:rPr>
          <w:rFonts w:cs="Times New Roman"/>
          <w:color w:val="0065A2"/>
        </w:rPr>
        <w:t>;</w:t>
      </w:r>
    </w:p>
    <w:p w14:paraId="5EDED2BA" w14:textId="77777777" w:rsidR="0095025C" w:rsidRPr="00631FE8" w:rsidRDefault="0095025C" w:rsidP="0095025C">
      <w:pPr>
        <w:pStyle w:val="ListParagraph"/>
        <w:numPr>
          <w:ilvl w:val="0"/>
          <w:numId w:val="34"/>
        </w:numPr>
        <w:spacing w:after="120"/>
        <w:jc w:val="both"/>
        <w:rPr>
          <w:rFonts w:cs="Times New Roman"/>
        </w:rPr>
      </w:pPr>
      <w:r w:rsidRPr="00631FE8">
        <w:rPr>
          <w:rFonts w:cs="Times New Roman"/>
        </w:rPr>
        <w:t xml:space="preserve">Vidzemes Augstskola: Informācijas tehnoloģiju fakultāte: </w:t>
      </w:r>
      <w:hyperlink r:id="rId15" w:history="1">
        <w:r w:rsidRPr="00631FE8">
          <w:rPr>
            <w:rFonts w:cs="Times New Roman"/>
            <w:color w:val="0065A2"/>
          </w:rPr>
          <w:t>va.lv</w:t>
        </w:r>
      </w:hyperlink>
      <w:r w:rsidRPr="00631FE8">
        <w:rPr>
          <w:rFonts w:cs="Times New Roman"/>
          <w:color w:val="0065A2"/>
        </w:rPr>
        <w:t>.</w:t>
      </w:r>
    </w:p>
    <w:p w14:paraId="2547214F" w14:textId="33D11916" w:rsidR="0095025C" w:rsidRPr="00631FE8" w:rsidRDefault="0095025C" w:rsidP="00B875CE">
      <w:pPr>
        <w:spacing w:after="240"/>
        <w:ind w:firstLine="709"/>
        <w:contextualSpacing/>
        <w:jc w:val="both"/>
        <w:rPr>
          <w:rFonts w:cs="Times New Roman"/>
          <w:spacing w:val="4"/>
          <w:szCs w:val="24"/>
        </w:rPr>
      </w:pPr>
      <w:r w:rsidRPr="00631FE8">
        <w:rPr>
          <w:rFonts w:cs="Times New Roman"/>
          <w:spacing w:val="4"/>
          <w:szCs w:val="24"/>
        </w:rPr>
        <w:t xml:space="preserve">Vienlaikus </w:t>
      </w:r>
      <w:r>
        <w:rPr>
          <w:rFonts w:cs="Times New Roman"/>
          <w:spacing w:val="4"/>
          <w:szCs w:val="24"/>
        </w:rPr>
        <w:t>jānorāda</w:t>
      </w:r>
      <w:r w:rsidRPr="00631FE8">
        <w:rPr>
          <w:rFonts w:cs="Times New Roman"/>
          <w:spacing w:val="4"/>
          <w:szCs w:val="24"/>
        </w:rPr>
        <w:t xml:space="preserve">, ka </w:t>
      </w:r>
      <w:r w:rsidR="00437BAE">
        <w:rPr>
          <w:rFonts w:cs="Times New Roman"/>
          <w:spacing w:val="4"/>
          <w:szCs w:val="24"/>
        </w:rPr>
        <w:t>visas iepriekš minētās</w:t>
      </w:r>
      <w:r w:rsidRPr="00631FE8">
        <w:rPr>
          <w:rFonts w:cs="Times New Roman"/>
          <w:spacing w:val="4"/>
          <w:szCs w:val="24"/>
        </w:rPr>
        <w:t xml:space="preserve"> iestādes, ņemot vērā to kompetenci kiberdrošībā, varētu būt arī potenciālās atbalsta saņēmējas no ES daudzgadu budžeta 2021.–2027.</w:t>
      </w:r>
      <w:r>
        <w:rPr>
          <w:rFonts w:eastAsiaTheme="minorHAnsi"/>
          <w:lang w:eastAsia="en-US"/>
        </w:rPr>
        <w:t> </w:t>
      </w:r>
      <w:r w:rsidRPr="00631FE8">
        <w:rPr>
          <w:rFonts w:cs="Times New Roman"/>
          <w:spacing w:val="4"/>
          <w:szCs w:val="24"/>
        </w:rPr>
        <w:t xml:space="preserve">gadam programmām. </w:t>
      </w:r>
      <w:r w:rsidR="00B875CE">
        <w:rPr>
          <w:rFonts w:cs="Times New Roman"/>
          <w:spacing w:val="4"/>
          <w:szCs w:val="24"/>
        </w:rPr>
        <w:t>Tāpat jānorāda, ka iepriekš uzskaitīto iestāžu saraksts nav izsmeļošs un var tikt papildināts ar citām publiskā un privātā sektora institūcijām, kuras atbilst regulā noteiktajām prasībām, un kuru darbība ir vērsta uz Centra un Kopienas mērķu sasniegšanu.</w:t>
      </w:r>
    </w:p>
    <w:p w14:paraId="34D59137" w14:textId="77777777" w:rsidR="0095025C" w:rsidRDefault="0095025C" w:rsidP="0095025C">
      <w:pPr>
        <w:spacing w:after="160" w:line="259" w:lineRule="auto"/>
        <w:ind w:firstLine="0"/>
        <w:rPr>
          <w:rFonts w:cs="Times New Roman"/>
          <w:b/>
          <w:spacing w:val="4"/>
          <w:szCs w:val="24"/>
        </w:rPr>
      </w:pPr>
      <w:r>
        <w:rPr>
          <w:rFonts w:cs="Times New Roman"/>
          <w:b/>
          <w:spacing w:val="4"/>
          <w:szCs w:val="24"/>
        </w:rPr>
        <w:br w:type="page"/>
      </w:r>
    </w:p>
    <w:p w14:paraId="0030C9B2" w14:textId="77777777" w:rsidR="0095025C" w:rsidRPr="00631FE8" w:rsidRDefault="0095025C" w:rsidP="0095025C">
      <w:pPr>
        <w:pStyle w:val="ListParagraph"/>
        <w:numPr>
          <w:ilvl w:val="0"/>
          <w:numId w:val="22"/>
        </w:numPr>
        <w:spacing w:after="200"/>
        <w:ind w:left="357" w:hanging="357"/>
        <w:mirrorIndents/>
        <w:jc w:val="center"/>
        <w:rPr>
          <w:rFonts w:cs="Times New Roman"/>
          <w:b/>
          <w:spacing w:val="4"/>
          <w:szCs w:val="24"/>
        </w:rPr>
      </w:pPr>
      <w:r w:rsidRPr="00631FE8">
        <w:rPr>
          <w:rFonts w:cs="Times New Roman"/>
          <w:b/>
          <w:spacing w:val="4"/>
          <w:szCs w:val="24"/>
        </w:rPr>
        <w:lastRenderedPageBreak/>
        <w:t>Optimālais modelis NKC izveidošanai Latvijā un turpmāk veicamās darbības</w:t>
      </w:r>
    </w:p>
    <w:p w14:paraId="6AB6558D" w14:textId="77777777" w:rsidR="0095025C" w:rsidRDefault="0095025C" w:rsidP="0095025C">
      <w:pPr>
        <w:spacing w:after="120"/>
        <w:jc w:val="both"/>
        <w:rPr>
          <w:spacing w:val="4"/>
          <w:szCs w:val="24"/>
        </w:rPr>
      </w:pPr>
      <w:r>
        <w:rPr>
          <w:spacing w:val="4"/>
          <w:szCs w:val="24"/>
        </w:rPr>
        <w:t xml:space="preserve">Lai apzinātu iespējamo NKC izveides modeli un gūtu izpratni par darbībām, kas ir nepieciešamas minētā modeļa ieviešanai, AM ir organizējusi neformālas konsultācijas ar Lietuvas un Igaunijas kompetentajām iestādēm. Šo neformālo konsultāciju ietvaros AM noskaidroja, ka </w:t>
      </w:r>
      <w:r w:rsidRPr="00051F35">
        <w:rPr>
          <w:b/>
          <w:spacing w:val="4"/>
          <w:szCs w:val="24"/>
        </w:rPr>
        <w:t>Lietuvā</w:t>
      </w:r>
      <w:r>
        <w:rPr>
          <w:spacing w:val="4"/>
          <w:szCs w:val="24"/>
        </w:rPr>
        <w:t xml:space="preserve"> NKC funkcijas tiek plānots uzticēt Nacionālās aizsardzības ministrijas (turpmāk – KAM) Kiberdrošības departamentam. Paredzēts, ka NKC funkciju īstenošanai KAM tiks izveidotas vismaz 3 štata vietas. Tāpat paredzēts, ka NKC pārraudzībā esošo projektu finanšu pārvaldību nodrošinās Centrālā projektu vadības aģentūra (</w:t>
      </w:r>
      <w:r w:rsidRPr="00723DDE">
        <w:rPr>
          <w:i/>
          <w:spacing w:val="4"/>
          <w:szCs w:val="24"/>
          <w:lang w:val="lt-LT"/>
        </w:rPr>
        <w:t>Centrinė projektų valdymo agentūra</w:t>
      </w:r>
      <w:r>
        <w:rPr>
          <w:spacing w:val="4"/>
          <w:szCs w:val="24"/>
        </w:rPr>
        <w:t>) (turpmāk – CPVA) – tiešās pārvaldes iestāde Finanšu ministrijas padotībā. Ņemot vērā NKC darbības jomas specifiku, tiek apsvērta iespēja organizētas speciālas apmācības personālam, kas nodrošinās NKC funkciju izpildi (tajā skaitā CPVA personālam). Tāpat tiek apsvērta iespēja piesaistīt ES fondu līdzfinansējumu, lai nodrošinātu telpu īri NKC vajadzībām, jo drošības režīma dēļ KAM ir ierobežotas iespējas uzņemt apmeklētājus.</w:t>
      </w:r>
    </w:p>
    <w:p w14:paraId="6FFD02A6" w14:textId="77777777" w:rsidR="0095025C" w:rsidRDefault="0095025C" w:rsidP="0095025C">
      <w:pPr>
        <w:spacing w:after="120"/>
        <w:jc w:val="both"/>
        <w:rPr>
          <w:spacing w:val="4"/>
          <w:szCs w:val="24"/>
        </w:rPr>
      </w:pPr>
      <w:r>
        <w:rPr>
          <w:spacing w:val="4"/>
          <w:szCs w:val="24"/>
        </w:rPr>
        <w:t xml:space="preserve">Savukārt </w:t>
      </w:r>
      <w:r w:rsidRPr="00051F35">
        <w:rPr>
          <w:b/>
          <w:spacing w:val="4"/>
          <w:szCs w:val="24"/>
        </w:rPr>
        <w:t>Igaunijā</w:t>
      </w:r>
      <w:r>
        <w:rPr>
          <w:spacing w:val="4"/>
          <w:szCs w:val="24"/>
        </w:rPr>
        <w:t xml:space="preserve"> NKC funkcijas tiek plānots deleģēt Informācijas sistēmu pārvaldei (</w:t>
      </w:r>
      <w:r w:rsidRPr="00723DDE">
        <w:rPr>
          <w:i/>
          <w:spacing w:val="4"/>
          <w:szCs w:val="24"/>
          <w:lang w:val="et-EE"/>
        </w:rPr>
        <w:t>Riigi Infosüsteemi Amet</w:t>
      </w:r>
      <w:r w:rsidRPr="00480718">
        <w:rPr>
          <w:spacing w:val="4"/>
          <w:szCs w:val="24"/>
        </w:rPr>
        <w:t>)</w:t>
      </w:r>
      <w:r>
        <w:rPr>
          <w:spacing w:val="4"/>
          <w:szCs w:val="24"/>
        </w:rPr>
        <w:t xml:space="preserve"> (turpmāk – RIA) – tiešās pārvaldes iestādei Ekonomisko lietu un sakaru ministrijas padotībā. Funkciju ziņā Igaunija raugās uz NKC ārpus regulas noteiktajiem rāmjiem, potenciāli paredzot tam plašākas funkcijas nozares piesaistei. Tiek apsvērta iespēja RIA izveidot atsevišķu struktūrvienību (nodaļu) ar vismaz 3 štata vietām, turklāt vienam no jaunveidojamās nodaļas speciālistiem jābūt nepieciešamām zināšanām finanšu pārvaldībā. Tāpat RIA plāno turpmāk attīstīt minēto nodaļu, izveidojot kopumā 10 štata vietas, šim nolūkam attiecīgi piesaistot valsts finansējumu (aptuveni 2 milj. </w:t>
      </w:r>
      <w:r w:rsidRPr="00BD6012">
        <w:rPr>
          <w:i/>
          <w:spacing w:val="4"/>
          <w:szCs w:val="24"/>
        </w:rPr>
        <w:t>euro</w:t>
      </w:r>
      <w:r>
        <w:rPr>
          <w:spacing w:val="4"/>
          <w:szCs w:val="24"/>
        </w:rPr>
        <w:t xml:space="preserve">) un ES fondu līdzfinansējumu (aptuveni 2 milj. </w:t>
      </w:r>
      <w:r w:rsidRPr="00BD6012">
        <w:rPr>
          <w:i/>
          <w:spacing w:val="4"/>
          <w:szCs w:val="24"/>
        </w:rPr>
        <w:t>euro</w:t>
      </w:r>
      <w:r>
        <w:rPr>
          <w:spacing w:val="4"/>
          <w:szCs w:val="24"/>
        </w:rPr>
        <w:t>), lai nodrošinātu tehnisko ekspertīzi, specifiskas zināšanas noteiktās NKC darbības jomās. Paredzēts, ka viens no RIA NKC speciālistiem varētu būt piesaistīts Ekonomisko lietu un sakaru ministrijai, pildot kontaktpunkta lomu. Ņemot vērā NKC pārraudzībā esošo projektu finansējuma apjomu, paredzēts, ka projektiem ar mazāku budžetu finanšu pārvaldību nodrošinās pati NKC nodaļa, savukārt projektiem ar lielāku budžetu šīs funkcijas tiks deleģētas Valsts vienotajam pakalpojumu centram (</w:t>
      </w:r>
      <w:r w:rsidRPr="00723DDE">
        <w:rPr>
          <w:i/>
          <w:spacing w:val="4"/>
          <w:szCs w:val="24"/>
          <w:lang w:val="et-EE"/>
        </w:rPr>
        <w:t>Riigi Tugiteenuste Keskus</w:t>
      </w:r>
      <w:r>
        <w:rPr>
          <w:spacing w:val="4"/>
          <w:szCs w:val="24"/>
        </w:rPr>
        <w:t xml:space="preserve">) –  tiešās pārvaldes iestādei Finanšu ministrijas padotībā, kas citā starpā nodrošina ES fondu investīciju un citu finanšu instrumentu pārvaldību. </w:t>
      </w:r>
    </w:p>
    <w:p w14:paraId="585B8F44" w14:textId="70D56E27" w:rsidR="0095025C" w:rsidRPr="00631FE8" w:rsidRDefault="0095025C" w:rsidP="0095025C">
      <w:pPr>
        <w:spacing w:after="120"/>
        <w:jc w:val="both"/>
        <w:rPr>
          <w:rFonts w:cs="Times New Roman"/>
        </w:rPr>
      </w:pPr>
      <w:r>
        <w:rPr>
          <w:spacing w:val="4"/>
          <w:szCs w:val="24"/>
        </w:rPr>
        <w:t>AM ieskatā,</w:t>
      </w:r>
      <w:r w:rsidRPr="00631FE8">
        <w:rPr>
          <w:spacing w:val="4"/>
          <w:szCs w:val="24"/>
        </w:rPr>
        <w:t xml:space="preserve"> </w:t>
      </w:r>
      <w:r>
        <w:rPr>
          <w:spacing w:val="4"/>
          <w:szCs w:val="24"/>
        </w:rPr>
        <w:t xml:space="preserve">Latvijas </w:t>
      </w:r>
      <w:r w:rsidRPr="00631FE8">
        <w:rPr>
          <w:spacing w:val="4"/>
          <w:szCs w:val="24"/>
        </w:rPr>
        <w:t>NKC</w:t>
      </w:r>
      <w:r>
        <w:rPr>
          <w:spacing w:val="4"/>
          <w:szCs w:val="24"/>
        </w:rPr>
        <w:t xml:space="preserve"> modelis būtu jāveido tā, lai tas ne</w:t>
      </w:r>
      <w:r w:rsidRPr="00631FE8">
        <w:rPr>
          <w:spacing w:val="4"/>
          <w:szCs w:val="24"/>
        </w:rPr>
        <w:t>ierobežot</w:t>
      </w:r>
      <w:r>
        <w:rPr>
          <w:spacing w:val="4"/>
          <w:szCs w:val="24"/>
        </w:rPr>
        <w:t>u</w:t>
      </w:r>
      <w:r w:rsidRPr="00631FE8">
        <w:rPr>
          <w:spacing w:val="4"/>
          <w:szCs w:val="24"/>
        </w:rPr>
        <w:t xml:space="preserve"> </w:t>
      </w:r>
      <w:r>
        <w:rPr>
          <w:spacing w:val="4"/>
          <w:szCs w:val="24"/>
        </w:rPr>
        <w:t xml:space="preserve">valsts pārvaldes </w:t>
      </w:r>
      <w:r w:rsidRPr="00631FE8">
        <w:rPr>
          <w:spacing w:val="4"/>
          <w:szCs w:val="24"/>
        </w:rPr>
        <w:t>iestāžu</w:t>
      </w:r>
      <w:r>
        <w:rPr>
          <w:spacing w:val="4"/>
          <w:szCs w:val="24"/>
        </w:rPr>
        <w:t xml:space="preserve"> un uzņēmumu</w:t>
      </w:r>
      <w:r w:rsidRPr="00631FE8">
        <w:rPr>
          <w:spacing w:val="4"/>
          <w:szCs w:val="24"/>
        </w:rPr>
        <w:t xml:space="preserve"> iespēj</w:t>
      </w:r>
      <w:r>
        <w:rPr>
          <w:spacing w:val="4"/>
          <w:szCs w:val="24"/>
        </w:rPr>
        <w:t>as</w:t>
      </w:r>
      <w:r w:rsidRPr="00631FE8">
        <w:rPr>
          <w:spacing w:val="4"/>
          <w:szCs w:val="24"/>
        </w:rPr>
        <w:t xml:space="preserve"> saņemt atbalstu no ES finanšu programmām</w:t>
      </w:r>
      <w:r>
        <w:rPr>
          <w:spacing w:val="4"/>
          <w:szCs w:val="24"/>
        </w:rPr>
        <w:t>,</w:t>
      </w:r>
      <w:r w:rsidRPr="00631FE8">
        <w:rPr>
          <w:spacing w:val="4"/>
          <w:szCs w:val="24"/>
        </w:rPr>
        <w:t xml:space="preserve"> un </w:t>
      </w:r>
      <w:r>
        <w:rPr>
          <w:spacing w:val="4"/>
          <w:szCs w:val="24"/>
        </w:rPr>
        <w:t xml:space="preserve">lai </w:t>
      </w:r>
      <w:r w:rsidRPr="00631FE8">
        <w:rPr>
          <w:spacing w:val="4"/>
          <w:szCs w:val="24"/>
        </w:rPr>
        <w:t>Latvija varētu pēc iespējas pilnvērtīgāk izmantot ES daudzgadu budžeta 2021.–2027.</w:t>
      </w:r>
      <w:r>
        <w:rPr>
          <w:rFonts w:eastAsiaTheme="minorHAnsi"/>
          <w:lang w:eastAsia="en-US"/>
        </w:rPr>
        <w:t> </w:t>
      </w:r>
      <w:r w:rsidRPr="00631FE8">
        <w:rPr>
          <w:spacing w:val="4"/>
          <w:szCs w:val="24"/>
        </w:rPr>
        <w:t>gadam piedāvātās iespējas.</w:t>
      </w:r>
      <w:r>
        <w:rPr>
          <w:spacing w:val="4"/>
          <w:szCs w:val="24"/>
        </w:rPr>
        <w:t xml:space="preserve"> </w:t>
      </w:r>
      <w:r>
        <w:rPr>
          <w:rFonts w:cs="Times New Roman"/>
        </w:rPr>
        <w:t>Ievērojot</w:t>
      </w:r>
      <w:r w:rsidRPr="00631FE8">
        <w:rPr>
          <w:rFonts w:cs="Times New Roman"/>
        </w:rPr>
        <w:t xml:space="preserve"> </w:t>
      </w:r>
      <w:r>
        <w:rPr>
          <w:rFonts w:cs="Times New Roman"/>
        </w:rPr>
        <w:t xml:space="preserve">ar </w:t>
      </w:r>
      <w:r w:rsidRPr="00631FE8">
        <w:rPr>
          <w:rFonts w:cs="Times New Roman"/>
        </w:rPr>
        <w:t xml:space="preserve">Ministru kabineta </w:t>
      </w:r>
      <w:r>
        <w:rPr>
          <w:rFonts w:cs="Times New Roman"/>
        </w:rPr>
        <w:t>2017. gada 24. novembra rīkojumu</w:t>
      </w:r>
      <w:r w:rsidRPr="00631FE8">
        <w:rPr>
          <w:rFonts w:cs="Times New Roman"/>
        </w:rPr>
        <w:t xml:space="preserve"> Nr. 701 “Par valsts pārvaldes reformu plānu 2020” apstip</w:t>
      </w:r>
      <w:r>
        <w:rPr>
          <w:rFonts w:cs="Times New Roman"/>
        </w:rPr>
        <w:t>rinātajā reformu plānā noteikto</w:t>
      </w:r>
      <w:r w:rsidRPr="00631FE8">
        <w:rPr>
          <w:rFonts w:cs="Times New Roman"/>
        </w:rPr>
        <w:t>, ka nepieciešams centralizēt atbalsta funkcijas, izvērtējot radniecisko funkciju apvienošanas iespējas, kā arī m</w:t>
      </w:r>
      <w:r>
        <w:rPr>
          <w:rFonts w:cs="Times New Roman"/>
        </w:rPr>
        <w:t>azo iestāžu darbības lietderību, ministrija</w:t>
      </w:r>
      <w:r w:rsidRPr="00631FE8">
        <w:rPr>
          <w:rFonts w:cs="Times New Roman"/>
        </w:rPr>
        <w:t xml:space="preserve"> </w:t>
      </w:r>
      <w:r>
        <w:rPr>
          <w:rFonts w:cs="Times New Roman"/>
        </w:rPr>
        <w:t>uzskata</w:t>
      </w:r>
      <w:r w:rsidRPr="00631FE8">
        <w:rPr>
          <w:rFonts w:cs="Times New Roman"/>
        </w:rPr>
        <w:t xml:space="preserve">, ka </w:t>
      </w:r>
      <w:r w:rsidRPr="00436938">
        <w:rPr>
          <w:rFonts w:cs="Times New Roman"/>
          <w:b/>
        </w:rPr>
        <w:t xml:space="preserve">pašreiz piemērotākais risinājums Latvijas NKC nodrošināšanai ir veidot sistēmu, kurā </w:t>
      </w:r>
      <w:r>
        <w:rPr>
          <w:rFonts w:cs="Times New Roman"/>
          <w:b/>
        </w:rPr>
        <w:t xml:space="preserve">sākotnēji </w:t>
      </w:r>
      <w:r w:rsidRPr="00436938">
        <w:rPr>
          <w:rFonts w:cs="Times New Roman"/>
          <w:b/>
        </w:rPr>
        <w:t>tiek izmantoti valsts sektorā jau pieejamie resursi un kompetences</w:t>
      </w:r>
      <w:r>
        <w:rPr>
          <w:rFonts w:cs="Times New Roman"/>
          <w:b/>
        </w:rPr>
        <w:t>, bet vidējā termiņā un ilgtermiņā tiek piesaistīts ES fondu līdzfinansējums un, nepieciešamības gadījumā, papildu valsts finansējums</w:t>
      </w:r>
      <w:r>
        <w:rPr>
          <w:rFonts w:cs="Times New Roman"/>
        </w:rPr>
        <w:t xml:space="preserve">. </w:t>
      </w:r>
      <w:r w:rsidRPr="00631FE8">
        <w:rPr>
          <w:rFonts w:cs="Times New Roman"/>
        </w:rPr>
        <w:t>Jāņem vērā</w:t>
      </w:r>
      <w:r>
        <w:rPr>
          <w:rFonts w:cs="Times New Roman"/>
        </w:rPr>
        <w:t xml:space="preserve"> arī</w:t>
      </w:r>
      <w:r w:rsidRPr="00631FE8">
        <w:rPr>
          <w:rFonts w:cs="Times New Roman"/>
        </w:rPr>
        <w:t xml:space="preserve">, ka milzīgās konkurences apstākļos, jau šobrīd ir problēmas ar kiberdrošības speciālistu piesaisti un noturēšanu valsts pārvaldē. </w:t>
      </w:r>
      <w:r>
        <w:rPr>
          <w:rFonts w:cs="Times New Roman"/>
        </w:rPr>
        <w:t xml:space="preserve">Vienlaikus, regula </w:t>
      </w:r>
      <w:r w:rsidRPr="00631FE8">
        <w:rPr>
          <w:rFonts w:cs="Times New Roman"/>
        </w:rPr>
        <w:t>paredz iespēju valstīm jebkurā brīdī nominēt jaunu NKC.</w:t>
      </w:r>
    </w:p>
    <w:p w14:paraId="4B94125F" w14:textId="0890321C" w:rsidR="0095025C" w:rsidRPr="00112414" w:rsidRDefault="0095025C" w:rsidP="0095025C">
      <w:pPr>
        <w:spacing w:after="240"/>
        <w:jc w:val="both"/>
        <w:rPr>
          <w:rFonts w:cs="Times New Roman"/>
        </w:rPr>
      </w:pPr>
      <w:r>
        <w:rPr>
          <w:rFonts w:cs="Times New Roman"/>
        </w:rPr>
        <w:t xml:space="preserve">Ievērojot AM lomu nacionālās kiberdrošības politikas koordinācijā un līdzšinējo iesaisti ar regulu saistītajos jautājumos, </w:t>
      </w:r>
      <w:r w:rsidRPr="006D391A">
        <w:rPr>
          <w:rFonts w:cs="Times New Roman"/>
          <w:b/>
        </w:rPr>
        <w:t xml:space="preserve">ministrija pašreiz ir vispiemērotākā iestāde, kura var nodrošināt NKC uzdevumu izpildi un uzsākt kopējo kiberdrošības nozares ekosistēmas attīstību, </w:t>
      </w:r>
      <w:r w:rsidRPr="006D391A">
        <w:rPr>
          <w:rFonts w:cs="Times New Roman"/>
          <w:b/>
        </w:rPr>
        <w:lastRenderedPageBreak/>
        <w:t xml:space="preserve">starptautisko sadarbību, kā arī </w:t>
      </w:r>
      <w:r>
        <w:rPr>
          <w:rFonts w:cs="Times New Roman"/>
          <w:b/>
        </w:rPr>
        <w:t xml:space="preserve">sadarbībā ar Izglītības un zinātnes ministriju un Vides aizsardzības un reģionālās attīstības ministriju </w:t>
      </w:r>
      <w:r w:rsidRPr="006D391A">
        <w:rPr>
          <w:rFonts w:cs="Times New Roman"/>
          <w:b/>
        </w:rPr>
        <w:t>spēj pārvaldīt ES piešķirto finansējumu</w:t>
      </w:r>
      <w:r>
        <w:rPr>
          <w:rFonts w:cs="Times New Roman"/>
        </w:rPr>
        <w:t xml:space="preserve">, vienlaikus neierobežojot iespējamos atbalsta saņēmējus. Vienlaikus būtiska ir arī pārējo kompetento iestāžu iesaiste, paredzot, ka Vides aizsardzības un reģionālās attīstības ministrija un Izglītības un zinātnes ministrija sniedz atbalstu NKC, </w:t>
      </w:r>
      <w:r w:rsidR="000A2D27">
        <w:rPr>
          <w:rFonts w:cs="Times New Roman"/>
        </w:rPr>
        <w:t>s</w:t>
      </w:r>
      <w:r>
        <w:rPr>
          <w:rFonts w:cs="Times New Roman"/>
        </w:rPr>
        <w:t xml:space="preserve">avukārt </w:t>
      </w:r>
      <w:r w:rsidR="000A2D27">
        <w:rPr>
          <w:rFonts w:cs="Times New Roman"/>
        </w:rPr>
        <w:t xml:space="preserve">CERT.LV nodrošina </w:t>
      </w:r>
      <w:r>
        <w:rPr>
          <w:rFonts w:cs="Times New Roman"/>
        </w:rPr>
        <w:t xml:space="preserve">kiberdrošības tehnisko lietpratību. </w:t>
      </w:r>
    </w:p>
    <w:p w14:paraId="0A91AB38" w14:textId="77777777" w:rsidR="0095025C" w:rsidRPr="00631FE8" w:rsidRDefault="0095025C" w:rsidP="0095025C">
      <w:pPr>
        <w:autoSpaceDE w:val="0"/>
        <w:autoSpaceDN w:val="0"/>
        <w:adjustRightInd w:val="0"/>
        <w:spacing w:line="240" w:lineRule="auto"/>
        <w:ind w:firstLine="0"/>
        <w:contextualSpacing/>
        <w:mirrorIndents/>
        <w:jc w:val="both"/>
        <w:rPr>
          <w:rFonts w:eastAsia="Times New Roman" w:cs="Times New Roman"/>
          <w:szCs w:val="24"/>
        </w:rPr>
      </w:pPr>
      <w:r w:rsidRPr="00631FE8">
        <w:rPr>
          <w:rFonts w:cs="Times New Roman"/>
          <w:noProof/>
          <w:spacing w:val="4"/>
          <w:szCs w:val="24"/>
        </w:rPr>
        <w:drawing>
          <wp:inline distT="0" distB="0" distL="0" distR="0" wp14:anchorId="59528B5B" wp14:editId="4D2C544E">
            <wp:extent cx="5972175" cy="3743325"/>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11623B9E" w14:textId="77777777" w:rsidR="0095025C" w:rsidRPr="00ED2CCA" w:rsidRDefault="0095025C" w:rsidP="0095025C">
      <w:pPr>
        <w:autoSpaceDE w:val="0"/>
        <w:autoSpaceDN w:val="0"/>
        <w:adjustRightInd w:val="0"/>
        <w:spacing w:line="240" w:lineRule="auto"/>
        <w:contextualSpacing/>
        <w:mirrorIndents/>
        <w:jc w:val="center"/>
        <w:rPr>
          <w:rFonts w:cs="Times New Roman"/>
          <w:b/>
          <w:sz w:val="20"/>
          <w:szCs w:val="24"/>
        </w:rPr>
      </w:pPr>
      <w:r w:rsidRPr="00ED2CCA">
        <w:rPr>
          <w:rFonts w:cs="Times New Roman"/>
          <w:b/>
          <w:sz w:val="20"/>
          <w:szCs w:val="24"/>
        </w:rPr>
        <w:t>1.shēma. NKC pārvaldības modelis</w:t>
      </w:r>
    </w:p>
    <w:p w14:paraId="0095DFB0" w14:textId="77777777" w:rsidR="0095025C" w:rsidRPr="00631FE8" w:rsidRDefault="0095025C" w:rsidP="0095025C">
      <w:pPr>
        <w:autoSpaceDE w:val="0"/>
        <w:autoSpaceDN w:val="0"/>
        <w:adjustRightInd w:val="0"/>
        <w:spacing w:line="240" w:lineRule="auto"/>
        <w:contextualSpacing/>
        <w:mirrorIndents/>
        <w:jc w:val="both"/>
        <w:rPr>
          <w:rFonts w:eastAsia="Times New Roman" w:cs="Times New Roman"/>
          <w:szCs w:val="24"/>
        </w:rPr>
      </w:pPr>
    </w:p>
    <w:p w14:paraId="10B31AC3" w14:textId="77777777" w:rsidR="0095025C" w:rsidRPr="00631FE8" w:rsidRDefault="0095025C" w:rsidP="0095025C">
      <w:pPr>
        <w:spacing w:after="120"/>
        <w:contextualSpacing/>
        <w:mirrorIndents/>
        <w:jc w:val="both"/>
        <w:rPr>
          <w:rFonts w:cs="Times New Roman"/>
          <w:szCs w:val="24"/>
        </w:rPr>
      </w:pPr>
      <w:r w:rsidRPr="00631FE8">
        <w:rPr>
          <w:rFonts w:cs="Times New Roman"/>
          <w:szCs w:val="24"/>
        </w:rPr>
        <w:t>Īstenošanas shēmā (sk</w:t>
      </w:r>
      <w:r>
        <w:rPr>
          <w:rFonts w:cs="Times New Roman"/>
          <w:szCs w:val="24"/>
        </w:rPr>
        <w:t>at</w:t>
      </w:r>
      <w:r w:rsidRPr="00631FE8">
        <w:rPr>
          <w:rFonts w:cs="Times New Roman"/>
          <w:szCs w:val="24"/>
        </w:rPr>
        <w:t>. 1. shēmu) NKC uzdevumi tiktu sadalīti sekojoši:</w:t>
      </w:r>
    </w:p>
    <w:p w14:paraId="42166AAE" w14:textId="01E93462" w:rsidR="0095025C" w:rsidRPr="00631FE8" w:rsidRDefault="0095025C" w:rsidP="0095025C">
      <w:pPr>
        <w:pStyle w:val="ListParagraph"/>
        <w:numPr>
          <w:ilvl w:val="0"/>
          <w:numId w:val="44"/>
        </w:numPr>
        <w:spacing w:after="120"/>
        <w:contextualSpacing w:val="0"/>
        <w:jc w:val="both"/>
        <w:rPr>
          <w:rFonts w:cs="Times New Roman"/>
        </w:rPr>
      </w:pPr>
      <w:r>
        <w:rPr>
          <w:rFonts w:cs="Times New Roman"/>
        </w:rPr>
        <w:t>AM tiek nominēta</w:t>
      </w:r>
      <w:r w:rsidRPr="00631FE8">
        <w:rPr>
          <w:rFonts w:cs="Times New Roman"/>
        </w:rPr>
        <w:t xml:space="preserve"> kā NKC un īsteno nacionālā kontaktpunkta funkciju,</w:t>
      </w:r>
      <w:r>
        <w:rPr>
          <w:rFonts w:cs="Times New Roman"/>
        </w:rPr>
        <w:t xml:space="preserve"> kā arī koordinē darbu starp pārējām iesaistītajām iestādēm.</w:t>
      </w:r>
      <w:r w:rsidRPr="00631FE8">
        <w:rPr>
          <w:rFonts w:cs="Times New Roman"/>
        </w:rPr>
        <w:t xml:space="preserve"> </w:t>
      </w:r>
      <w:r>
        <w:rPr>
          <w:rFonts w:cs="Times New Roman"/>
        </w:rPr>
        <w:t xml:space="preserve">Vienlaikus AM </w:t>
      </w:r>
      <w:r w:rsidRPr="00631FE8">
        <w:rPr>
          <w:rFonts w:cs="Times New Roman"/>
        </w:rPr>
        <w:t>izvērtē pieteikumus Kopienai, sadarbojas ar Tīklu</w:t>
      </w:r>
      <w:r w:rsidR="00F42DB3">
        <w:rPr>
          <w:rFonts w:cs="Times New Roman"/>
        </w:rPr>
        <w:t xml:space="preserve"> un Centru</w:t>
      </w:r>
      <w:r w:rsidRPr="00631FE8">
        <w:rPr>
          <w:rFonts w:cs="Times New Roman"/>
        </w:rPr>
        <w:t>, sniedz informāciju par kiberdrošības izaicinājumiem, veido sinerģiju ar politiku un aktivitātēm kiberdrošībā</w:t>
      </w:r>
      <w:r w:rsidR="00F42DB3">
        <w:rPr>
          <w:rFonts w:cs="Times New Roman"/>
        </w:rPr>
        <w:t>;</w:t>
      </w:r>
      <w:r w:rsidR="00F42DB3" w:rsidRPr="00631FE8">
        <w:rPr>
          <w:rFonts w:cs="Times New Roman"/>
        </w:rPr>
        <w:t xml:space="preserve"> </w:t>
      </w:r>
      <w:r w:rsidR="00F42DB3">
        <w:rPr>
          <w:rFonts w:cs="Times New Roman"/>
        </w:rPr>
        <w:t>izvērtē</w:t>
      </w:r>
      <w:r w:rsidR="00912BB0">
        <w:rPr>
          <w:rFonts w:cs="Times New Roman"/>
        </w:rPr>
        <w:t xml:space="preserve"> Kopienas locekļu iesniegtos projektu pieteikumus</w:t>
      </w:r>
      <w:r w:rsidR="00F42DB3">
        <w:rPr>
          <w:rFonts w:cs="Times New Roman"/>
        </w:rPr>
        <w:t>,</w:t>
      </w:r>
      <w:r w:rsidRPr="00631FE8">
        <w:rPr>
          <w:rFonts w:cs="Times New Roman"/>
        </w:rPr>
        <w:t xml:space="preserve"> koordinē </w:t>
      </w:r>
      <w:r w:rsidR="00F42DB3">
        <w:rPr>
          <w:rFonts w:cs="Times New Roman"/>
        </w:rPr>
        <w:t xml:space="preserve">un uzrauga </w:t>
      </w:r>
      <w:r w:rsidR="00912BB0">
        <w:rPr>
          <w:rFonts w:cs="Times New Roman"/>
        </w:rPr>
        <w:t>Kopienas</w:t>
      </w:r>
      <w:r w:rsidR="00F42DB3">
        <w:rPr>
          <w:rFonts w:cs="Times New Roman"/>
        </w:rPr>
        <w:t xml:space="preserve"> projektus</w:t>
      </w:r>
      <w:r w:rsidRPr="00631FE8">
        <w:rPr>
          <w:rFonts w:cs="Times New Roman"/>
        </w:rPr>
        <w:t xml:space="preserve">, </w:t>
      </w:r>
      <w:r w:rsidR="00912BB0">
        <w:rPr>
          <w:rFonts w:cs="Times New Roman"/>
        </w:rPr>
        <w:t>kuriem</w:t>
      </w:r>
      <w:r w:rsidR="00F42DB3">
        <w:rPr>
          <w:rFonts w:cs="Times New Roman"/>
        </w:rPr>
        <w:t xml:space="preserve"> programmu “Digitālā Eiropa” un “Apvārsnis Eiropa” ietvaros </w:t>
      </w:r>
      <w:r w:rsidR="006F74F9">
        <w:rPr>
          <w:rFonts w:cs="Times New Roman"/>
        </w:rPr>
        <w:t>Centrs piešķīris</w:t>
      </w:r>
      <w:r w:rsidR="00F42DB3">
        <w:rPr>
          <w:rFonts w:cs="Times New Roman"/>
        </w:rPr>
        <w:t xml:space="preserve"> ES kaskādes grantu finansējumu; </w:t>
      </w:r>
      <w:r>
        <w:rPr>
          <w:rFonts w:cs="Times New Roman"/>
        </w:rPr>
        <w:t>pārvalda minēto finansējumu un</w:t>
      </w:r>
      <w:r w:rsidRPr="00631FE8">
        <w:rPr>
          <w:rFonts w:cs="Times New Roman"/>
        </w:rPr>
        <w:t xml:space="preserve"> veic citus </w:t>
      </w:r>
      <w:r w:rsidR="00F42DB3">
        <w:rPr>
          <w:rFonts w:cs="Times New Roman"/>
        </w:rPr>
        <w:t xml:space="preserve">regulā </w:t>
      </w:r>
      <w:r w:rsidRPr="00631FE8">
        <w:rPr>
          <w:rFonts w:cs="Times New Roman"/>
        </w:rPr>
        <w:t xml:space="preserve">NKC </w:t>
      </w:r>
      <w:r w:rsidR="00F42DB3">
        <w:rPr>
          <w:rFonts w:cs="Times New Roman"/>
        </w:rPr>
        <w:t xml:space="preserve">noteiktos </w:t>
      </w:r>
      <w:r w:rsidRPr="00631FE8">
        <w:rPr>
          <w:rFonts w:cs="Times New Roman"/>
        </w:rPr>
        <w:t>uzdevumus.</w:t>
      </w:r>
    </w:p>
    <w:p w14:paraId="71077142" w14:textId="7ED9F213" w:rsidR="0095025C" w:rsidRPr="00631FE8" w:rsidRDefault="0095025C" w:rsidP="0095025C">
      <w:pPr>
        <w:pStyle w:val="ListParagraph"/>
        <w:numPr>
          <w:ilvl w:val="0"/>
          <w:numId w:val="44"/>
        </w:numPr>
        <w:spacing w:after="120"/>
        <w:contextualSpacing w:val="0"/>
        <w:jc w:val="both"/>
        <w:rPr>
          <w:rFonts w:cs="Times New Roman"/>
        </w:rPr>
      </w:pPr>
      <w:r w:rsidRPr="00631FE8">
        <w:rPr>
          <w:rFonts w:cs="Times New Roman"/>
        </w:rPr>
        <w:t xml:space="preserve">Vides aizsardzības un reģionālās attīstības ministrija </w:t>
      </w:r>
      <w:r>
        <w:rPr>
          <w:rFonts w:cs="Times New Roman"/>
        </w:rPr>
        <w:t>sniedz atbalstu NKC</w:t>
      </w:r>
      <w:r w:rsidR="00F42DB3">
        <w:rPr>
          <w:rFonts w:cs="Times New Roman"/>
        </w:rPr>
        <w:t xml:space="preserve">, </w:t>
      </w:r>
      <w:r w:rsidR="00912BB0">
        <w:rPr>
          <w:rFonts w:cs="Times New Roman"/>
        </w:rPr>
        <w:t xml:space="preserve">savas kompetences ietvaros </w:t>
      </w:r>
      <w:r w:rsidR="00B0367F">
        <w:rPr>
          <w:rFonts w:cs="Times New Roman"/>
        </w:rPr>
        <w:t xml:space="preserve">koordinē </w:t>
      </w:r>
      <w:r w:rsidR="00F42DB3" w:rsidRPr="00631FE8">
        <w:rPr>
          <w:rFonts w:cs="Times New Roman"/>
        </w:rPr>
        <w:t>programm</w:t>
      </w:r>
      <w:r w:rsidR="00F42DB3">
        <w:rPr>
          <w:rFonts w:cs="Times New Roman"/>
        </w:rPr>
        <w:t>as</w:t>
      </w:r>
      <w:r w:rsidR="00F42DB3" w:rsidRPr="00631FE8">
        <w:rPr>
          <w:rFonts w:cs="Times New Roman"/>
        </w:rPr>
        <w:t xml:space="preserve"> </w:t>
      </w:r>
      <w:r>
        <w:rPr>
          <w:rFonts w:cs="Times New Roman"/>
        </w:rPr>
        <w:t>“</w:t>
      </w:r>
      <w:r w:rsidRPr="00631FE8">
        <w:rPr>
          <w:rFonts w:cs="Times New Roman"/>
        </w:rPr>
        <w:t>Digitālā Eiropa</w:t>
      </w:r>
      <w:r>
        <w:rPr>
          <w:rFonts w:cs="Times New Roman"/>
        </w:rPr>
        <w:t>”</w:t>
      </w:r>
      <w:r w:rsidR="00F42DB3">
        <w:rPr>
          <w:rFonts w:cs="Times New Roman"/>
        </w:rPr>
        <w:t xml:space="preserve"> </w:t>
      </w:r>
      <w:r w:rsidR="00B0367F">
        <w:rPr>
          <w:rFonts w:cs="Times New Roman"/>
        </w:rPr>
        <w:t>ieviešanu,</w:t>
      </w:r>
      <w:r w:rsidRPr="00631FE8">
        <w:rPr>
          <w:rFonts w:cs="Times New Roman"/>
        </w:rPr>
        <w:t xml:space="preserve"> veicina līdzdalību Centra, Tīkla un Kopienas aktivitātēs. </w:t>
      </w:r>
    </w:p>
    <w:p w14:paraId="4590E39E" w14:textId="6BC4D640" w:rsidR="0095025C" w:rsidRPr="00631FE8" w:rsidRDefault="0095025C" w:rsidP="0095025C">
      <w:pPr>
        <w:pStyle w:val="ListParagraph"/>
        <w:numPr>
          <w:ilvl w:val="0"/>
          <w:numId w:val="44"/>
        </w:numPr>
        <w:spacing w:after="120"/>
        <w:contextualSpacing w:val="0"/>
        <w:jc w:val="both"/>
        <w:rPr>
          <w:rFonts w:cs="Times New Roman"/>
        </w:rPr>
      </w:pPr>
      <w:r w:rsidRPr="00631FE8">
        <w:rPr>
          <w:rFonts w:cs="Times New Roman"/>
        </w:rPr>
        <w:t xml:space="preserve">Izglītības un zinātnes ministrija </w:t>
      </w:r>
      <w:r w:rsidR="00912BB0">
        <w:rPr>
          <w:rFonts w:cs="Times New Roman"/>
        </w:rPr>
        <w:t xml:space="preserve">sniedz atbalstu NKC, savas kompetences ietvaros piedalās Kopienas locekļu projektu pieteikumu izvērtēšanā, koordinē Kopienas locekļu īstenotos projektus, kas </w:t>
      </w:r>
      <w:r w:rsidRPr="00631FE8">
        <w:rPr>
          <w:rFonts w:cs="Times New Roman"/>
        </w:rPr>
        <w:t>programmas “Apvārsnis Eiropa” ietvaros</w:t>
      </w:r>
      <w:r>
        <w:rPr>
          <w:rFonts w:cs="Times New Roman"/>
        </w:rPr>
        <w:t xml:space="preserve"> </w:t>
      </w:r>
      <w:r w:rsidR="00912BB0">
        <w:rPr>
          <w:rFonts w:cs="Times New Roman"/>
        </w:rPr>
        <w:t xml:space="preserve">saņem tiešo ES finansējumu, </w:t>
      </w:r>
      <w:r w:rsidRPr="00631FE8">
        <w:rPr>
          <w:rFonts w:cs="Times New Roman"/>
        </w:rPr>
        <w:t>veic šo projektu uzraudzību, veicina līdzdalību Centra, Tīkla un Kopienas aktivitātēs</w:t>
      </w:r>
      <w:r w:rsidR="00912BB0">
        <w:rPr>
          <w:rFonts w:cs="Times New Roman"/>
        </w:rPr>
        <w:t>.</w:t>
      </w:r>
      <w:r w:rsidR="00912BB0" w:rsidRPr="00631FE8">
        <w:rPr>
          <w:rFonts w:cs="Times New Roman"/>
        </w:rPr>
        <w:t xml:space="preserve"> </w:t>
      </w:r>
    </w:p>
    <w:p w14:paraId="6278FAF0" w14:textId="21744213" w:rsidR="0095025C" w:rsidRPr="00631FE8" w:rsidRDefault="0095025C" w:rsidP="0095025C">
      <w:pPr>
        <w:pStyle w:val="ListParagraph"/>
        <w:numPr>
          <w:ilvl w:val="0"/>
          <w:numId w:val="44"/>
        </w:numPr>
        <w:spacing w:after="120"/>
        <w:contextualSpacing w:val="0"/>
        <w:jc w:val="both"/>
        <w:rPr>
          <w:rFonts w:cs="Times New Roman"/>
        </w:rPr>
      </w:pPr>
      <w:r w:rsidRPr="00631FE8">
        <w:rPr>
          <w:rFonts w:cs="Times New Roman"/>
        </w:rPr>
        <w:lastRenderedPageBreak/>
        <w:t xml:space="preserve">CERT.LV </w:t>
      </w:r>
      <w:r w:rsidR="00912BB0">
        <w:rPr>
          <w:rFonts w:cs="Times New Roman"/>
        </w:rPr>
        <w:t xml:space="preserve">sniedz atbalstu NKC, </w:t>
      </w:r>
      <w:r w:rsidRPr="00631FE8">
        <w:rPr>
          <w:rFonts w:cs="Times New Roman"/>
        </w:rPr>
        <w:t xml:space="preserve">savas kompetences ietvaros nodrošina </w:t>
      </w:r>
      <w:r w:rsidR="00912BB0">
        <w:rPr>
          <w:rFonts w:cs="Times New Roman"/>
        </w:rPr>
        <w:t xml:space="preserve">tehnisko </w:t>
      </w:r>
      <w:r w:rsidRPr="00631FE8">
        <w:rPr>
          <w:rFonts w:cs="Times New Roman"/>
        </w:rPr>
        <w:t>lietpratību kiberdrošīb</w:t>
      </w:r>
      <w:r w:rsidR="00912BB0">
        <w:rPr>
          <w:rFonts w:cs="Times New Roman"/>
        </w:rPr>
        <w:t>as jomā, piedalās Kopienas pieteikumu un Kopienas locekļu projektu pieteikumu izvērtēšanā, nodrošina NKC koordinēto projektu kiberdrošības tehnisko jautājumu uzraudzību.</w:t>
      </w:r>
    </w:p>
    <w:p w14:paraId="563FC185" w14:textId="77777777" w:rsidR="0095025C" w:rsidRPr="00631FE8" w:rsidRDefault="0095025C" w:rsidP="0095025C">
      <w:pPr>
        <w:pStyle w:val="ListParagraph"/>
        <w:numPr>
          <w:ilvl w:val="0"/>
          <w:numId w:val="44"/>
        </w:numPr>
        <w:spacing w:after="120"/>
        <w:jc w:val="both"/>
        <w:rPr>
          <w:rFonts w:cs="Times New Roman"/>
        </w:rPr>
      </w:pPr>
      <w:r>
        <w:rPr>
          <w:rFonts w:cs="Times New Roman"/>
        </w:rPr>
        <w:t>Ņ</w:t>
      </w:r>
      <w:r w:rsidRPr="00631FE8">
        <w:rPr>
          <w:rFonts w:cs="Times New Roman"/>
        </w:rPr>
        <w:t xml:space="preserve">emot vērā, ka ne visas kompetences iestādes savas kompetences ietvaros var nodrošināt </w:t>
      </w:r>
      <w:r>
        <w:rPr>
          <w:rFonts w:cs="Times New Roman"/>
        </w:rPr>
        <w:t>regulas uzdevumu izpildi, un atsevišķos gadījumos</w:t>
      </w:r>
      <w:r w:rsidRPr="00631FE8">
        <w:rPr>
          <w:rFonts w:cs="Times New Roman"/>
        </w:rPr>
        <w:t xml:space="preserve"> regulas ietvaros īstenotie projekti var tikt īstenoti kopā ar citiem ES finanšu instrumentiem</w:t>
      </w:r>
      <w:r>
        <w:rPr>
          <w:rFonts w:cs="Times New Roman"/>
        </w:rPr>
        <w:t>,</w:t>
      </w:r>
      <w:r w:rsidRPr="00631FE8">
        <w:rPr>
          <w:rFonts w:cs="Times New Roman"/>
        </w:rPr>
        <w:t xml:space="preserve"> </w:t>
      </w:r>
      <w:r>
        <w:rPr>
          <w:rFonts w:cs="Times New Roman"/>
        </w:rPr>
        <w:t>turklāt</w:t>
      </w:r>
      <w:r w:rsidRPr="00631FE8">
        <w:rPr>
          <w:rFonts w:cs="Times New Roman"/>
        </w:rPr>
        <w:t xml:space="preserve"> NKC dienaskārtībā var parādīties jautājumi, kas varētu skart arī citu iestāžu kompetenci, var būt nepieciešama arī citu valsts pārvaldes iestāžu iesaiste</w:t>
      </w:r>
      <w:r>
        <w:rPr>
          <w:rFonts w:cs="Times New Roman"/>
        </w:rPr>
        <w:t xml:space="preserve"> un ekspertu piesaiste</w:t>
      </w:r>
      <w:r w:rsidRPr="00631FE8">
        <w:rPr>
          <w:rFonts w:cs="Times New Roman"/>
        </w:rPr>
        <w:t>.</w:t>
      </w:r>
    </w:p>
    <w:p w14:paraId="66F00094" w14:textId="77777777" w:rsidR="0095025C" w:rsidRPr="00631FE8" w:rsidRDefault="0095025C" w:rsidP="0095025C">
      <w:pPr>
        <w:spacing w:after="120"/>
        <w:jc w:val="both"/>
        <w:rPr>
          <w:rFonts w:cs="Times New Roman"/>
          <w:szCs w:val="24"/>
        </w:rPr>
      </w:pPr>
      <w:r w:rsidRPr="00631FE8">
        <w:rPr>
          <w:rFonts w:cs="Times New Roman"/>
          <w:szCs w:val="24"/>
        </w:rPr>
        <w:t xml:space="preserve">Savukārt, lai nodrošinātu efektīvu komunikāciju, informācijas apmaiņu un savlaicīgu iespējamo izaicinājumu identificēšanu un risināšanu, ko nav bijis iespējams paredzēt informatīvajā ziņojumā, </w:t>
      </w:r>
      <w:r>
        <w:rPr>
          <w:rFonts w:cs="Times New Roman"/>
          <w:szCs w:val="24"/>
        </w:rPr>
        <w:t>AM</w:t>
      </w:r>
      <w:r w:rsidRPr="00631FE8">
        <w:rPr>
          <w:rFonts w:cs="Times New Roman"/>
          <w:szCs w:val="24"/>
        </w:rPr>
        <w:t xml:space="preserve"> ieskatā ir nepieciešams izveidot NKC darba grupu ar pārstāvjiem no visām iesaistītajām iestādēm. Šī darba grupa darbotos uz visu regulas</w:t>
      </w:r>
      <w:r>
        <w:rPr>
          <w:rFonts w:cs="Times New Roman"/>
          <w:szCs w:val="24"/>
        </w:rPr>
        <w:t xml:space="preserve"> darbības</w:t>
      </w:r>
      <w:r w:rsidRPr="00631FE8">
        <w:rPr>
          <w:rFonts w:cs="Times New Roman"/>
          <w:szCs w:val="24"/>
        </w:rPr>
        <w:t xml:space="preserve"> laiku – līdz 2029. gada 31. decembrim.</w:t>
      </w:r>
    </w:p>
    <w:p w14:paraId="205311DF" w14:textId="77777777" w:rsidR="0095025C" w:rsidRPr="00631FE8" w:rsidRDefault="0095025C" w:rsidP="0095025C">
      <w:pPr>
        <w:jc w:val="both"/>
        <w:rPr>
          <w:rFonts w:cs="Times New Roman"/>
          <w:szCs w:val="24"/>
        </w:rPr>
      </w:pPr>
      <w:r w:rsidRPr="00631FE8">
        <w:rPr>
          <w:rFonts w:cs="Times New Roman"/>
          <w:szCs w:val="24"/>
        </w:rPr>
        <w:t>Šāds modelis izvēlēts, ņemot vērā valsts pārvaldes iestāžu kompetenci un to lomu konkrētos jautājumos, tai skaitā programm</w:t>
      </w:r>
      <w:r>
        <w:rPr>
          <w:rFonts w:cs="Times New Roman"/>
          <w:szCs w:val="24"/>
        </w:rPr>
        <w:t>u</w:t>
      </w:r>
      <w:r w:rsidRPr="00631FE8">
        <w:rPr>
          <w:rFonts w:cs="Times New Roman"/>
          <w:szCs w:val="24"/>
        </w:rPr>
        <w:t xml:space="preserve"> “Digitālā Eiropa” un “Apvārsnis Eiropa” īstenošanas mehānismus</w:t>
      </w:r>
      <w:r>
        <w:rPr>
          <w:rFonts w:cs="Times New Roman"/>
          <w:szCs w:val="24"/>
        </w:rPr>
        <w:t xml:space="preserve"> un to, ka regula ir pakārtota šo finanšu instrumentu mērķim. Līdzīgi kā regula tiek salāgota</w:t>
      </w:r>
      <w:r w:rsidRPr="00631FE8">
        <w:rPr>
          <w:rFonts w:cs="Times New Roman"/>
          <w:szCs w:val="24"/>
        </w:rPr>
        <w:t xml:space="preserve"> ar abām finanšu programmām, </w:t>
      </w:r>
      <w:r>
        <w:rPr>
          <w:rFonts w:cs="Times New Roman"/>
          <w:szCs w:val="24"/>
        </w:rPr>
        <w:t>AM</w:t>
      </w:r>
      <w:r w:rsidRPr="00631FE8">
        <w:rPr>
          <w:rFonts w:cs="Times New Roman"/>
          <w:szCs w:val="24"/>
        </w:rPr>
        <w:t xml:space="preserve"> uzskata, ka NKC īstenošanas shēmai nevajadzētu konfliktēt ar šo programmu mehānismiem, kas izveidoti attiecībā uz projektiem, kas nav saistīti ar kiberdrošību, tā vietā tajos iekļaujoties.</w:t>
      </w:r>
      <w:r>
        <w:rPr>
          <w:rFonts w:cs="Times New Roman"/>
          <w:szCs w:val="24"/>
        </w:rPr>
        <w:t xml:space="preserve"> Šādas pieejas mērķis ir veidot sistēmu, kas ir koncentrēta un viegli saprotama potenciālajiem atbalsta saņēmējiem.</w:t>
      </w:r>
    </w:p>
    <w:p w14:paraId="2DE16544" w14:textId="77777777" w:rsidR="0095025C" w:rsidRPr="00631FE8" w:rsidRDefault="0095025C" w:rsidP="0095025C">
      <w:pPr>
        <w:jc w:val="both"/>
        <w:rPr>
          <w:rFonts w:cs="Times New Roman"/>
          <w:szCs w:val="24"/>
        </w:rPr>
      </w:pPr>
    </w:p>
    <w:p w14:paraId="1773061F" w14:textId="77777777" w:rsidR="00BB4CE4" w:rsidRPr="00442452" w:rsidRDefault="00BB4CE4" w:rsidP="00BB4CE4">
      <w:pPr>
        <w:spacing w:after="200"/>
        <w:jc w:val="center"/>
        <w:rPr>
          <w:rFonts w:cs="Times New Roman"/>
          <w:b/>
          <w:szCs w:val="24"/>
        </w:rPr>
      </w:pPr>
      <w:r w:rsidRPr="00631FE8">
        <w:rPr>
          <w:rFonts w:cs="Times New Roman"/>
          <w:b/>
          <w:szCs w:val="24"/>
        </w:rPr>
        <w:t>6. Finansiālā ietekme uz valsts budžetu un tālāk veicamie soļi</w:t>
      </w:r>
    </w:p>
    <w:p w14:paraId="32BEA29D" w14:textId="77777777" w:rsidR="00BB4CE4" w:rsidRPr="00631FE8" w:rsidRDefault="00BB4CE4" w:rsidP="00BB4CE4">
      <w:pPr>
        <w:spacing w:after="120"/>
        <w:jc w:val="both"/>
        <w:rPr>
          <w:rFonts w:cs="Times New Roman"/>
          <w:szCs w:val="24"/>
        </w:rPr>
      </w:pPr>
      <w:r w:rsidRPr="00631FE8">
        <w:rPr>
          <w:rFonts w:cs="Times New Roman"/>
          <w:szCs w:val="24"/>
        </w:rPr>
        <w:t>R</w:t>
      </w:r>
      <w:r>
        <w:rPr>
          <w:rFonts w:cs="Times New Roman"/>
          <w:szCs w:val="24"/>
        </w:rPr>
        <w:t xml:space="preserve">egula </w:t>
      </w:r>
      <w:r w:rsidRPr="00631FE8">
        <w:rPr>
          <w:rFonts w:cs="Times New Roman"/>
          <w:szCs w:val="24"/>
        </w:rPr>
        <w:t>veido pilnīgi jaunu Centru un dalībvalstīm uzliek pienākumu nodrošināt NKC funkcijas, nosakot konkrētus uzdevumus. Iepriekšējos daudzgadu budžetos kiberdrošībai nav pievērsta līdzīga uzmanība,</w:t>
      </w:r>
      <w:r>
        <w:rPr>
          <w:rFonts w:cs="Times New Roman"/>
          <w:szCs w:val="24"/>
        </w:rPr>
        <w:t xml:space="preserve"> tādēļ</w:t>
      </w:r>
      <w:r w:rsidRPr="00631FE8">
        <w:rPr>
          <w:rFonts w:cs="Times New Roman"/>
          <w:szCs w:val="24"/>
        </w:rPr>
        <w:t xml:space="preserve"> pašreiz ir grūti prognozēt konkrētu projektu apjomu un noslodzi, ar kādu nāktos tikt galā NKC un katrai no iesaistītajām iestādēm.</w:t>
      </w:r>
    </w:p>
    <w:p w14:paraId="56712239" w14:textId="77777777" w:rsidR="00BB4CE4" w:rsidRPr="00631FE8" w:rsidRDefault="00BB4CE4" w:rsidP="00BB4CE4">
      <w:pPr>
        <w:spacing w:after="120"/>
        <w:jc w:val="both"/>
        <w:rPr>
          <w:rFonts w:cs="Times New Roman"/>
          <w:szCs w:val="24"/>
        </w:rPr>
      </w:pPr>
      <w:r w:rsidRPr="00631FE8">
        <w:rPr>
          <w:rFonts w:cs="Times New Roman"/>
          <w:szCs w:val="24"/>
        </w:rPr>
        <w:t xml:space="preserve">Šobrīd </w:t>
      </w:r>
      <w:r>
        <w:rPr>
          <w:rFonts w:cs="Times New Roman"/>
          <w:szCs w:val="24"/>
        </w:rPr>
        <w:t>AM</w:t>
      </w:r>
      <w:r w:rsidRPr="00631FE8">
        <w:rPr>
          <w:rFonts w:cs="Times New Roman"/>
          <w:szCs w:val="24"/>
        </w:rPr>
        <w:t xml:space="preserve"> ar kiberdrošības politikas koordinācijas jautājumiem, aptverot nacionālos, ES un NATO jautājumus, strādā </w:t>
      </w:r>
      <w:r>
        <w:rPr>
          <w:rFonts w:cs="Times New Roman"/>
          <w:szCs w:val="24"/>
        </w:rPr>
        <w:t>asto</w:t>
      </w:r>
      <w:r w:rsidRPr="00631FE8">
        <w:rPr>
          <w:rFonts w:cs="Times New Roman"/>
          <w:szCs w:val="24"/>
        </w:rPr>
        <w:t>ņu cilvēku komanda. Tā kā</w:t>
      </w:r>
      <w:r>
        <w:rPr>
          <w:rFonts w:cs="Times New Roman"/>
          <w:szCs w:val="24"/>
        </w:rPr>
        <w:t xml:space="preserve"> regula </w:t>
      </w:r>
      <w:r w:rsidRPr="00631FE8">
        <w:rPr>
          <w:rFonts w:cs="Times New Roman"/>
          <w:szCs w:val="24"/>
        </w:rPr>
        <w:t xml:space="preserve">un NKC prasību izpilde uzliek vairākus </w:t>
      </w:r>
      <w:r>
        <w:rPr>
          <w:rFonts w:cs="Times New Roman"/>
          <w:szCs w:val="24"/>
        </w:rPr>
        <w:t>darbietilpīgus papildu</w:t>
      </w:r>
      <w:r w:rsidRPr="00631FE8">
        <w:rPr>
          <w:rFonts w:cs="Times New Roman"/>
          <w:szCs w:val="24"/>
        </w:rPr>
        <w:t xml:space="preserve"> pienākumus, tai skaitā iekšējās darba grupas darba nodrošināšanu, kiberdrošības industrijas, pētniecības kopienas, pilsoņu un ar NIS direktīvu nozīmēto kompetento iestāžu iesaisti un koordinēšanu, Kopienas kandidātu izvērtēšanu</w:t>
      </w:r>
      <w:r>
        <w:rPr>
          <w:rFonts w:cs="Times New Roman"/>
          <w:szCs w:val="24"/>
        </w:rPr>
        <w:t>, sadarbību ar Tīklu</w:t>
      </w:r>
      <w:r w:rsidRPr="00631FE8">
        <w:rPr>
          <w:rFonts w:cs="Times New Roman"/>
          <w:szCs w:val="24"/>
        </w:rPr>
        <w:t xml:space="preserve"> utt., </w:t>
      </w:r>
      <w:r>
        <w:rPr>
          <w:rFonts w:cs="Times New Roman"/>
          <w:szCs w:val="24"/>
        </w:rPr>
        <w:t>AM</w:t>
      </w:r>
      <w:r w:rsidRPr="00631FE8">
        <w:rPr>
          <w:rFonts w:cs="Times New Roman"/>
          <w:szCs w:val="24"/>
        </w:rPr>
        <w:t xml:space="preserve"> NKC uzdevumu izpildei nepieciešama papildu personāla piesaiste</w:t>
      </w:r>
      <w:r>
        <w:rPr>
          <w:rFonts w:cs="Times New Roman"/>
          <w:szCs w:val="24"/>
        </w:rPr>
        <w:t>.</w:t>
      </w:r>
    </w:p>
    <w:p w14:paraId="4D3ABF98" w14:textId="77777777" w:rsidR="00BB4CE4" w:rsidRDefault="00BB4CE4" w:rsidP="00BB4CE4">
      <w:pPr>
        <w:spacing w:after="120"/>
        <w:jc w:val="both"/>
        <w:rPr>
          <w:rFonts w:cs="Times New Roman"/>
          <w:szCs w:val="24"/>
        </w:rPr>
      </w:pPr>
      <w:r>
        <w:rPr>
          <w:rFonts w:cs="Times New Roman"/>
          <w:szCs w:val="24"/>
        </w:rPr>
        <w:t>NKC tiks finansēts no vairākiem avotiem – gan no nacionālā, gan ES budžeta. Plānojot NKC budžetu, nepieciešams paredzēt finansējumu gan NKC darbības nodrošināšanai, tai skaitā papildu štata vietu izveidei uz regulas darbības laiku (no 2021. līdz 2027. gadam), gan NKC uzdevumu izpildei, tai skaitā projektu līdzfinansēšanai. Attiecībā uz NKC darbības nodrošināšanai nepieciešamajām štata vietām, īstermiņā tiks pārskatītas AM vakances</w:t>
      </w:r>
      <w:r w:rsidRPr="000D0EBE">
        <w:rPr>
          <w:rFonts w:cs="Times New Roman"/>
          <w:szCs w:val="24"/>
        </w:rPr>
        <w:t xml:space="preserve">. </w:t>
      </w:r>
      <w:r>
        <w:rPr>
          <w:rFonts w:cs="Times New Roman"/>
          <w:szCs w:val="24"/>
        </w:rPr>
        <w:t xml:space="preserve">Tādējādi šī ziņojuma mērķa sasniegšana tiks nodrošināta AM piešķirtā valsts budžeta finansējuma ietvaros. </w:t>
      </w:r>
    </w:p>
    <w:p w14:paraId="61D510B8" w14:textId="77777777" w:rsidR="00BB4CE4" w:rsidRDefault="00BB4CE4" w:rsidP="00BB4CE4">
      <w:pPr>
        <w:spacing w:after="120"/>
        <w:jc w:val="both"/>
        <w:rPr>
          <w:rFonts w:cs="Times New Roman"/>
          <w:szCs w:val="24"/>
        </w:rPr>
      </w:pPr>
      <w:r>
        <w:rPr>
          <w:rFonts w:cs="Times New Roman"/>
          <w:szCs w:val="24"/>
        </w:rPr>
        <w:t xml:space="preserve">Turpmāk paredzēts veikt nepieciešamās darbības, lai saņemtu atzinumu no Eiropas Komisijas par NKC atbilstību Regulā noteiktajām prasībām un spēju pārvaldīt ES programmu “Digitālā Eiropa” un “Apvārsnis Eiropa” ietvaros NKC funkciju īstenošanai piešķirtos grantu līdzekļus. Tikai pēc </w:t>
      </w:r>
      <w:r>
        <w:rPr>
          <w:rFonts w:cs="Times New Roman"/>
          <w:szCs w:val="24"/>
        </w:rPr>
        <w:lastRenderedPageBreak/>
        <w:t xml:space="preserve">Eiropas Komisijas atzinuma saņemšanas un minēto finanšu instrumentu attiecīgo apakšprogrammu īstenošanas uzsākšanas būs iespējams identificēt iespējamos risinājumus NKC turpmākā darba nodrošināšanai. Iespējams, nākotnē NKC būs iespēja piesaistīt ES līdzfinansējumu ar NKC darbības nodrošināšanu saistīto izmaksu segšanai, taču, ņemot vērā potenciālās izmaiņas kiberdrošības pārvaldībā, iespējams, izstrādājot nākamo informatīvo ziņojumu, būs jālemj par papildu valsts budžeta finansējuma piešķiršanu un papildu amata vietu izveidi NKC funkciju nodrošināšanai. </w:t>
      </w:r>
    </w:p>
    <w:p w14:paraId="45EF4F44" w14:textId="58AC564F" w:rsidR="00BB4CE4" w:rsidRPr="000A7B01" w:rsidRDefault="00BB4CE4" w:rsidP="00BB4CE4">
      <w:pPr>
        <w:spacing w:after="120"/>
        <w:jc w:val="both"/>
        <w:rPr>
          <w:rFonts w:cs="Times New Roman"/>
          <w:szCs w:val="24"/>
        </w:rPr>
      </w:pPr>
      <w:r>
        <w:t xml:space="preserve">Pēc ministrijas prognozēm un sākotnējo darbu apjoma analīzes </w:t>
      </w:r>
      <w:r>
        <w:rPr>
          <w:rFonts w:cs="Times New Roman"/>
          <w:szCs w:val="24"/>
        </w:rPr>
        <w:t>NKC funkciju nodrošināšanai 2021./2022. gadā būs nepieciešamas aptuveni 4 amata vietas, kuras norādītajā laika posmā plānots nodrošināt, nepalielinot AM resora kopējo amata vietu skaitu. Minētās amata vietas 2021./2022. gadā provizoriski plānots nodrošināt no valsts budžeta programmām 97.00.00 “Nozaru vadība un politikas plānošana” un/vai 30.00.00 “Valsts aizsardzības politikas realizācija”. Vienlaikus jāatzīmē, ka pašlaik nav iespējams sniegt precīzus NKC funkciju nodrošināšanai nepieciešamā personāla un citu izmaksu aprēķinus, jo paredzams, ka 2022. gadā NKC amatu vietu skaits tiks precizēts, ņemot vērā NKC darba apjomu, tai skaitā NKC koordinējamo Kopienas dalībnieku projektu skaitu un sarežģītību. Tāpat,</w:t>
      </w:r>
      <w:r w:rsidRPr="00631FE8">
        <w:rPr>
          <w:rFonts w:cs="Times New Roman"/>
        </w:rPr>
        <w:t xml:space="preserve"> ņemot vērā </w:t>
      </w:r>
      <w:r>
        <w:rPr>
          <w:rFonts w:cs="Times New Roman"/>
        </w:rPr>
        <w:t xml:space="preserve">kiberdrošības lomas pieaugumu un </w:t>
      </w:r>
      <w:r w:rsidRPr="00631FE8">
        <w:rPr>
          <w:rFonts w:cs="Times New Roman"/>
        </w:rPr>
        <w:t>diferenciāciju pa sektoriem, ES iniciatīvas kiberdrošības jomā</w:t>
      </w:r>
      <w:r w:rsidRPr="00631FE8">
        <w:rPr>
          <w:rStyle w:val="FootnoteReference"/>
          <w:rFonts w:cs="Times New Roman"/>
          <w:szCs w:val="24"/>
        </w:rPr>
        <w:footnoteReference w:id="15"/>
      </w:r>
      <w:r w:rsidRPr="00631FE8">
        <w:rPr>
          <w:rFonts w:cs="Times New Roman"/>
        </w:rPr>
        <w:t xml:space="preserve">, </w:t>
      </w:r>
      <w:r>
        <w:rPr>
          <w:rFonts w:cs="Times New Roman"/>
        </w:rPr>
        <w:t xml:space="preserve">AM ieskatā, </w:t>
      </w:r>
      <w:r w:rsidRPr="00631FE8">
        <w:rPr>
          <w:rFonts w:cs="Times New Roman"/>
        </w:rPr>
        <w:t xml:space="preserve">nepieciešams pārskatīt esošo kiberdrošības politikas pārvaldības modeli, vērtējot nepieciešamību veidot </w:t>
      </w:r>
      <w:r>
        <w:rPr>
          <w:rFonts w:cs="Times New Roman"/>
        </w:rPr>
        <w:t>sistēmu</w:t>
      </w:r>
      <w:r w:rsidRPr="00631FE8">
        <w:rPr>
          <w:rFonts w:cs="Times New Roman"/>
        </w:rPr>
        <w:t xml:space="preserve">, kas nodrošinātu NKC funkciju īstenošanu, pārstāvību Eiropas Kiberdrošības sertifikācijas grupā un koordinētu kiberdrošības sertifikācijas jautājumus. </w:t>
      </w:r>
      <w:r>
        <w:rPr>
          <w:rFonts w:cs="Times New Roman"/>
        </w:rPr>
        <w:t>Attiecīgi AM plāno līdz 202</w:t>
      </w:r>
      <w:r w:rsidR="000C639E">
        <w:rPr>
          <w:rFonts w:cs="Times New Roman"/>
        </w:rPr>
        <w:t>2</w:t>
      </w:r>
      <w:r>
        <w:rPr>
          <w:rFonts w:cs="Times New Roman"/>
        </w:rPr>
        <w:t>. gada 31. </w:t>
      </w:r>
      <w:r w:rsidR="000C639E">
        <w:rPr>
          <w:rFonts w:cs="Times New Roman"/>
        </w:rPr>
        <w:t>janvārim</w:t>
      </w:r>
      <w:r>
        <w:rPr>
          <w:rFonts w:cs="Times New Roman"/>
        </w:rPr>
        <w:t xml:space="preserve"> iesniegt izskatīšanai Ministru kabinetā informatīvo ziņojumu, kurā tiktu aprakstīta kopējā kiberdrošības pārvaldības problemātika, kā arī piedāvāts potenciāls risinājums efektīvas kiberdrošības pārvaldības sistēmai Latvijā.</w:t>
      </w:r>
      <w:r>
        <w:rPr>
          <w:rFonts w:cs="Times New Roman"/>
          <w:sz w:val="18"/>
          <w:szCs w:val="18"/>
        </w:rPr>
        <w:t xml:space="preserve"> </w:t>
      </w:r>
    </w:p>
    <w:p w14:paraId="6BFC2C95" w14:textId="77777777" w:rsidR="0095025C" w:rsidRDefault="0095025C" w:rsidP="0095025C">
      <w:pPr>
        <w:contextualSpacing/>
        <w:mirrorIndents/>
        <w:jc w:val="both"/>
        <w:rPr>
          <w:rFonts w:cs="Times New Roman"/>
          <w:szCs w:val="24"/>
        </w:rPr>
      </w:pPr>
    </w:p>
    <w:p w14:paraId="44474F35" w14:textId="77777777" w:rsidR="0095025C" w:rsidRDefault="0095025C" w:rsidP="0095025C">
      <w:pPr>
        <w:contextualSpacing/>
        <w:mirrorIndents/>
        <w:jc w:val="both"/>
        <w:rPr>
          <w:rFonts w:cs="Times New Roman"/>
          <w:szCs w:val="24"/>
        </w:rPr>
      </w:pPr>
    </w:p>
    <w:p w14:paraId="7EB6807D" w14:textId="45908B3A" w:rsidR="0095025C" w:rsidRDefault="0095025C" w:rsidP="0095025C">
      <w:pPr>
        <w:pStyle w:val="NormalWeb"/>
        <w:tabs>
          <w:tab w:val="left" w:pos="426"/>
        </w:tabs>
        <w:contextualSpacing/>
        <w:jc w:val="both"/>
        <w:rPr>
          <w:bCs/>
        </w:rPr>
      </w:pPr>
    </w:p>
    <w:p w14:paraId="553A16DF" w14:textId="77777777" w:rsidR="00350D91" w:rsidRDefault="00350D91" w:rsidP="0095025C">
      <w:pPr>
        <w:pStyle w:val="NormalWeb"/>
        <w:tabs>
          <w:tab w:val="left" w:pos="426"/>
        </w:tabs>
        <w:contextualSpacing/>
        <w:jc w:val="both"/>
        <w:rPr>
          <w:bCs/>
        </w:rPr>
      </w:pPr>
    </w:p>
    <w:p w14:paraId="62EA825E" w14:textId="1CEEFC73" w:rsidR="0095025C" w:rsidRPr="002F3C6F" w:rsidRDefault="0095025C" w:rsidP="0095025C">
      <w:pPr>
        <w:pStyle w:val="NormalWeb"/>
        <w:tabs>
          <w:tab w:val="left" w:pos="0"/>
        </w:tabs>
        <w:contextualSpacing/>
        <w:jc w:val="both"/>
        <w:rPr>
          <w:rFonts w:eastAsiaTheme="minorHAnsi"/>
          <w:bCs/>
        </w:rPr>
      </w:pPr>
      <w:r>
        <w:rPr>
          <w:bCs/>
        </w:rPr>
        <w:t>Ministru prezidenta biedrs,</w:t>
      </w:r>
      <w:r w:rsidR="002F3C6F">
        <w:rPr>
          <w:rFonts w:eastAsiaTheme="minorHAnsi"/>
          <w:bCs/>
        </w:rPr>
        <w:t xml:space="preserve"> </w:t>
      </w:r>
      <w:r>
        <w:rPr>
          <w:bCs/>
        </w:rPr>
        <w:t xml:space="preserve">aizsardzības ministrs </w:t>
      </w:r>
      <w:r>
        <w:tab/>
      </w:r>
      <w:r>
        <w:tab/>
      </w:r>
      <w:r>
        <w:tab/>
      </w:r>
      <w:r>
        <w:tab/>
        <w:t>Dr. Artis Pabriks</w:t>
      </w:r>
    </w:p>
    <w:p w14:paraId="5998384C" w14:textId="77777777" w:rsidR="0095025C" w:rsidRDefault="0095025C" w:rsidP="0095025C">
      <w:pPr>
        <w:tabs>
          <w:tab w:val="left" w:pos="426"/>
        </w:tabs>
        <w:rPr>
          <w:sz w:val="28"/>
          <w:szCs w:val="28"/>
        </w:rPr>
      </w:pPr>
    </w:p>
    <w:p w14:paraId="3FB4A7E2" w14:textId="34E2F23C" w:rsidR="0095025C" w:rsidRDefault="0095025C" w:rsidP="00350D91">
      <w:pPr>
        <w:tabs>
          <w:tab w:val="left" w:pos="426"/>
        </w:tabs>
        <w:ind w:firstLine="0"/>
        <w:rPr>
          <w:sz w:val="22"/>
        </w:rPr>
      </w:pPr>
    </w:p>
    <w:p w14:paraId="0173B294" w14:textId="77777777" w:rsidR="00350D91" w:rsidRDefault="00350D91" w:rsidP="00350D91">
      <w:pPr>
        <w:tabs>
          <w:tab w:val="left" w:pos="426"/>
        </w:tabs>
        <w:ind w:firstLine="0"/>
        <w:rPr>
          <w:sz w:val="22"/>
        </w:rPr>
      </w:pPr>
    </w:p>
    <w:p w14:paraId="10994EA3" w14:textId="77777777" w:rsidR="0095025C" w:rsidRDefault="0095025C" w:rsidP="0095025C">
      <w:pPr>
        <w:tabs>
          <w:tab w:val="left" w:pos="426"/>
        </w:tabs>
        <w:rPr>
          <w:rFonts w:cs="Times New Roman"/>
          <w:sz w:val="18"/>
          <w:szCs w:val="18"/>
        </w:rPr>
      </w:pPr>
    </w:p>
    <w:p w14:paraId="400CCC67" w14:textId="024BB2B0" w:rsidR="00350D91" w:rsidRDefault="00350D91" w:rsidP="0095025C">
      <w:pPr>
        <w:tabs>
          <w:tab w:val="left" w:pos="426"/>
        </w:tabs>
        <w:ind w:firstLine="0"/>
        <w:rPr>
          <w:rFonts w:cs="Times New Roman"/>
          <w:sz w:val="18"/>
          <w:szCs w:val="18"/>
        </w:rPr>
      </w:pPr>
      <w:r>
        <w:rPr>
          <w:rFonts w:cs="Times New Roman"/>
          <w:sz w:val="18"/>
          <w:szCs w:val="18"/>
        </w:rPr>
        <w:t>M</w:t>
      </w:r>
      <w:r w:rsidR="002F3C6F">
        <w:rPr>
          <w:rFonts w:cs="Times New Roman"/>
          <w:sz w:val="18"/>
          <w:szCs w:val="18"/>
        </w:rPr>
        <w:t>ihails</w:t>
      </w:r>
      <w:r>
        <w:rPr>
          <w:rFonts w:cs="Times New Roman"/>
          <w:sz w:val="18"/>
          <w:szCs w:val="18"/>
        </w:rPr>
        <w:t xml:space="preserve"> Potapovs, 67335354</w:t>
      </w:r>
    </w:p>
    <w:p w14:paraId="329EE6ED" w14:textId="20F52049" w:rsidR="006D391A" w:rsidRPr="008C7D3C" w:rsidRDefault="0082209A" w:rsidP="008C7D3C">
      <w:pPr>
        <w:tabs>
          <w:tab w:val="left" w:pos="426"/>
        </w:tabs>
        <w:ind w:firstLine="0"/>
        <w:rPr>
          <w:rFonts w:cs="Times New Roman"/>
          <w:sz w:val="18"/>
          <w:szCs w:val="18"/>
        </w:rPr>
      </w:pPr>
      <w:hyperlink r:id="rId21" w:history="1">
        <w:r w:rsidR="002F3C6F" w:rsidRPr="00EB3C3F">
          <w:rPr>
            <w:rStyle w:val="Hyperlink"/>
            <w:rFonts w:cs="Times New Roman"/>
            <w:sz w:val="18"/>
            <w:szCs w:val="18"/>
          </w:rPr>
          <w:t>Mihails.Potapovs@mod.gov.lv</w:t>
        </w:r>
      </w:hyperlink>
      <w:r w:rsidR="00350D91">
        <w:rPr>
          <w:rFonts w:cs="Times New Roman"/>
          <w:sz w:val="18"/>
          <w:szCs w:val="18"/>
        </w:rPr>
        <w:t xml:space="preserve"> </w:t>
      </w:r>
    </w:p>
    <w:sectPr w:rsidR="006D391A" w:rsidRPr="008C7D3C" w:rsidSect="00442452">
      <w:headerReference w:type="default" r:id="rId22"/>
      <w:footerReference w:type="default" r:id="rId23"/>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B46E36" w14:textId="77777777" w:rsidR="009930E9" w:rsidRDefault="009930E9" w:rsidP="00171B5A">
      <w:pPr>
        <w:spacing w:line="240" w:lineRule="auto"/>
      </w:pPr>
      <w:r>
        <w:separator/>
      </w:r>
    </w:p>
  </w:endnote>
  <w:endnote w:type="continuationSeparator" w:id="0">
    <w:p w14:paraId="13EA95FE" w14:textId="77777777" w:rsidR="009930E9" w:rsidRDefault="009930E9" w:rsidP="00171B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BB4CE4" w:rsidRPr="00BB4CE4" w14:paraId="141DAE51" w14:textId="77777777" w:rsidTr="00BB4CE4">
      <w:tc>
        <w:tcPr>
          <w:tcW w:w="4813" w:type="dxa"/>
        </w:tcPr>
        <w:p w14:paraId="7160F37E" w14:textId="2667F2AA" w:rsidR="00BB4CE4" w:rsidRDefault="00BB4CE4" w:rsidP="00BB4CE4">
          <w:pPr>
            <w:pStyle w:val="Footer"/>
            <w:ind w:firstLine="0"/>
          </w:pPr>
          <w:r>
            <w:rPr>
              <w:rFonts w:eastAsia="Calibri"/>
              <w:kern w:val="32"/>
              <w:sz w:val="20"/>
              <w:szCs w:val="20"/>
            </w:rPr>
            <w:fldChar w:fldCharType="begin"/>
          </w:r>
          <w:r>
            <w:rPr>
              <w:rFonts w:eastAsia="Calibri"/>
              <w:kern w:val="32"/>
              <w:sz w:val="20"/>
              <w:szCs w:val="20"/>
            </w:rPr>
            <w:instrText xml:space="preserve"> FILENAME   \* MERGEFORMAT </w:instrText>
          </w:r>
          <w:r>
            <w:rPr>
              <w:rFonts w:eastAsia="Calibri"/>
              <w:kern w:val="32"/>
              <w:sz w:val="20"/>
              <w:szCs w:val="20"/>
            </w:rPr>
            <w:fldChar w:fldCharType="separate"/>
          </w:r>
          <w:r w:rsidR="00B2563D">
            <w:rPr>
              <w:rFonts w:eastAsia="Calibri"/>
              <w:noProof/>
              <w:kern w:val="32"/>
              <w:sz w:val="20"/>
              <w:szCs w:val="20"/>
            </w:rPr>
            <w:t>21-TA-83 Informatīvais ziņojums v2</w:t>
          </w:r>
          <w:r>
            <w:rPr>
              <w:rFonts w:eastAsia="Calibri"/>
              <w:kern w:val="32"/>
              <w:sz w:val="20"/>
              <w:szCs w:val="20"/>
            </w:rPr>
            <w:fldChar w:fldCharType="end"/>
          </w:r>
          <w:r w:rsidR="00B2563D">
            <w:rPr>
              <w:rFonts w:eastAsia="Calibri"/>
              <w:kern w:val="32"/>
              <w:sz w:val="20"/>
              <w:szCs w:val="20"/>
            </w:rPr>
            <w:t>.docx</w:t>
          </w:r>
        </w:p>
      </w:tc>
      <w:tc>
        <w:tcPr>
          <w:tcW w:w="4814" w:type="dxa"/>
        </w:tcPr>
        <w:p w14:paraId="2F6A17BE" w14:textId="52267D7D" w:rsidR="00BB4CE4" w:rsidRPr="00BB4CE4" w:rsidRDefault="00BB4CE4" w:rsidP="00BB4CE4">
          <w:pPr>
            <w:pStyle w:val="Footer"/>
            <w:ind w:firstLine="0"/>
            <w:jc w:val="right"/>
            <w:rPr>
              <w:sz w:val="22"/>
            </w:rPr>
          </w:pPr>
          <w:r w:rsidRPr="00BB4CE4">
            <w:rPr>
              <w:rFonts w:cs="Times New Roman"/>
              <w:bCs/>
              <w:sz w:val="22"/>
              <w:szCs w:val="28"/>
            </w:rPr>
            <w:fldChar w:fldCharType="begin"/>
          </w:r>
          <w:r w:rsidRPr="00BB4CE4">
            <w:rPr>
              <w:rFonts w:cs="Times New Roman"/>
              <w:bCs/>
              <w:sz w:val="22"/>
              <w:szCs w:val="28"/>
            </w:rPr>
            <w:instrText xml:space="preserve"> PAGE </w:instrText>
          </w:r>
          <w:r w:rsidRPr="00BB4CE4">
            <w:rPr>
              <w:rFonts w:cs="Times New Roman"/>
              <w:bCs/>
              <w:sz w:val="22"/>
              <w:szCs w:val="28"/>
            </w:rPr>
            <w:fldChar w:fldCharType="separate"/>
          </w:r>
          <w:r w:rsidR="0082209A">
            <w:rPr>
              <w:rFonts w:cs="Times New Roman"/>
              <w:bCs/>
              <w:noProof/>
              <w:sz w:val="22"/>
              <w:szCs w:val="28"/>
            </w:rPr>
            <w:t>1</w:t>
          </w:r>
          <w:r w:rsidRPr="00BB4CE4">
            <w:rPr>
              <w:rFonts w:cs="Times New Roman"/>
              <w:bCs/>
              <w:sz w:val="22"/>
              <w:szCs w:val="28"/>
            </w:rPr>
            <w:fldChar w:fldCharType="end"/>
          </w:r>
          <w:r w:rsidRPr="00BB4CE4">
            <w:rPr>
              <w:rFonts w:cs="Times New Roman"/>
              <w:sz w:val="22"/>
              <w:szCs w:val="28"/>
            </w:rPr>
            <w:t xml:space="preserve"> – </w:t>
          </w:r>
          <w:r w:rsidRPr="00BB4CE4">
            <w:rPr>
              <w:rFonts w:cs="Times New Roman"/>
              <w:bCs/>
              <w:sz w:val="22"/>
              <w:szCs w:val="28"/>
            </w:rPr>
            <w:fldChar w:fldCharType="begin"/>
          </w:r>
          <w:r w:rsidRPr="00BB4CE4">
            <w:rPr>
              <w:rFonts w:cs="Times New Roman"/>
              <w:bCs/>
              <w:sz w:val="22"/>
              <w:szCs w:val="28"/>
            </w:rPr>
            <w:instrText xml:space="preserve"> NUMPAGES  </w:instrText>
          </w:r>
          <w:r w:rsidRPr="00BB4CE4">
            <w:rPr>
              <w:rFonts w:cs="Times New Roman"/>
              <w:bCs/>
              <w:sz w:val="22"/>
              <w:szCs w:val="28"/>
            </w:rPr>
            <w:fldChar w:fldCharType="separate"/>
          </w:r>
          <w:r w:rsidR="0082209A">
            <w:rPr>
              <w:rFonts w:cs="Times New Roman"/>
              <w:bCs/>
              <w:noProof/>
              <w:sz w:val="22"/>
              <w:szCs w:val="28"/>
            </w:rPr>
            <w:t>12</w:t>
          </w:r>
          <w:r w:rsidRPr="00BB4CE4">
            <w:rPr>
              <w:rFonts w:cs="Times New Roman"/>
              <w:bCs/>
              <w:sz w:val="22"/>
              <w:szCs w:val="28"/>
            </w:rPr>
            <w:fldChar w:fldCharType="end"/>
          </w:r>
        </w:p>
      </w:tc>
    </w:tr>
  </w:tbl>
  <w:p w14:paraId="51B5082E" w14:textId="77777777" w:rsidR="00BB4CE4" w:rsidRPr="00BB4CE4" w:rsidRDefault="00BB4CE4" w:rsidP="00BB4CE4">
    <w:pPr>
      <w:ind w:firstLine="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FC8D6" w14:textId="77777777" w:rsidR="009930E9" w:rsidRDefault="009930E9" w:rsidP="00171B5A">
      <w:pPr>
        <w:spacing w:line="240" w:lineRule="auto"/>
      </w:pPr>
      <w:r>
        <w:separator/>
      </w:r>
    </w:p>
  </w:footnote>
  <w:footnote w:type="continuationSeparator" w:id="0">
    <w:p w14:paraId="09019A33" w14:textId="77777777" w:rsidR="009930E9" w:rsidRDefault="009930E9" w:rsidP="00171B5A">
      <w:pPr>
        <w:spacing w:line="240" w:lineRule="auto"/>
      </w:pPr>
      <w:r>
        <w:continuationSeparator/>
      </w:r>
    </w:p>
  </w:footnote>
  <w:footnote w:id="1">
    <w:p w14:paraId="2C92B679" w14:textId="2BBA428A" w:rsidR="0095025C" w:rsidRPr="005B4E03" w:rsidRDefault="0095025C" w:rsidP="0095025C">
      <w:pPr>
        <w:pStyle w:val="FootnoteText"/>
        <w:rPr>
          <w:rFonts w:cs="Times New Roman"/>
        </w:rPr>
      </w:pPr>
      <w:r>
        <w:rPr>
          <w:rStyle w:val="FootnoteReference"/>
        </w:rPr>
        <w:footnoteRef/>
      </w:r>
      <w:r>
        <w:t xml:space="preserve"> </w:t>
      </w:r>
      <w:r w:rsidR="009934B1">
        <w:rPr>
          <w:rFonts w:cs="Times New Roman"/>
        </w:rPr>
        <w:t>Regula, pieejama</w:t>
      </w:r>
      <w:r>
        <w:rPr>
          <w:rFonts w:cs="Times New Roman"/>
        </w:rPr>
        <w:t xml:space="preserve">: </w:t>
      </w:r>
      <w:hyperlink r:id="rId1" w:history="1">
        <w:r w:rsidRPr="00555B78">
          <w:rPr>
            <w:rStyle w:val="Hyperlink"/>
            <w:rFonts w:cs="Times New Roman"/>
          </w:rPr>
          <w:t>https://eur-lex.europa.eu/eli/reg/2021/887/oj</w:t>
        </w:r>
      </w:hyperlink>
    </w:p>
  </w:footnote>
  <w:footnote w:id="2">
    <w:p w14:paraId="136F17ED" w14:textId="7E1C6EE3" w:rsidR="0095025C" w:rsidRDefault="0095025C" w:rsidP="00111E77">
      <w:pPr>
        <w:pStyle w:val="FootnoteText"/>
      </w:pPr>
      <w:r>
        <w:rPr>
          <w:rStyle w:val="FootnoteReference"/>
        </w:rPr>
        <w:footnoteRef/>
      </w:r>
      <w:r>
        <w:t xml:space="preserve"> </w:t>
      </w:r>
      <w:r w:rsidRPr="00111E77">
        <w:t>Komisijas ietekmes novērtējums</w:t>
      </w:r>
      <w:r w:rsidR="00111E77" w:rsidRPr="00111E77">
        <w:t>,</w:t>
      </w:r>
      <w:r w:rsidRPr="00111E77">
        <w:t xml:space="preserve"> pieejams: </w:t>
      </w:r>
      <w:hyperlink r:id="rId2" w:history="1">
        <w:r w:rsidRPr="00111E77">
          <w:rPr>
            <w:rStyle w:val="Hyperlink"/>
          </w:rPr>
          <w:t>https://eur-lex.europa.eu/legal-content/EN/TXT/?qid=1537349553647&amp;uri=CELEX:52018SC0403</w:t>
        </w:r>
      </w:hyperlink>
    </w:p>
  </w:footnote>
  <w:footnote w:id="3">
    <w:p w14:paraId="27F59C04" w14:textId="13EDD584" w:rsidR="0095025C" w:rsidRDefault="0095025C" w:rsidP="0095025C">
      <w:pPr>
        <w:pStyle w:val="FootnoteText"/>
        <w:jc w:val="both"/>
      </w:pPr>
      <w:r>
        <w:rPr>
          <w:rStyle w:val="FootnoteReference"/>
        </w:rPr>
        <w:footnoteRef/>
      </w:r>
      <w:r>
        <w:t xml:space="preserve"> </w:t>
      </w:r>
      <w:r w:rsidR="009934B1" w:rsidRPr="00111E77">
        <w:rPr>
          <w:rStyle w:val="Hyperlink"/>
          <w:rFonts w:cs="Times New Roman"/>
          <w:color w:val="auto"/>
          <w:u w:val="none"/>
        </w:rPr>
        <w:t>Eiropas Parlamenta un Padomes 2021. gada 29. aprīļa Regula</w:t>
      </w:r>
      <w:r w:rsidR="009934B1">
        <w:rPr>
          <w:rFonts w:cs="Times New Roman"/>
        </w:rPr>
        <w:t xml:space="preserve"> (ES) 2021/694, ar ko izveido programmu “Digitālā Eiropa” un atceļ Lēmumu (ES) 2015/2240, pieejama: </w:t>
      </w:r>
      <w:hyperlink r:id="rId3" w:tooltip="Gives access to this document through its ELI URI." w:history="1">
        <w:r w:rsidR="009934B1" w:rsidRPr="009934B1">
          <w:rPr>
            <w:rStyle w:val="Hyperlink"/>
            <w:rFonts w:cs="Times New Roman"/>
          </w:rPr>
          <w:t>http://data.europa.eu/eli/reg/2021/694/oj</w:t>
        </w:r>
      </w:hyperlink>
      <w:r w:rsidR="009934B1">
        <w:rPr>
          <w:rFonts w:cs="Times New Roman"/>
        </w:rPr>
        <w:t xml:space="preserve">. </w:t>
      </w:r>
    </w:p>
  </w:footnote>
  <w:footnote w:id="4">
    <w:p w14:paraId="146F12C8" w14:textId="77777777" w:rsidR="0095025C" w:rsidRDefault="0095025C" w:rsidP="0095025C">
      <w:pPr>
        <w:pStyle w:val="FootnoteText"/>
        <w:jc w:val="both"/>
      </w:pPr>
      <w:r>
        <w:rPr>
          <w:rStyle w:val="FootnoteReference"/>
        </w:rPr>
        <w:footnoteRef/>
      </w:r>
      <w:r>
        <w:t xml:space="preserve"> Eiropas Parlamenta un Padomes 2021. gada 28. aprīļa Regula (ES) Nr. 2021/695 ar ko izveido pētniecības un inovācijas pamatprogrammu “Apvārsnis Eiropa”, nosaka tās dalības rezultātu izplatīšanas noteikumus un atceļ Regulas (ES) Nr. 1290/2013 un (ES) Nr. 1291/2013</w:t>
      </w:r>
      <w:r>
        <w:rPr>
          <w:rFonts w:cs="Times New Roman"/>
        </w:rPr>
        <w:t>, pieejams:</w:t>
      </w:r>
      <w:r w:rsidRPr="004E0305">
        <w:t xml:space="preserve"> </w:t>
      </w:r>
      <w:hyperlink r:id="rId4" w:history="1">
        <w:r w:rsidRPr="00C64986">
          <w:rPr>
            <w:rStyle w:val="Hyperlink"/>
            <w:rFonts w:cs="Times New Roman"/>
          </w:rPr>
          <w:t>http://data.europa.eu/eli/reg/2021/695/oj</w:t>
        </w:r>
      </w:hyperlink>
      <w:r>
        <w:rPr>
          <w:rFonts w:cs="Times New Roman"/>
        </w:rPr>
        <w:t xml:space="preserve">. </w:t>
      </w:r>
    </w:p>
  </w:footnote>
  <w:footnote w:id="5">
    <w:p w14:paraId="04304785" w14:textId="2983ABF0" w:rsidR="0095025C" w:rsidRDefault="0095025C" w:rsidP="0095025C">
      <w:pPr>
        <w:pStyle w:val="FootnoteText"/>
        <w:jc w:val="both"/>
      </w:pPr>
      <w:r>
        <w:rPr>
          <w:rStyle w:val="FootnoteReference"/>
        </w:rPr>
        <w:footnoteRef/>
      </w:r>
      <w:r>
        <w:t xml:space="preserve"> </w:t>
      </w:r>
      <w:r w:rsidR="00125172">
        <w:t xml:space="preserve">Kopīgās </w:t>
      </w:r>
      <w:r>
        <w:t>darbības (</w:t>
      </w:r>
      <w:r w:rsidRPr="00BB3727">
        <w:rPr>
          <w:i/>
        </w:rPr>
        <w:t>joint actions</w:t>
      </w:r>
      <w:r>
        <w:t>) – darbības, kas iekļautas ikgadējā darba programmā un saņem ieguldījumus gan no kādas no finanšu programmām, gan ieguldījumu no vienas vai vairākām dalībvalstīm.</w:t>
      </w:r>
    </w:p>
  </w:footnote>
  <w:footnote w:id="6">
    <w:p w14:paraId="4B346A05" w14:textId="5533F4A1" w:rsidR="0095025C" w:rsidRDefault="0095025C" w:rsidP="0095025C">
      <w:pPr>
        <w:pStyle w:val="FootnoteText"/>
      </w:pPr>
      <w:r>
        <w:rPr>
          <w:rStyle w:val="FootnoteReference"/>
        </w:rPr>
        <w:footnoteRef/>
      </w:r>
      <w:r>
        <w:t xml:space="preserve"> </w:t>
      </w:r>
      <w:r w:rsidR="0082209A">
        <w:t>Eiropas Parlamenta un Padomes</w:t>
      </w:r>
      <w:r w:rsidR="0082209A">
        <w:t xml:space="preserve"> 2021. gada 28. aprīļa</w:t>
      </w:r>
      <w:r w:rsidR="0082209A">
        <w:t xml:space="preserve"> Regula (ES) 2021/695, ar ko izveido pētniecības un inovācijas pamatprogrammu “Apvārsnis Eiropa”, nosaka tās dalības un rezultātu izplatīšanas noteikumus un atceļ Regulas (ES) Nr. 1290/2013 un (ES) Nr. 1291/2013</w:t>
      </w:r>
      <w:r>
        <w:t xml:space="preserve">, pieejams: </w:t>
      </w:r>
      <w:hyperlink r:id="rId5" w:history="1">
        <w:r w:rsidR="0082209A" w:rsidRPr="001B0ED1">
          <w:rPr>
            <w:rStyle w:val="Hyperlink"/>
          </w:rPr>
          <w:t>http://data.europa.eu/eli/reg/2021/695/oj</w:t>
        </w:r>
      </w:hyperlink>
      <w:r w:rsidR="0082209A">
        <w:t xml:space="preserve">. </w:t>
      </w:r>
    </w:p>
  </w:footnote>
  <w:footnote w:id="7">
    <w:p w14:paraId="34D41E34" w14:textId="499B3D93" w:rsidR="0095025C" w:rsidRPr="00D66BA9" w:rsidRDefault="0095025C" w:rsidP="0095025C">
      <w:pPr>
        <w:pStyle w:val="FootnoteText"/>
        <w:rPr>
          <w:spacing w:val="-4"/>
        </w:rPr>
      </w:pPr>
      <w:r w:rsidRPr="00D66BA9">
        <w:rPr>
          <w:rStyle w:val="FootnoteReference"/>
          <w:spacing w:val="-2"/>
        </w:rPr>
        <w:footnoteRef/>
      </w:r>
      <w:r w:rsidRPr="00D66BA9">
        <w:rPr>
          <w:spacing w:val="-2"/>
        </w:rPr>
        <w:t xml:space="preserve"> </w:t>
      </w:r>
      <w:r w:rsidR="009934B1" w:rsidRPr="00D66BA9">
        <w:rPr>
          <w:spacing w:val="-2"/>
          <w:szCs w:val="24"/>
        </w:rPr>
        <w:t>Informatīvais ziņojums “Par nacionālo pārstāvju noteikšanu Eiropas kiberdrošības industriālā, tehnoloģiskā un</w:t>
      </w:r>
      <w:r w:rsidR="009934B1" w:rsidRPr="009934B1">
        <w:rPr>
          <w:spacing w:val="-2"/>
          <w:szCs w:val="24"/>
        </w:rPr>
        <w:t xml:space="preserve"> </w:t>
      </w:r>
      <w:r w:rsidR="009934B1" w:rsidRPr="00D66BA9">
        <w:rPr>
          <w:spacing w:val="-4"/>
          <w:szCs w:val="24"/>
        </w:rPr>
        <w:t>zinātniskā kompetenču centra valdē</w:t>
      </w:r>
      <w:r w:rsidR="009934B1" w:rsidRPr="00D66BA9">
        <w:rPr>
          <w:spacing w:val="-4"/>
        </w:rPr>
        <w:t xml:space="preserve">, pieejams: </w:t>
      </w:r>
      <w:hyperlink r:id="rId6" w:history="1">
        <w:r w:rsidR="00111E77" w:rsidRPr="00DC48F3">
          <w:rPr>
            <w:rStyle w:val="Hyperlink"/>
            <w:spacing w:val="-4"/>
          </w:rPr>
          <w:t>http://tap.mk.gov.lv/lv/mk/tap/?pid=40499236&amp;mode=mk&amp;date=2021-03-24</w:t>
        </w:r>
      </w:hyperlink>
      <w:r w:rsidR="00D66BA9">
        <w:rPr>
          <w:spacing w:val="-4"/>
        </w:rPr>
        <w:t>.</w:t>
      </w:r>
    </w:p>
  </w:footnote>
  <w:footnote w:id="8">
    <w:p w14:paraId="4A416663" w14:textId="04858640" w:rsidR="006E59CF" w:rsidRDefault="006E59CF">
      <w:pPr>
        <w:pStyle w:val="FootnoteText"/>
      </w:pPr>
      <w:r>
        <w:rPr>
          <w:rStyle w:val="FootnoteReference"/>
        </w:rPr>
        <w:footnoteRef/>
      </w:r>
      <w:r>
        <w:t xml:space="preserve"> EK vadlīnijas, pieejamas: </w:t>
      </w:r>
      <w:hyperlink r:id="rId7" w:history="1">
        <w:r w:rsidRPr="00EB3C3F">
          <w:rPr>
            <w:rStyle w:val="Hyperlink"/>
          </w:rPr>
          <w:t>https://digital-strategy.ec.europa.eu/en/library/guidelines-assessment-capacity-national-coordination-centres-manage-funds-fulfil-mission-and</w:t>
        </w:r>
      </w:hyperlink>
      <w:r>
        <w:t xml:space="preserve">. </w:t>
      </w:r>
    </w:p>
  </w:footnote>
  <w:footnote w:id="9">
    <w:p w14:paraId="4897894E" w14:textId="77777777" w:rsidR="0095025C" w:rsidRDefault="0095025C" w:rsidP="0095025C">
      <w:pPr>
        <w:pStyle w:val="FootnoteText"/>
        <w:jc w:val="both"/>
      </w:pPr>
      <w:r>
        <w:rPr>
          <w:rStyle w:val="FootnoteReference"/>
        </w:rPr>
        <w:footnoteRef/>
      </w:r>
      <w:r>
        <w:t xml:space="preserve"> Saskaņā ar Eiropas Parlamenta un Padomes 2019. gada 17. aprīļa Regulu (ES) Nr. 2019/881 par ENISA (Eiropas Savienības Kiberdrošības aģentūra) un par informācijas un komunikācijas tehnoloģiju kiberdrošības </w:t>
      </w:r>
      <w:r w:rsidRPr="0066648D">
        <w:rPr>
          <w:spacing w:val="-2"/>
        </w:rPr>
        <w:t xml:space="preserve">sertifikāciju, un ar ko atceļ Regulu (ES) Nr. 526/2013 (Kiberdrošības akts), pieejams </w:t>
      </w:r>
      <w:hyperlink r:id="rId8" w:history="1">
        <w:r w:rsidRPr="0066648D">
          <w:rPr>
            <w:rStyle w:val="Hyperlink"/>
            <w:spacing w:val="-2"/>
          </w:rPr>
          <w:t>http://data.europa.eu/eli/2019/881/oj</w:t>
        </w:r>
      </w:hyperlink>
      <w:r w:rsidRPr="0066648D">
        <w:rPr>
          <w:spacing w:val="-2"/>
        </w:rPr>
        <w:t>.</w:t>
      </w:r>
      <w:r>
        <w:t xml:space="preserve"> </w:t>
      </w:r>
    </w:p>
  </w:footnote>
  <w:footnote w:id="10">
    <w:p w14:paraId="787B5C0F" w14:textId="77777777" w:rsidR="0095025C" w:rsidRDefault="0095025C" w:rsidP="0095025C">
      <w:pPr>
        <w:pStyle w:val="FootnoteText"/>
      </w:pPr>
      <w:r>
        <w:rPr>
          <w:rStyle w:val="FootnoteReference"/>
        </w:rPr>
        <w:footnoteRef/>
      </w:r>
      <w:r>
        <w:t xml:space="preserve"> Informatīvais ziņojums </w:t>
      </w:r>
      <w:r w:rsidRPr="00971E2B">
        <w:t>"Par nacionālo pārstāvju noteikšanu Eiropas kiberdrošības industriālā, tehnoloģiskā un zinātniskā kompetenču centra valdē"</w:t>
      </w:r>
      <w:r>
        <w:t xml:space="preserve">. Pieejams: </w:t>
      </w:r>
      <w:hyperlink r:id="rId9" w:history="1">
        <w:r w:rsidRPr="00C64986">
          <w:rPr>
            <w:rStyle w:val="Hyperlink"/>
          </w:rPr>
          <w:t>http://tap.mk.gov.lv/lv/mk/tap/?pid=40499236&amp;mode=mk&amp;date=2021-03-24</w:t>
        </w:r>
      </w:hyperlink>
      <w:r>
        <w:t xml:space="preserve">. </w:t>
      </w:r>
    </w:p>
  </w:footnote>
  <w:footnote w:id="11">
    <w:p w14:paraId="0AFCF5BE" w14:textId="5832E466" w:rsidR="0062628C" w:rsidRPr="006D788C" w:rsidRDefault="0062628C" w:rsidP="0062628C">
      <w:pPr>
        <w:spacing w:line="240" w:lineRule="auto"/>
        <w:jc w:val="both"/>
        <w:rPr>
          <w:rFonts w:cs="Times New Roman"/>
          <w:sz w:val="20"/>
          <w:szCs w:val="20"/>
        </w:rPr>
      </w:pPr>
      <w:r w:rsidRPr="006D788C">
        <w:rPr>
          <w:rStyle w:val="FootnoteCharacters"/>
          <w:rFonts w:cs="Times New Roman"/>
          <w:sz w:val="20"/>
          <w:szCs w:val="20"/>
        </w:rPr>
        <w:footnoteRef/>
      </w:r>
      <w:r w:rsidRPr="006D788C">
        <w:rPr>
          <w:rFonts w:cs="Times New Roman"/>
          <w:sz w:val="20"/>
          <w:szCs w:val="20"/>
        </w:rPr>
        <w:t xml:space="preserve"> Informatīvais ziņojums “Par valsts informācijas un komunikācijas tehnoloģiju resursu un kompe</w:t>
      </w:r>
      <w:r w:rsidR="009934B1">
        <w:rPr>
          <w:rFonts w:cs="Times New Roman"/>
          <w:sz w:val="20"/>
          <w:szCs w:val="20"/>
        </w:rPr>
        <w:t xml:space="preserve">tenču konsolidāciju”, pieejams: </w:t>
      </w:r>
      <w:hyperlink r:id="rId10" w:history="1">
        <w:r w:rsidR="009934B1" w:rsidRPr="006B6535">
          <w:rPr>
            <w:rStyle w:val="Hyperlink"/>
            <w:rFonts w:cs="Times New Roman"/>
            <w:sz w:val="20"/>
            <w:szCs w:val="20"/>
          </w:rPr>
          <w:t>https://tapportals.mk.gov.lv/legal_acts?search%5Bquery%5D=21-TA-331</w:t>
        </w:r>
      </w:hyperlink>
      <w:r w:rsidR="009934B1">
        <w:rPr>
          <w:rFonts w:cs="Times New Roman"/>
          <w:sz w:val="20"/>
          <w:szCs w:val="20"/>
        </w:rPr>
        <w:t xml:space="preserve">. </w:t>
      </w:r>
    </w:p>
  </w:footnote>
  <w:footnote w:id="12">
    <w:p w14:paraId="2F87ACC7" w14:textId="77777777" w:rsidR="0095025C" w:rsidRDefault="0095025C" w:rsidP="0095025C">
      <w:pPr>
        <w:pStyle w:val="FootnoteText"/>
      </w:pPr>
      <w:r>
        <w:rPr>
          <w:rStyle w:val="FootnoteReference"/>
        </w:rPr>
        <w:footnoteRef/>
      </w:r>
      <w:r>
        <w:t xml:space="preserve"> Pamatprogramma “Apvārsnis Eiropa” paredzēta kā programmas “Apvārsnis 2020” turpinājums.</w:t>
      </w:r>
    </w:p>
  </w:footnote>
  <w:footnote w:id="13">
    <w:p w14:paraId="02FC158E" w14:textId="38A492BC" w:rsidR="0095025C" w:rsidRPr="00510D6A" w:rsidRDefault="0095025C" w:rsidP="0095025C">
      <w:pPr>
        <w:pStyle w:val="FootnoteText"/>
        <w:jc w:val="both"/>
      </w:pPr>
      <w:r>
        <w:rPr>
          <w:rStyle w:val="FootnoteReference"/>
        </w:rPr>
        <w:footnoteRef/>
      </w:r>
      <w:r>
        <w:t xml:space="preserve"> Ministru kabineta 2020.</w:t>
      </w:r>
      <w:r w:rsidR="00111E77">
        <w:t> </w:t>
      </w:r>
      <w:r>
        <w:t>gada 29.</w:t>
      </w:r>
      <w:r w:rsidR="00111E77">
        <w:t> </w:t>
      </w:r>
      <w:r>
        <w:t>septe</w:t>
      </w:r>
      <w:r w:rsidR="00111E77">
        <w:t>mbra sēdes protokola Nr. 56 59.</w:t>
      </w:r>
      <w:r>
        <w:rPr>
          <w:rFonts w:cs="Times New Roman"/>
        </w:rPr>
        <w:t>§,</w:t>
      </w:r>
      <w:r>
        <w:t xml:space="preserve"> i</w:t>
      </w:r>
      <w:r w:rsidRPr="002F0F6F">
        <w:t>nformatīvais ziņojums "Par nepieciešamo rīcību, lai sagatavotu priekšnosacījumus Eiropas Digitālās inovācijas centru izveidei Latvijas Republikā atbilstoši Eiropas Parlamenta un Padomes regulas priekšlikumam, ar ko laikposmam no 2021. līdz 2027.</w:t>
      </w:r>
      <w:r w:rsidR="00111E77">
        <w:t> </w:t>
      </w:r>
      <w:r w:rsidRPr="002F0F6F">
        <w:t>gadam izveido Digitālās Eiropas programmu"</w:t>
      </w:r>
      <w:r>
        <w:t>.</w:t>
      </w:r>
    </w:p>
  </w:footnote>
  <w:footnote w:id="14">
    <w:p w14:paraId="1BD39219" w14:textId="4625C41B" w:rsidR="0095025C" w:rsidRDefault="0095025C" w:rsidP="0095025C">
      <w:pPr>
        <w:pStyle w:val="FootnoteText"/>
      </w:pPr>
      <w:r>
        <w:rPr>
          <w:rStyle w:val="FootnoteReference"/>
        </w:rPr>
        <w:footnoteRef/>
      </w:r>
      <w:r>
        <w:t xml:space="preserve"> Aptauja pieejama: </w:t>
      </w:r>
      <w:hyperlink r:id="rId11" w:history="1">
        <w:r w:rsidR="00111E77" w:rsidRPr="00DC48F3">
          <w:rPr>
            <w:rStyle w:val="Hyperlink"/>
          </w:rPr>
          <w:t>https://ec.europa.eu/jrc/en/research-topic/cybersecurity/cybersecurity-competence-survey</w:t>
        </w:r>
      </w:hyperlink>
      <w:r w:rsidR="00111E77">
        <w:t>.</w:t>
      </w:r>
    </w:p>
  </w:footnote>
  <w:footnote w:id="15">
    <w:p w14:paraId="08C0B72D" w14:textId="19D42338" w:rsidR="00BB4CE4" w:rsidRPr="00510D6A" w:rsidRDefault="00BB4CE4" w:rsidP="00BB4CE4">
      <w:pPr>
        <w:pStyle w:val="FootnoteText"/>
        <w:jc w:val="both"/>
      </w:pPr>
      <w:r>
        <w:rPr>
          <w:rStyle w:val="FootnoteReference"/>
        </w:rPr>
        <w:footnoteRef/>
      </w:r>
      <w:r>
        <w:t xml:space="preserve"> </w:t>
      </w:r>
      <w:r w:rsidRPr="00045D10">
        <w:t>2020.</w:t>
      </w:r>
      <w:r>
        <w:t xml:space="preserve"> </w:t>
      </w:r>
      <w:r w:rsidRPr="00045D10">
        <w:t xml:space="preserve">gada </w:t>
      </w:r>
      <w:r>
        <w:t>16. decembrī</w:t>
      </w:r>
      <w:r w:rsidRPr="00045D10">
        <w:t xml:space="preserve"> Eiropas Komisija nāca klajā ar jaunu </w:t>
      </w:r>
      <w:r w:rsidRPr="007C4BF0">
        <w:t>ES Kiberdrošības stratēģiju digitālajai desmitgadei</w:t>
      </w:r>
      <w:r>
        <w:t xml:space="preserve"> </w:t>
      </w:r>
      <w:r w:rsidR="00111E77">
        <w:t xml:space="preserve">(pieejams: </w:t>
      </w:r>
      <w:hyperlink r:id="rId12" w:history="1">
        <w:r w:rsidR="00111E77" w:rsidRPr="00DC48F3">
          <w:rPr>
            <w:rStyle w:val="Hyperlink"/>
          </w:rPr>
          <w:t>https://eur-lex.europa.eu/legal-content/LV/ALL/?uri=CELEX:52020JC0018</w:t>
        </w:r>
      </w:hyperlink>
      <w:r w:rsidR="00111E77">
        <w:t xml:space="preserve">) </w:t>
      </w:r>
      <w:r w:rsidRPr="00045D10">
        <w:t xml:space="preserve">un </w:t>
      </w:r>
      <w:r w:rsidRPr="00111E77">
        <w:t>priekšlikumu direktīvai par pasākumiem nolūkā panākt vienādi augsta līmeņa kiberdrošību visā Savienībā</w:t>
      </w:r>
      <w:r w:rsidR="00111E77">
        <w:t xml:space="preserve"> (pieejams: </w:t>
      </w:r>
      <w:hyperlink r:id="rId13" w:history="1">
        <w:r w:rsidR="00111E77" w:rsidRPr="00DC48F3">
          <w:rPr>
            <w:rStyle w:val="Hyperlink"/>
          </w:rPr>
          <w:t>https://eur-lex.europa.eu/legal-content/LV/ALL/?uri=CELEX:52020PC0823</w:t>
        </w:r>
      </w:hyperlink>
      <w:r w:rsidR="00111E77">
        <w:t>),</w:t>
      </w:r>
      <w:r>
        <w:t xml:space="preserve"> kā arī</w:t>
      </w:r>
      <w:r w:rsidRPr="00045D10">
        <w:t xml:space="preserve"> </w:t>
      </w:r>
      <w:r w:rsidRPr="00111E77">
        <w:t>priekšlikumu direktīvai</w:t>
      </w:r>
      <w:r w:rsidR="00111E77">
        <w:t xml:space="preserve"> par kritisko vienību noturību (pieejams: </w:t>
      </w:r>
      <w:hyperlink r:id="rId14" w:history="1">
        <w:r w:rsidR="00111E77" w:rsidRPr="00DC48F3">
          <w:rPr>
            <w:rStyle w:val="Hyperlink"/>
          </w:rPr>
          <w:t>https://eur-lex.europa.eu/legal-content/LV/TXT/?uri=CELEX:52020PC0829</w:t>
        </w:r>
      </w:hyperlink>
      <w:r w:rsidR="00111E7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D0C7A" w14:textId="7D322D6A" w:rsidR="009802D4" w:rsidRDefault="009802D4">
    <w:pPr>
      <w:pStyle w:val="Header"/>
      <w:jc w:val="center"/>
    </w:pPr>
  </w:p>
  <w:p w14:paraId="508BE4A3" w14:textId="77777777" w:rsidR="009802D4" w:rsidRDefault="00980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E2240"/>
    <w:multiLevelType w:val="hybridMultilevel"/>
    <w:tmpl w:val="47782C54"/>
    <w:lvl w:ilvl="0" w:tplc="B4162E32">
      <w:start w:val="1"/>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23F6346"/>
    <w:multiLevelType w:val="hybridMultilevel"/>
    <w:tmpl w:val="0FC0803E"/>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2" w15:restartNumberingAfterBreak="0">
    <w:nsid w:val="03D3761E"/>
    <w:multiLevelType w:val="hybridMultilevel"/>
    <w:tmpl w:val="71A6637E"/>
    <w:lvl w:ilvl="0" w:tplc="10444B54">
      <w:start w:val="1"/>
      <w:numFmt w:val="decimal"/>
      <w:lvlText w:val="%1."/>
      <w:lvlJc w:val="left"/>
      <w:pPr>
        <w:ind w:left="5180" w:hanging="360"/>
      </w:pPr>
      <w:rPr>
        <w:rFonts w:hint="default"/>
      </w:rPr>
    </w:lvl>
    <w:lvl w:ilvl="1" w:tplc="3E7A4D7C">
      <w:start w:val="1"/>
      <w:numFmt w:val="decimal"/>
      <w:lvlText w:val="%2)"/>
      <w:lvlJc w:val="left"/>
      <w:pPr>
        <w:ind w:left="221" w:firstLine="630"/>
      </w:pPr>
      <w:rPr>
        <w:rFonts w:hint="default"/>
      </w:r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3" w15:restartNumberingAfterBreak="0">
    <w:nsid w:val="0B655666"/>
    <w:multiLevelType w:val="hybridMultilevel"/>
    <w:tmpl w:val="B14AEC34"/>
    <w:lvl w:ilvl="0" w:tplc="B4162E32">
      <w:start w:val="1"/>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0CA713E9"/>
    <w:multiLevelType w:val="hybridMultilevel"/>
    <w:tmpl w:val="4CE4343A"/>
    <w:lvl w:ilvl="0" w:tplc="427C1606">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11645F2A"/>
    <w:multiLevelType w:val="hybridMultilevel"/>
    <w:tmpl w:val="820C9428"/>
    <w:lvl w:ilvl="0" w:tplc="6C2E94DE">
      <w:numFmt w:val="bullet"/>
      <w:lvlText w:val="-"/>
      <w:lvlJc w:val="left"/>
      <w:pPr>
        <w:ind w:left="90" w:firstLine="630"/>
      </w:pPr>
      <w:rPr>
        <w:rFonts w:ascii="Times New Roman" w:eastAsiaTheme="minorEastAsia" w:hAnsi="Times New Roman"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13B94B10"/>
    <w:multiLevelType w:val="hybridMultilevel"/>
    <w:tmpl w:val="B1407066"/>
    <w:lvl w:ilvl="0" w:tplc="04260017">
      <w:start w:val="1"/>
      <w:numFmt w:val="lowerLetter"/>
      <w:lvlText w:val="%1)"/>
      <w:lvlJc w:val="left"/>
      <w:pPr>
        <w:ind w:left="1069" w:hanging="360"/>
      </w:p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7" w15:restartNumberingAfterBreak="0">
    <w:nsid w:val="150F0D66"/>
    <w:multiLevelType w:val="hybridMultilevel"/>
    <w:tmpl w:val="8CE262B4"/>
    <w:lvl w:ilvl="0" w:tplc="B4162E32">
      <w:start w:val="1"/>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06A3C20"/>
    <w:multiLevelType w:val="hybridMultilevel"/>
    <w:tmpl w:val="CB8A21DE"/>
    <w:lvl w:ilvl="0" w:tplc="04260011">
      <w:start w:val="1"/>
      <w:numFmt w:val="decimal"/>
      <w:lvlText w:val="%1)"/>
      <w:lvlJc w:val="left"/>
      <w:pPr>
        <w:ind w:left="1069" w:hanging="360"/>
      </w:p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0" w15:restartNumberingAfterBreak="0">
    <w:nsid w:val="20EF30F5"/>
    <w:multiLevelType w:val="hybridMultilevel"/>
    <w:tmpl w:val="A0E620A0"/>
    <w:lvl w:ilvl="0" w:tplc="D944A5CA">
      <w:start w:val="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5C940F4"/>
    <w:multiLevelType w:val="hybridMultilevel"/>
    <w:tmpl w:val="B994188C"/>
    <w:lvl w:ilvl="0" w:tplc="04260011">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6B94430"/>
    <w:multiLevelType w:val="multilevel"/>
    <w:tmpl w:val="498E2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0F5C0C"/>
    <w:multiLevelType w:val="hybridMultilevel"/>
    <w:tmpl w:val="85E669B4"/>
    <w:lvl w:ilvl="0" w:tplc="2424BF04">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2E7743F8"/>
    <w:multiLevelType w:val="hybridMultilevel"/>
    <w:tmpl w:val="019885D4"/>
    <w:lvl w:ilvl="0" w:tplc="A4C0EDB6">
      <w:numFmt w:val="bullet"/>
      <w:lvlText w:val="-"/>
      <w:lvlJc w:val="left"/>
      <w:pPr>
        <w:ind w:left="1080" w:hanging="360"/>
      </w:pPr>
      <w:rPr>
        <w:rFonts w:ascii="Times New Roman" w:eastAsiaTheme="minorEastAsia"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31030794"/>
    <w:multiLevelType w:val="hybridMultilevel"/>
    <w:tmpl w:val="D7E02632"/>
    <w:lvl w:ilvl="0" w:tplc="89E6A476">
      <w:start w:val="2"/>
      <w:numFmt w:val="bullet"/>
      <w:lvlText w:val="-"/>
      <w:lvlJc w:val="left"/>
      <w:pPr>
        <w:ind w:left="1069" w:hanging="360"/>
      </w:pPr>
      <w:rPr>
        <w:rFonts w:ascii="Times New Roman" w:eastAsiaTheme="minorEastAsia"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6" w15:restartNumberingAfterBreak="0">
    <w:nsid w:val="33700969"/>
    <w:multiLevelType w:val="hybridMultilevel"/>
    <w:tmpl w:val="618A7B22"/>
    <w:lvl w:ilvl="0" w:tplc="FCE0C428">
      <w:start w:val="1"/>
      <w:numFmt w:val="bullet"/>
      <w:lvlText w:val="-"/>
      <w:lvlJc w:val="left"/>
      <w:pPr>
        <w:ind w:left="6840" w:hanging="360"/>
      </w:pPr>
      <w:rPr>
        <w:rFonts w:ascii="Times New Roman" w:eastAsia="Times New Roman" w:hAnsi="Times New Roman" w:cs="Times New Roman" w:hint="default"/>
      </w:rPr>
    </w:lvl>
    <w:lvl w:ilvl="1" w:tplc="04260003" w:tentative="1">
      <w:start w:val="1"/>
      <w:numFmt w:val="bullet"/>
      <w:lvlText w:val="o"/>
      <w:lvlJc w:val="left"/>
      <w:pPr>
        <w:ind w:left="7353" w:hanging="360"/>
      </w:pPr>
      <w:rPr>
        <w:rFonts w:ascii="Courier New" w:hAnsi="Courier New" w:cs="Courier New" w:hint="default"/>
      </w:rPr>
    </w:lvl>
    <w:lvl w:ilvl="2" w:tplc="04260005" w:tentative="1">
      <w:start w:val="1"/>
      <w:numFmt w:val="bullet"/>
      <w:lvlText w:val=""/>
      <w:lvlJc w:val="left"/>
      <w:pPr>
        <w:ind w:left="8073" w:hanging="360"/>
      </w:pPr>
      <w:rPr>
        <w:rFonts w:ascii="Wingdings" w:hAnsi="Wingdings" w:hint="default"/>
      </w:rPr>
    </w:lvl>
    <w:lvl w:ilvl="3" w:tplc="04260001" w:tentative="1">
      <w:start w:val="1"/>
      <w:numFmt w:val="bullet"/>
      <w:lvlText w:val=""/>
      <w:lvlJc w:val="left"/>
      <w:pPr>
        <w:ind w:left="8793" w:hanging="360"/>
      </w:pPr>
      <w:rPr>
        <w:rFonts w:ascii="Symbol" w:hAnsi="Symbol" w:hint="default"/>
      </w:rPr>
    </w:lvl>
    <w:lvl w:ilvl="4" w:tplc="04260003" w:tentative="1">
      <w:start w:val="1"/>
      <w:numFmt w:val="bullet"/>
      <w:lvlText w:val="o"/>
      <w:lvlJc w:val="left"/>
      <w:pPr>
        <w:ind w:left="9513" w:hanging="360"/>
      </w:pPr>
      <w:rPr>
        <w:rFonts w:ascii="Courier New" w:hAnsi="Courier New" w:cs="Courier New" w:hint="default"/>
      </w:rPr>
    </w:lvl>
    <w:lvl w:ilvl="5" w:tplc="04260005" w:tentative="1">
      <w:start w:val="1"/>
      <w:numFmt w:val="bullet"/>
      <w:lvlText w:val=""/>
      <w:lvlJc w:val="left"/>
      <w:pPr>
        <w:ind w:left="10233" w:hanging="360"/>
      </w:pPr>
      <w:rPr>
        <w:rFonts w:ascii="Wingdings" w:hAnsi="Wingdings" w:hint="default"/>
      </w:rPr>
    </w:lvl>
    <w:lvl w:ilvl="6" w:tplc="04260001" w:tentative="1">
      <w:start w:val="1"/>
      <w:numFmt w:val="bullet"/>
      <w:lvlText w:val=""/>
      <w:lvlJc w:val="left"/>
      <w:pPr>
        <w:ind w:left="10953" w:hanging="360"/>
      </w:pPr>
      <w:rPr>
        <w:rFonts w:ascii="Symbol" w:hAnsi="Symbol" w:hint="default"/>
      </w:rPr>
    </w:lvl>
    <w:lvl w:ilvl="7" w:tplc="04260003" w:tentative="1">
      <w:start w:val="1"/>
      <w:numFmt w:val="bullet"/>
      <w:lvlText w:val="o"/>
      <w:lvlJc w:val="left"/>
      <w:pPr>
        <w:ind w:left="11673" w:hanging="360"/>
      </w:pPr>
      <w:rPr>
        <w:rFonts w:ascii="Courier New" w:hAnsi="Courier New" w:cs="Courier New" w:hint="default"/>
      </w:rPr>
    </w:lvl>
    <w:lvl w:ilvl="8" w:tplc="04260005" w:tentative="1">
      <w:start w:val="1"/>
      <w:numFmt w:val="bullet"/>
      <w:lvlText w:val=""/>
      <w:lvlJc w:val="left"/>
      <w:pPr>
        <w:ind w:left="12393" w:hanging="360"/>
      </w:pPr>
      <w:rPr>
        <w:rFonts w:ascii="Wingdings" w:hAnsi="Wingdings" w:hint="default"/>
      </w:rPr>
    </w:lvl>
  </w:abstractNum>
  <w:abstractNum w:abstractNumId="17" w15:restartNumberingAfterBreak="0">
    <w:nsid w:val="33836A35"/>
    <w:multiLevelType w:val="hybridMultilevel"/>
    <w:tmpl w:val="7410E7B4"/>
    <w:lvl w:ilvl="0" w:tplc="B4162E32">
      <w:start w:val="1"/>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8" w15:restartNumberingAfterBreak="0">
    <w:nsid w:val="37754CAF"/>
    <w:multiLevelType w:val="hybridMultilevel"/>
    <w:tmpl w:val="3EEEA294"/>
    <w:lvl w:ilvl="0" w:tplc="E0E429DC">
      <w:numFmt w:val="bullet"/>
      <w:lvlText w:val="-"/>
      <w:lvlJc w:val="left"/>
      <w:pPr>
        <w:ind w:left="120" w:firstLine="600"/>
      </w:pPr>
      <w:rPr>
        <w:rFonts w:ascii="Times New Roman" w:eastAsiaTheme="minorEastAsia" w:hAnsi="Times New Roman"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3826446C"/>
    <w:multiLevelType w:val="hybridMultilevel"/>
    <w:tmpl w:val="376C9D44"/>
    <w:lvl w:ilvl="0" w:tplc="5854FBE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3A7A298B"/>
    <w:multiLevelType w:val="hybridMultilevel"/>
    <w:tmpl w:val="D4EE432C"/>
    <w:lvl w:ilvl="0" w:tplc="04260017">
      <w:start w:val="1"/>
      <w:numFmt w:val="lowerLetter"/>
      <w:lvlText w:val="%1)"/>
      <w:lvlJc w:val="left"/>
      <w:pPr>
        <w:ind w:left="1069" w:hanging="360"/>
      </w:pPr>
      <w:rPr>
        <w:rFonts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1" w15:restartNumberingAfterBreak="0">
    <w:nsid w:val="3B6B4593"/>
    <w:multiLevelType w:val="hybridMultilevel"/>
    <w:tmpl w:val="C678A48C"/>
    <w:lvl w:ilvl="0" w:tplc="09AC650E">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2" w15:restartNumberingAfterBreak="0">
    <w:nsid w:val="4BFF4C45"/>
    <w:multiLevelType w:val="hybridMultilevel"/>
    <w:tmpl w:val="FA44CF06"/>
    <w:lvl w:ilvl="0" w:tplc="36B4F86C">
      <w:start w:val="1"/>
      <w:numFmt w:val="decimal"/>
      <w:lvlText w:val="%1)"/>
      <w:lvlJc w:val="left"/>
      <w:pPr>
        <w:ind w:left="60" w:firstLine="6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4E834507"/>
    <w:multiLevelType w:val="hybridMultilevel"/>
    <w:tmpl w:val="9FC6EE00"/>
    <w:lvl w:ilvl="0" w:tplc="04260017">
      <w:start w:val="1"/>
      <w:numFmt w:val="lowerLetter"/>
      <w:lvlText w:val="%1)"/>
      <w:lvlJc w:val="left"/>
      <w:pPr>
        <w:ind w:left="1069" w:hanging="360"/>
      </w:pPr>
      <w:rPr>
        <w:rFonts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4" w15:restartNumberingAfterBreak="0">
    <w:nsid w:val="4F274226"/>
    <w:multiLevelType w:val="hybridMultilevel"/>
    <w:tmpl w:val="09823F9C"/>
    <w:lvl w:ilvl="0" w:tplc="B4162E32">
      <w:start w:val="1"/>
      <w:numFmt w:val="bullet"/>
      <w:lvlText w:val="-"/>
      <w:lvlJc w:val="left"/>
      <w:pPr>
        <w:ind w:left="1140" w:hanging="360"/>
      </w:pPr>
      <w:rPr>
        <w:rFonts w:ascii="Times New Roman" w:eastAsia="Times New Roman" w:hAnsi="Times New Roman" w:cs="Times New Roman" w:hint="default"/>
      </w:rPr>
    </w:lvl>
    <w:lvl w:ilvl="1" w:tplc="04260003">
      <w:start w:val="1"/>
      <w:numFmt w:val="bullet"/>
      <w:lvlText w:val="o"/>
      <w:lvlJc w:val="left"/>
      <w:pPr>
        <w:ind w:left="1860" w:hanging="360"/>
      </w:pPr>
      <w:rPr>
        <w:rFonts w:ascii="Courier New" w:hAnsi="Courier New" w:cs="Courier New" w:hint="default"/>
      </w:rPr>
    </w:lvl>
    <w:lvl w:ilvl="2" w:tplc="04260005">
      <w:start w:val="1"/>
      <w:numFmt w:val="bullet"/>
      <w:lvlText w:val=""/>
      <w:lvlJc w:val="left"/>
      <w:pPr>
        <w:ind w:left="2580" w:hanging="360"/>
      </w:pPr>
      <w:rPr>
        <w:rFonts w:ascii="Wingdings" w:hAnsi="Wingdings" w:hint="default"/>
      </w:rPr>
    </w:lvl>
    <w:lvl w:ilvl="3" w:tplc="04260001">
      <w:start w:val="1"/>
      <w:numFmt w:val="bullet"/>
      <w:lvlText w:val=""/>
      <w:lvlJc w:val="left"/>
      <w:pPr>
        <w:ind w:left="3300" w:hanging="360"/>
      </w:pPr>
      <w:rPr>
        <w:rFonts w:ascii="Symbol" w:hAnsi="Symbol" w:hint="default"/>
      </w:rPr>
    </w:lvl>
    <w:lvl w:ilvl="4" w:tplc="04260003">
      <w:start w:val="1"/>
      <w:numFmt w:val="bullet"/>
      <w:lvlText w:val="o"/>
      <w:lvlJc w:val="left"/>
      <w:pPr>
        <w:ind w:left="4020" w:hanging="360"/>
      </w:pPr>
      <w:rPr>
        <w:rFonts w:ascii="Courier New" w:hAnsi="Courier New" w:cs="Courier New" w:hint="default"/>
      </w:rPr>
    </w:lvl>
    <w:lvl w:ilvl="5" w:tplc="04260005">
      <w:start w:val="1"/>
      <w:numFmt w:val="bullet"/>
      <w:lvlText w:val=""/>
      <w:lvlJc w:val="left"/>
      <w:pPr>
        <w:ind w:left="4740" w:hanging="360"/>
      </w:pPr>
      <w:rPr>
        <w:rFonts w:ascii="Wingdings" w:hAnsi="Wingdings" w:hint="default"/>
      </w:rPr>
    </w:lvl>
    <w:lvl w:ilvl="6" w:tplc="04260001">
      <w:start w:val="1"/>
      <w:numFmt w:val="bullet"/>
      <w:lvlText w:val=""/>
      <w:lvlJc w:val="left"/>
      <w:pPr>
        <w:ind w:left="5460" w:hanging="360"/>
      </w:pPr>
      <w:rPr>
        <w:rFonts w:ascii="Symbol" w:hAnsi="Symbol" w:hint="default"/>
      </w:rPr>
    </w:lvl>
    <w:lvl w:ilvl="7" w:tplc="04260003">
      <w:start w:val="1"/>
      <w:numFmt w:val="bullet"/>
      <w:lvlText w:val="o"/>
      <w:lvlJc w:val="left"/>
      <w:pPr>
        <w:ind w:left="6180" w:hanging="360"/>
      </w:pPr>
      <w:rPr>
        <w:rFonts w:ascii="Courier New" w:hAnsi="Courier New" w:cs="Courier New" w:hint="default"/>
      </w:rPr>
    </w:lvl>
    <w:lvl w:ilvl="8" w:tplc="04260005">
      <w:start w:val="1"/>
      <w:numFmt w:val="bullet"/>
      <w:lvlText w:val=""/>
      <w:lvlJc w:val="left"/>
      <w:pPr>
        <w:ind w:left="6900" w:hanging="360"/>
      </w:pPr>
      <w:rPr>
        <w:rFonts w:ascii="Wingdings" w:hAnsi="Wingdings" w:hint="default"/>
      </w:rPr>
    </w:lvl>
  </w:abstractNum>
  <w:abstractNum w:abstractNumId="25" w15:restartNumberingAfterBreak="0">
    <w:nsid w:val="56B071C2"/>
    <w:multiLevelType w:val="hybridMultilevel"/>
    <w:tmpl w:val="650A88EA"/>
    <w:lvl w:ilvl="0" w:tplc="9EB29B2C">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6" w15:restartNumberingAfterBreak="0">
    <w:nsid w:val="5ACB73B1"/>
    <w:multiLevelType w:val="hybridMultilevel"/>
    <w:tmpl w:val="200CB56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7" w15:restartNumberingAfterBreak="0">
    <w:nsid w:val="5AD30A9D"/>
    <w:multiLevelType w:val="hybridMultilevel"/>
    <w:tmpl w:val="C1E64856"/>
    <w:lvl w:ilvl="0" w:tplc="04260011">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8" w15:restartNumberingAfterBreak="0">
    <w:nsid w:val="5BA51205"/>
    <w:multiLevelType w:val="hybridMultilevel"/>
    <w:tmpl w:val="0A26D676"/>
    <w:lvl w:ilvl="0" w:tplc="77266AA0">
      <w:start w:val="2"/>
      <w:numFmt w:val="bullet"/>
      <w:lvlText w:val="-"/>
      <w:lvlJc w:val="left"/>
      <w:pPr>
        <w:ind w:left="0" w:firstLine="720"/>
      </w:pPr>
      <w:rPr>
        <w:rFonts w:ascii="Times New Roman" w:eastAsiaTheme="minorEastAsia" w:hAnsi="Times New Roman" w:cs="Times New Roman" w:hint="default"/>
      </w:rPr>
    </w:lvl>
    <w:lvl w:ilvl="1" w:tplc="04260003" w:tentative="1">
      <w:start w:val="1"/>
      <w:numFmt w:val="bullet"/>
      <w:lvlText w:val="o"/>
      <w:lvlJc w:val="left"/>
      <w:pPr>
        <w:ind w:left="1788" w:hanging="360"/>
      </w:pPr>
      <w:rPr>
        <w:rFonts w:ascii="Courier New" w:hAnsi="Courier New" w:cs="Courier New" w:hint="default"/>
      </w:rPr>
    </w:lvl>
    <w:lvl w:ilvl="2" w:tplc="04260005" w:tentative="1">
      <w:start w:val="1"/>
      <w:numFmt w:val="bullet"/>
      <w:lvlText w:val=""/>
      <w:lvlJc w:val="left"/>
      <w:pPr>
        <w:ind w:left="2508" w:hanging="360"/>
      </w:pPr>
      <w:rPr>
        <w:rFonts w:ascii="Wingdings" w:hAnsi="Wingdings" w:hint="default"/>
      </w:rPr>
    </w:lvl>
    <w:lvl w:ilvl="3" w:tplc="04260001" w:tentative="1">
      <w:start w:val="1"/>
      <w:numFmt w:val="bullet"/>
      <w:lvlText w:val=""/>
      <w:lvlJc w:val="left"/>
      <w:pPr>
        <w:ind w:left="3228" w:hanging="360"/>
      </w:pPr>
      <w:rPr>
        <w:rFonts w:ascii="Symbol" w:hAnsi="Symbol" w:hint="default"/>
      </w:rPr>
    </w:lvl>
    <w:lvl w:ilvl="4" w:tplc="04260003" w:tentative="1">
      <w:start w:val="1"/>
      <w:numFmt w:val="bullet"/>
      <w:lvlText w:val="o"/>
      <w:lvlJc w:val="left"/>
      <w:pPr>
        <w:ind w:left="3948" w:hanging="360"/>
      </w:pPr>
      <w:rPr>
        <w:rFonts w:ascii="Courier New" w:hAnsi="Courier New" w:cs="Courier New" w:hint="default"/>
      </w:rPr>
    </w:lvl>
    <w:lvl w:ilvl="5" w:tplc="04260005" w:tentative="1">
      <w:start w:val="1"/>
      <w:numFmt w:val="bullet"/>
      <w:lvlText w:val=""/>
      <w:lvlJc w:val="left"/>
      <w:pPr>
        <w:ind w:left="4668" w:hanging="360"/>
      </w:pPr>
      <w:rPr>
        <w:rFonts w:ascii="Wingdings" w:hAnsi="Wingdings" w:hint="default"/>
      </w:rPr>
    </w:lvl>
    <w:lvl w:ilvl="6" w:tplc="04260001" w:tentative="1">
      <w:start w:val="1"/>
      <w:numFmt w:val="bullet"/>
      <w:lvlText w:val=""/>
      <w:lvlJc w:val="left"/>
      <w:pPr>
        <w:ind w:left="5388" w:hanging="360"/>
      </w:pPr>
      <w:rPr>
        <w:rFonts w:ascii="Symbol" w:hAnsi="Symbol" w:hint="default"/>
      </w:rPr>
    </w:lvl>
    <w:lvl w:ilvl="7" w:tplc="04260003" w:tentative="1">
      <w:start w:val="1"/>
      <w:numFmt w:val="bullet"/>
      <w:lvlText w:val="o"/>
      <w:lvlJc w:val="left"/>
      <w:pPr>
        <w:ind w:left="6108" w:hanging="360"/>
      </w:pPr>
      <w:rPr>
        <w:rFonts w:ascii="Courier New" w:hAnsi="Courier New" w:cs="Courier New" w:hint="default"/>
      </w:rPr>
    </w:lvl>
    <w:lvl w:ilvl="8" w:tplc="04260005" w:tentative="1">
      <w:start w:val="1"/>
      <w:numFmt w:val="bullet"/>
      <w:lvlText w:val=""/>
      <w:lvlJc w:val="left"/>
      <w:pPr>
        <w:ind w:left="6828" w:hanging="360"/>
      </w:pPr>
      <w:rPr>
        <w:rFonts w:ascii="Wingdings" w:hAnsi="Wingdings" w:hint="default"/>
      </w:rPr>
    </w:lvl>
  </w:abstractNum>
  <w:abstractNum w:abstractNumId="29" w15:restartNumberingAfterBreak="0">
    <w:nsid w:val="5E6A4601"/>
    <w:multiLevelType w:val="hybridMultilevel"/>
    <w:tmpl w:val="1A243E50"/>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60223F6C"/>
    <w:multiLevelType w:val="hybridMultilevel"/>
    <w:tmpl w:val="8C923A8C"/>
    <w:lvl w:ilvl="0" w:tplc="5CDA6CE2">
      <w:start w:val="3"/>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1" w15:restartNumberingAfterBreak="0">
    <w:nsid w:val="614846B4"/>
    <w:multiLevelType w:val="hybridMultilevel"/>
    <w:tmpl w:val="1E1EA556"/>
    <w:lvl w:ilvl="0" w:tplc="48C645AC">
      <w:start w:val="1"/>
      <w:numFmt w:val="decimal"/>
      <w:lvlText w:val="%1."/>
      <w:lvlJc w:val="left"/>
      <w:pPr>
        <w:ind w:left="360" w:hanging="360"/>
      </w:pPr>
      <w:rPr>
        <w:rFonts w:ascii="Times New Roman" w:eastAsia="Times New Roman" w:hAnsi="Times New Roman" w:cs="Times New Roman"/>
      </w:rPr>
    </w:lvl>
    <w:lvl w:ilvl="1" w:tplc="FCE0C428">
      <w:start w:val="1"/>
      <w:numFmt w:val="bullet"/>
      <w:lvlText w:val="-"/>
      <w:lvlJc w:val="left"/>
      <w:pPr>
        <w:ind w:left="927" w:hanging="360"/>
      </w:pPr>
      <w:rPr>
        <w:rFonts w:ascii="Times New Roman" w:eastAsia="Times New Roman" w:hAnsi="Times New Roman" w:cs="Times New Roman"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32" w15:restartNumberingAfterBreak="0">
    <w:nsid w:val="62C0366A"/>
    <w:multiLevelType w:val="hybridMultilevel"/>
    <w:tmpl w:val="5F4AF5AC"/>
    <w:lvl w:ilvl="0" w:tplc="7338C2B0">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6C430350"/>
    <w:multiLevelType w:val="hybridMultilevel"/>
    <w:tmpl w:val="74D0F3DA"/>
    <w:lvl w:ilvl="0" w:tplc="B4162E32">
      <w:start w:val="1"/>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4" w15:restartNumberingAfterBreak="0">
    <w:nsid w:val="6D4B2093"/>
    <w:multiLevelType w:val="multilevel"/>
    <w:tmpl w:val="F1969B60"/>
    <w:lvl w:ilvl="0">
      <w:start w:val="1"/>
      <w:numFmt w:val="bullet"/>
      <w:lvlText w:val="-"/>
      <w:lvlJc w:val="left"/>
      <w:pPr>
        <w:ind w:left="1069" w:hanging="360"/>
      </w:pPr>
      <w:rPr>
        <w:rFonts w:ascii="Times New Roman" w:eastAsia="Times New Roman" w:hAnsi="Times New Roman" w:cs="Times New Roman"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5" w15:restartNumberingAfterBreak="0">
    <w:nsid w:val="6EB67D79"/>
    <w:multiLevelType w:val="hybridMultilevel"/>
    <w:tmpl w:val="B3B0FD0C"/>
    <w:lvl w:ilvl="0" w:tplc="A13044CC">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1B62647"/>
    <w:multiLevelType w:val="hybridMultilevel"/>
    <w:tmpl w:val="995A7C9A"/>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72F858B7"/>
    <w:multiLevelType w:val="hybridMultilevel"/>
    <w:tmpl w:val="74568D9C"/>
    <w:lvl w:ilvl="0" w:tplc="3E0CDF06">
      <w:numFmt w:val="bullet"/>
      <w:lvlText w:val="-"/>
      <w:lvlJc w:val="left"/>
      <w:pPr>
        <w:ind w:left="135" w:firstLine="585"/>
      </w:pPr>
      <w:rPr>
        <w:rFonts w:ascii="Times New Roman" w:eastAsia="Times New Roman" w:hAnsi="Times New Roman"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8" w15:restartNumberingAfterBreak="0">
    <w:nsid w:val="76445A38"/>
    <w:multiLevelType w:val="hybridMultilevel"/>
    <w:tmpl w:val="BBDC7C5E"/>
    <w:lvl w:ilvl="0" w:tplc="FCE0C428">
      <w:start w:val="1"/>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9" w15:restartNumberingAfterBreak="0">
    <w:nsid w:val="76ED2CA0"/>
    <w:multiLevelType w:val="hybridMultilevel"/>
    <w:tmpl w:val="8F2CFB04"/>
    <w:lvl w:ilvl="0" w:tplc="341A12D4">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B025719"/>
    <w:multiLevelType w:val="hybridMultilevel"/>
    <w:tmpl w:val="2DFA3408"/>
    <w:lvl w:ilvl="0" w:tplc="04260011">
      <w:start w:val="1"/>
      <w:numFmt w:val="decimal"/>
      <w:lvlText w:val="%1)"/>
      <w:lvlJc w:val="left"/>
      <w:pPr>
        <w:ind w:left="1440" w:hanging="360"/>
      </w:pPr>
    </w:lvl>
    <w:lvl w:ilvl="1" w:tplc="04260011">
      <w:start w:val="1"/>
      <w:numFmt w:val="decimal"/>
      <w:lvlText w:val="%2)"/>
      <w:lvlJc w:val="left"/>
      <w:pPr>
        <w:ind w:left="1069"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1" w15:restartNumberingAfterBreak="0">
    <w:nsid w:val="7EB53AD6"/>
    <w:multiLevelType w:val="hybridMultilevel"/>
    <w:tmpl w:val="2F9C022C"/>
    <w:lvl w:ilvl="0" w:tplc="09AC650E">
      <w:start w:val="1"/>
      <w:numFmt w:val="lowerLetter"/>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42" w15:restartNumberingAfterBreak="0">
    <w:nsid w:val="7F58215E"/>
    <w:multiLevelType w:val="hybridMultilevel"/>
    <w:tmpl w:val="ACD6FB1C"/>
    <w:lvl w:ilvl="0" w:tplc="04260011">
      <w:start w:val="1"/>
      <w:numFmt w:val="decimal"/>
      <w:lvlText w:val="%1)"/>
      <w:lvlJc w:val="left"/>
      <w:pPr>
        <w:ind w:left="1440" w:hanging="360"/>
      </w:pPr>
    </w:lvl>
    <w:lvl w:ilvl="1" w:tplc="04260017">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35"/>
  </w:num>
  <w:num w:numId="4">
    <w:abstractNumId w:val="30"/>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5"/>
  </w:num>
  <w:num w:numId="8">
    <w:abstractNumId w:val="11"/>
  </w:num>
  <w:num w:numId="9">
    <w:abstractNumId w:val="32"/>
  </w:num>
  <w:num w:numId="10">
    <w:abstractNumId w:val="41"/>
  </w:num>
  <w:num w:numId="11">
    <w:abstractNumId w:val="1"/>
  </w:num>
  <w:num w:numId="12">
    <w:abstractNumId w:val="28"/>
  </w:num>
  <w:num w:numId="13">
    <w:abstractNumId w:val="25"/>
  </w:num>
  <w:num w:numId="14">
    <w:abstractNumId w:val="21"/>
  </w:num>
  <w:num w:numId="15">
    <w:abstractNumId w:val="34"/>
  </w:num>
  <w:num w:numId="16">
    <w:abstractNumId w:val="19"/>
  </w:num>
  <w:num w:numId="17">
    <w:abstractNumId w:val="29"/>
  </w:num>
  <w:num w:numId="18">
    <w:abstractNumId w:val="26"/>
  </w:num>
  <w:num w:numId="19">
    <w:abstractNumId w:val="4"/>
  </w:num>
  <w:num w:numId="20">
    <w:abstractNumId w:val="24"/>
  </w:num>
  <w:num w:numId="21">
    <w:abstractNumId w:val="36"/>
  </w:num>
  <w:num w:numId="22">
    <w:abstractNumId w:val="2"/>
  </w:num>
  <w:num w:numId="23">
    <w:abstractNumId w:val="38"/>
  </w:num>
  <w:num w:numId="24">
    <w:abstractNumId w:val="31"/>
  </w:num>
  <w:num w:numId="25">
    <w:abstractNumId w:val="39"/>
  </w:num>
  <w:num w:numId="26">
    <w:abstractNumId w:val="16"/>
  </w:num>
  <w:num w:numId="27">
    <w:abstractNumId w:val="14"/>
  </w:num>
  <w:num w:numId="28">
    <w:abstractNumId w:val="0"/>
  </w:num>
  <w:num w:numId="29">
    <w:abstractNumId w:val="37"/>
  </w:num>
  <w:num w:numId="30">
    <w:abstractNumId w:val="17"/>
  </w:num>
  <w:num w:numId="31">
    <w:abstractNumId w:val="18"/>
  </w:num>
  <w:num w:numId="32">
    <w:abstractNumId w:val="3"/>
  </w:num>
  <w:num w:numId="33">
    <w:abstractNumId w:val="5"/>
  </w:num>
  <w:num w:numId="34">
    <w:abstractNumId w:val="6"/>
  </w:num>
  <w:num w:numId="35">
    <w:abstractNumId w:val="22"/>
  </w:num>
  <w:num w:numId="36">
    <w:abstractNumId w:val="27"/>
  </w:num>
  <w:num w:numId="37">
    <w:abstractNumId w:val="42"/>
  </w:num>
  <w:num w:numId="38">
    <w:abstractNumId w:val="40"/>
  </w:num>
  <w:num w:numId="39">
    <w:abstractNumId w:val="9"/>
  </w:num>
  <w:num w:numId="40">
    <w:abstractNumId w:val="33"/>
  </w:num>
  <w:num w:numId="41">
    <w:abstractNumId w:val="7"/>
  </w:num>
  <w:num w:numId="42">
    <w:abstractNumId w:val="13"/>
  </w:num>
  <w:num w:numId="43">
    <w:abstractNumId w:val="23"/>
  </w:num>
  <w:num w:numId="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11D"/>
    <w:rsid w:val="000016C4"/>
    <w:rsid w:val="0000793D"/>
    <w:rsid w:val="00011333"/>
    <w:rsid w:val="0003406A"/>
    <w:rsid w:val="00037B1A"/>
    <w:rsid w:val="00045D10"/>
    <w:rsid w:val="00051F35"/>
    <w:rsid w:val="000563C2"/>
    <w:rsid w:val="0006119E"/>
    <w:rsid w:val="00065925"/>
    <w:rsid w:val="00091F4E"/>
    <w:rsid w:val="00095E09"/>
    <w:rsid w:val="00095F69"/>
    <w:rsid w:val="000A2D27"/>
    <w:rsid w:val="000A6C58"/>
    <w:rsid w:val="000B5A18"/>
    <w:rsid w:val="000C00B1"/>
    <w:rsid w:val="000C4568"/>
    <w:rsid w:val="000C639E"/>
    <w:rsid w:val="000C737A"/>
    <w:rsid w:val="000D0F63"/>
    <w:rsid w:val="000D5C6E"/>
    <w:rsid w:val="000F60D5"/>
    <w:rsid w:val="0010086C"/>
    <w:rsid w:val="00111E77"/>
    <w:rsid w:val="00112414"/>
    <w:rsid w:val="00125172"/>
    <w:rsid w:val="0012723E"/>
    <w:rsid w:val="0013663B"/>
    <w:rsid w:val="0014413E"/>
    <w:rsid w:val="001465BC"/>
    <w:rsid w:val="00164F5C"/>
    <w:rsid w:val="00167B61"/>
    <w:rsid w:val="00171B5A"/>
    <w:rsid w:val="00174902"/>
    <w:rsid w:val="00175093"/>
    <w:rsid w:val="00182E5A"/>
    <w:rsid w:val="001850B6"/>
    <w:rsid w:val="00191F34"/>
    <w:rsid w:val="00196020"/>
    <w:rsid w:val="001A2BE0"/>
    <w:rsid w:val="001A6CDF"/>
    <w:rsid w:val="001B2512"/>
    <w:rsid w:val="001B6D9D"/>
    <w:rsid w:val="001C0A6C"/>
    <w:rsid w:val="001C6ADF"/>
    <w:rsid w:val="001D5D92"/>
    <w:rsid w:val="001E2D02"/>
    <w:rsid w:val="001E314C"/>
    <w:rsid w:val="002053E7"/>
    <w:rsid w:val="00206E38"/>
    <w:rsid w:val="002102A4"/>
    <w:rsid w:val="0021587B"/>
    <w:rsid w:val="0022275A"/>
    <w:rsid w:val="002264F9"/>
    <w:rsid w:val="00230CD1"/>
    <w:rsid w:val="00241132"/>
    <w:rsid w:val="002420A1"/>
    <w:rsid w:val="00242810"/>
    <w:rsid w:val="002500A9"/>
    <w:rsid w:val="00251550"/>
    <w:rsid w:val="0026034A"/>
    <w:rsid w:val="002611C6"/>
    <w:rsid w:val="00266BED"/>
    <w:rsid w:val="00274E30"/>
    <w:rsid w:val="00282960"/>
    <w:rsid w:val="0029264E"/>
    <w:rsid w:val="00293C3B"/>
    <w:rsid w:val="002C491B"/>
    <w:rsid w:val="002D0940"/>
    <w:rsid w:val="002E1B17"/>
    <w:rsid w:val="002E1E9A"/>
    <w:rsid w:val="002E4DB7"/>
    <w:rsid w:val="002E6C64"/>
    <w:rsid w:val="002F0F6F"/>
    <w:rsid w:val="002F3C6F"/>
    <w:rsid w:val="00305256"/>
    <w:rsid w:val="00306FE3"/>
    <w:rsid w:val="00311604"/>
    <w:rsid w:val="00313A27"/>
    <w:rsid w:val="003150F6"/>
    <w:rsid w:val="00317795"/>
    <w:rsid w:val="00327C2D"/>
    <w:rsid w:val="00333085"/>
    <w:rsid w:val="00336D42"/>
    <w:rsid w:val="0033746D"/>
    <w:rsid w:val="0034085E"/>
    <w:rsid w:val="00340E72"/>
    <w:rsid w:val="00343DA5"/>
    <w:rsid w:val="0034674B"/>
    <w:rsid w:val="003467E5"/>
    <w:rsid w:val="00350D91"/>
    <w:rsid w:val="00355097"/>
    <w:rsid w:val="00362A0F"/>
    <w:rsid w:val="003719C7"/>
    <w:rsid w:val="003947BF"/>
    <w:rsid w:val="00395D1B"/>
    <w:rsid w:val="0039656F"/>
    <w:rsid w:val="003A5CEC"/>
    <w:rsid w:val="003A6DEB"/>
    <w:rsid w:val="003A75A8"/>
    <w:rsid w:val="003B32DC"/>
    <w:rsid w:val="003C2FB3"/>
    <w:rsid w:val="003C3F53"/>
    <w:rsid w:val="003D0F53"/>
    <w:rsid w:val="003D611F"/>
    <w:rsid w:val="003E1A63"/>
    <w:rsid w:val="003E2EBC"/>
    <w:rsid w:val="003E6AC2"/>
    <w:rsid w:val="003F47BA"/>
    <w:rsid w:val="003F67EF"/>
    <w:rsid w:val="00402722"/>
    <w:rsid w:val="004073D8"/>
    <w:rsid w:val="004076CC"/>
    <w:rsid w:val="00412A9C"/>
    <w:rsid w:val="00414EA9"/>
    <w:rsid w:val="0041594D"/>
    <w:rsid w:val="00421BDF"/>
    <w:rsid w:val="004274E6"/>
    <w:rsid w:val="00436938"/>
    <w:rsid w:val="00436E84"/>
    <w:rsid w:val="004373ED"/>
    <w:rsid w:val="00437BAE"/>
    <w:rsid w:val="00442452"/>
    <w:rsid w:val="004519D5"/>
    <w:rsid w:val="00461091"/>
    <w:rsid w:val="00463086"/>
    <w:rsid w:val="00465E09"/>
    <w:rsid w:val="00471915"/>
    <w:rsid w:val="00480718"/>
    <w:rsid w:val="004838A8"/>
    <w:rsid w:val="00486D2C"/>
    <w:rsid w:val="00493AD2"/>
    <w:rsid w:val="0049713C"/>
    <w:rsid w:val="004B4947"/>
    <w:rsid w:val="004E0305"/>
    <w:rsid w:val="004E458A"/>
    <w:rsid w:val="004E7A13"/>
    <w:rsid w:val="005002C3"/>
    <w:rsid w:val="005078DC"/>
    <w:rsid w:val="00510D6A"/>
    <w:rsid w:val="005122BF"/>
    <w:rsid w:val="00516CCB"/>
    <w:rsid w:val="005177D9"/>
    <w:rsid w:val="00525509"/>
    <w:rsid w:val="00536739"/>
    <w:rsid w:val="00554AFA"/>
    <w:rsid w:val="005577B2"/>
    <w:rsid w:val="00572EFA"/>
    <w:rsid w:val="00573E95"/>
    <w:rsid w:val="00577475"/>
    <w:rsid w:val="00587D0E"/>
    <w:rsid w:val="005B4E03"/>
    <w:rsid w:val="005D252A"/>
    <w:rsid w:val="005D66F7"/>
    <w:rsid w:val="005E30E0"/>
    <w:rsid w:val="005E5E01"/>
    <w:rsid w:val="005E7B3B"/>
    <w:rsid w:val="005F3B15"/>
    <w:rsid w:val="00600DFA"/>
    <w:rsid w:val="0060189C"/>
    <w:rsid w:val="00612871"/>
    <w:rsid w:val="00615FB3"/>
    <w:rsid w:val="00617D31"/>
    <w:rsid w:val="00620A0C"/>
    <w:rsid w:val="00625808"/>
    <w:rsid w:val="0062628C"/>
    <w:rsid w:val="00631FE8"/>
    <w:rsid w:val="006343CD"/>
    <w:rsid w:val="00636677"/>
    <w:rsid w:val="00650425"/>
    <w:rsid w:val="006604B7"/>
    <w:rsid w:val="00664212"/>
    <w:rsid w:val="00666544"/>
    <w:rsid w:val="0068686E"/>
    <w:rsid w:val="006A0EE3"/>
    <w:rsid w:val="006A126D"/>
    <w:rsid w:val="006A3191"/>
    <w:rsid w:val="006A4525"/>
    <w:rsid w:val="006C071B"/>
    <w:rsid w:val="006C0D1B"/>
    <w:rsid w:val="006C0DAA"/>
    <w:rsid w:val="006C4035"/>
    <w:rsid w:val="006C5DD0"/>
    <w:rsid w:val="006C778C"/>
    <w:rsid w:val="006D391A"/>
    <w:rsid w:val="006D45E2"/>
    <w:rsid w:val="006E59CF"/>
    <w:rsid w:val="006F34AD"/>
    <w:rsid w:val="006F4A54"/>
    <w:rsid w:val="006F74F9"/>
    <w:rsid w:val="00705C50"/>
    <w:rsid w:val="00715981"/>
    <w:rsid w:val="00715F78"/>
    <w:rsid w:val="00723DDE"/>
    <w:rsid w:val="00725BFC"/>
    <w:rsid w:val="00725D31"/>
    <w:rsid w:val="00732020"/>
    <w:rsid w:val="0074437C"/>
    <w:rsid w:val="00746B8E"/>
    <w:rsid w:val="00752998"/>
    <w:rsid w:val="00754FED"/>
    <w:rsid w:val="00765EBA"/>
    <w:rsid w:val="007667B6"/>
    <w:rsid w:val="00784552"/>
    <w:rsid w:val="00787A20"/>
    <w:rsid w:val="00790A26"/>
    <w:rsid w:val="00794175"/>
    <w:rsid w:val="007A7B50"/>
    <w:rsid w:val="007B2E1C"/>
    <w:rsid w:val="007B2EE0"/>
    <w:rsid w:val="007B758D"/>
    <w:rsid w:val="007C131E"/>
    <w:rsid w:val="007C45B5"/>
    <w:rsid w:val="007C4BF0"/>
    <w:rsid w:val="007C6712"/>
    <w:rsid w:val="007D22CF"/>
    <w:rsid w:val="007D2F15"/>
    <w:rsid w:val="007E04B7"/>
    <w:rsid w:val="007E2079"/>
    <w:rsid w:val="007F174E"/>
    <w:rsid w:val="007F6882"/>
    <w:rsid w:val="00803B5B"/>
    <w:rsid w:val="0080524F"/>
    <w:rsid w:val="00805B67"/>
    <w:rsid w:val="0082209A"/>
    <w:rsid w:val="008258A0"/>
    <w:rsid w:val="00831C31"/>
    <w:rsid w:val="0083760E"/>
    <w:rsid w:val="008379F3"/>
    <w:rsid w:val="00845F3A"/>
    <w:rsid w:val="00847DD6"/>
    <w:rsid w:val="0085079D"/>
    <w:rsid w:val="00852957"/>
    <w:rsid w:val="00865286"/>
    <w:rsid w:val="008673FD"/>
    <w:rsid w:val="0087280E"/>
    <w:rsid w:val="008811E5"/>
    <w:rsid w:val="008870C8"/>
    <w:rsid w:val="008948D5"/>
    <w:rsid w:val="008950F3"/>
    <w:rsid w:val="0089725A"/>
    <w:rsid w:val="008976DD"/>
    <w:rsid w:val="008A0EC4"/>
    <w:rsid w:val="008A1A71"/>
    <w:rsid w:val="008A568C"/>
    <w:rsid w:val="008B0769"/>
    <w:rsid w:val="008C413B"/>
    <w:rsid w:val="008C7D3C"/>
    <w:rsid w:val="008D23DD"/>
    <w:rsid w:val="00906573"/>
    <w:rsid w:val="00912BB0"/>
    <w:rsid w:val="00916462"/>
    <w:rsid w:val="00922147"/>
    <w:rsid w:val="00937BC5"/>
    <w:rsid w:val="00941E92"/>
    <w:rsid w:val="0095025C"/>
    <w:rsid w:val="00951AD7"/>
    <w:rsid w:val="00952CD0"/>
    <w:rsid w:val="00954145"/>
    <w:rsid w:val="00971E2B"/>
    <w:rsid w:val="009802D4"/>
    <w:rsid w:val="009930E9"/>
    <w:rsid w:val="009934B1"/>
    <w:rsid w:val="009A4303"/>
    <w:rsid w:val="009A43CA"/>
    <w:rsid w:val="009B02B3"/>
    <w:rsid w:val="009E011A"/>
    <w:rsid w:val="009E21BC"/>
    <w:rsid w:val="009E3171"/>
    <w:rsid w:val="009E4B80"/>
    <w:rsid w:val="009F07AE"/>
    <w:rsid w:val="009F281E"/>
    <w:rsid w:val="009F61CE"/>
    <w:rsid w:val="00A01078"/>
    <w:rsid w:val="00A06841"/>
    <w:rsid w:val="00A13840"/>
    <w:rsid w:val="00A16C92"/>
    <w:rsid w:val="00A31F5E"/>
    <w:rsid w:val="00A50A57"/>
    <w:rsid w:val="00A5237D"/>
    <w:rsid w:val="00A646A1"/>
    <w:rsid w:val="00A85935"/>
    <w:rsid w:val="00A86F33"/>
    <w:rsid w:val="00AA1EF5"/>
    <w:rsid w:val="00AA34FB"/>
    <w:rsid w:val="00AA72CA"/>
    <w:rsid w:val="00AB01E9"/>
    <w:rsid w:val="00AB530A"/>
    <w:rsid w:val="00AB77BE"/>
    <w:rsid w:val="00AC5CC3"/>
    <w:rsid w:val="00AC703B"/>
    <w:rsid w:val="00AE560A"/>
    <w:rsid w:val="00B0367F"/>
    <w:rsid w:val="00B07F6D"/>
    <w:rsid w:val="00B16DB7"/>
    <w:rsid w:val="00B2563D"/>
    <w:rsid w:val="00B26CFD"/>
    <w:rsid w:val="00B36BA9"/>
    <w:rsid w:val="00B4030B"/>
    <w:rsid w:val="00B42E9F"/>
    <w:rsid w:val="00B47EF3"/>
    <w:rsid w:val="00B50002"/>
    <w:rsid w:val="00B503E9"/>
    <w:rsid w:val="00B544D2"/>
    <w:rsid w:val="00B60BFB"/>
    <w:rsid w:val="00B6311D"/>
    <w:rsid w:val="00B67F7C"/>
    <w:rsid w:val="00B723E2"/>
    <w:rsid w:val="00B774D9"/>
    <w:rsid w:val="00B80657"/>
    <w:rsid w:val="00B84019"/>
    <w:rsid w:val="00B875CE"/>
    <w:rsid w:val="00BA1345"/>
    <w:rsid w:val="00BB22D0"/>
    <w:rsid w:val="00BB3727"/>
    <w:rsid w:val="00BB4CE4"/>
    <w:rsid w:val="00BC3376"/>
    <w:rsid w:val="00BD1D58"/>
    <w:rsid w:val="00BD6012"/>
    <w:rsid w:val="00BD79BF"/>
    <w:rsid w:val="00BE3E9C"/>
    <w:rsid w:val="00BE4EF2"/>
    <w:rsid w:val="00BE58D7"/>
    <w:rsid w:val="00BF76CC"/>
    <w:rsid w:val="00C00B97"/>
    <w:rsid w:val="00C04DB7"/>
    <w:rsid w:val="00C148D7"/>
    <w:rsid w:val="00C438C9"/>
    <w:rsid w:val="00C528B7"/>
    <w:rsid w:val="00C5687E"/>
    <w:rsid w:val="00C632D7"/>
    <w:rsid w:val="00C715C4"/>
    <w:rsid w:val="00C717E7"/>
    <w:rsid w:val="00C81A93"/>
    <w:rsid w:val="00C87FE5"/>
    <w:rsid w:val="00CB1580"/>
    <w:rsid w:val="00CB3D05"/>
    <w:rsid w:val="00CC2551"/>
    <w:rsid w:val="00CD576A"/>
    <w:rsid w:val="00CD6C14"/>
    <w:rsid w:val="00CE606E"/>
    <w:rsid w:val="00CF0D4A"/>
    <w:rsid w:val="00CF2529"/>
    <w:rsid w:val="00CF3648"/>
    <w:rsid w:val="00CF366A"/>
    <w:rsid w:val="00CF7590"/>
    <w:rsid w:val="00D0571E"/>
    <w:rsid w:val="00D06578"/>
    <w:rsid w:val="00D07626"/>
    <w:rsid w:val="00D1453C"/>
    <w:rsid w:val="00D24484"/>
    <w:rsid w:val="00D2613A"/>
    <w:rsid w:val="00D27176"/>
    <w:rsid w:val="00D40582"/>
    <w:rsid w:val="00D4386A"/>
    <w:rsid w:val="00D44A2C"/>
    <w:rsid w:val="00D45FB7"/>
    <w:rsid w:val="00D52A50"/>
    <w:rsid w:val="00D5590A"/>
    <w:rsid w:val="00D57299"/>
    <w:rsid w:val="00D60A7A"/>
    <w:rsid w:val="00D6254E"/>
    <w:rsid w:val="00D63AA1"/>
    <w:rsid w:val="00D66BA9"/>
    <w:rsid w:val="00D769FE"/>
    <w:rsid w:val="00D81CEE"/>
    <w:rsid w:val="00D82ACD"/>
    <w:rsid w:val="00D83008"/>
    <w:rsid w:val="00D87D1E"/>
    <w:rsid w:val="00D9301C"/>
    <w:rsid w:val="00D9492E"/>
    <w:rsid w:val="00DA0831"/>
    <w:rsid w:val="00DB44AD"/>
    <w:rsid w:val="00DC5AC4"/>
    <w:rsid w:val="00DE3DA5"/>
    <w:rsid w:val="00DF7EB9"/>
    <w:rsid w:val="00E135B0"/>
    <w:rsid w:val="00E222A3"/>
    <w:rsid w:val="00E3307B"/>
    <w:rsid w:val="00E348CC"/>
    <w:rsid w:val="00E41A67"/>
    <w:rsid w:val="00E479D3"/>
    <w:rsid w:val="00E50DB7"/>
    <w:rsid w:val="00E53581"/>
    <w:rsid w:val="00E54455"/>
    <w:rsid w:val="00E57B40"/>
    <w:rsid w:val="00E60A6D"/>
    <w:rsid w:val="00E60CE4"/>
    <w:rsid w:val="00E63EF9"/>
    <w:rsid w:val="00E676A7"/>
    <w:rsid w:val="00E67AB1"/>
    <w:rsid w:val="00E718A2"/>
    <w:rsid w:val="00E84F93"/>
    <w:rsid w:val="00E85592"/>
    <w:rsid w:val="00E86518"/>
    <w:rsid w:val="00EB1E6C"/>
    <w:rsid w:val="00EC581C"/>
    <w:rsid w:val="00ED2CCA"/>
    <w:rsid w:val="00EE271A"/>
    <w:rsid w:val="00EF2074"/>
    <w:rsid w:val="00EF5951"/>
    <w:rsid w:val="00F03046"/>
    <w:rsid w:val="00F052B8"/>
    <w:rsid w:val="00F1032C"/>
    <w:rsid w:val="00F126E1"/>
    <w:rsid w:val="00F14056"/>
    <w:rsid w:val="00F32472"/>
    <w:rsid w:val="00F349C2"/>
    <w:rsid w:val="00F4003A"/>
    <w:rsid w:val="00F42DB3"/>
    <w:rsid w:val="00F4694A"/>
    <w:rsid w:val="00F54E81"/>
    <w:rsid w:val="00F71F31"/>
    <w:rsid w:val="00F72485"/>
    <w:rsid w:val="00F74F1B"/>
    <w:rsid w:val="00F76405"/>
    <w:rsid w:val="00F764B1"/>
    <w:rsid w:val="00F76708"/>
    <w:rsid w:val="00F86B01"/>
    <w:rsid w:val="00F87543"/>
    <w:rsid w:val="00F87791"/>
    <w:rsid w:val="00F936E0"/>
    <w:rsid w:val="00FB55CC"/>
    <w:rsid w:val="00FC71B9"/>
    <w:rsid w:val="00FD1491"/>
    <w:rsid w:val="00FD4653"/>
    <w:rsid w:val="00FD56C5"/>
    <w:rsid w:val="00FE134E"/>
    <w:rsid w:val="00FE2617"/>
    <w:rsid w:val="00FE78B5"/>
    <w:rsid w:val="00FF416E"/>
    <w:rsid w:val="00FF77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3FEBC0E"/>
  <w15:chartTrackingRefBased/>
  <w15:docId w15:val="{10606470-1557-449C-BE5A-0C85E8468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074"/>
    <w:pPr>
      <w:spacing w:after="0" w:line="276" w:lineRule="auto"/>
      <w:ind w:firstLine="720"/>
    </w:pPr>
    <w:rPr>
      <w:rFonts w:ascii="Times New Roman" w:eastAsiaTheme="minorEastAsia" w:hAnsi="Times New Roman"/>
      <w:sz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171B5A"/>
    <w:pPr>
      <w:spacing w:line="240" w:lineRule="auto"/>
    </w:pPr>
    <w:rPr>
      <w:sz w:val="20"/>
      <w:szCs w:val="20"/>
    </w:rPr>
  </w:style>
  <w:style w:type="character" w:customStyle="1" w:styleId="FootnoteTextChar">
    <w:name w:val="Footnote Text Char"/>
    <w:basedOn w:val="DefaultParagraphFont"/>
    <w:link w:val="FootnoteText"/>
    <w:qFormat/>
    <w:rsid w:val="00171B5A"/>
    <w:rPr>
      <w:rFonts w:eastAsiaTheme="minorEastAsia"/>
      <w:sz w:val="20"/>
      <w:szCs w:val="20"/>
      <w:lang w:eastAsia="lv-LV"/>
    </w:rPr>
  </w:style>
  <w:style w:type="character" w:styleId="FootnoteReference">
    <w:name w:val="footnote reference"/>
    <w:link w:val="FootnotesymbolCarZchn"/>
    <w:unhideWhenUsed/>
    <w:qFormat/>
    <w:rsid w:val="00171B5A"/>
    <w:rPr>
      <w:vertAlign w:val="superscript"/>
    </w:rPr>
  </w:style>
  <w:style w:type="character" w:styleId="Hyperlink">
    <w:name w:val="Hyperlink"/>
    <w:basedOn w:val="DefaultParagraphFont"/>
    <w:unhideWhenUsed/>
    <w:rsid w:val="00011333"/>
    <w:rPr>
      <w:color w:val="0563C1" w:themeColor="hyperlink"/>
      <w:u w:val="single"/>
    </w:rPr>
  </w:style>
  <w:style w:type="paragraph" w:styleId="Title">
    <w:name w:val="Title"/>
    <w:basedOn w:val="Normal"/>
    <w:link w:val="TitleChar"/>
    <w:qFormat/>
    <w:rsid w:val="00EF5951"/>
    <w:pPr>
      <w:spacing w:line="240" w:lineRule="auto"/>
      <w:jc w:val="center"/>
    </w:pPr>
    <w:rPr>
      <w:rFonts w:eastAsia="Times New Roman" w:cs="Times New Roman"/>
      <w:szCs w:val="28"/>
    </w:rPr>
  </w:style>
  <w:style w:type="character" w:customStyle="1" w:styleId="TitleChar">
    <w:name w:val="Title Char"/>
    <w:basedOn w:val="DefaultParagraphFont"/>
    <w:link w:val="Title"/>
    <w:rsid w:val="00EF5951"/>
    <w:rPr>
      <w:rFonts w:ascii="Times New Roman" w:eastAsia="Times New Roman" w:hAnsi="Times New Roman" w:cs="Times New Roman"/>
      <w:sz w:val="24"/>
      <w:szCs w:val="28"/>
      <w:lang w:eastAsia="lv-LV"/>
    </w:rPr>
  </w:style>
  <w:style w:type="paragraph" w:customStyle="1" w:styleId="naisf">
    <w:name w:val="naisf"/>
    <w:basedOn w:val="Normal"/>
    <w:rsid w:val="00011333"/>
    <w:pPr>
      <w:spacing w:before="100" w:beforeAutospacing="1" w:after="100" w:afterAutospacing="1" w:line="240" w:lineRule="auto"/>
      <w:jc w:val="both"/>
    </w:pPr>
    <w:rPr>
      <w:rFonts w:eastAsia="Arial Unicode MS" w:cs="Times New Roman"/>
      <w:szCs w:val="24"/>
      <w:lang w:val="en-GB" w:eastAsia="en-US"/>
    </w:rPr>
  </w:style>
  <w:style w:type="character" w:customStyle="1" w:styleId="Nessuno">
    <w:name w:val="Nessuno"/>
    <w:rsid w:val="00011333"/>
    <w:rPr>
      <w:lang w:val="lv-LV"/>
    </w:rPr>
  </w:style>
  <w:style w:type="paragraph" w:styleId="ListParagraph">
    <w:name w:val="List Paragraph"/>
    <w:aliases w:val="Fiche List Paragraph,Task Body,Viñetas (Inicio Parrafo),3 Txt tabla,Zerrenda-paragrafoa,Lista multicolor - Énfasis 11,List Paragraph compact,Dot pt,F5 List Paragraph,List Paragraph1,No Spacing1,List Paragraph Char Char Char,Indicator Text"/>
    <w:basedOn w:val="Normal"/>
    <w:link w:val="ListParagraphChar"/>
    <w:uiPriority w:val="34"/>
    <w:qFormat/>
    <w:rsid w:val="00EF5951"/>
    <w:pPr>
      <w:ind w:left="720"/>
      <w:contextualSpacing/>
    </w:pPr>
  </w:style>
  <w:style w:type="paragraph" w:customStyle="1" w:styleId="Point0number">
    <w:name w:val="Point 0 (number)"/>
    <w:basedOn w:val="Normal"/>
    <w:rsid w:val="0026034A"/>
    <w:pPr>
      <w:numPr>
        <w:numId w:val="5"/>
      </w:numPr>
      <w:spacing w:before="120" w:after="120" w:line="240" w:lineRule="auto"/>
      <w:jc w:val="both"/>
    </w:pPr>
    <w:rPr>
      <w:rFonts w:eastAsiaTheme="minorHAnsi" w:cs="Times New Roman"/>
      <w:lang w:bidi="lv-LV"/>
    </w:rPr>
  </w:style>
  <w:style w:type="paragraph" w:customStyle="1" w:styleId="Point1number">
    <w:name w:val="Point 1 (number)"/>
    <w:basedOn w:val="Normal"/>
    <w:rsid w:val="0026034A"/>
    <w:pPr>
      <w:numPr>
        <w:ilvl w:val="2"/>
        <w:numId w:val="5"/>
      </w:numPr>
      <w:spacing w:before="120" w:after="120" w:line="240" w:lineRule="auto"/>
      <w:jc w:val="both"/>
    </w:pPr>
    <w:rPr>
      <w:rFonts w:eastAsiaTheme="minorHAnsi" w:cs="Times New Roman"/>
      <w:lang w:bidi="lv-LV"/>
    </w:rPr>
  </w:style>
  <w:style w:type="paragraph" w:customStyle="1" w:styleId="Point2number">
    <w:name w:val="Point 2 (number)"/>
    <w:basedOn w:val="Normal"/>
    <w:rsid w:val="0026034A"/>
    <w:pPr>
      <w:numPr>
        <w:ilvl w:val="4"/>
        <w:numId w:val="5"/>
      </w:numPr>
      <w:spacing w:before="120" w:after="120" w:line="240" w:lineRule="auto"/>
      <w:jc w:val="both"/>
    </w:pPr>
    <w:rPr>
      <w:rFonts w:eastAsiaTheme="minorHAnsi" w:cs="Times New Roman"/>
      <w:lang w:bidi="lv-LV"/>
    </w:rPr>
  </w:style>
  <w:style w:type="paragraph" w:customStyle="1" w:styleId="Point3number">
    <w:name w:val="Point 3 (number)"/>
    <w:basedOn w:val="Normal"/>
    <w:rsid w:val="0026034A"/>
    <w:pPr>
      <w:numPr>
        <w:ilvl w:val="6"/>
        <w:numId w:val="5"/>
      </w:numPr>
      <w:spacing w:before="120" w:after="120" w:line="240" w:lineRule="auto"/>
      <w:jc w:val="both"/>
    </w:pPr>
    <w:rPr>
      <w:rFonts w:eastAsiaTheme="minorHAnsi" w:cs="Times New Roman"/>
      <w:lang w:bidi="lv-LV"/>
    </w:rPr>
  </w:style>
  <w:style w:type="paragraph" w:customStyle="1" w:styleId="Point0letter">
    <w:name w:val="Point 0 (letter)"/>
    <w:basedOn w:val="Normal"/>
    <w:rsid w:val="0026034A"/>
    <w:pPr>
      <w:numPr>
        <w:ilvl w:val="1"/>
        <w:numId w:val="5"/>
      </w:numPr>
      <w:spacing w:before="120" w:after="120" w:line="240" w:lineRule="auto"/>
      <w:jc w:val="both"/>
    </w:pPr>
    <w:rPr>
      <w:rFonts w:eastAsiaTheme="minorHAnsi" w:cs="Times New Roman"/>
      <w:lang w:bidi="lv-LV"/>
    </w:rPr>
  </w:style>
  <w:style w:type="paragraph" w:customStyle="1" w:styleId="Point1letter">
    <w:name w:val="Point 1 (letter)"/>
    <w:basedOn w:val="Normal"/>
    <w:rsid w:val="0026034A"/>
    <w:pPr>
      <w:numPr>
        <w:ilvl w:val="3"/>
        <w:numId w:val="5"/>
      </w:numPr>
      <w:spacing w:before="120" w:after="120" w:line="240" w:lineRule="auto"/>
      <w:jc w:val="both"/>
    </w:pPr>
    <w:rPr>
      <w:rFonts w:eastAsiaTheme="minorHAnsi" w:cs="Times New Roman"/>
      <w:lang w:bidi="lv-LV"/>
    </w:rPr>
  </w:style>
  <w:style w:type="paragraph" w:customStyle="1" w:styleId="Point2letter">
    <w:name w:val="Point 2 (letter)"/>
    <w:basedOn w:val="Normal"/>
    <w:rsid w:val="0026034A"/>
    <w:pPr>
      <w:numPr>
        <w:ilvl w:val="5"/>
        <w:numId w:val="5"/>
      </w:numPr>
      <w:spacing w:before="120" w:after="120" w:line="240" w:lineRule="auto"/>
      <w:jc w:val="both"/>
    </w:pPr>
    <w:rPr>
      <w:rFonts w:eastAsiaTheme="minorHAnsi" w:cs="Times New Roman"/>
      <w:lang w:bidi="lv-LV"/>
    </w:rPr>
  </w:style>
  <w:style w:type="paragraph" w:customStyle="1" w:styleId="Point3letter">
    <w:name w:val="Point 3 (letter)"/>
    <w:basedOn w:val="Normal"/>
    <w:rsid w:val="0026034A"/>
    <w:pPr>
      <w:numPr>
        <w:ilvl w:val="7"/>
        <w:numId w:val="5"/>
      </w:numPr>
      <w:spacing w:before="120" w:after="120" w:line="240" w:lineRule="auto"/>
      <w:jc w:val="both"/>
    </w:pPr>
    <w:rPr>
      <w:rFonts w:eastAsiaTheme="minorHAnsi" w:cs="Times New Roman"/>
      <w:lang w:bidi="lv-LV"/>
    </w:rPr>
  </w:style>
  <w:style w:type="paragraph" w:customStyle="1" w:styleId="Point4letter">
    <w:name w:val="Point 4 (letter)"/>
    <w:basedOn w:val="Normal"/>
    <w:rsid w:val="0026034A"/>
    <w:pPr>
      <w:numPr>
        <w:ilvl w:val="8"/>
        <w:numId w:val="5"/>
      </w:numPr>
      <w:spacing w:before="120" w:after="120" w:line="240" w:lineRule="auto"/>
      <w:jc w:val="both"/>
    </w:pPr>
    <w:rPr>
      <w:rFonts w:eastAsiaTheme="minorHAnsi" w:cs="Times New Roman"/>
      <w:lang w:bidi="lv-LV"/>
    </w:rPr>
  </w:style>
  <w:style w:type="paragraph" w:customStyle="1" w:styleId="ManualConsidrant">
    <w:name w:val="Manual Considérant"/>
    <w:basedOn w:val="Normal"/>
    <w:rsid w:val="0026034A"/>
    <w:pPr>
      <w:spacing w:before="120" w:after="120" w:line="240" w:lineRule="auto"/>
      <w:ind w:left="709" w:hanging="709"/>
      <w:jc w:val="both"/>
    </w:pPr>
    <w:rPr>
      <w:rFonts w:eastAsiaTheme="minorHAnsi" w:cs="Times New Roman"/>
      <w:lang w:bidi="lv-LV"/>
    </w:rPr>
  </w:style>
  <w:style w:type="paragraph" w:customStyle="1" w:styleId="ManualNumPar1">
    <w:name w:val="Manual NumPar 1"/>
    <w:basedOn w:val="Normal"/>
    <w:next w:val="Normal"/>
    <w:rsid w:val="0026034A"/>
    <w:pPr>
      <w:spacing w:before="120" w:after="120" w:line="240" w:lineRule="auto"/>
      <w:ind w:left="850" w:hanging="850"/>
      <w:jc w:val="both"/>
    </w:pPr>
    <w:rPr>
      <w:rFonts w:eastAsiaTheme="minorHAnsi" w:cs="Times New Roman"/>
      <w:lang w:bidi="lv-LV"/>
    </w:rPr>
  </w:style>
  <w:style w:type="paragraph" w:customStyle="1" w:styleId="FootnotesymbolCarZchn">
    <w:name w:val="Footnote symbol Car Zchn"/>
    <w:basedOn w:val="Normal"/>
    <w:link w:val="FootnoteReference"/>
    <w:qFormat/>
    <w:rsid w:val="006F4A54"/>
    <w:pPr>
      <w:spacing w:line="240" w:lineRule="auto"/>
      <w:ind w:left="284" w:hanging="284"/>
      <w:jc w:val="both"/>
    </w:pPr>
    <w:rPr>
      <w:rFonts w:eastAsiaTheme="minorHAnsi"/>
      <w:vertAlign w:val="superscript"/>
      <w:lang w:eastAsia="en-US"/>
    </w:rPr>
  </w:style>
  <w:style w:type="character" w:customStyle="1" w:styleId="ListParagraphChar">
    <w:name w:val="List Paragraph Char"/>
    <w:aliases w:val="Fiche List Paragraph Char,Task Body Char,Viñetas (Inicio Parrafo) Char,3 Txt tabla Char,Zerrenda-paragrafoa Char,Lista multicolor - Énfasis 11 Char,List Paragraph compact Char,Dot pt Char,F5 List Paragraph Char,List Paragraph1 Char"/>
    <w:basedOn w:val="DefaultParagraphFont"/>
    <w:link w:val="ListParagraph"/>
    <w:uiPriority w:val="34"/>
    <w:qFormat/>
    <w:locked/>
    <w:rsid w:val="006F4A54"/>
    <w:rPr>
      <w:rFonts w:eastAsiaTheme="minorEastAsia"/>
      <w:lang w:eastAsia="lv-LV"/>
    </w:rPr>
  </w:style>
  <w:style w:type="character" w:styleId="FollowedHyperlink">
    <w:name w:val="FollowedHyperlink"/>
    <w:basedOn w:val="DefaultParagraphFont"/>
    <w:uiPriority w:val="99"/>
    <w:semiHidden/>
    <w:unhideWhenUsed/>
    <w:rsid w:val="00715F78"/>
    <w:rPr>
      <w:color w:val="954F72" w:themeColor="followedHyperlink"/>
      <w:u w:val="single"/>
    </w:rPr>
  </w:style>
  <w:style w:type="paragraph" w:styleId="BalloonText">
    <w:name w:val="Balloon Text"/>
    <w:basedOn w:val="Normal"/>
    <w:link w:val="BalloonTextChar"/>
    <w:uiPriority w:val="99"/>
    <w:semiHidden/>
    <w:unhideWhenUsed/>
    <w:rsid w:val="00D63A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AA1"/>
    <w:rPr>
      <w:rFonts w:ascii="Segoe UI" w:eastAsiaTheme="minorEastAsia" w:hAnsi="Segoe UI" w:cs="Segoe UI"/>
      <w:sz w:val="18"/>
      <w:szCs w:val="18"/>
      <w:lang w:eastAsia="lv-LV"/>
    </w:rPr>
  </w:style>
  <w:style w:type="character" w:styleId="CommentReference">
    <w:name w:val="annotation reference"/>
    <w:basedOn w:val="DefaultParagraphFont"/>
    <w:uiPriority w:val="99"/>
    <w:semiHidden/>
    <w:unhideWhenUsed/>
    <w:rsid w:val="00E57B40"/>
    <w:rPr>
      <w:sz w:val="16"/>
      <w:szCs w:val="16"/>
    </w:rPr>
  </w:style>
  <w:style w:type="paragraph" w:styleId="CommentText">
    <w:name w:val="annotation text"/>
    <w:basedOn w:val="Normal"/>
    <w:link w:val="CommentTextChar"/>
    <w:uiPriority w:val="99"/>
    <w:semiHidden/>
    <w:unhideWhenUsed/>
    <w:rsid w:val="00E57B40"/>
    <w:pPr>
      <w:spacing w:line="240" w:lineRule="auto"/>
    </w:pPr>
    <w:rPr>
      <w:sz w:val="20"/>
      <w:szCs w:val="20"/>
    </w:rPr>
  </w:style>
  <w:style w:type="character" w:customStyle="1" w:styleId="CommentTextChar">
    <w:name w:val="Comment Text Char"/>
    <w:basedOn w:val="DefaultParagraphFont"/>
    <w:link w:val="CommentText"/>
    <w:uiPriority w:val="99"/>
    <w:semiHidden/>
    <w:rsid w:val="00E57B40"/>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E57B40"/>
    <w:rPr>
      <w:b/>
      <w:bCs/>
    </w:rPr>
  </w:style>
  <w:style w:type="character" w:customStyle="1" w:styleId="CommentSubjectChar">
    <w:name w:val="Comment Subject Char"/>
    <w:basedOn w:val="CommentTextChar"/>
    <w:link w:val="CommentSubject"/>
    <w:uiPriority w:val="99"/>
    <w:semiHidden/>
    <w:rsid w:val="00E57B40"/>
    <w:rPr>
      <w:rFonts w:eastAsiaTheme="minorEastAsia"/>
      <w:b/>
      <w:bCs/>
      <w:sz w:val="20"/>
      <w:szCs w:val="20"/>
      <w:lang w:eastAsia="lv-LV"/>
    </w:rPr>
  </w:style>
  <w:style w:type="paragraph" w:styleId="NormalWeb">
    <w:name w:val="Normal (Web)"/>
    <w:basedOn w:val="Normal"/>
    <w:uiPriority w:val="99"/>
    <w:semiHidden/>
    <w:unhideWhenUsed/>
    <w:rsid w:val="003A5CEC"/>
    <w:pPr>
      <w:spacing w:before="100" w:beforeAutospacing="1" w:after="100" w:afterAutospacing="1" w:line="240" w:lineRule="auto"/>
      <w:ind w:firstLine="0"/>
    </w:pPr>
    <w:rPr>
      <w:rFonts w:eastAsia="Times New Roman" w:cs="Times New Roman"/>
      <w:szCs w:val="24"/>
    </w:rPr>
  </w:style>
  <w:style w:type="paragraph" w:customStyle="1" w:styleId="Default">
    <w:name w:val="Default"/>
    <w:rsid w:val="00EB1E6C"/>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UnresolvedMention1">
    <w:name w:val="Unresolved Mention1"/>
    <w:basedOn w:val="DefaultParagraphFont"/>
    <w:uiPriority w:val="99"/>
    <w:semiHidden/>
    <w:unhideWhenUsed/>
    <w:rsid w:val="00241132"/>
    <w:rPr>
      <w:color w:val="605E5C"/>
      <w:shd w:val="clear" w:color="auto" w:fill="E1DFDD"/>
    </w:rPr>
  </w:style>
  <w:style w:type="paragraph" w:styleId="Header">
    <w:name w:val="header"/>
    <w:basedOn w:val="Normal"/>
    <w:link w:val="HeaderChar"/>
    <w:uiPriority w:val="99"/>
    <w:unhideWhenUsed/>
    <w:rsid w:val="00BD1D58"/>
    <w:pPr>
      <w:tabs>
        <w:tab w:val="center" w:pos="4320"/>
        <w:tab w:val="right" w:pos="8640"/>
      </w:tabs>
      <w:spacing w:line="240" w:lineRule="auto"/>
    </w:pPr>
  </w:style>
  <w:style w:type="character" w:customStyle="1" w:styleId="HeaderChar">
    <w:name w:val="Header Char"/>
    <w:basedOn w:val="DefaultParagraphFont"/>
    <w:link w:val="Header"/>
    <w:uiPriority w:val="99"/>
    <w:rsid w:val="00BD1D58"/>
    <w:rPr>
      <w:rFonts w:ascii="Times New Roman" w:eastAsiaTheme="minorEastAsia" w:hAnsi="Times New Roman"/>
      <w:sz w:val="24"/>
      <w:lang w:eastAsia="lv-LV"/>
    </w:rPr>
  </w:style>
  <w:style w:type="paragraph" w:styleId="Footer">
    <w:name w:val="footer"/>
    <w:basedOn w:val="Normal"/>
    <w:link w:val="FooterChar"/>
    <w:uiPriority w:val="99"/>
    <w:unhideWhenUsed/>
    <w:rsid w:val="00BD1D58"/>
    <w:pPr>
      <w:tabs>
        <w:tab w:val="center" w:pos="4320"/>
        <w:tab w:val="right" w:pos="8640"/>
      </w:tabs>
      <w:spacing w:line="240" w:lineRule="auto"/>
    </w:pPr>
  </w:style>
  <w:style w:type="character" w:customStyle="1" w:styleId="FooterChar">
    <w:name w:val="Footer Char"/>
    <w:basedOn w:val="DefaultParagraphFont"/>
    <w:link w:val="Footer"/>
    <w:uiPriority w:val="99"/>
    <w:rsid w:val="00BD1D58"/>
    <w:rPr>
      <w:rFonts w:ascii="Times New Roman" w:eastAsiaTheme="minorEastAsia" w:hAnsi="Times New Roman"/>
      <w:sz w:val="24"/>
      <w:lang w:eastAsia="lv-LV"/>
    </w:rPr>
  </w:style>
  <w:style w:type="character" w:customStyle="1" w:styleId="FootnoteCharacters">
    <w:name w:val="Footnote Characters"/>
    <w:rsid w:val="0062628C"/>
    <w:rPr>
      <w:vertAlign w:val="superscript"/>
    </w:rPr>
  </w:style>
  <w:style w:type="table" w:styleId="TableGrid">
    <w:name w:val="Table Grid"/>
    <w:basedOn w:val="TableNormal"/>
    <w:uiPriority w:val="39"/>
    <w:rsid w:val="00BB4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45482">
      <w:bodyDiv w:val="1"/>
      <w:marLeft w:val="0"/>
      <w:marRight w:val="0"/>
      <w:marTop w:val="0"/>
      <w:marBottom w:val="0"/>
      <w:divBdr>
        <w:top w:val="none" w:sz="0" w:space="0" w:color="auto"/>
        <w:left w:val="none" w:sz="0" w:space="0" w:color="auto"/>
        <w:bottom w:val="none" w:sz="0" w:space="0" w:color="auto"/>
        <w:right w:val="none" w:sz="0" w:space="0" w:color="auto"/>
      </w:divBdr>
    </w:div>
    <w:div w:id="229193878">
      <w:bodyDiv w:val="1"/>
      <w:marLeft w:val="0"/>
      <w:marRight w:val="0"/>
      <w:marTop w:val="0"/>
      <w:marBottom w:val="0"/>
      <w:divBdr>
        <w:top w:val="none" w:sz="0" w:space="0" w:color="auto"/>
        <w:left w:val="none" w:sz="0" w:space="0" w:color="auto"/>
        <w:bottom w:val="none" w:sz="0" w:space="0" w:color="auto"/>
        <w:right w:val="none" w:sz="0" w:space="0" w:color="auto"/>
      </w:divBdr>
    </w:div>
    <w:div w:id="498077465">
      <w:bodyDiv w:val="1"/>
      <w:marLeft w:val="0"/>
      <w:marRight w:val="0"/>
      <w:marTop w:val="0"/>
      <w:marBottom w:val="0"/>
      <w:divBdr>
        <w:top w:val="none" w:sz="0" w:space="0" w:color="auto"/>
        <w:left w:val="none" w:sz="0" w:space="0" w:color="auto"/>
        <w:bottom w:val="none" w:sz="0" w:space="0" w:color="auto"/>
        <w:right w:val="none" w:sz="0" w:space="0" w:color="auto"/>
      </w:divBdr>
    </w:div>
    <w:div w:id="517425502">
      <w:bodyDiv w:val="1"/>
      <w:marLeft w:val="0"/>
      <w:marRight w:val="0"/>
      <w:marTop w:val="0"/>
      <w:marBottom w:val="0"/>
      <w:divBdr>
        <w:top w:val="none" w:sz="0" w:space="0" w:color="auto"/>
        <w:left w:val="none" w:sz="0" w:space="0" w:color="auto"/>
        <w:bottom w:val="none" w:sz="0" w:space="0" w:color="auto"/>
        <w:right w:val="none" w:sz="0" w:space="0" w:color="auto"/>
      </w:divBdr>
    </w:div>
    <w:div w:id="561213368">
      <w:bodyDiv w:val="1"/>
      <w:marLeft w:val="0"/>
      <w:marRight w:val="0"/>
      <w:marTop w:val="0"/>
      <w:marBottom w:val="0"/>
      <w:divBdr>
        <w:top w:val="none" w:sz="0" w:space="0" w:color="auto"/>
        <w:left w:val="none" w:sz="0" w:space="0" w:color="auto"/>
        <w:bottom w:val="none" w:sz="0" w:space="0" w:color="auto"/>
        <w:right w:val="none" w:sz="0" w:space="0" w:color="auto"/>
      </w:divBdr>
    </w:div>
    <w:div w:id="697660696">
      <w:bodyDiv w:val="1"/>
      <w:marLeft w:val="0"/>
      <w:marRight w:val="0"/>
      <w:marTop w:val="0"/>
      <w:marBottom w:val="0"/>
      <w:divBdr>
        <w:top w:val="none" w:sz="0" w:space="0" w:color="auto"/>
        <w:left w:val="none" w:sz="0" w:space="0" w:color="auto"/>
        <w:bottom w:val="none" w:sz="0" w:space="0" w:color="auto"/>
        <w:right w:val="none" w:sz="0" w:space="0" w:color="auto"/>
      </w:divBdr>
    </w:div>
    <w:div w:id="797644264">
      <w:bodyDiv w:val="1"/>
      <w:marLeft w:val="0"/>
      <w:marRight w:val="0"/>
      <w:marTop w:val="0"/>
      <w:marBottom w:val="0"/>
      <w:divBdr>
        <w:top w:val="none" w:sz="0" w:space="0" w:color="auto"/>
        <w:left w:val="none" w:sz="0" w:space="0" w:color="auto"/>
        <w:bottom w:val="none" w:sz="0" w:space="0" w:color="auto"/>
        <w:right w:val="none" w:sz="0" w:space="0" w:color="auto"/>
      </w:divBdr>
    </w:div>
    <w:div w:id="874460456">
      <w:bodyDiv w:val="1"/>
      <w:marLeft w:val="0"/>
      <w:marRight w:val="0"/>
      <w:marTop w:val="0"/>
      <w:marBottom w:val="0"/>
      <w:divBdr>
        <w:top w:val="none" w:sz="0" w:space="0" w:color="auto"/>
        <w:left w:val="none" w:sz="0" w:space="0" w:color="auto"/>
        <w:bottom w:val="none" w:sz="0" w:space="0" w:color="auto"/>
        <w:right w:val="none" w:sz="0" w:space="0" w:color="auto"/>
      </w:divBdr>
    </w:div>
    <w:div w:id="980231353">
      <w:bodyDiv w:val="1"/>
      <w:marLeft w:val="0"/>
      <w:marRight w:val="0"/>
      <w:marTop w:val="0"/>
      <w:marBottom w:val="0"/>
      <w:divBdr>
        <w:top w:val="none" w:sz="0" w:space="0" w:color="auto"/>
        <w:left w:val="none" w:sz="0" w:space="0" w:color="auto"/>
        <w:bottom w:val="none" w:sz="0" w:space="0" w:color="auto"/>
        <w:right w:val="none" w:sz="0" w:space="0" w:color="auto"/>
      </w:divBdr>
    </w:div>
    <w:div w:id="1017540557">
      <w:bodyDiv w:val="1"/>
      <w:marLeft w:val="0"/>
      <w:marRight w:val="0"/>
      <w:marTop w:val="0"/>
      <w:marBottom w:val="0"/>
      <w:divBdr>
        <w:top w:val="none" w:sz="0" w:space="0" w:color="auto"/>
        <w:left w:val="none" w:sz="0" w:space="0" w:color="auto"/>
        <w:bottom w:val="none" w:sz="0" w:space="0" w:color="auto"/>
        <w:right w:val="none" w:sz="0" w:space="0" w:color="auto"/>
      </w:divBdr>
    </w:div>
    <w:div w:id="1324821410">
      <w:bodyDiv w:val="1"/>
      <w:marLeft w:val="0"/>
      <w:marRight w:val="0"/>
      <w:marTop w:val="0"/>
      <w:marBottom w:val="0"/>
      <w:divBdr>
        <w:top w:val="none" w:sz="0" w:space="0" w:color="auto"/>
        <w:left w:val="none" w:sz="0" w:space="0" w:color="auto"/>
        <w:bottom w:val="none" w:sz="0" w:space="0" w:color="auto"/>
        <w:right w:val="none" w:sz="0" w:space="0" w:color="auto"/>
      </w:divBdr>
    </w:div>
    <w:div w:id="1375734614">
      <w:bodyDiv w:val="1"/>
      <w:marLeft w:val="0"/>
      <w:marRight w:val="0"/>
      <w:marTop w:val="0"/>
      <w:marBottom w:val="0"/>
      <w:divBdr>
        <w:top w:val="none" w:sz="0" w:space="0" w:color="auto"/>
        <w:left w:val="none" w:sz="0" w:space="0" w:color="auto"/>
        <w:bottom w:val="none" w:sz="0" w:space="0" w:color="auto"/>
        <w:right w:val="none" w:sz="0" w:space="0" w:color="auto"/>
      </w:divBdr>
    </w:div>
    <w:div w:id="1516531135">
      <w:bodyDiv w:val="1"/>
      <w:marLeft w:val="0"/>
      <w:marRight w:val="0"/>
      <w:marTop w:val="0"/>
      <w:marBottom w:val="0"/>
      <w:divBdr>
        <w:top w:val="none" w:sz="0" w:space="0" w:color="auto"/>
        <w:left w:val="none" w:sz="0" w:space="0" w:color="auto"/>
        <w:bottom w:val="none" w:sz="0" w:space="0" w:color="auto"/>
        <w:right w:val="none" w:sz="0" w:space="0" w:color="auto"/>
      </w:divBdr>
    </w:div>
    <w:div w:id="1540388035">
      <w:bodyDiv w:val="1"/>
      <w:marLeft w:val="0"/>
      <w:marRight w:val="0"/>
      <w:marTop w:val="0"/>
      <w:marBottom w:val="0"/>
      <w:divBdr>
        <w:top w:val="none" w:sz="0" w:space="0" w:color="auto"/>
        <w:left w:val="none" w:sz="0" w:space="0" w:color="auto"/>
        <w:bottom w:val="none" w:sz="0" w:space="0" w:color="auto"/>
        <w:right w:val="none" w:sz="0" w:space="0" w:color="auto"/>
      </w:divBdr>
    </w:div>
    <w:div w:id="1684087168">
      <w:bodyDiv w:val="1"/>
      <w:marLeft w:val="0"/>
      <w:marRight w:val="0"/>
      <w:marTop w:val="0"/>
      <w:marBottom w:val="0"/>
      <w:divBdr>
        <w:top w:val="none" w:sz="0" w:space="0" w:color="auto"/>
        <w:left w:val="none" w:sz="0" w:space="0" w:color="auto"/>
        <w:bottom w:val="none" w:sz="0" w:space="0" w:color="auto"/>
        <w:right w:val="none" w:sz="0" w:space="0" w:color="auto"/>
      </w:divBdr>
    </w:div>
    <w:div w:id="1720547675">
      <w:bodyDiv w:val="1"/>
      <w:marLeft w:val="0"/>
      <w:marRight w:val="0"/>
      <w:marTop w:val="0"/>
      <w:marBottom w:val="0"/>
      <w:divBdr>
        <w:top w:val="none" w:sz="0" w:space="0" w:color="auto"/>
        <w:left w:val="none" w:sz="0" w:space="0" w:color="auto"/>
        <w:bottom w:val="none" w:sz="0" w:space="0" w:color="auto"/>
        <w:right w:val="none" w:sz="0" w:space="0" w:color="auto"/>
      </w:divBdr>
    </w:div>
    <w:div w:id="1740178487">
      <w:bodyDiv w:val="1"/>
      <w:marLeft w:val="0"/>
      <w:marRight w:val="0"/>
      <w:marTop w:val="0"/>
      <w:marBottom w:val="0"/>
      <w:divBdr>
        <w:top w:val="none" w:sz="0" w:space="0" w:color="auto"/>
        <w:left w:val="none" w:sz="0" w:space="0" w:color="auto"/>
        <w:bottom w:val="none" w:sz="0" w:space="0" w:color="auto"/>
        <w:right w:val="none" w:sz="0" w:space="0" w:color="auto"/>
      </w:divBdr>
    </w:div>
    <w:div w:id="188240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194597-publiskas-un-privatas-partneribas-likums" TargetMode="External"/><Relationship Id="rId13" Type="http://schemas.openxmlformats.org/officeDocument/2006/relationships/hyperlink" Target="http://www.latja.lv" TargetMode="External"/><Relationship Id="rId18" Type="http://schemas.openxmlformats.org/officeDocument/2006/relationships/diagramQuickStyle" Target="diagrams/quickStyle1.xml"/><Relationship Id="rId3" Type="http://schemas.openxmlformats.org/officeDocument/2006/relationships/styles" Target="styles.xml"/><Relationship Id="rId21" Type="http://schemas.openxmlformats.org/officeDocument/2006/relationships/hyperlink" Target="mailto:Mihails.Potapovs@mod.gov.lv" TargetMode="External"/><Relationship Id="rId7" Type="http://schemas.openxmlformats.org/officeDocument/2006/relationships/endnotes" Target="endnotes.xml"/><Relationship Id="rId12" Type="http://schemas.openxmlformats.org/officeDocument/2006/relationships/hyperlink" Target="http://www.likta.lv/" TargetMode="External"/><Relationship Id="rId17" Type="http://schemas.openxmlformats.org/officeDocument/2006/relationships/diagramLayout" Target="diagrams/layout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ss.l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va.lv/en/contact-us/contact-via-team" TargetMode="External"/><Relationship Id="rId23" Type="http://schemas.openxmlformats.org/officeDocument/2006/relationships/footer" Target="footer1.xml"/><Relationship Id="rId10" Type="http://schemas.openxmlformats.org/officeDocument/2006/relationships/hyperlink" Target="http://www.cert.lv"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ba.lv" TargetMode="External"/><Relationship Id="rId14" Type="http://schemas.openxmlformats.org/officeDocument/2006/relationships/hyperlink" Target="http://cyber.ngo/"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2019/881/oj" TargetMode="External"/><Relationship Id="rId13" Type="http://schemas.openxmlformats.org/officeDocument/2006/relationships/hyperlink" Target="https://eur-lex.europa.eu/legal-content/LV/ALL/?uri=CELEX:52020PC0823" TargetMode="External"/><Relationship Id="rId3" Type="http://schemas.openxmlformats.org/officeDocument/2006/relationships/hyperlink" Target="http://data.europa.eu/eli/reg/2021/694/oj" TargetMode="External"/><Relationship Id="rId7" Type="http://schemas.openxmlformats.org/officeDocument/2006/relationships/hyperlink" Target="https://digital-strategy.ec.europa.eu/en/library/guidelines-assessment-capacity-national-coordination-centres-manage-funds-fulfil-mission-and" TargetMode="External"/><Relationship Id="rId12" Type="http://schemas.openxmlformats.org/officeDocument/2006/relationships/hyperlink" Target="https://eur-lex.europa.eu/legal-content/LV/ALL/?uri=CELEX:52020JC0018" TargetMode="External"/><Relationship Id="rId2" Type="http://schemas.openxmlformats.org/officeDocument/2006/relationships/hyperlink" Target="https://eur-lex.europa.eu/legal-content/EN/TXT/?qid=1537349553647&amp;uri=CELEX:52018SC0403" TargetMode="External"/><Relationship Id="rId1" Type="http://schemas.openxmlformats.org/officeDocument/2006/relationships/hyperlink" Target="https://eur-lex.europa.eu/eli/reg/2021/887/oj" TargetMode="External"/><Relationship Id="rId6" Type="http://schemas.openxmlformats.org/officeDocument/2006/relationships/hyperlink" Target="http://tap.mk.gov.lv/lv/mk/tap/?pid=40499236&amp;mode=mk&amp;date=2021-03-24" TargetMode="External"/><Relationship Id="rId11" Type="http://schemas.openxmlformats.org/officeDocument/2006/relationships/hyperlink" Target="https://ec.europa.eu/jrc/en/research-topic/cybersecurity/cybersecurity-competence-survey" TargetMode="External"/><Relationship Id="rId5" Type="http://schemas.openxmlformats.org/officeDocument/2006/relationships/hyperlink" Target="http://data.europa.eu/eli/reg/2021/695/oj" TargetMode="External"/><Relationship Id="rId10" Type="http://schemas.openxmlformats.org/officeDocument/2006/relationships/hyperlink" Target="https://tapportals.mk.gov.lv/legal_acts?search%5Bquery%5D=21-TA-331" TargetMode="External"/><Relationship Id="rId4" Type="http://schemas.openxmlformats.org/officeDocument/2006/relationships/hyperlink" Target="http://data.europa.eu/eli/reg/2021/695/oj" TargetMode="External"/><Relationship Id="rId9" Type="http://schemas.openxmlformats.org/officeDocument/2006/relationships/hyperlink" Target="http://tap.mk.gov.lv/lv/mk/tap/?pid=40499236&amp;mode=mk&amp;date=2021-03-24" TargetMode="External"/><Relationship Id="rId14" Type="http://schemas.openxmlformats.org/officeDocument/2006/relationships/hyperlink" Target="https://eur-lex.europa.eu/legal-content/LV/TXT/?uri=CELEX:52020PC0829"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44E7D2D-968B-437D-ACB5-3D9E7C918B82}"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US"/>
        </a:p>
      </dgm:t>
    </dgm:pt>
    <dgm:pt modelId="{F3A39675-5643-4DAC-9D0C-CBFE80B00132}">
      <dgm:prSet/>
      <dgm:spPr/>
      <dgm:t>
        <a:bodyPr/>
        <a:lstStyle/>
        <a:p>
          <a:r>
            <a:rPr lang="lv-LV"/>
            <a:t>Centrs</a:t>
          </a:r>
          <a:endParaRPr lang="en-US"/>
        </a:p>
      </dgm:t>
    </dgm:pt>
    <dgm:pt modelId="{A0109F40-3013-4074-AB96-45A365A51C96}" type="parTrans" cxnId="{AF13532D-9711-4846-A050-4B7CC700F894}">
      <dgm:prSet/>
      <dgm:spPr/>
      <dgm:t>
        <a:bodyPr/>
        <a:lstStyle/>
        <a:p>
          <a:endParaRPr lang="en-US"/>
        </a:p>
      </dgm:t>
    </dgm:pt>
    <dgm:pt modelId="{5646591A-5BDF-4963-A6BB-7C8419BF5E55}" type="sibTrans" cxnId="{AF13532D-9711-4846-A050-4B7CC700F894}">
      <dgm:prSet/>
      <dgm:spPr/>
      <dgm:t>
        <a:bodyPr/>
        <a:lstStyle/>
        <a:p>
          <a:endParaRPr lang="en-US"/>
        </a:p>
      </dgm:t>
    </dgm:pt>
    <dgm:pt modelId="{455A98AB-7A0C-4818-AD24-A1A6FB2EF32A}">
      <dgm:prSet/>
      <dgm:spPr/>
      <dgm:t>
        <a:bodyPr/>
        <a:lstStyle/>
        <a:p>
          <a:r>
            <a:rPr lang="lv-LV"/>
            <a:t>NKC (AM)</a:t>
          </a:r>
          <a:endParaRPr lang="en-US"/>
        </a:p>
      </dgm:t>
    </dgm:pt>
    <dgm:pt modelId="{458DD362-8FAD-4872-90E6-90F86F5B7901}" type="parTrans" cxnId="{BFFBE9F5-DF16-4C0B-8186-A262A0803FEA}">
      <dgm:prSet>
        <dgm:style>
          <a:lnRef idx="0">
            <a:scrgbClr r="0" g="0" b="0"/>
          </a:lnRef>
          <a:fillRef idx="0">
            <a:scrgbClr r="0" g="0" b="0"/>
          </a:fillRef>
          <a:effectRef idx="0">
            <a:scrgbClr r="0" g="0" b="0"/>
          </a:effectRef>
          <a:fontRef idx="minor">
            <a:schemeClr val="tx1"/>
          </a:fontRef>
        </dgm:style>
      </dgm:prSet>
      <dgm:spPr>
        <a:noFill/>
        <a:ln w="9525" cap="flat" cmpd="sng" algn="ctr">
          <a:solidFill>
            <a:schemeClr val="dk1"/>
          </a:solidFill>
          <a:prstDash val="solid"/>
          <a:round/>
          <a:headEnd type="arrow" w="med" len="med"/>
          <a:tailEnd type="arrow" w="med" len="med"/>
        </a:ln>
      </dgm:spPr>
      <dgm:t>
        <a:bodyPr/>
        <a:lstStyle/>
        <a:p>
          <a:endParaRPr lang="en-US"/>
        </a:p>
      </dgm:t>
    </dgm:pt>
    <dgm:pt modelId="{788EC87F-E27B-4FD5-A57B-EEDB8D9F518A}" type="sibTrans" cxnId="{BFFBE9F5-DF16-4C0B-8186-A262A0803FEA}">
      <dgm:prSet/>
      <dgm:spPr/>
      <dgm:t>
        <a:bodyPr/>
        <a:lstStyle/>
        <a:p>
          <a:endParaRPr lang="en-US"/>
        </a:p>
      </dgm:t>
    </dgm:pt>
    <dgm:pt modelId="{1399A5A4-ACC3-4CA8-B8F2-62C469535DB3}" type="asst">
      <dgm:prSet/>
      <dgm:spPr/>
      <dgm:t>
        <a:bodyPr/>
        <a:lstStyle/>
        <a:p>
          <a:pPr>
            <a:spcAft>
              <a:spcPts val="0"/>
            </a:spcAft>
          </a:pPr>
          <a:r>
            <a:rPr lang="lv-LV"/>
            <a:t>CERT.LV;</a:t>
          </a:r>
        </a:p>
        <a:p>
          <a:pPr>
            <a:spcAft>
              <a:spcPts val="0"/>
            </a:spcAft>
          </a:pPr>
          <a:r>
            <a:rPr lang="lv-LV"/>
            <a:t>Citas valsts pārvaldes iestādes</a:t>
          </a:r>
          <a:endParaRPr lang="en-US"/>
        </a:p>
      </dgm:t>
    </dgm:pt>
    <dgm:pt modelId="{42C3FD89-055A-4717-82E7-C5A53DCF7566}" type="parTrans" cxnId="{CE2DBA85-AB58-40D1-B96A-E9D3635A98A9}">
      <dgm:prSet>
        <dgm:style>
          <a:lnRef idx="0">
            <a:scrgbClr r="0" g="0" b="0"/>
          </a:lnRef>
          <a:fillRef idx="0">
            <a:scrgbClr r="0" g="0" b="0"/>
          </a:fillRef>
          <a:effectRef idx="0">
            <a:scrgbClr r="0" g="0" b="0"/>
          </a:effectRef>
          <a:fontRef idx="minor">
            <a:schemeClr val="tx1"/>
          </a:fontRef>
        </dgm:style>
      </dgm:prSet>
      <dgm:spPr>
        <a:noFill/>
        <a:ln w="9525" cap="flat" cmpd="sng" algn="ctr">
          <a:solidFill>
            <a:schemeClr val="dk1"/>
          </a:solidFill>
          <a:prstDash val="solid"/>
          <a:round/>
          <a:headEnd type="arrow" w="med" len="med"/>
          <a:tailEnd type="arrow" w="med" len="med"/>
        </a:ln>
      </dgm:spPr>
      <dgm:t>
        <a:bodyPr/>
        <a:lstStyle/>
        <a:p>
          <a:endParaRPr lang="en-US"/>
        </a:p>
      </dgm:t>
    </dgm:pt>
    <dgm:pt modelId="{4F63FAE9-AEEE-45D4-82DD-B807CFA71370}" type="sibTrans" cxnId="{CE2DBA85-AB58-40D1-B96A-E9D3635A98A9}">
      <dgm:prSet/>
      <dgm:spPr/>
      <dgm:t>
        <a:bodyPr/>
        <a:lstStyle/>
        <a:p>
          <a:endParaRPr lang="en-US"/>
        </a:p>
      </dgm:t>
    </dgm:pt>
    <dgm:pt modelId="{CA29DB4F-4360-48C0-8119-DEF5E7977BAE}">
      <dgm:prSet/>
      <dgm:spPr/>
      <dgm:t>
        <a:bodyPr/>
        <a:lstStyle/>
        <a:p>
          <a:pPr>
            <a:lnSpc>
              <a:spcPct val="100000"/>
            </a:lnSpc>
            <a:spcAft>
              <a:spcPts val="0"/>
            </a:spcAft>
          </a:pPr>
          <a:r>
            <a:rPr lang="lv-LV"/>
            <a:t>Programma </a:t>
          </a:r>
        </a:p>
        <a:p>
          <a:pPr>
            <a:lnSpc>
              <a:spcPct val="100000"/>
            </a:lnSpc>
            <a:spcAft>
              <a:spcPts val="0"/>
            </a:spcAft>
          </a:pPr>
          <a:r>
            <a:rPr lang="lv-LV"/>
            <a:t>"Digitālā Eiropa"</a:t>
          </a:r>
          <a:endParaRPr lang="en-US"/>
        </a:p>
      </dgm:t>
    </dgm:pt>
    <dgm:pt modelId="{E57654EB-74BA-4792-A879-E28CB5C36766}" type="parTrans" cxnId="{859834FB-E36E-4416-8742-A4B652EB6CF7}">
      <dgm:prSet>
        <dgm:style>
          <a:lnRef idx="0">
            <a:scrgbClr r="0" g="0" b="0"/>
          </a:lnRef>
          <a:fillRef idx="0">
            <a:scrgbClr r="0" g="0" b="0"/>
          </a:fillRef>
          <a:effectRef idx="0">
            <a:scrgbClr r="0" g="0" b="0"/>
          </a:effectRef>
          <a:fontRef idx="minor">
            <a:schemeClr val="tx1"/>
          </a:fontRef>
        </dgm:style>
      </dgm:prSet>
      <dgm:spPr>
        <a:noFill/>
        <a:ln w="9525" cap="flat" cmpd="sng" algn="ctr">
          <a:solidFill>
            <a:schemeClr val="dk1"/>
          </a:solidFill>
          <a:prstDash val="solid"/>
          <a:round/>
          <a:headEnd type="arrow" w="med" len="med"/>
          <a:tailEnd type="arrow" w="med" len="med"/>
        </a:ln>
      </dgm:spPr>
      <dgm:t>
        <a:bodyPr/>
        <a:lstStyle/>
        <a:p>
          <a:endParaRPr lang="en-US"/>
        </a:p>
      </dgm:t>
    </dgm:pt>
    <dgm:pt modelId="{51F5C8F6-B755-4F93-A208-1D77BA09B8E0}" type="sibTrans" cxnId="{859834FB-E36E-4416-8742-A4B652EB6CF7}">
      <dgm:prSet/>
      <dgm:spPr/>
      <dgm:t>
        <a:bodyPr/>
        <a:lstStyle/>
        <a:p>
          <a:endParaRPr lang="en-US"/>
        </a:p>
      </dgm:t>
    </dgm:pt>
    <dgm:pt modelId="{668C539E-BBD2-4477-A149-1E9A4EB53667}" type="asst">
      <dgm:prSet/>
      <dgm:spPr/>
      <dgm:t>
        <a:bodyPr/>
        <a:lstStyle/>
        <a:p>
          <a:r>
            <a:rPr lang="lv-LV"/>
            <a:t>Vides aizsardzības un reģionālās attīstības ministrija</a:t>
          </a:r>
          <a:endParaRPr lang="en-US"/>
        </a:p>
      </dgm:t>
    </dgm:pt>
    <dgm:pt modelId="{6E366900-784B-4012-B885-8280F7420C20}" type="parTrans" cxnId="{F467B8CF-68F8-4039-9FAD-37C4CE3D1140}">
      <dgm:prSet>
        <dgm:style>
          <a:lnRef idx="0">
            <a:scrgbClr r="0" g="0" b="0"/>
          </a:lnRef>
          <a:fillRef idx="0">
            <a:scrgbClr r="0" g="0" b="0"/>
          </a:fillRef>
          <a:effectRef idx="0">
            <a:scrgbClr r="0" g="0" b="0"/>
          </a:effectRef>
          <a:fontRef idx="minor">
            <a:schemeClr val="tx1"/>
          </a:fontRef>
        </dgm:style>
      </dgm:prSet>
      <dgm:spPr>
        <a:noFill/>
        <a:ln w="9525" cap="flat" cmpd="sng" algn="ctr">
          <a:solidFill>
            <a:schemeClr val="dk1"/>
          </a:solidFill>
          <a:prstDash val="solid"/>
          <a:round/>
          <a:headEnd type="arrow" w="med" len="med"/>
          <a:tailEnd type="arrow" w="med" len="med"/>
        </a:ln>
      </dgm:spPr>
      <dgm:t>
        <a:bodyPr/>
        <a:lstStyle/>
        <a:p>
          <a:endParaRPr lang="en-US"/>
        </a:p>
      </dgm:t>
    </dgm:pt>
    <dgm:pt modelId="{2BAC6B1A-6CB8-4C6A-819E-9976C254DBF7}" type="sibTrans" cxnId="{F467B8CF-68F8-4039-9FAD-37C4CE3D1140}">
      <dgm:prSet/>
      <dgm:spPr/>
      <dgm:t>
        <a:bodyPr/>
        <a:lstStyle/>
        <a:p>
          <a:endParaRPr lang="en-US"/>
        </a:p>
      </dgm:t>
    </dgm:pt>
    <dgm:pt modelId="{D7F2A2D1-AA07-4A15-AB18-ED2BDDD5781D}">
      <dgm:prSet/>
      <dgm:spPr/>
      <dgm:t>
        <a:bodyPr/>
        <a:lstStyle/>
        <a:p>
          <a:pPr>
            <a:lnSpc>
              <a:spcPct val="100000"/>
            </a:lnSpc>
            <a:spcAft>
              <a:spcPts val="0"/>
            </a:spcAft>
          </a:pPr>
          <a:r>
            <a:rPr lang="lv-LV"/>
            <a:t>Programma </a:t>
          </a:r>
        </a:p>
        <a:p>
          <a:pPr>
            <a:lnSpc>
              <a:spcPct val="100000"/>
            </a:lnSpc>
            <a:spcAft>
              <a:spcPts val="0"/>
            </a:spcAft>
          </a:pPr>
          <a:r>
            <a:rPr lang="lv-LV"/>
            <a:t>"Apvārsnis Eiropa"</a:t>
          </a:r>
          <a:endParaRPr lang="en-US"/>
        </a:p>
      </dgm:t>
    </dgm:pt>
    <dgm:pt modelId="{E9394C27-C946-4648-A303-8DFE847FE77A}" type="parTrans" cxnId="{A584A9B8-C680-4ABA-9F6E-391BB807EE3C}">
      <dgm:prSet>
        <dgm:style>
          <a:lnRef idx="0">
            <a:scrgbClr r="0" g="0" b="0"/>
          </a:lnRef>
          <a:fillRef idx="0">
            <a:scrgbClr r="0" g="0" b="0"/>
          </a:fillRef>
          <a:effectRef idx="0">
            <a:scrgbClr r="0" g="0" b="0"/>
          </a:effectRef>
          <a:fontRef idx="minor">
            <a:schemeClr val="tx1"/>
          </a:fontRef>
        </dgm:style>
      </dgm:prSet>
      <dgm:spPr>
        <a:noFill/>
        <a:ln w="9525" cap="flat" cmpd="sng" algn="ctr">
          <a:solidFill>
            <a:schemeClr val="dk1"/>
          </a:solidFill>
          <a:prstDash val="solid"/>
          <a:round/>
          <a:headEnd type="arrow" w="med" len="med"/>
          <a:tailEnd type="arrow" w="med" len="med"/>
        </a:ln>
      </dgm:spPr>
      <dgm:t>
        <a:bodyPr/>
        <a:lstStyle/>
        <a:p>
          <a:endParaRPr lang="en-US"/>
        </a:p>
      </dgm:t>
    </dgm:pt>
    <dgm:pt modelId="{8083CD44-C660-415B-9280-F36C17FEFAD6}" type="sibTrans" cxnId="{A584A9B8-C680-4ABA-9F6E-391BB807EE3C}">
      <dgm:prSet/>
      <dgm:spPr/>
      <dgm:t>
        <a:bodyPr/>
        <a:lstStyle/>
        <a:p>
          <a:endParaRPr lang="en-US"/>
        </a:p>
      </dgm:t>
    </dgm:pt>
    <dgm:pt modelId="{0606D64B-822F-4CA6-A072-527E7A52A099}" type="asst">
      <dgm:prSet/>
      <dgm:spPr/>
      <dgm:t>
        <a:bodyPr/>
        <a:lstStyle/>
        <a:p>
          <a:r>
            <a:rPr lang="lv-LV"/>
            <a:t>Izglītības un zinātnes ministrija / Valsts izglītības attīstības aģentūra</a:t>
          </a:r>
          <a:endParaRPr lang="en-US"/>
        </a:p>
      </dgm:t>
    </dgm:pt>
    <dgm:pt modelId="{E484FE51-D4EB-48C9-96CC-944AB6DCA738}" type="parTrans" cxnId="{64A224A2-545E-44A7-BA6F-B7EF4AC4A67B}">
      <dgm:prSet>
        <dgm:style>
          <a:lnRef idx="0">
            <a:scrgbClr r="0" g="0" b="0"/>
          </a:lnRef>
          <a:fillRef idx="0">
            <a:scrgbClr r="0" g="0" b="0"/>
          </a:fillRef>
          <a:effectRef idx="0">
            <a:scrgbClr r="0" g="0" b="0"/>
          </a:effectRef>
          <a:fontRef idx="minor">
            <a:schemeClr val="tx1"/>
          </a:fontRef>
        </dgm:style>
      </dgm:prSet>
      <dgm:spPr>
        <a:noFill/>
        <a:ln w="9525" cap="flat" cmpd="sng" algn="ctr">
          <a:solidFill>
            <a:schemeClr val="dk1"/>
          </a:solidFill>
          <a:prstDash val="solid"/>
          <a:round/>
          <a:headEnd type="arrow" w="med" len="med"/>
          <a:tailEnd type="arrow" w="med" len="med"/>
        </a:ln>
      </dgm:spPr>
      <dgm:t>
        <a:bodyPr/>
        <a:lstStyle/>
        <a:p>
          <a:endParaRPr lang="en-US"/>
        </a:p>
      </dgm:t>
    </dgm:pt>
    <dgm:pt modelId="{529445A2-A0CD-4BB9-9A83-13FA03C36C4B}" type="sibTrans" cxnId="{64A224A2-545E-44A7-BA6F-B7EF4AC4A67B}">
      <dgm:prSet/>
      <dgm:spPr/>
      <dgm:t>
        <a:bodyPr/>
        <a:lstStyle/>
        <a:p>
          <a:endParaRPr lang="en-US"/>
        </a:p>
      </dgm:t>
    </dgm:pt>
    <dgm:pt modelId="{E6CE97DB-1B8B-4A32-9B6F-05A8AE0C598D}" type="pres">
      <dgm:prSet presAssocID="{344E7D2D-968B-437D-ACB5-3D9E7C918B82}" presName="hierChild1" presStyleCnt="0">
        <dgm:presLayoutVars>
          <dgm:orgChart val="1"/>
          <dgm:chPref val="1"/>
          <dgm:dir/>
          <dgm:animOne val="branch"/>
          <dgm:animLvl val="lvl"/>
          <dgm:resizeHandles/>
        </dgm:presLayoutVars>
      </dgm:prSet>
      <dgm:spPr/>
      <dgm:t>
        <a:bodyPr/>
        <a:lstStyle/>
        <a:p>
          <a:endParaRPr lang="en-US"/>
        </a:p>
      </dgm:t>
    </dgm:pt>
    <dgm:pt modelId="{A3507ACF-4CC4-4F40-A04B-A54CBE90682D}" type="pres">
      <dgm:prSet presAssocID="{F3A39675-5643-4DAC-9D0C-CBFE80B00132}" presName="hierRoot1" presStyleCnt="0">
        <dgm:presLayoutVars>
          <dgm:hierBranch val="init"/>
        </dgm:presLayoutVars>
      </dgm:prSet>
      <dgm:spPr/>
    </dgm:pt>
    <dgm:pt modelId="{D36C9250-F2A7-4C6E-8E92-E7B8F2445560}" type="pres">
      <dgm:prSet presAssocID="{F3A39675-5643-4DAC-9D0C-CBFE80B00132}" presName="rootComposite1" presStyleCnt="0"/>
      <dgm:spPr/>
    </dgm:pt>
    <dgm:pt modelId="{0D94DF5A-B498-40B0-9F85-E8DE0315446F}" type="pres">
      <dgm:prSet presAssocID="{F3A39675-5643-4DAC-9D0C-CBFE80B00132}" presName="rootText1" presStyleLbl="node0" presStyleIdx="0" presStyleCnt="1">
        <dgm:presLayoutVars>
          <dgm:chPref val="3"/>
        </dgm:presLayoutVars>
      </dgm:prSet>
      <dgm:spPr/>
      <dgm:t>
        <a:bodyPr/>
        <a:lstStyle/>
        <a:p>
          <a:endParaRPr lang="en-US"/>
        </a:p>
      </dgm:t>
    </dgm:pt>
    <dgm:pt modelId="{092C4502-6CA6-416E-91EB-145623C536C3}" type="pres">
      <dgm:prSet presAssocID="{F3A39675-5643-4DAC-9D0C-CBFE80B00132}" presName="rootConnector1" presStyleLbl="node1" presStyleIdx="0" presStyleCnt="0"/>
      <dgm:spPr/>
      <dgm:t>
        <a:bodyPr/>
        <a:lstStyle/>
        <a:p>
          <a:endParaRPr lang="en-US"/>
        </a:p>
      </dgm:t>
    </dgm:pt>
    <dgm:pt modelId="{78172A8F-0488-46D1-9F72-16E11A88B873}" type="pres">
      <dgm:prSet presAssocID="{F3A39675-5643-4DAC-9D0C-CBFE80B00132}" presName="hierChild2" presStyleCnt="0"/>
      <dgm:spPr/>
    </dgm:pt>
    <dgm:pt modelId="{09847EED-608F-4013-A665-3101FE7F3BC9}" type="pres">
      <dgm:prSet presAssocID="{458DD362-8FAD-4872-90E6-90F86F5B7901}" presName="Name37" presStyleLbl="parChTrans1D2" presStyleIdx="0" presStyleCnt="1"/>
      <dgm:spPr/>
      <dgm:t>
        <a:bodyPr/>
        <a:lstStyle/>
        <a:p>
          <a:endParaRPr lang="en-US"/>
        </a:p>
      </dgm:t>
    </dgm:pt>
    <dgm:pt modelId="{55AC26D2-2F49-492F-8355-EF5356971ED7}" type="pres">
      <dgm:prSet presAssocID="{455A98AB-7A0C-4818-AD24-A1A6FB2EF32A}" presName="hierRoot2" presStyleCnt="0">
        <dgm:presLayoutVars>
          <dgm:hierBranch val="init"/>
        </dgm:presLayoutVars>
      </dgm:prSet>
      <dgm:spPr/>
    </dgm:pt>
    <dgm:pt modelId="{9282AA0C-8CC1-494F-8660-747EE7A7E930}" type="pres">
      <dgm:prSet presAssocID="{455A98AB-7A0C-4818-AD24-A1A6FB2EF32A}" presName="rootComposite" presStyleCnt="0"/>
      <dgm:spPr/>
    </dgm:pt>
    <dgm:pt modelId="{E3D90F5F-A349-4093-AE70-5AECA0CCFB3E}" type="pres">
      <dgm:prSet presAssocID="{455A98AB-7A0C-4818-AD24-A1A6FB2EF32A}" presName="rootText" presStyleLbl="node2" presStyleIdx="0" presStyleCnt="1">
        <dgm:presLayoutVars>
          <dgm:chPref val="3"/>
        </dgm:presLayoutVars>
      </dgm:prSet>
      <dgm:spPr/>
      <dgm:t>
        <a:bodyPr/>
        <a:lstStyle/>
        <a:p>
          <a:endParaRPr lang="en-US"/>
        </a:p>
      </dgm:t>
    </dgm:pt>
    <dgm:pt modelId="{F0F545C0-93E9-4134-9F32-ACF761A345FA}" type="pres">
      <dgm:prSet presAssocID="{455A98AB-7A0C-4818-AD24-A1A6FB2EF32A}" presName="rootConnector" presStyleLbl="node2" presStyleIdx="0" presStyleCnt="1"/>
      <dgm:spPr/>
      <dgm:t>
        <a:bodyPr/>
        <a:lstStyle/>
        <a:p>
          <a:endParaRPr lang="en-US"/>
        </a:p>
      </dgm:t>
    </dgm:pt>
    <dgm:pt modelId="{F3812FC2-10D2-4E96-BE28-8E3AFF6769AB}" type="pres">
      <dgm:prSet presAssocID="{455A98AB-7A0C-4818-AD24-A1A6FB2EF32A}" presName="hierChild4" presStyleCnt="0"/>
      <dgm:spPr/>
    </dgm:pt>
    <dgm:pt modelId="{69921E51-CA8A-4B2E-8B96-51D915607744}" type="pres">
      <dgm:prSet presAssocID="{E57654EB-74BA-4792-A879-E28CB5C36766}" presName="Name37" presStyleLbl="parChTrans1D3" presStyleIdx="0" presStyleCnt="3"/>
      <dgm:spPr/>
      <dgm:t>
        <a:bodyPr/>
        <a:lstStyle/>
        <a:p>
          <a:endParaRPr lang="en-US"/>
        </a:p>
      </dgm:t>
    </dgm:pt>
    <dgm:pt modelId="{E5B0F8F6-7D95-42DB-BD1F-66A084D5F17B}" type="pres">
      <dgm:prSet presAssocID="{CA29DB4F-4360-48C0-8119-DEF5E7977BAE}" presName="hierRoot2" presStyleCnt="0">
        <dgm:presLayoutVars>
          <dgm:hierBranch val="init"/>
        </dgm:presLayoutVars>
      </dgm:prSet>
      <dgm:spPr/>
    </dgm:pt>
    <dgm:pt modelId="{6124A0EF-CED6-4EF1-A92C-C57459DFE40A}" type="pres">
      <dgm:prSet presAssocID="{CA29DB4F-4360-48C0-8119-DEF5E7977BAE}" presName="rootComposite" presStyleCnt="0"/>
      <dgm:spPr/>
    </dgm:pt>
    <dgm:pt modelId="{09A9682A-BFDD-4B5D-B976-949B071E0E45}" type="pres">
      <dgm:prSet presAssocID="{CA29DB4F-4360-48C0-8119-DEF5E7977BAE}" presName="rootText" presStyleLbl="node3" presStyleIdx="0" presStyleCnt="2" custLinFactNeighborX="10" custLinFactNeighborY="-67994">
        <dgm:presLayoutVars>
          <dgm:chPref val="3"/>
        </dgm:presLayoutVars>
      </dgm:prSet>
      <dgm:spPr/>
      <dgm:t>
        <a:bodyPr/>
        <a:lstStyle/>
        <a:p>
          <a:endParaRPr lang="en-US"/>
        </a:p>
      </dgm:t>
    </dgm:pt>
    <dgm:pt modelId="{2ED28A87-049F-4E77-A425-351D67AEB920}" type="pres">
      <dgm:prSet presAssocID="{CA29DB4F-4360-48C0-8119-DEF5E7977BAE}" presName="rootConnector" presStyleLbl="node3" presStyleIdx="0" presStyleCnt="2"/>
      <dgm:spPr/>
      <dgm:t>
        <a:bodyPr/>
        <a:lstStyle/>
        <a:p>
          <a:endParaRPr lang="en-US"/>
        </a:p>
      </dgm:t>
    </dgm:pt>
    <dgm:pt modelId="{B52D85FD-54C0-4284-A676-D682B0E4D807}" type="pres">
      <dgm:prSet presAssocID="{CA29DB4F-4360-48C0-8119-DEF5E7977BAE}" presName="hierChild4" presStyleCnt="0"/>
      <dgm:spPr/>
    </dgm:pt>
    <dgm:pt modelId="{ADBF63FD-DAA3-44AA-B3B5-A988A47D7F71}" type="pres">
      <dgm:prSet presAssocID="{CA29DB4F-4360-48C0-8119-DEF5E7977BAE}" presName="hierChild5" presStyleCnt="0"/>
      <dgm:spPr/>
    </dgm:pt>
    <dgm:pt modelId="{F1531689-2727-417C-8C54-EB6AB2BE0941}" type="pres">
      <dgm:prSet presAssocID="{6E366900-784B-4012-B885-8280F7420C20}" presName="Name111" presStyleLbl="parChTrans1D4" presStyleIdx="0" presStyleCnt="2"/>
      <dgm:spPr/>
      <dgm:t>
        <a:bodyPr/>
        <a:lstStyle/>
        <a:p>
          <a:endParaRPr lang="en-US"/>
        </a:p>
      </dgm:t>
    </dgm:pt>
    <dgm:pt modelId="{829CE7C9-0A82-4655-A61A-D3495FE543DF}" type="pres">
      <dgm:prSet presAssocID="{668C539E-BBD2-4477-A149-1E9A4EB53667}" presName="hierRoot3" presStyleCnt="0">
        <dgm:presLayoutVars>
          <dgm:hierBranch val="init"/>
        </dgm:presLayoutVars>
      </dgm:prSet>
      <dgm:spPr/>
    </dgm:pt>
    <dgm:pt modelId="{74B2E16C-9C77-4E2F-A91C-220F6C743B8B}" type="pres">
      <dgm:prSet presAssocID="{668C539E-BBD2-4477-A149-1E9A4EB53667}" presName="rootComposite3" presStyleCnt="0"/>
      <dgm:spPr/>
    </dgm:pt>
    <dgm:pt modelId="{0367470D-7574-4E12-AB3D-FCCE3D0894C9}" type="pres">
      <dgm:prSet presAssocID="{668C539E-BBD2-4477-A149-1E9A4EB53667}" presName="rootText3" presStyleLbl="asst3" presStyleIdx="0" presStyleCnt="2" custLinFactNeighborX="-7892" custLinFactNeighborY="-67090">
        <dgm:presLayoutVars>
          <dgm:chPref val="3"/>
        </dgm:presLayoutVars>
      </dgm:prSet>
      <dgm:spPr/>
      <dgm:t>
        <a:bodyPr/>
        <a:lstStyle/>
        <a:p>
          <a:endParaRPr lang="en-US"/>
        </a:p>
      </dgm:t>
    </dgm:pt>
    <dgm:pt modelId="{E1F2358A-D19E-4AED-8D62-EE7810D92351}" type="pres">
      <dgm:prSet presAssocID="{668C539E-BBD2-4477-A149-1E9A4EB53667}" presName="rootConnector3" presStyleLbl="asst3" presStyleIdx="0" presStyleCnt="2"/>
      <dgm:spPr/>
      <dgm:t>
        <a:bodyPr/>
        <a:lstStyle/>
        <a:p>
          <a:endParaRPr lang="en-US"/>
        </a:p>
      </dgm:t>
    </dgm:pt>
    <dgm:pt modelId="{06DB1B61-C96E-45E6-936F-E36FA1F1575C}" type="pres">
      <dgm:prSet presAssocID="{668C539E-BBD2-4477-A149-1E9A4EB53667}" presName="hierChild6" presStyleCnt="0"/>
      <dgm:spPr/>
    </dgm:pt>
    <dgm:pt modelId="{7F1D5165-EF85-412B-9D46-74386D5CDAE3}" type="pres">
      <dgm:prSet presAssocID="{668C539E-BBD2-4477-A149-1E9A4EB53667}" presName="hierChild7" presStyleCnt="0"/>
      <dgm:spPr/>
    </dgm:pt>
    <dgm:pt modelId="{87058340-DB60-49C0-8994-68701E259E38}" type="pres">
      <dgm:prSet presAssocID="{E9394C27-C946-4648-A303-8DFE847FE77A}" presName="Name37" presStyleLbl="parChTrans1D3" presStyleIdx="1" presStyleCnt="3"/>
      <dgm:spPr/>
      <dgm:t>
        <a:bodyPr/>
        <a:lstStyle/>
        <a:p>
          <a:endParaRPr lang="en-US"/>
        </a:p>
      </dgm:t>
    </dgm:pt>
    <dgm:pt modelId="{CA23506B-3F46-4E73-8A6C-5B408F627745}" type="pres">
      <dgm:prSet presAssocID="{D7F2A2D1-AA07-4A15-AB18-ED2BDDD5781D}" presName="hierRoot2" presStyleCnt="0">
        <dgm:presLayoutVars>
          <dgm:hierBranch val="init"/>
        </dgm:presLayoutVars>
      </dgm:prSet>
      <dgm:spPr/>
    </dgm:pt>
    <dgm:pt modelId="{FC368699-35C4-4482-9259-EB509CBDD972}" type="pres">
      <dgm:prSet presAssocID="{D7F2A2D1-AA07-4A15-AB18-ED2BDDD5781D}" presName="rootComposite" presStyleCnt="0"/>
      <dgm:spPr/>
    </dgm:pt>
    <dgm:pt modelId="{310E825F-260D-4E60-A948-53D9496A22DB}" type="pres">
      <dgm:prSet presAssocID="{D7F2A2D1-AA07-4A15-AB18-ED2BDDD5781D}" presName="rootText" presStyleLbl="node3" presStyleIdx="1" presStyleCnt="2" custLinFactNeighborX="-971" custLinFactNeighborY="-67953">
        <dgm:presLayoutVars>
          <dgm:chPref val="3"/>
        </dgm:presLayoutVars>
      </dgm:prSet>
      <dgm:spPr/>
      <dgm:t>
        <a:bodyPr/>
        <a:lstStyle/>
        <a:p>
          <a:endParaRPr lang="en-US"/>
        </a:p>
      </dgm:t>
    </dgm:pt>
    <dgm:pt modelId="{E4182571-2F38-425B-847E-6F435C360E96}" type="pres">
      <dgm:prSet presAssocID="{D7F2A2D1-AA07-4A15-AB18-ED2BDDD5781D}" presName="rootConnector" presStyleLbl="node3" presStyleIdx="1" presStyleCnt="2"/>
      <dgm:spPr/>
      <dgm:t>
        <a:bodyPr/>
        <a:lstStyle/>
        <a:p>
          <a:endParaRPr lang="en-US"/>
        </a:p>
      </dgm:t>
    </dgm:pt>
    <dgm:pt modelId="{C9F0DCEE-900B-482B-9350-FDB456ED7987}" type="pres">
      <dgm:prSet presAssocID="{D7F2A2D1-AA07-4A15-AB18-ED2BDDD5781D}" presName="hierChild4" presStyleCnt="0"/>
      <dgm:spPr/>
    </dgm:pt>
    <dgm:pt modelId="{79C67FE6-F78F-4E3F-A1CF-D49D238D0AEA}" type="pres">
      <dgm:prSet presAssocID="{D7F2A2D1-AA07-4A15-AB18-ED2BDDD5781D}" presName="hierChild5" presStyleCnt="0"/>
      <dgm:spPr/>
    </dgm:pt>
    <dgm:pt modelId="{5EC5429F-1A0E-4ADB-ABA0-56F094E45D02}" type="pres">
      <dgm:prSet presAssocID="{E484FE51-D4EB-48C9-96CC-944AB6DCA738}" presName="Name111" presStyleLbl="parChTrans1D4" presStyleIdx="1" presStyleCnt="2"/>
      <dgm:spPr/>
      <dgm:t>
        <a:bodyPr/>
        <a:lstStyle/>
        <a:p>
          <a:endParaRPr lang="en-US"/>
        </a:p>
      </dgm:t>
    </dgm:pt>
    <dgm:pt modelId="{E3EC4910-FA92-4AA2-AB23-CD101F78F9D2}" type="pres">
      <dgm:prSet presAssocID="{0606D64B-822F-4CA6-A072-527E7A52A099}" presName="hierRoot3" presStyleCnt="0">
        <dgm:presLayoutVars>
          <dgm:hierBranch val="init"/>
        </dgm:presLayoutVars>
      </dgm:prSet>
      <dgm:spPr/>
    </dgm:pt>
    <dgm:pt modelId="{47384726-567A-4AA6-B760-BDC0196429D2}" type="pres">
      <dgm:prSet presAssocID="{0606D64B-822F-4CA6-A072-527E7A52A099}" presName="rootComposite3" presStyleCnt="0"/>
      <dgm:spPr/>
    </dgm:pt>
    <dgm:pt modelId="{90E8B2BF-556B-4164-9691-FB8E41AE7C8B}" type="pres">
      <dgm:prSet presAssocID="{0606D64B-822F-4CA6-A072-527E7A52A099}" presName="rootText3" presStyleLbl="asst3" presStyleIdx="1" presStyleCnt="2" custLinFactX="31332" custLinFactNeighborX="100000" custLinFactNeighborY="-64813">
        <dgm:presLayoutVars>
          <dgm:chPref val="3"/>
        </dgm:presLayoutVars>
      </dgm:prSet>
      <dgm:spPr/>
      <dgm:t>
        <a:bodyPr/>
        <a:lstStyle/>
        <a:p>
          <a:endParaRPr lang="en-US"/>
        </a:p>
      </dgm:t>
    </dgm:pt>
    <dgm:pt modelId="{807167F9-D890-4EDB-81E3-DF7025E39B38}" type="pres">
      <dgm:prSet presAssocID="{0606D64B-822F-4CA6-A072-527E7A52A099}" presName="rootConnector3" presStyleLbl="asst3" presStyleIdx="1" presStyleCnt="2"/>
      <dgm:spPr/>
      <dgm:t>
        <a:bodyPr/>
        <a:lstStyle/>
        <a:p>
          <a:endParaRPr lang="en-US"/>
        </a:p>
      </dgm:t>
    </dgm:pt>
    <dgm:pt modelId="{65F56641-D22B-4A9B-818D-6DFB46F1B45C}" type="pres">
      <dgm:prSet presAssocID="{0606D64B-822F-4CA6-A072-527E7A52A099}" presName="hierChild6" presStyleCnt="0"/>
      <dgm:spPr/>
    </dgm:pt>
    <dgm:pt modelId="{2FD5ABBA-623E-4DC5-8A73-C2CC3CFECC3D}" type="pres">
      <dgm:prSet presAssocID="{0606D64B-822F-4CA6-A072-527E7A52A099}" presName="hierChild7" presStyleCnt="0"/>
      <dgm:spPr/>
    </dgm:pt>
    <dgm:pt modelId="{10137935-657C-4A55-8A9C-E7B414D23654}" type="pres">
      <dgm:prSet presAssocID="{455A98AB-7A0C-4818-AD24-A1A6FB2EF32A}" presName="hierChild5" presStyleCnt="0"/>
      <dgm:spPr/>
    </dgm:pt>
    <dgm:pt modelId="{9CB7B325-E608-42D3-8066-4CAEF9966C10}" type="pres">
      <dgm:prSet presAssocID="{42C3FD89-055A-4717-82E7-C5A53DCF7566}" presName="Name111" presStyleLbl="parChTrans1D3" presStyleIdx="2" presStyleCnt="3"/>
      <dgm:spPr/>
      <dgm:t>
        <a:bodyPr/>
        <a:lstStyle/>
        <a:p>
          <a:endParaRPr lang="en-US"/>
        </a:p>
      </dgm:t>
    </dgm:pt>
    <dgm:pt modelId="{E394E871-6ADD-4D05-93CB-0838DDBD546E}" type="pres">
      <dgm:prSet presAssocID="{1399A5A4-ACC3-4CA8-B8F2-62C469535DB3}" presName="hierRoot3" presStyleCnt="0">
        <dgm:presLayoutVars>
          <dgm:hierBranch val="init"/>
        </dgm:presLayoutVars>
      </dgm:prSet>
      <dgm:spPr/>
    </dgm:pt>
    <dgm:pt modelId="{22A623A9-850B-4FF7-B774-9D6FDD7D00FC}" type="pres">
      <dgm:prSet presAssocID="{1399A5A4-ACC3-4CA8-B8F2-62C469535DB3}" presName="rootComposite3" presStyleCnt="0"/>
      <dgm:spPr/>
    </dgm:pt>
    <dgm:pt modelId="{A52A20C1-574E-4389-8747-CDB9146B9C65}" type="pres">
      <dgm:prSet presAssocID="{1399A5A4-ACC3-4CA8-B8F2-62C469535DB3}" presName="rootText3" presStyleLbl="asst2" presStyleIdx="0" presStyleCnt="1" custLinFactNeighborX="-73141" custLinFactNeighborY="-89763">
        <dgm:presLayoutVars>
          <dgm:chPref val="3"/>
        </dgm:presLayoutVars>
      </dgm:prSet>
      <dgm:spPr/>
      <dgm:t>
        <a:bodyPr/>
        <a:lstStyle/>
        <a:p>
          <a:endParaRPr lang="en-US"/>
        </a:p>
      </dgm:t>
    </dgm:pt>
    <dgm:pt modelId="{1F1556DE-50A1-4648-AC78-89D428D5FCEE}" type="pres">
      <dgm:prSet presAssocID="{1399A5A4-ACC3-4CA8-B8F2-62C469535DB3}" presName="rootConnector3" presStyleLbl="asst2" presStyleIdx="0" presStyleCnt="1"/>
      <dgm:spPr/>
      <dgm:t>
        <a:bodyPr/>
        <a:lstStyle/>
        <a:p>
          <a:endParaRPr lang="en-US"/>
        </a:p>
      </dgm:t>
    </dgm:pt>
    <dgm:pt modelId="{8CBA263F-046E-4859-9192-6B67E8ACAC0C}" type="pres">
      <dgm:prSet presAssocID="{1399A5A4-ACC3-4CA8-B8F2-62C469535DB3}" presName="hierChild6" presStyleCnt="0"/>
      <dgm:spPr/>
    </dgm:pt>
    <dgm:pt modelId="{1C59843D-3BC8-48AD-8421-7A6B97350ACB}" type="pres">
      <dgm:prSet presAssocID="{1399A5A4-ACC3-4CA8-B8F2-62C469535DB3}" presName="hierChild7" presStyleCnt="0"/>
      <dgm:spPr/>
    </dgm:pt>
    <dgm:pt modelId="{8C08ADFF-644E-424D-A66D-6AD0F9DBA4EA}" type="pres">
      <dgm:prSet presAssocID="{F3A39675-5643-4DAC-9D0C-CBFE80B00132}" presName="hierChild3" presStyleCnt="0"/>
      <dgm:spPr/>
    </dgm:pt>
  </dgm:ptLst>
  <dgm:cxnLst>
    <dgm:cxn modelId="{D1AD9E67-E6C4-4B1F-B4F9-D8A4E2F9BA84}" type="presOf" srcId="{E57654EB-74BA-4792-A879-E28CB5C36766}" destId="{69921E51-CA8A-4B2E-8B96-51D915607744}" srcOrd="0" destOrd="0" presId="urn:microsoft.com/office/officeart/2005/8/layout/orgChart1"/>
    <dgm:cxn modelId="{A584A9B8-C680-4ABA-9F6E-391BB807EE3C}" srcId="{455A98AB-7A0C-4818-AD24-A1A6FB2EF32A}" destId="{D7F2A2D1-AA07-4A15-AB18-ED2BDDD5781D}" srcOrd="2" destOrd="0" parTransId="{E9394C27-C946-4648-A303-8DFE847FE77A}" sibTransId="{8083CD44-C660-415B-9280-F36C17FEFAD6}"/>
    <dgm:cxn modelId="{63C15084-2A34-43E3-B1B6-87BF37427670}" type="presOf" srcId="{0606D64B-822F-4CA6-A072-527E7A52A099}" destId="{90E8B2BF-556B-4164-9691-FB8E41AE7C8B}" srcOrd="0" destOrd="0" presId="urn:microsoft.com/office/officeart/2005/8/layout/orgChart1"/>
    <dgm:cxn modelId="{AF13532D-9711-4846-A050-4B7CC700F894}" srcId="{344E7D2D-968B-437D-ACB5-3D9E7C918B82}" destId="{F3A39675-5643-4DAC-9D0C-CBFE80B00132}" srcOrd="0" destOrd="0" parTransId="{A0109F40-3013-4074-AB96-45A365A51C96}" sibTransId="{5646591A-5BDF-4963-A6BB-7C8419BF5E55}"/>
    <dgm:cxn modelId="{BFFBE9F5-DF16-4C0B-8186-A262A0803FEA}" srcId="{F3A39675-5643-4DAC-9D0C-CBFE80B00132}" destId="{455A98AB-7A0C-4818-AD24-A1A6FB2EF32A}" srcOrd="0" destOrd="0" parTransId="{458DD362-8FAD-4872-90E6-90F86F5B7901}" sibTransId="{788EC87F-E27B-4FD5-A57B-EEDB8D9F518A}"/>
    <dgm:cxn modelId="{07C0456E-6716-474F-A807-0B8AE31DF804}" type="presOf" srcId="{455A98AB-7A0C-4818-AD24-A1A6FB2EF32A}" destId="{F0F545C0-93E9-4134-9F32-ACF761A345FA}" srcOrd="1" destOrd="0" presId="urn:microsoft.com/office/officeart/2005/8/layout/orgChart1"/>
    <dgm:cxn modelId="{859834FB-E36E-4416-8742-A4B652EB6CF7}" srcId="{455A98AB-7A0C-4818-AD24-A1A6FB2EF32A}" destId="{CA29DB4F-4360-48C0-8119-DEF5E7977BAE}" srcOrd="1" destOrd="0" parTransId="{E57654EB-74BA-4792-A879-E28CB5C36766}" sibTransId="{51F5C8F6-B755-4F93-A208-1D77BA09B8E0}"/>
    <dgm:cxn modelId="{5DAD9537-CFDA-4203-A94F-CA03693380DF}" type="presOf" srcId="{F3A39675-5643-4DAC-9D0C-CBFE80B00132}" destId="{0D94DF5A-B498-40B0-9F85-E8DE0315446F}" srcOrd="0" destOrd="0" presId="urn:microsoft.com/office/officeart/2005/8/layout/orgChart1"/>
    <dgm:cxn modelId="{56076990-53BC-4590-9ACF-934AA62EF9F6}" type="presOf" srcId="{1399A5A4-ACC3-4CA8-B8F2-62C469535DB3}" destId="{1F1556DE-50A1-4648-AC78-89D428D5FCEE}" srcOrd="1" destOrd="0" presId="urn:microsoft.com/office/officeart/2005/8/layout/orgChart1"/>
    <dgm:cxn modelId="{AC1C7E3B-A60B-4B90-88E9-1802C7205E20}" type="presOf" srcId="{E484FE51-D4EB-48C9-96CC-944AB6DCA738}" destId="{5EC5429F-1A0E-4ADB-ABA0-56F094E45D02}" srcOrd="0" destOrd="0" presId="urn:microsoft.com/office/officeart/2005/8/layout/orgChart1"/>
    <dgm:cxn modelId="{AB062F4D-212E-49D5-95DA-E96AB65048F3}" type="presOf" srcId="{668C539E-BBD2-4477-A149-1E9A4EB53667}" destId="{E1F2358A-D19E-4AED-8D62-EE7810D92351}" srcOrd="1" destOrd="0" presId="urn:microsoft.com/office/officeart/2005/8/layout/orgChart1"/>
    <dgm:cxn modelId="{64A224A2-545E-44A7-BA6F-B7EF4AC4A67B}" srcId="{D7F2A2D1-AA07-4A15-AB18-ED2BDDD5781D}" destId="{0606D64B-822F-4CA6-A072-527E7A52A099}" srcOrd="0" destOrd="0" parTransId="{E484FE51-D4EB-48C9-96CC-944AB6DCA738}" sibTransId="{529445A2-A0CD-4BB9-9A83-13FA03C36C4B}"/>
    <dgm:cxn modelId="{4007C95F-4911-4F20-9628-693726D7B9FD}" type="presOf" srcId="{CA29DB4F-4360-48C0-8119-DEF5E7977BAE}" destId="{2ED28A87-049F-4E77-A425-351D67AEB920}" srcOrd="1" destOrd="0" presId="urn:microsoft.com/office/officeart/2005/8/layout/orgChart1"/>
    <dgm:cxn modelId="{78308257-9311-4F8D-916F-458119D1CDE5}" type="presOf" srcId="{E9394C27-C946-4648-A303-8DFE847FE77A}" destId="{87058340-DB60-49C0-8994-68701E259E38}" srcOrd="0" destOrd="0" presId="urn:microsoft.com/office/officeart/2005/8/layout/orgChart1"/>
    <dgm:cxn modelId="{F467B8CF-68F8-4039-9FAD-37C4CE3D1140}" srcId="{CA29DB4F-4360-48C0-8119-DEF5E7977BAE}" destId="{668C539E-BBD2-4477-A149-1E9A4EB53667}" srcOrd="0" destOrd="0" parTransId="{6E366900-784B-4012-B885-8280F7420C20}" sibTransId="{2BAC6B1A-6CB8-4C6A-819E-9976C254DBF7}"/>
    <dgm:cxn modelId="{59029AA8-B6BF-444F-8E14-CDFEA59C3D86}" type="presOf" srcId="{F3A39675-5643-4DAC-9D0C-CBFE80B00132}" destId="{092C4502-6CA6-416E-91EB-145623C536C3}" srcOrd="1" destOrd="0" presId="urn:microsoft.com/office/officeart/2005/8/layout/orgChart1"/>
    <dgm:cxn modelId="{E2CF7B55-CEA6-47DC-A242-BE17C1D4BAB3}" type="presOf" srcId="{455A98AB-7A0C-4818-AD24-A1A6FB2EF32A}" destId="{E3D90F5F-A349-4093-AE70-5AECA0CCFB3E}" srcOrd="0" destOrd="0" presId="urn:microsoft.com/office/officeart/2005/8/layout/orgChart1"/>
    <dgm:cxn modelId="{01800A08-403F-4775-B17B-27253D3D9714}" type="presOf" srcId="{6E366900-784B-4012-B885-8280F7420C20}" destId="{F1531689-2727-417C-8C54-EB6AB2BE0941}" srcOrd="0" destOrd="0" presId="urn:microsoft.com/office/officeart/2005/8/layout/orgChart1"/>
    <dgm:cxn modelId="{7FAEC6E3-55D9-4959-A774-EB59B79677B5}" type="presOf" srcId="{CA29DB4F-4360-48C0-8119-DEF5E7977BAE}" destId="{09A9682A-BFDD-4B5D-B976-949B071E0E45}" srcOrd="0" destOrd="0" presId="urn:microsoft.com/office/officeart/2005/8/layout/orgChart1"/>
    <dgm:cxn modelId="{CDE73A8C-4136-40C3-8697-153C10539A15}" type="presOf" srcId="{1399A5A4-ACC3-4CA8-B8F2-62C469535DB3}" destId="{A52A20C1-574E-4389-8747-CDB9146B9C65}" srcOrd="0" destOrd="0" presId="urn:microsoft.com/office/officeart/2005/8/layout/orgChart1"/>
    <dgm:cxn modelId="{11C370D0-9023-48E2-85C1-55DBC2EC1C5E}" type="presOf" srcId="{D7F2A2D1-AA07-4A15-AB18-ED2BDDD5781D}" destId="{310E825F-260D-4E60-A948-53D9496A22DB}" srcOrd="0" destOrd="0" presId="urn:microsoft.com/office/officeart/2005/8/layout/orgChart1"/>
    <dgm:cxn modelId="{3C9BFCBE-4333-4183-892A-A67619AA05EA}" type="presOf" srcId="{0606D64B-822F-4CA6-A072-527E7A52A099}" destId="{807167F9-D890-4EDB-81E3-DF7025E39B38}" srcOrd="1" destOrd="0" presId="urn:microsoft.com/office/officeart/2005/8/layout/orgChart1"/>
    <dgm:cxn modelId="{27444B88-D9CC-43E8-A004-56181527ECC1}" type="presOf" srcId="{668C539E-BBD2-4477-A149-1E9A4EB53667}" destId="{0367470D-7574-4E12-AB3D-FCCE3D0894C9}" srcOrd="0" destOrd="0" presId="urn:microsoft.com/office/officeart/2005/8/layout/orgChart1"/>
    <dgm:cxn modelId="{CE2DBA85-AB58-40D1-B96A-E9D3635A98A9}" srcId="{455A98AB-7A0C-4818-AD24-A1A6FB2EF32A}" destId="{1399A5A4-ACC3-4CA8-B8F2-62C469535DB3}" srcOrd="0" destOrd="0" parTransId="{42C3FD89-055A-4717-82E7-C5A53DCF7566}" sibTransId="{4F63FAE9-AEEE-45D4-82DD-B807CFA71370}"/>
    <dgm:cxn modelId="{7DB61694-B678-49FE-93E3-97F7CD95495C}" type="presOf" srcId="{42C3FD89-055A-4717-82E7-C5A53DCF7566}" destId="{9CB7B325-E608-42D3-8066-4CAEF9966C10}" srcOrd="0" destOrd="0" presId="urn:microsoft.com/office/officeart/2005/8/layout/orgChart1"/>
    <dgm:cxn modelId="{CB28D08C-5431-4882-BCE5-CF9B9B85FF72}" type="presOf" srcId="{D7F2A2D1-AA07-4A15-AB18-ED2BDDD5781D}" destId="{E4182571-2F38-425B-847E-6F435C360E96}" srcOrd="1" destOrd="0" presId="urn:microsoft.com/office/officeart/2005/8/layout/orgChart1"/>
    <dgm:cxn modelId="{D5013C20-6F79-4378-B6B2-D42368A4770F}" type="presOf" srcId="{344E7D2D-968B-437D-ACB5-3D9E7C918B82}" destId="{E6CE97DB-1B8B-4A32-9B6F-05A8AE0C598D}" srcOrd="0" destOrd="0" presId="urn:microsoft.com/office/officeart/2005/8/layout/orgChart1"/>
    <dgm:cxn modelId="{AC29CBB1-6065-487B-BACD-D9640A22E686}" type="presOf" srcId="{458DD362-8FAD-4872-90E6-90F86F5B7901}" destId="{09847EED-608F-4013-A665-3101FE7F3BC9}" srcOrd="0" destOrd="0" presId="urn:microsoft.com/office/officeart/2005/8/layout/orgChart1"/>
    <dgm:cxn modelId="{E6607587-559D-4B3D-9EB6-F5638BC19DB0}" type="presParOf" srcId="{E6CE97DB-1B8B-4A32-9B6F-05A8AE0C598D}" destId="{A3507ACF-4CC4-4F40-A04B-A54CBE90682D}" srcOrd="0" destOrd="0" presId="urn:microsoft.com/office/officeart/2005/8/layout/orgChart1"/>
    <dgm:cxn modelId="{3C0FD418-2493-4FC1-A188-F04A5DB44CBF}" type="presParOf" srcId="{A3507ACF-4CC4-4F40-A04B-A54CBE90682D}" destId="{D36C9250-F2A7-4C6E-8E92-E7B8F2445560}" srcOrd="0" destOrd="0" presId="urn:microsoft.com/office/officeart/2005/8/layout/orgChart1"/>
    <dgm:cxn modelId="{DA11C82E-96B4-482D-9EBA-1A74B17B83B5}" type="presParOf" srcId="{D36C9250-F2A7-4C6E-8E92-E7B8F2445560}" destId="{0D94DF5A-B498-40B0-9F85-E8DE0315446F}" srcOrd="0" destOrd="0" presId="urn:microsoft.com/office/officeart/2005/8/layout/orgChart1"/>
    <dgm:cxn modelId="{63041590-03B7-458B-B2DA-F6E47D8B38BB}" type="presParOf" srcId="{D36C9250-F2A7-4C6E-8E92-E7B8F2445560}" destId="{092C4502-6CA6-416E-91EB-145623C536C3}" srcOrd="1" destOrd="0" presId="urn:microsoft.com/office/officeart/2005/8/layout/orgChart1"/>
    <dgm:cxn modelId="{77A83FF7-9EB9-41AE-9495-0EC5877F2051}" type="presParOf" srcId="{A3507ACF-4CC4-4F40-A04B-A54CBE90682D}" destId="{78172A8F-0488-46D1-9F72-16E11A88B873}" srcOrd="1" destOrd="0" presId="urn:microsoft.com/office/officeart/2005/8/layout/orgChart1"/>
    <dgm:cxn modelId="{6D0ADDE7-FC05-41E6-B309-EF8FB1503B59}" type="presParOf" srcId="{78172A8F-0488-46D1-9F72-16E11A88B873}" destId="{09847EED-608F-4013-A665-3101FE7F3BC9}" srcOrd="0" destOrd="0" presId="urn:microsoft.com/office/officeart/2005/8/layout/orgChart1"/>
    <dgm:cxn modelId="{62C17181-50F0-4225-976B-8C28761F1B3D}" type="presParOf" srcId="{78172A8F-0488-46D1-9F72-16E11A88B873}" destId="{55AC26D2-2F49-492F-8355-EF5356971ED7}" srcOrd="1" destOrd="0" presId="urn:microsoft.com/office/officeart/2005/8/layout/orgChart1"/>
    <dgm:cxn modelId="{693B96DD-6531-4503-816A-BFAE6A95FB72}" type="presParOf" srcId="{55AC26D2-2F49-492F-8355-EF5356971ED7}" destId="{9282AA0C-8CC1-494F-8660-747EE7A7E930}" srcOrd="0" destOrd="0" presId="urn:microsoft.com/office/officeart/2005/8/layout/orgChart1"/>
    <dgm:cxn modelId="{68E1B23E-2F60-4D10-81FA-4253D98A5328}" type="presParOf" srcId="{9282AA0C-8CC1-494F-8660-747EE7A7E930}" destId="{E3D90F5F-A349-4093-AE70-5AECA0CCFB3E}" srcOrd="0" destOrd="0" presId="urn:microsoft.com/office/officeart/2005/8/layout/orgChart1"/>
    <dgm:cxn modelId="{19B77016-F841-407F-B6A5-7E5293CFF827}" type="presParOf" srcId="{9282AA0C-8CC1-494F-8660-747EE7A7E930}" destId="{F0F545C0-93E9-4134-9F32-ACF761A345FA}" srcOrd="1" destOrd="0" presId="urn:microsoft.com/office/officeart/2005/8/layout/orgChart1"/>
    <dgm:cxn modelId="{F999669A-14F2-4634-8133-82FC076974EE}" type="presParOf" srcId="{55AC26D2-2F49-492F-8355-EF5356971ED7}" destId="{F3812FC2-10D2-4E96-BE28-8E3AFF6769AB}" srcOrd="1" destOrd="0" presId="urn:microsoft.com/office/officeart/2005/8/layout/orgChart1"/>
    <dgm:cxn modelId="{ED51AA1C-38E5-4200-9A8F-056053BBFDC5}" type="presParOf" srcId="{F3812FC2-10D2-4E96-BE28-8E3AFF6769AB}" destId="{69921E51-CA8A-4B2E-8B96-51D915607744}" srcOrd="0" destOrd="0" presId="urn:microsoft.com/office/officeart/2005/8/layout/orgChart1"/>
    <dgm:cxn modelId="{378AA158-4305-4631-AD97-CB277256CAD7}" type="presParOf" srcId="{F3812FC2-10D2-4E96-BE28-8E3AFF6769AB}" destId="{E5B0F8F6-7D95-42DB-BD1F-66A084D5F17B}" srcOrd="1" destOrd="0" presId="urn:microsoft.com/office/officeart/2005/8/layout/orgChart1"/>
    <dgm:cxn modelId="{3346BC66-EE44-4DFE-9A4C-80FA57532284}" type="presParOf" srcId="{E5B0F8F6-7D95-42DB-BD1F-66A084D5F17B}" destId="{6124A0EF-CED6-4EF1-A92C-C57459DFE40A}" srcOrd="0" destOrd="0" presId="urn:microsoft.com/office/officeart/2005/8/layout/orgChart1"/>
    <dgm:cxn modelId="{6700CF44-1950-446F-A688-568676D99EF6}" type="presParOf" srcId="{6124A0EF-CED6-4EF1-A92C-C57459DFE40A}" destId="{09A9682A-BFDD-4B5D-B976-949B071E0E45}" srcOrd="0" destOrd="0" presId="urn:microsoft.com/office/officeart/2005/8/layout/orgChart1"/>
    <dgm:cxn modelId="{FC395818-24F2-44B1-B5CE-01FF5E33C951}" type="presParOf" srcId="{6124A0EF-CED6-4EF1-A92C-C57459DFE40A}" destId="{2ED28A87-049F-4E77-A425-351D67AEB920}" srcOrd="1" destOrd="0" presId="urn:microsoft.com/office/officeart/2005/8/layout/orgChart1"/>
    <dgm:cxn modelId="{2C4B2E66-056E-447F-8F70-38DE45E63C8C}" type="presParOf" srcId="{E5B0F8F6-7D95-42DB-BD1F-66A084D5F17B}" destId="{B52D85FD-54C0-4284-A676-D682B0E4D807}" srcOrd="1" destOrd="0" presId="urn:microsoft.com/office/officeart/2005/8/layout/orgChart1"/>
    <dgm:cxn modelId="{2212DD04-6946-45AE-97C3-47208671F72E}" type="presParOf" srcId="{E5B0F8F6-7D95-42DB-BD1F-66A084D5F17B}" destId="{ADBF63FD-DAA3-44AA-B3B5-A988A47D7F71}" srcOrd="2" destOrd="0" presId="urn:microsoft.com/office/officeart/2005/8/layout/orgChart1"/>
    <dgm:cxn modelId="{2ECAAB99-5269-4011-AB05-32DF19A1F7D2}" type="presParOf" srcId="{ADBF63FD-DAA3-44AA-B3B5-A988A47D7F71}" destId="{F1531689-2727-417C-8C54-EB6AB2BE0941}" srcOrd="0" destOrd="0" presId="urn:microsoft.com/office/officeart/2005/8/layout/orgChart1"/>
    <dgm:cxn modelId="{476355BD-C2A7-480E-867A-6488949E92B9}" type="presParOf" srcId="{ADBF63FD-DAA3-44AA-B3B5-A988A47D7F71}" destId="{829CE7C9-0A82-4655-A61A-D3495FE543DF}" srcOrd="1" destOrd="0" presId="urn:microsoft.com/office/officeart/2005/8/layout/orgChart1"/>
    <dgm:cxn modelId="{8B985A4D-549B-48B3-9F9C-F194281B732A}" type="presParOf" srcId="{829CE7C9-0A82-4655-A61A-D3495FE543DF}" destId="{74B2E16C-9C77-4E2F-A91C-220F6C743B8B}" srcOrd="0" destOrd="0" presId="urn:microsoft.com/office/officeart/2005/8/layout/orgChart1"/>
    <dgm:cxn modelId="{F18AE9BB-9C87-4EAD-8BE3-A9EA173524D1}" type="presParOf" srcId="{74B2E16C-9C77-4E2F-A91C-220F6C743B8B}" destId="{0367470D-7574-4E12-AB3D-FCCE3D0894C9}" srcOrd="0" destOrd="0" presId="urn:microsoft.com/office/officeart/2005/8/layout/orgChart1"/>
    <dgm:cxn modelId="{BDC10FCE-40C1-4353-8A1B-A3206DF8D4D9}" type="presParOf" srcId="{74B2E16C-9C77-4E2F-A91C-220F6C743B8B}" destId="{E1F2358A-D19E-4AED-8D62-EE7810D92351}" srcOrd="1" destOrd="0" presId="urn:microsoft.com/office/officeart/2005/8/layout/orgChart1"/>
    <dgm:cxn modelId="{8FE12D53-024D-4F48-97BB-2986E4E492B5}" type="presParOf" srcId="{829CE7C9-0A82-4655-A61A-D3495FE543DF}" destId="{06DB1B61-C96E-45E6-936F-E36FA1F1575C}" srcOrd="1" destOrd="0" presId="urn:microsoft.com/office/officeart/2005/8/layout/orgChart1"/>
    <dgm:cxn modelId="{0798A6E7-761E-4DBA-838A-E445DEF88A4F}" type="presParOf" srcId="{829CE7C9-0A82-4655-A61A-D3495FE543DF}" destId="{7F1D5165-EF85-412B-9D46-74386D5CDAE3}" srcOrd="2" destOrd="0" presId="urn:microsoft.com/office/officeart/2005/8/layout/orgChart1"/>
    <dgm:cxn modelId="{F3AB7987-9F54-42A5-889B-217F9123FE7D}" type="presParOf" srcId="{F3812FC2-10D2-4E96-BE28-8E3AFF6769AB}" destId="{87058340-DB60-49C0-8994-68701E259E38}" srcOrd="2" destOrd="0" presId="urn:microsoft.com/office/officeart/2005/8/layout/orgChart1"/>
    <dgm:cxn modelId="{A84B57DE-FBCE-4DAB-A915-F658307EF4E1}" type="presParOf" srcId="{F3812FC2-10D2-4E96-BE28-8E3AFF6769AB}" destId="{CA23506B-3F46-4E73-8A6C-5B408F627745}" srcOrd="3" destOrd="0" presId="urn:microsoft.com/office/officeart/2005/8/layout/orgChart1"/>
    <dgm:cxn modelId="{389455D7-9704-46D6-9837-FCDAF2451F46}" type="presParOf" srcId="{CA23506B-3F46-4E73-8A6C-5B408F627745}" destId="{FC368699-35C4-4482-9259-EB509CBDD972}" srcOrd="0" destOrd="0" presId="urn:microsoft.com/office/officeart/2005/8/layout/orgChart1"/>
    <dgm:cxn modelId="{733AE7F8-87F5-4D70-980D-D02C2255EE45}" type="presParOf" srcId="{FC368699-35C4-4482-9259-EB509CBDD972}" destId="{310E825F-260D-4E60-A948-53D9496A22DB}" srcOrd="0" destOrd="0" presId="urn:microsoft.com/office/officeart/2005/8/layout/orgChart1"/>
    <dgm:cxn modelId="{9EEC8C20-20ED-4742-AE94-59671AB2B41B}" type="presParOf" srcId="{FC368699-35C4-4482-9259-EB509CBDD972}" destId="{E4182571-2F38-425B-847E-6F435C360E96}" srcOrd="1" destOrd="0" presId="urn:microsoft.com/office/officeart/2005/8/layout/orgChart1"/>
    <dgm:cxn modelId="{7B85309F-67D4-48B3-80E8-F3752FD2B25B}" type="presParOf" srcId="{CA23506B-3F46-4E73-8A6C-5B408F627745}" destId="{C9F0DCEE-900B-482B-9350-FDB456ED7987}" srcOrd="1" destOrd="0" presId="urn:microsoft.com/office/officeart/2005/8/layout/orgChart1"/>
    <dgm:cxn modelId="{37A45E36-F445-47D3-B8A8-0C90C4850F8C}" type="presParOf" srcId="{CA23506B-3F46-4E73-8A6C-5B408F627745}" destId="{79C67FE6-F78F-4E3F-A1CF-D49D238D0AEA}" srcOrd="2" destOrd="0" presId="urn:microsoft.com/office/officeart/2005/8/layout/orgChart1"/>
    <dgm:cxn modelId="{347EFE8B-98E1-467F-BB18-8FE40C535FBF}" type="presParOf" srcId="{79C67FE6-F78F-4E3F-A1CF-D49D238D0AEA}" destId="{5EC5429F-1A0E-4ADB-ABA0-56F094E45D02}" srcOrd="0" destOrd="0" presId="urn:microsoft.com/office/officeart/2005/8/layout/orgChart1"/>
    <dgm:cxn modelId="{ADF0462F-C607-416D-A624-3165900953DD}" type="presParOf" srcId="{79C67FE6-F78F-4E3F-A1CF-D49D238D0AEA}" destId="{E3EC4910-FA92-4AA2-AB23-CD101F78F9D2}" srcOrd="1" destOrd="0" presId="urn:microsoft.com/office/officeart/2005/8/layout/orgChart1"/>
    <dgm:cxn modelId="{8397E928-45CF-478B-9041-BD08E8EE9A10}" type="presParOf" srcId="{E3EC4910-FA92-4AA2-AB23-CD101F78F9D2}" destId="{47384726-567A-4AA6-B760-BDC0196429D2}" srcOrd="0" destOrd="0" presId="urn:microsoft.com/office/officeart/2005/8/layout/orgChart1"/>
    <dgm:cxn modelId="{82F23069-9B42-47E1-A3EF-3C2939AE0930}" type="presParOf" srcId="{47384726-567A-4AA6-B760-BDC0196429D2}" destId="{90E8B2BF-556B-4164-9691-FB8E41AE7C8B}" srcOrd="0" destOrd="0" presId="urn:microsoft.com/office/officeart/2005/8/layout/orgChart1"/>
    <dgm:cxn modelId="{E59976FC-F199-41E5-BA57-5D327795F00C}" type="presParOf" srcId="{47384726-567A-4AA6-B760-BDC0196429D2}" destId="{807167F9-D890-4EDB-81E3-DF7025E39B38}" srcOrd="1" destOrd="0" presId="urn:microsoft.com/office/officeart/2005/8/layout/orgChart1"/>
    <dgm:cxn modelId="{DB877B84-BAAE-47CF-A9C8-FEEE96432459}" type="presParOf" srcId="{E3EC4910-FA92-4AA2-AB23-CD101F78F9D2}" destId="{65F56641-D22B-4A9B-818D-6DFB46F1B45C}" srcOrd="1" destOrd="0" presId="urn:microsoft.com/office/officeart/2005/8/layout/orgChart1"/>
    <dgm:cxn modelId="{885AD1BC-0035-4123-9698-9BB86555DD4F}" type="presParOf" srcId="{E3EC4910-FA92-4AA2-AB23-CD101F78F9D2}" destId="{2FD5ABBA-623E-4DC5-8A73-C2CC3CFECC3D}" srcOrd="2" destOrd="0" presId="urn:microsoft.com/office/officeart/2005/8/layout/orgChart1"/>
    <dgm:cxn modelId="{A5E29D10-CFED-4309-9184-D381D832B4C1}" type="presParOf" srcId="{55AC26D2-2F49-492F-8355-EF5356971ED7}" destId="{10137935-657C-4A55-8A9C-E7B414D23654}" srcOrd="2" destOrd="0" presId="urn:microsoft.com/office/officeart/2005/8/layout/orgChart1"/>
    <dgm:cxn modelId="{FB8C692A-1814-4262-AD6F-80235CE1FECA}" type="presParOf" srcId="{10137935-657C-4A55-8A9C-E7B414D23654}" destId="{9CB7B325-E608-42D3-8066-4CAEF9966C10}" srcOrd="0" destOrd="0" presId="urn:microsoft.com/office/officeart/2005/8/layout/orgChart1"/>
    <dgm:cxn modelId="{ADEECF36-D835-41D7-8610-B6B1217F52F3}" type="presParOf" srcId="{10137935-657C-4A55-8A9C-E7B414D23654}" destId="{E394E871-6ADD-4D05-93CB-0838DDBD546E}" srcOrd="1" destOrd="0" presId="urn:microsoft.com/office/officeart/2005/8/layout/orgChart1"/>
    <dgm:cxn modelId="{53E32025-D5D6-4EF9-BB36-4EE242781C5E}" type="presParOf" srcId="{E394E871-6ADD-4D05-93CB-0838DDBD546E}" destId="{22A623A9-850B-4FF7-B774-9D6FDD7D00FC}" srcOrd="0" destOrd="0" presId="urn:microsoft.com/office/officeart/2005/8/layout/orgChart1"/>
    <dgm:cxn modelId="{971C59A1-C9FF-419E-A5EF-A5E06EC6ED05}" type="presParOf" srcId="{22A623A9-850B-4FF7-B774-9D6FDD7D00FC}" destId="{A52A20C1-574E-4389-8747-CDB9146B9C65}" srcOrd="0" destOrd="0" presId="urn:microsoft.com/office/officeart/2005/8/layout/orgChart1"/>
    <dgm:cxn modelId="{942AA3F2-A41D-483D-926B-2E109B81AC1B}" type="presParOf" srcId="{22A623A9-850B-4FF7-B774-9D6FDD7D00FC}" destId="{1F1556DE-50A1-4648-AC78-89D428D5FCEE}" srcOrd="1" destOrd="0" presId="urn:microsoft.com/office/officeart/2005/8/layout/orgChart1"/>
    <dgm:cxn modelId="{046571AC-7770-41AD-B73A-FB44455BED52}" type="presParOf" srcId="{E394E871-6ADD-4D05-93CB-0838DDBD546E}" destId="{8CBA263F-046E-4859-9192-6B67E8ACAC0C}" srcOrd="1" destOrd="0" presId="urn:microsoft.com/office/officeart/2005/8/layout/orgChart1"/>
    <dgm:cxn modelId="{E42CCEC6-F201-404B-A095-B050A6153E61}" type="presParOf" srcId="{E394E871-6ADD-4D05-93CB-0838DDBD546E}" destId="{1C59843D-3BC8-48AD-8421-7A6B97350ACB}" srcOrd="2" destOrd="0" presId="urn:microsoft.com/office/officeart/2005/8/layout/orgChart1"/>
    <dgm:cxn modelId="{84D3792F-1A21-4F7A-A8C1-2BBF8B11DD7A}" type="presParOf" srcId="{A3507ACF-4CC4-4F40-A04B-A54CBE90682D}" destId="{8C08ADFF-644E-424D-A66D-6AD0F9DBA4EA}"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B7B325-E608-42D3-8066-4CAEF9966C10}">
      <dsp:nvSpPr>
        <dsp:cNvPr id="0" name=""/>
        <dsp:cNvSpPr/>
      </dsp:nvSpPr>
      <dsp:spPr>
        <a:xfrm>
          <a:off x="2388613" y="1311177"/>
          <a:ext cx="935987" cy="91440"/>
        </a:xfrm>
        <a:custGeom>
          <a:avLst/>
          <a:gdLst/>
          <a:ahLst/>
          <a:cxnLst/>
          <a:rect l="0" t="0" r="0" b="0"/>
          <a:pathLst>
            <a:path>
              <a:moveTo>
                <a:pt x="935987" y="45720"/>
              </a:moveTo>
              <a:lnTo>
                <a:pt x="935987" y="58236"/>
              </a:lnTo>
              <a:lnTo>
                <a:pt x="0" y="58236"/>
              </a:lnTo>
            </a:path>
          </a:pathLst>
        </a:custGeom>
        <a:noFill/>
        <a:ln w="9525" cap="flat" cmpd="sng" algn="ctr">
          <a:solidFill>
            <a:schemeClr val="dk1"/>
          </a:solidFill>
          <a:prstDash val="solid"/>
          <a:round/>
          <a:headEnd type="arrow" w="med" len="med"/>
          <a:tailEnd type="arrow" w="med" len="med"/>
        </a:ln>
        <a:effectLst/>
      </dsp:spPr>
      <dsp:style>
        <a:lnRef idx="0">
          <a:scrgbClr r="0" g="0" b="0"/>
        </a:lnRef>
        <a:fillRef idx="0">
          <a:scrgbClr r="0" g="0" b="0"/>
        </a:fillRef>
        <a:effectRef idx="0">
          <a:scrgbClr r="0" g="0" b="0"/>
        </a:effectRef>
        <a:fontRef idx="minor">
          <a:schemeClr val="tx1"/>
        </a:fontRef>
      </dsp:style>
    </dsp:sp>
    <dsp:sp modelId="{5EC5429F-1A0E-4ADB-ABA0-56F094E45D02}">
      <dsp:nvSpPr>
        <dsp:cNvPr id="0" name=""/>
        <dsp:cNvSpPr/>
      </dsp:nvSpPr>
      <dsp:spPr>
        <a:xfrm>
          <a:off x="3990762" y="2565738"/>
          <a:ext cx="243987" cy="532333"/>
        </a:xfrm>
        <a:custGeom>
          <a:avLst/>
          <a:gdLst/>
          <a:ahLst/>
          <a:cxnLst/>
          <a:rect l="0" t="0" r="0" b="0"/>
          <a:pathLst>
            <a:path>
              <a:moveTo>
                <a:pt x="0" y="0"/>
              </a:moveTo>
              <a:lnTo>
                <a:pt x="0" y="532333"/>
              </a:lnTo>
              <a:lnTo>
                <a:pt x="243987" y="532333"/>
              </a:lnTo>
            </a:path>
          </a:pathLst>
        </a:custGeom>
        <a:noFill/>
        <a:ln w="9525" cap="flat" cmpd="sng" algn="ctr">
          <a:solidFill>
            <a:schemeClr val="dk1"/>
          </a:solidFill>
          <a:prstDash val="solid"/>
          <a:round/>
          <a:headEnd type="arrow" w="med" len="med"/>
          <a:tailEnd type="arrow" w="med" len="med"/>
        </a:ln>
        <a:effectLst/>
      </dsp:spPr>
      <dsp:style>
        <a:lnRef idx="0">
          <a:scrgbClr r="0" g="0" b="0"/>
        </a:lnRef>
        <a:fillRef idx="0">
          <a:scrgbClr r="0" g="0" b="0"/>
        </a:fillRef>
        <a:effectRef idx="0">
          <a:scrgbClr r="0" g="0" b="0"/>
        </a:effectRef>
        <a:fontRef idx="minor">
          <a:schemeClr val="tx1"/>
        </a:fontRef>
      </dsp:style>
    </dsp:sp>
    <dsp:sp modelId="{87058340-DB60-49C0-8994-68701E259E38}">
      <dsp:nvSpPr>
        <dsp:cNvPr id="0" name=""/>
        <dsp:cNvSpPr/>
      </dsp:nvSpPr>
      <dsp:spPr>
        <a:xfrm>
          <a:off x="3324601" y="1356897"/>
          <a:ext cx="666161" cy="649314"/>
        </a:xfrm>
        <a:custGeom>
          <a:avLst/>
          <a:gdLst/>
          <a:ahLst/>
          <a:cxnLst/>
          <a:rect l="0" t="0" r="0" b="0"/>
          <a:pathLst>
            <a:path>
              <a:moveTo>
                <a:pt x="0" y="0"/>
              </a:moveTo>
              <a:lnTo>
                <a:pt x="0" y="531813"/>
              </a:lnTo>
              <a:lnTo>
                <a:pt x="666161" y="531813"/>
              </a:lnTo>
              <a:lnTo>
                <a:pt x="666161" y="649314"/>
              </a:lnTo>
            </a:path>
          </a:pathLst>
        </a:custGeom>
        <a:noFill/>
        <a:ln w="9525" cap="flat" cmpd="sng" algn="ctr">
          <a:solidFill>
            <a:schemeClr val="dk1"/>
          </a:solidFill>
          <a:prstDash val="solid"/>
          <a:round/>
          <a:headEnd type="arrow" w="med" len="med"/>
          <a:tailEnd type="arrow" w="med" len="med"/>
        </a:ln>
        <a:effectLst/>
      </dsp:spPr>
      <dsp:style>
        <a:lnRef idx="0">
          <a:scrgbClr r="0" g="0" b="0"/>
        </a:lnRef>
        <a:fillRef idx="0">
          <a:scrgbClr r="0" g="0" b="0"/>
        </a:fillRef>
        <a:effectRef idx="0">
          <a:scrgbClr r="0" g="0" b="0"/>
        </a:effectRef>
        <a:fontRef idx="minor">
          <a:schemeClr val="tx1"/>
        </a:fontRef>
      </dsp:style>
    </dsp:sp>
    <dsp:sp modelId="{F1531689-2727-417C-8C54-EB6AB2BE0941}">
      <dsp:nvSpPr>
        <dsp:cNvPr id="0" name=""/>
        <dsp:cNvSpPr/>
      </dsp:nvSpPr>
      <dsp:spPr>
        <a:xfrm>
          <a:off x="2441757" y="2565509"/>
          <a:ext cx="205928" cy="519822"/>
        </a:xfrm>
        <a:custGeom>
          <a:avLst/>
          <a:gdLst/>
          <a:ahLst/>
          <a:cxnLst/>
          <a:rect l="0" t="0" r="0" b="0"/>
          <a:pathLst>
            <a:path>
              <a:moveTo>
                <a:pt x="205928" y="0"/>
              </a:moveTo>
              <a:lnTo>
                <a:pt x="205928" y="519822"/>
              </a:lnTo>
              <a:lnTo>
                <a:pt x="0" y="519822"/>
              </a:lnTo>
            </a:path>
          </a:pathLst>
        </a:custGeom>
        <a:noFill/>
        <a:ln w="9525" cap="flat" cmpd="sng" algn="ctr">
          <a:solidFill>
            <a:schemeClr val="dk1"/>
          </a:solidFill>
          <a:prstDash val="solid"/>
          <a:round/>
          <a:headEnd type="arrow" w="med" len="med"/>
          <a:tailEnd type="arrow" w="med" len="med"/>
        </a:ln>
        <a:effectLst/>
      </dsp:spPr>
      <dsp:style>
        <a:lnRef idx="0">
          <a:scrgbClr r="0" g="0" b="0"/>
        </a:lnRef>
        <a:fillRef idx="0">
          <a:scrgbClr r="0" g="0" b="0"/>
        </a:fillRef>
        <a:effectRef idx="0">
          <a:scrgbClr r="0" g="0" b="0"/>
        </a:effectRef>
        <a:fontRef idx="minor">
          <a:schemeClr val="tx1"/>
        </a:fontRef>
      </dsp:style>
    </dsp:sp>
    <dsp:sp modelId="{69921E51-CA8A-4B2E-8B96-51D915607744}">
      <dsp:nvSpPr>
        <dsp:cNvPr id="0" name=""/>
        <dsp:cNvSpPr/>
      </dsp:nvSpPr>
      <dsp:spPr>
        <a:xfrm>
          <a:off x="2647685" y="1356897"/>
          <a:ext cx="676915" cy="649084"/>
        </a:xfrm>
        <a:custGeom>
          <a:avLst/>
          <a:gdLst/>
          <a:ahLst/>
          <a:cxnLst/>
          <a:rect l="0" t="0" r="0" b="0"/>
          <a:pathLst>
            <a:path>
              <a:moveTo>
                <a:pt x="676915" y="0"/>
              </a:moveTo>
              <a:lnTo>
                <a:pt x="676915" y="531584"/>
              </a:lnTo>
              <a:lnTo>
                <a:pt x="0" y="531584"/>
              </a:lnTo>
              <a:lnTo>
                <a:pt x="0" y="649084"/>
              </a:lnTo>
            </a:path>
          </a:pathLst>
        </a:custGeom>
        <a:noFill/>
        <a:ln w="9525" cap="flat" cmpd="sng" algn="ctr">
          <a:solidFill>
            <a:schemeClr val="dk1"/>
          </a:solidFill>
          <a:prstDash val="solid"/>
          <a:round/>
          <a:headEnd type="arrow" w="med" len="med"/>
          <a:tailEnd type="arrow" w="med" len="med"/>
        </a:ln>
        <a:effectLst/>
      </dsp:spPr>
      <dsp:style>
        <a:lnRef idx="0">
          <a:scrgbClr r="0" g="0" b="0"/>
        </a:lnRef>
        <a:fillRef idx="0">
          <a:scrgbClr r="0" g="0" b="0"/>
        </a:fillRef>
        <a:effectRef idx="0">
          <a:scrgbClr r="0" g="0" b="0"/>
        </a:effectRef>
        <a:fontRef idx="minor">
          <a:schemeClr val="tx1"/>
        </a:fontRef>
      </dsp:style>
    </dsp:sp>
    <dsp:sp modelId="{09847EED-608F-4013-A665-3101FE7F3BC9}">
      <dsp:nvSpPr>
        <dsp:cNvPr id="0" name=""/>
        <dsp:cNvSpPr/>
      </dsp:nvSpPr>
      <dsp:spPr>
        <a:xfrm>
          <a:off x="3278881" y="562369"/>
          <a:ext cx="91440" cy="235001"/>
        </a:xfrm>
        <a:custGeom>
          <a:avLst/>
          <a:gdLst/>
          <a:ahLst/>
          <a:cxnLst/>
          <a:rect l="0" t="0" r="0" b="0"/>
          <a:pathLst>
            <a:path>
              <a:moveTo>
                <a:pt x="45720" y="0"/>
              </a:moveTo>
              <a:lnTo>
                <a:pt x="45720" y="235001"/>
              </a:lnTo>
            </a:path>
          </a:pathLst>
        </a:custGeom>
        <a:noFill/>
        <a:ln w="9525" cap="flat" cmpd="sng" algn="ctr">
          <a:solidFill>
            <a:schemeClr val="dk1"/>
          </a:solidFill>
          <a:prstDash val="solid"/>
          <a:round/>
          <a:headEnd type="arrow" w="med" len="med"/>
          <a:tailEnd type="arrow" w="med" len="med"/>
        </a:ln>
        <a:effectLst/>
      </dsp:spPr>
      <dsp:style>
        <a:lnRef idx="0">
          <a:scrgbClr r="0" g="0" b="0"/>
        </a:lnRef>
        <a:fillRef idx="0">
          <a:scrgbClr r="0" g="0" b="0"/>
        </a:fillRef>
        <a:effectRef idx="0">
          <a:scrgbClr r="0" g="0" b="0"/>
        </a:effectRef>
        <a:fontRef idx="minor">
          <a:schemeClr val="tx1"/>
        </a:fontRef>
      </dsp:style>
    </dsp:sp>
    <dsp:sp modelId="{0D94DF5A-B498-40B0-9F85-E8DE0315446F}">
      <dsp:nvSpPr>
        <dsp:cNvPr id="0" name=""/>
        <dsp:cNvSpPr/>
      </dsp:nvSpPr>
      <dsp:spPr>
        <a:xfrm>
          <a:off x="2765074" y="2842"/>
          <a:ext cx="1119053" cy="55952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lv-LV" sz="900" kern="1200"/>
            <a:t>Centrs</a:t>
          </a:r>
          <a:endParaRPr lang="en-US" sz="900" kern="1200"/>
        </a:p>
      </dsp:txBody>
      <dsp:txXfrm>
        <a:off x="2765074" y="2842"/>
        <a:ext cx="1119053" cy="559526"/>
      </dsp:txXfrm>
    </dsp:sp>
    <dsp:sp modelId="{E3D90F5F-A349-4093-AE70-5AECA0CCFB3E}">
      <dsp:nvSpPr>
        <dsp:cNvPr id="0" name=""/>
        <dsp:cNvSpPr/>
      </dsp:nvSpPr>
      <dsp:spPr>
        <a:xfrm>
          <a:off x="2765074" y="797370"/>
          <a:ext cx="1119053" cy="55952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lv-LV" sz="900" kern="1200"/>
            <a:t>NKC (AM)</a:t>
          </a:r>
          <a:endParaRPr lang="en-US" sz="900" kern="1200"/>
        </a:p>
      </dsp:txBody>
      <dsp:txXfrm>
        <a:off x="2765074" y="797370"/>
        <a:ext cx="1119053" cy="559526"/>
      </dsp:txXfrm>
    </dsp:sp>
    <dsp:sp modelId="{09A9682A-BFDD-4B5D-B976-949B071E0E45}">
      <dsp:nvSpPr>
        <dsp:cNvPr id="0" name=""/>
        <dsp:cNvSpPr/>
      </dsp:nvSpPr>
      <dsp:spPr>
        <a:xfrm>
          <a:off x="2088158" y="2005982"/>
          <a:ext cx="1119053" cy="55952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100000"/>
            </a:lnSpc>
            <a:spcBef>
              <a:spcPct val="0"/>
            </a:spcBef>
            <a:spcAft>
              <a:spcPts val="0"/>
            </a:spcAft>
          </a:pPr>
          <a:r>
            <a:rPr lang="lv-LV" sz="900" kern="1200"/>
            <a:t>Programma </a:t>
          </a:r>
        </a:p>
        <a:p>
          <a:pPr lvl="0" algn="ctr" defTabSz="400050">
            <a:lnSpc>
              <a:spcPct val="100000"/>
            </a:lnSpc>
            <a:spcBef>
              <a:spcPct val="0"/>
            </a:spcBef>
            <a:spcAft>
              <a:spcPts val="0"/>
            </a:spcAft>
          </a:pPr>
          <a:r>
            <a:rPr lang="lv-LV" sz="900" kern="1200"/>
            <a:t>"Digitālā Eiropa"</a:t>
          </a:r>
          <a:endParaRPr lang="en-US" sz="900" kern="1200"/>
        </a:p>
      </dsp:txBody>
      <dsp:txXfrm>
        <a:off x="2088158" y="2005982"/>
        <a:ext cx="1119053" cy="559526"/>
      </dsp:txXfrm>
    </dsp:sp>
    <dsp:sp modelId="{0367470D-7574-4E12-AB3D-FCCE3D0894C9}">
      <dsp:nvSpPr>
        <dsp:cNvPr id="0" name=""/>
        <dsp:cNvSpPr/>
      </dsp:nvSpPr>
      <dsp:spPr>
        <a:xfrm>
          <a:off x="1322703" y="2805568"/>
          <a:ext cx="1119053" cy="55952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lv-LV" sz="900" kern="1200"/>
            <a:t>Vides aizsardzības un reģionālās attīstības ministrija</a:t>
          </a:r>
          <a:endParaRPr lang="en-US" sz="900" kern="1200"/>
        </a:p>
      </dsp:txBody>
      <dsp:txXfrm>
        <a:off x="1322703" y="2805568"/>
        <a:ext cx="1119053" cy="559526"/>
      </dsp:txXfrm>
    </dsp:sp>
    <dsp:sp modelId="{310E825F-260D-4E60-A948-53D9496A22DB}">
      <dsp:nvSpPr>
        <dsp:cNvPr id="0" name=""/>
        <dsp:cNvSpPr/>
      </dsp:nvSpPr>
      <dsp:spPr>
        <a:xfrm>
          <a:off x="3431235" y="2006211"/>
          <a:ext cx="1119053" cy="55952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100000"/>
            </a:lnSpc>
            <a:spcBef>
              <a:spcPct val="0"/>
            </a:spcBef>
            <a:spcAft>
              <a:spcPts val="0"/>
            </a:spcAft>
          </a:pPr>
          <a:r>
            <a:rPr lang="lv-LV" sz="900" kern="1200"/>
            <a:t>Programma </a:t>
          </a:r>
        </a:p>
        <a:p>
          <a:pPr lvl="0" algn="ctr" defTabSz="400050">
            <a:lnSpc>
              <a:spcPct val="100000"/>
            </a:lnSpc>
            <a:spcBef>
              <a:spcPct val="0"/>
            </a:spcBef>
            <a:spcAft>
              <a:spcPts val="0"/>
            </a:spcAft>
          </a:pPr>
          <a:r>
            <a:rPr lang="lv-LV" sz="900" kern="1200"/>
            <a:t>"Apvārsnis Eiropa"</a:t>
          </a:r>
          <a:endParaRPr lang="en-US" sz="900" kern="1200"/>
        </a:p>
      </dsp:txBody>
      <dsp:txXfrm>
        <a:off x="3431235" y="2006211"/>
        <a:ext cx="1119053" cy="559526"/>
      </dsp:txXfrm>
    </dsp:sp>
    <dsp:sp modelId="{90E8B2BF-556B-4164-9691-FB8E41AE7C8B}">
      <dsp:nvSpPr>
        <dsp:cNvPr id="0" name=""/>
        <dsp:cNvSpPr/>
      </dsp:nvSpPr>
      <dsp:spPr>
        <a:xfrm>
          <a:off x="4234750" y="2818309"/>
          <a:ext cx="1119053" cy="55952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lv-LV" sz="900" kern="1200"/>
            <a:t>Izglītības un zinātnes ministrija / Valsts izglītības attīstības aģentūra</a:t>
          </a:r>
          <a:endParaRPr lang="en-US" sz="900" kern="1200"/>
        </a:p>
      </dsp:txBody>
      <dsp:txXfrm>
        <a:off x="4234750" y="2818309"/>
        <a:ext cx="1119053" cy="559526"/>
      </dsp:txXfrm>
    </dsp:sp>
    <dsp:sp modelId="{A52A20C1-574E-4389-8747-CDB9146B9C65}">
      <dsp:nvSpPr>
        <dsp:cNvPr id="0" name=""/>
        <dsp:cNvSpPr/>
      </dsp:nvSpPr>
      <dsp:spPr>
        <a:xfrm>
          <a:off x="1269559" y="1089650"/>
          <a:ext cx="1119053" cy="55952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ts val="0"/>
            </a:spcAft>
          </a:pPr>
          <a:r>
            <a:rPr lang="lv-LV" sz="900" kern="1200"/>
            <a:t>CERT.LV;</a:t>
          </a:r>
        </a:p>
        <a:p>
          <a:pPr lvl="0" algn="ctr" defTabSz="400050">
            <a:lnSpc>
              <a:spcPct val="90000"/>
            </a:lnSpc>
            <a:spcBef>
              <a:spcPct val="0"/>
            </a:spcBef>
            <a:spcAft>
              <a:spcPts val="0"/>
            </a:spcAft>
          </a:pPr>
          <a:r>
            <a:rPr lang="lv-LV" sz="900" kern="1200"/>
            <a:t>Citas valsts pārvaldes iestādes</a:t>
          </a:r>
          <a:endParaRPr lang="en-US" sz="900" kern="1200"/>
        </a:p>
      </dsp:txBody>
      <dsp:txXfrm>
        <a:off x="1269559" y="1089650"/>
        <a:ext cx="1119053" cy="55952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2694E-EFB4-42FF-80F8-62D96FE40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23326</Words>
  <Characters>13296</Characters>
  <Application>Microsoft Office Word</Application>
  <DocSecurity>0</DocSecurity>
  <Lines>110</Lines>
  <Paragraphs>73</Paragraphs>
  <ScaleCrop>false</ScaleCrop>
  <HeadingPairs>
    <vt:vector size="2" baseType="variant">
      <vt:variant>
        <vt:lpstr>Title</vt:lpstr>
      </vt:variant>
      <vt:variant>
        <vt:i4>1</vt:i4>
      </vt:variant>
    </vt:vector>
  </HeadingPairs>
  <TitlesOfParts>
    <vt:vector size="1" baseType="lpstr">
      <vt:lpstr/>
    </vt:vector>
  </TitlesOfParts>
  <Company>Aizsardzības ministrija</Company>
  <LinksUpToDate>false</LinksUpToDate>
  <CharactersWithSpaces>36549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Mihails Potapovs;Karlis Kadegis</dc:creator>
  <cp:keywords/>
  <dc:description/>
  <cp:lastModifiedBy>Mihails Potapovs</cp:lastModifiedBy>
  <cp:revision>2</cp:revision>
  <dcterms:created xsi:type="dcterms:W3CDTF">2021-12-13T09:22:00Z</dcterms:created>
  <dcterms:modified xsi:type="dcterms:W3CDTF">2021-12-13T09:22:00Z</dcterms:modified>
</cp:coreProperties>
</file>